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77C8" w14:textId="77777777" w:rsidR="00262127" w:rsidRPr="00512756" w:rsidRDefault="00262127" w:rsidP="00512756">
      <w:pPr>
        <w:pStyle w:val="Subtitle"/>
      </w:pPr>
      <w:bookmarkStart w:id="0" w:name="_Toc427153112"/>
      <w:r w:rsidRPr="00354D73">
        <w:t>Medicare Benefits Schedule Review Taskforce</w:t>
      </w:r>
    </w:p>
    <w:p w14:paraId="4323F9DE" w14:textId="5B347DA0" w:rsidR="001C53E1" w:rsidRPr="00375B6D" w:rsidRDefault="00770F00" w:rsidP="00512756">
      <w:pPr>
        <w:pStyle w:val="Title"/>
        <w:rPr>
          <w:sz w:val="60"/>
          <w:szCs w:val="60"/>
        </w:rPr>
      </w:pPr>
      <w:r w:rsidRPr="00375B6D">
        <w:rPr>
          <w:sz w:val="60"/>
          <w:szCs w:val="60"/>
        </w:rPr>
        <w:t>F</w:t>
      </w:r>
      <w:r w:rsidR="00271ED7">
        <w:rPr>
          <w:sz w:val="60"/>
          <w:szCs w:val="60"/>
        </w:rPr>
        <w:t>inal r</w:t>
      </w:r>
      <w:r w:rsidR="001C53E1" w:rsidRPr="00375B6D">
        <w:rPr>
          <w:sz w:val="60"/>
          <w:szCs w:val="60"/>
        </w:rPr>
        <w:t>eport</w:t>
      </w:r>
      <w:r w:rsidR="006959AC">
        <w:rPr>
          <w:sz w:val="60"/>
          <w:szCs w:val="60"/>
        </w:rPr>
        <w:t xml:space="preserve"> from the</w:t>
      </w:r>
    </w:p>
    <w:p w14:paraId="56358BB2" w14:textId="77777777" w:rsidR="001C53E1" w:rsidRPr="00375B6D" w:rsidRDefault="001C53E1" w:rsidP="00512756">
      <w:pPr>
        <w:pStyle w:val="Title"/>
        <w:rPr>
          <w:sz w:val="60"/>
          <w:szCs w:val="60"/>
        </w:rPr>
      </w:pPr>
      <w:r w:rsidRPr="00375B6D">
        <w:rPr>
          <w:sz w:val="60"/>
          <w:szCs w:val="60"/>
        </w:rPr>
        <w:t xml:space="preserve">Ear Nose and Throat (ENT) Surgery Clinical Committee </w:t>
      </w:r>
      <w:r w:rsidR="006959AC">
        <w:rPr>
          <w:sz w:val="60"/>
          <w:szCs w:val="60"/>
        </w:rPr>
        <w:t>-</w:t>
      </w:r>
      <w:r w:rsidRPr="00375B6D">
        <w:rPr>
          <w:sz w:val="60"/>
          <w:szCs w:val="60"/>
        </w:rPr>
        <w:t xml:space="preserve"> Tonsillectomy, Adenoidectomy &amp; Insertion of Grommets</w:t>
      </w:r>
    </w:p>
    <w:p w14:paraId="5F3D0188" w14:textId="77777777" w:rsidR="00354D73" w:rsidRDefault="00262127" w:rsidP="00354D73">
      <w:pPr>
        <w:pStyle w:val="Subtitle"/>
        <w:sectPr w:rsidR="00354D73" w:rsidSect="00326D7D">
          <w:endnotePr>
            <w:numFmt w:val="decimal"/>
          </w:endnotePr>
          <w:pgSz w:w="11906" w:h="16838" w:code="9"/>
          <w:pgMar w:top="1134" w:right="1440" w:bottom="1134" w:left="1440" w:header="720" w:footer="720" w:gutter="0"/>
          <w:paperSrc w:first="2" w:other="2"/>
          <w:cols w:space="720"/>
          <w:docGrid w:linePitch="326"/>
        </w:sectPr>
      </w:pPr>
      <w:r w:rsidRPr="00FE6728">
        <w:t>2016</w:t>
      </w:r>
    </w:p>
    <w:p w14:paraId="42709E64"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rPr>
          <w:rFonts w:cs="Arial"/>
          <w:b/>
          <w:bCs/>
          <w:color w:val="01653F"/>
          <w:sz w:val="32"/>
          <w:szCs w:val="28"/>
        </w:rPr>
      </w:pPr>
      <w:bookmarkStart w:id="1" w:name="_Toc448369494"/>
      <w:r>
        <w:rPr>
          <w:rFonts w:cs="Arial"/>
          <w:b/>
          <w:bCs/>
          <w:color w:val="01653F"/>
          <w:sz w:val="32"/>
          <w:szCs w:val="28"/>
        </w:rPr>
        <w:lastRenderedPageBreak/>
        <w:t>Important note</w:t>
      </w:r>
    </w:p>
    <w:p w14:paraId="75792FF3"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rPr>
          <w:rFonts w:cs="Arial"/>
          <w:bCs/>
        </w:rPr>
      </w:pPr>
    </w:p>
    <w:p w14:paraId="45318460"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pPr>
      <w:r>
        <w:t xml:space="preserve">The recommendations from the Ear Nose and Throat Clinical Committee detailed in the body of this report, including the executive summary, were released for public consultation on 9 September 2016. </w:t>
      </w:r>
    </w:p>
    <w:p w14:paraId="17B01D89"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pPr>
    </w:p>
    <w:p w14:paraId="5A69CF42"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rPr>
          <w:rFonts w:cs="Arial"/>
          <w:bCs/>
        </w:rPr>
      </w:pPr>
      <w:r>
        <w:t xml:space="preserve">The Ear Nose and Throat Clinical Committee considered feedback from the public consultation and agreed that no change to its recommendations were required, however it did make changes to the item descriptor for </w:t>
      </w:r>
      <w:proofErr w:type="spellStart"/>
      <w:r>
        <w:t>stroboscopy</w:t>
      </w:r>
      <w:proofErr w:type="spellEnd"/>
      <w:r>
        <w:t xml:space="preserve"> which is detailed in the addendum to this report.  </w:t>
      </w:r>
    </w:p>
    <w:p w14:paraId="2841038D"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pPr>
    </w:p>
    <w:p w14:paraId="6131F344" w14:textId="77777777" w:rsidR="000047F4" w:rsidRDefault="000047F4" w:rsidP="000047F4">
      <w:pPr>
        <w:pStyle w:val="BoxText"/>
        <w:pBdr>
          <w:top w:val="single" w:sz="12" w:space="4" w:color="984806"/>
          <w:left w:val="single" w:sz="12" w:space="4" w:color="984806"/>
          <w:bottom w:val="single" w:sz="12" w:space="4" w:color="984806"/>
          <w:right w:val="single" w:sz="12" w:space="4" w:color="984806"/>
        </w:pBdr>
        <w:rPr>
          <w:rFonts w:cs="Arial"/>
          <w:bCs/>
        </w:rPr>
      </w:pPr>
      <w:r>
        <w:t>The final recommendations from the Ear Nose and Throat Clinical Committee and feedback from the public consultation will be provided to the Medicare Benefits Schedule (MBS) Review Taskforce (the Taskforce) for consideration before the Taskforce makes its final recommendations to Government.</w:t>
      </w:r>
    </w:p>
    <w:p w14:paraId="544E56A3" w14:textId="77777777" w:rsidR="000047F4" w:rsidRDefault="000047F4">
      <w:pPr>
        <w:spacing w:before="0" w:after="0" w:line="240" w:lineRule="auto"/>
        <w:rPr>
          <w:rFonts w:eastAsiaTheme="minorHAnsi" w:cs="Arial"/>
          <w:b/>
          <w:bCs/>
          <w:color w:val="01653F"/>
          <w:kern w:val="32"/>
          <w:sz w:val="32"/>
          <w:szCs w:val="28"/>
          <w:lang w:val="en-US" w:eastAsia="en-US"/>
        </w:rPr>
      </w:pPr>
      <w:r>
        <w:br w:type="page"/>
      </w:r>
    </w:p>
    <w:p w14:paraId="5C5E8A5F" w14:textId="77777777" w:rsidR="00C56DF9" w:rsidRPr="003B1222" w:rsidRDefault="00C56DF9" w:rsidP="002923D1">
      <w:pPr>
        <w:pStyle w:val="Heading1a"/>
      </w:pPr>
      <w:r w:rsidRPr="003B1222">
        <w:lastRenderedPageBreak/>
        <w:t>Table of Contents</w:t>
      </w:r>
      <w:bookmarkEnd w:id="1"/>
    </w:p>
    <w:p w14:paraId="31EF5294" w14:textId="77777777" w:rsidR="00C967D4" w:rsidRDefault="001815E3">
      <w:pPr>
        <w:pStyle w:val="TOC1"/>
        <w:tabs>
          <w:tab w:val="left" w:pos="1229"/>
        </w:tabs>
        <w:rPr>
          <w:rFonts w:eastAsiaTheme="minorEastAsia" w:cstheme="minorBidi"/>
          <w:b w:val="0"/>
          <w:noProof/>
        </w:rPr>
      </w:pPr>
      <w:r>
        <w:rPr>
          <w:rFonts w:ascii="Cambria" w:hAnsi="Cambria"/>
          <w:smallCaps/>
          <w:noProof/>
        </w:rPr>
        <w:fldChar w:fldCharType="begin"/>
      </w:r>
      <w:r>
        <w:rPr>
          <w:rFonts w:ascii="Cambria" w:hAnsi="Cambria"/>
          <w:smallCaps/>
          <w:noProof/>
        </w:rPr>
        <w:instrText xml:space="preserve"> TOC \t "Heading 1,1,Heading 2 Report,2,Appendix Style 1,1,Rec,3" </w:instrText>
      </w:r>
      <w:r>
        <w:rPr>
          <w:rFonts w:ascii="Cambria" w:hAnsi="Cambria"/>
          <w:smallCaps/>
          <w:noProof/>
        </w:rPr>
        <w:fldChar w:fldCharType="separate"/>
      </w:r>
      <w:r w:rsidR="00C967D4">
        <w:rPr>
          <w:noProof/>
        </w:rPr>
        <w:t>1.</w:t>
      </w:r>
      <w:r w:rsidR="00C967D4">
        <w:rPr>
          <w:rFonts w:eastAsiaTheme="minorEastAsia" w:cstheme="minorBidi"/>
          <w:b w:val="0"/>
          <w:noProof/>
        </w:rPr>
        <w:tab/>
      </w:r>
      <w:r w:rsidR="00C967D4">
        <w:rPr>
          <w:noProof/>
        </w:rPr>
        <w:t>Executive Summary</w:t>
      </w:r>
      <w:r w:rsidR="00C967D4">
        <w:rPr>
          <w:noProof/>
        </w:rPr>
        <w:tab/>
      </w:r>
      <w:r w:rsidR="00C967D4">
        <w:rPr>
          <w:noProof/>
        </w:rPr>
        <w:fldChar w:fldCharType="begin"/>
      </w:r>
      <w:r w:rsidR="00C967D4">
        <w:rPr>
          <w:noProof/>
        </w:rPr>
        <w:instrText xml:space="preserve"> PAGEREF _Toc485723849 \h </w:instrText>
      </w:r>
      <w:r w:rsidR="00C967D4">
        <w:rPr>
          <w:noProof/>
        </w:rPr>
      </w:r>
      <w:r w:rsidR="00C967D4">
        <w:rPr>
          <w:noProof/>
        </w:rPr>
        <w:fldChar w:fldCharType="separate"/>
      </w:r>
      <w:r w:rsidR="00C967D4">
        <w:rPr>
          <w:noProof/>
        </w:rPr>
        <w:t>4</w:t>
      </w:r>
      <w:r w:rsidR="00C967D4">
        <w:rPr>
          <w:noProof/>
        </w:rPr>
        <w:fldChar w:fldCharType="end"/>
      </w:r>
    </w:p>
    <w:p w14:paraId="453FB91A" w14:textId="77777777" w:rsidR="00C967D4" w:rsidRDefault="00C967D4">
      <w:pPr>
        <w:pStyle w:val="TOC1"/>
        <w:tabs>
          <w:tab w:val="left" w:pos="1229"/>
        </w:tabs>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_Toc485723850 \h </w:instrText>
      </w:r>
      <w:r>
        <w:rPr>
          <w:noProof/>
        </w:rPr>
      </w:r>
      <w:r>
        <w:rPr>
          <w:noProof/>
        </w:rPr>
        <w:fldChar w:fldCharType="separate"/>
      </w:r>
      <w:r>
        <w:rPr>
          <w:noProof/>
        </w:rPr>
        <w:t>8</w:t>
      </w:r>
      <w:r>
        <w:rPr>
          <w:noProof/>
        </w:rPr>
        <w:fldChar w:fldCharType="end"/>
      </w:r>
    </w:p>
    <w:p w14:paraId="38AD0345" w14:textId="77777777" w:rsidR="00C967D4" w:rsidRDefault="00C967D4">
      <w:pPr>
        <w:pStyle w:val="TOC1"/>
        <w:tabs>
          <w:tab w:val="left" w:pos="1229"/>
        </w:tabs>
        <w:rPr>
          <w:rFonts w:eastAsiaTheme="minorEastAsia" w:cstheme="minorBidi"/>
          <w:b w:val="0"/>
          <w:noProof/>
        </w:rPr>
      </w:pPr>
      <w:r>
        <w:rPr>
          <w:noProof/>
        </w:rPr>
        <w:t>3.</w:t>
      </w:r>
      <w:r>
        <w:rPr>
          <w:rFonts w:eastAsiaTheme="minorEastAsia" w:cstheme="minorBidi"/>
          <w:b w:val="0"/>
          <w:noProof/>
        </w:rPr>
        <w:tab/>
      </w:r>
      <w:r>
        <w:rPr>
          <w:noProof/>
        </w:rPr>
        <w:t>About the ENT Committee</w:t>
      </w:r>
      <w:r>
        <w:rPr>
          <w:noProof/>
        </w:rPr>
        <w:tab/>
      </w:r>
      <w:r>
        <w:rPr>
          <w:noProof/>
        </w:rPr>
        <w:fldChar w:fldCharType="begin"/>
      </w:r>
      <w:r>
        <w:rPr>
          <w:noProof/>
        </w:rPr>
        <w:instrText xml:space="preserve"> PAGEREF _Toc485723851 \h </w:instrText>
      </w:r>
      <w:r>
        <w:rPr>
          <w:noProof/>
        </w:rPr>
      </w:r>
      <w:r>
        <w:rPr>
          <w:noProof/>
        </w:rPr>
        <w:fldChar w:fldCharType="separate"/>
      </w:r>
      <w:r>
        <w:rPr>
          <w:noProof/>
        </w:rPr>
        <w:t>11</w:t>
      </w:r>
      <w:r>
        <w:rPr>
          <w:noProof/>
        </w:rPr>
        <w:fldChar w:fldCharType="end"/>
      </w:r>
    </w:p>
    <w:p w14:paraId="60634C53" w14:textId="77777777" w:rsidR="00C967D4" w:rsidRDefault="00C967D4">
      <w:pPr>
        <w:pStyle w:val="TOC1"/>
        <w:tabs>
          <w:tab w:val="left" w:pos="1229"/>
        </w:tabs>
        <w:rPr>
          <w:rFonts w:eastAsiaTheme="minorEastAsia" w:cstheme="minorBidi"/>
          <w:b w:val="0"/>
          <w:noProof/>
        </w:rPr>
      </w:pPr>
      <w:r>
        <w:rPr>
          <w:noProof/>
        </w:rPr>
        <w:t>4.</w:t>
      </w:r>
      <w:r>
        <w:rPr>
          <w:rFonts w:eastAsiaTheme="minorEastAsia" w:cstheme="minorBidi"/>
          <w:b w:val="0"/>
          <w:noProof/>
        </w:rPr>
        <w:tab/>
      </w:r>
      <w:r>
        <w:rPr>
          <w:noProof/>
        </w:rPr>
        <w:t>MBS Item Group 1 – ENT Therapeutic Procedures</w:t>
      </w:r>
      <w:r>
        <w:rPr>
          <w:noProof/>
        </w:rPr>
        <w:tab/>
      </w:r>
      <w:r>
        <w:rPr>
          <w:noProof/>
        </w:rPr>
        <w:fldChar w:fldCharType="begin"/>
      </w:r>
      <w:r>
        <w:rPr>
          <w:noProof/>
        </w:rPr>
        <w:instrText xml:space="preserve"> PAGEREF _Toc485723852 \h </w:instrText>
      </w:r>
      <w:r>
        <w:rPr>
          <w:noProof/>
        </w:rPr>
      </w:r>
      <w:r>
        <w:rPr>
          <w:noProof/>
        </w:rPr>
        <w:fldChar w:fldCharType="separate"/>
      </w:r>
      <w:r>
        <w:rPr>
          <w:noProof/>
        </w:rPr>
        <w:t>12</w:t>
      </w:r>
      <w:r>
        <w:rPr>
          <w:noProof/>
        </w:rPr>
        <w:fldChar w:fldCharType="end"/>
      </w:r>
    </w:p>
    <w:p w14:paraId="5C73F952" w14:textId="77777777" w:rsidR="00C967D4" w:rsidRDefault="00C967D4">
      <w:pPr>
        <w:pStyle w:val="TOC3"/>
        <w:tabs>
          <w:tab w:val="left" w:pos="2452"/>
          <w:tab w:val="right" w:pos="9016"/>
        </w:tabs>
        <w:rPr>
          <w:rFonts w:eastAsiaTheme="minorEastAsia" w:cstheme="minorBidi"/>
          <w:i w:val="0"/>
          <w:noProof/>
        </w:rPr>
      </w:pPr>
      <w:r>
        <w:rPr>
          <w:noProof/>
        </w:rPr>
        <w:t>Recommendation 1:</w:t>
      </w:r>
      <w:r>
        <w:rPr>
          <w:rFonts w:eastAsiaTheme="minorEastAsia" w:cstheme="minorBidi"/>
          <w:i w:val="0"/>
          <w:noProof/>
        </w:rPr>
        <w:tab/>
      </w:r>
      <w:r>
        <w:rPr>
          <w:noProof/>
        </w:rPr>
        <w:t>Adenoidectomy</w:t>
      </w:r>
      <w:r>
        <w:rPr>
          <w:noProof/>
        </w:rPr>
        <w:tab/>
      </w:r>
      <w:r>
        <w:rPr>
          <w:noProof/>
        </w:rPr>
        <w:fldChar w:fldCharType="begin"/>
      </w:r>
      <w:r>
        <w:rPr>
          <w:noProof/>
        </w:rPr>
        <w:instrText xml:space="preserve"> PAGEREF _Toc485723853 \h </w:instrText>
      </w:r>
      <w:r>
        <w:rPr>
          <w:noProof/>
        </w:rPr>
      </w:r>
      <w:r>
        <w:rPr>
          <w:noProof/>
        </w:rPr>
        <w:fldChar w:fldCharType="separate"/>
      </w:r>
      <w:r>
        <w:rPr>
          <w:noProof/>
        </w:rPr>
        <w:t>14</w:t>
      </w:r>
      <w:r>
        <w:rPr>
          <w:noProof/>
        </w:rPr>
        <w:fldChar w:fldCharType="end"/>
      </w:r>
    </w:p>
    <w:p w14:paraId="6830B194" w14:textId="77777777" w:rsidR="00C967D4" w:rsidRDefault="00C967D4">
      <w:pPr>
        <w:pStyle w:val="TOC3"/>
        <w:tabs>
          <w:tab w:val="left" w:pos="2452"/>
          <w:tab w:val="right" w:pos="9016"/>
        </w:tabs>
        <w:rPr>
          <w:rFonts w:eastAsiaTheme="minorEastAsia" w:cstheme="minorBidi"/>
          <w:i w:val="0"/>
          <w:noProof/>
        </w:rPr>
      </w:pPr>
      <w:r>
        <w:rPr>
          <w:noProof/>
        </w:rPr>
        <w:t>Recommendation 2:</w:t>
      </w:r>
      <w:r>
        <w:rPr>
          <w:rFonts w:eastAsiaTheme="minorEastAsia" w:cstheme="minorBidi"/>
          <w:i w:val="0"/>
          <w:noProof/>
        </w:rPr>
        <w:tab/>
      </w:r>
      <w:r>
        <w:rPr>
          <w:noProof/>
        </w:rPr>
        <w:t>Insertion of grommets</w:t>
      </w:r>
      <w:r>
        <w:rPr>
          <w:noProof/>
        </w:rPr>
        <w:tab/>
      </w:r>
      <w:r>
        <w:rPr>
          <w:noProof/>
        </w:rPr>
        <w:fldChar w:fldCharType="begin"/>
      </w:r>
      <w:r>
        <w:rPr>
          <w:noProof/>
        </w:rPr>
        <w:instrText xml:space="preserve"> PAGEREF _Toc485723854 \h </w:instrText>
      </w:r>
      <w:r>
        <w:rPr>
          <w:noProof/>
        </w:rPr>
      </w:r>
      <w:r>
        <w:rPr>
          <w:noProof/>
        </w:rPr>
        <w:fldChar w:fldCharType="separate"/>
      </w:r>
      <w:r>
        <w:rPr>
          <w:noProof/>
        </w:rPr>
        <w:t>17</w:t>
      </w:r>
      <w:r>
        <w:rPr>
          <w:noProof/>
        </w:rPr>
        <w:fldChar w:fldCharType="end"/>
      </w:r>
    </w:p>
    <w:p w14:paraId="2F195F19" w14:textId="77777777" w:rsidR="00C967D4" w:rsidRDefault="00C967D4">
      <w:pPr>
        <w:pStyle w:val="TOC3"/>
        <w:tabs>
          <w:tab w:val="left" w:pos="2452"/>
          <w:tab w:val="right" w:pos="9016"/>
        </w:tabs>
        <w:rPr>
          <w:rFonts w:eastAsiaTheme="minorEastAsia" w:cstheme="minorBidi"/>
          <w:i w:val="0"/>
          <w:noProof/>
        </w:rPr>
      </w:pPr>
      <w:r>
        <w:rPr>
          <w:noProof/>
        </w:rPr>
        <w:t>Recommendation 3:</w:t>
      </w:r>
      <w:r>
        <w:rPr>
          <w:rFonts w:eastAsiaTheme="minorEastAsia" w:cstheme="minorBidi"/>
          <w:i w:val="0"/>
          <w:noProof/>
        </w:rPr>
        <w:tab/>
      </w:r>
      <w:r>
        <w:rPr>
          <w:noProof/>
        </w:rPr>
        <w:t>Tonsillectomy</w:t>
      </w:r>
      <w:r>
        <w:rPr>
          <w:noProof/>
        </w:rPr>
        <w:tab/>
      </w:r>
      <w:r>
        <w:rPr>
          <w:noProof/>
        </w:rPr>
        <w:fldChar w:fldCharType="begin"/>
      </w:r>
      <w:r>
        <w:rPr>
          <w:noProof/>
        </w:rPr>
        <w:instrText xml:space="preserve"> PAGEREF _Toc485723855 \h </w:instrText>
      </w:r>
      <w:r>
        <w:rPr>
          <w:noProof/>
        </w:rPr>
      </w:r>
      <w:r>
        <w:rPr>
          <w:noProof/>
        </w:rPr>
        <w:fldChar w:fldCharType="separate"/>
      </w:r>
      <w:r>
        <w:rPr>
          <w:noProof/>
        </w:rPr>
        <w:t>22</w:t>
      </w:r>
      <w:r>
        <w:rPr>
          <w:noProof/>
        </w:rPr>
        <w:fldChar w:fldCharType="end"/>
      </w:r>
    </w:p>
    <w:p w14:paraId="7B61FDDF" w14:textId="77777777" w:rsidR="00C967D4" w:rsidRDefault="00C967D4">
      <w:pPr>
        <w:pStyle w:val="TOC3"/>
        <w:tabs>
          <w:tab w:val="left" w:pos="2452"/>
          <w:tab w:val="right" w:pos="9016"/>
        </w:tabs>
        <w:rPr>
          <w:rFonts w:eastAsiaTheme="minorEastAsia" w:cstheme="minorBidi"/>
          <w:i w:val="0"/>
          <w:noProof/>
        </w:rPr>
      </w:pPr>
      <w:r>
        <w:rPr>
          <w:noProof/>
        </w:rPr>
        <w:t>Recommendation 4:</w:t>
      </w:r>
      <w:r>
        <w:rPr>
          <w:rFonts w:eastAsiaTheme="minorEastAsia" w:cstheme="minorBidi"/>
          <w:i w:val="0"/>
          <w:noProof/>
        </w:rPr>
        <w:tab/>
      </w:r>
      <w:r>
        <w:rPr>
          <w:noProof/>
        </w:rPr>
        <w:t>Cauterisation</w:t>
      </w:r>
      <w:r>
        <w:rPr>
          <w:noProof/>
        </w:rPr>
        <w:tab/>
      </w:r>
      <w:r>
        <w:rPr>
          <w:noProof/>
        </w:rPr>
        <w:fldChar w:fldCharType="begin"/>
      </w:r>
      <w:r>
        <w:rPr>
          <w:noProof/>
        </w:rPr>
        <w:instrText xml:space="preserve"> PAGEREF _Toc485723856 \h </w:instrText>
      </w:r>
      <w:r>
        <w:rPr>
          <w:noProof/>
        </w:rPr>
      </w:r>
      <w:r>
        <w:rPr>
          <w:noProof/>
        </w:rPr>
        <w:fldChar w:fldCharType="separate"/>
      </w:r>
      <w:r>
        <w:rPr>
          <w:noProof/>
        </w:rPr>
        <w:t>23</w:t>
      </w:r>
      <w:r>
        <w:rPr>
          <w:noProof/>
        </w:rPr>
        <w:fldChar w:fldCharType="end"/>
      </w:r>
    </w:p>
    <w:p w14:paraId="79555243" w14:textId="77777777" w:rsidR="00C967D4" w:rsidRDefault="00C967D4">
      <w:pPr>
        <w:pStyle w:val="TOC3"/>
        <w:tabs>
          <w:tab w:val="left" w:pos="2452"/>
          <w:tab w:val="right" w:pos="9016"/>
        </w:tabs>
        <w:rPr>
          <w:rFonts w:eastAsiaTheme="minorEastAsia" w:cstheme="minorBidi"/>
          <w:i w:val="0"/>
          <w:noProof/>
        </w:rPr>
      </w:pPr>
      <w:r>
        <w:rPr>
          <w:noProof/>
        </w:rPr>
        <w:t>Recommendation 5:</w:t>
      </w:r>
      <w:r>
        <w:rPr>
          <w:rFonts w:eastAsiaTheme="minorEastAsia" w:cstheme="minorBidi"/>
          <w:i w:val="0"/>
          <w:noProof/>
        </w:rPr>
        <w:tab/>
      </w:r>
      <w:r>
        <w:rPr>
          <w:noProof/>
        </w:rPr>
        <w:t>New item for Stroboscopy</w:t>
      </w:r>
      <w:r>
        <w:rPr>
          <w:noProof/>
        </w:rPr>
        <w:tab/>
      </w:r>
      <w:r>
        <w:rPr>
          <w:noProof/>
        </w:rPr>
        <w:fldChar w:fldCharType="begin"/>
      </w:r>
      <w:r>
        <w:rPr>
          <w:noProof/>
        </w:rPr>
        <w:instrText xml:space="preserve"> PAGEREF _Toc485723857 \h </w:instrText>
      </w:r>
      <w:r>
        <w:rPr>
          <w:noProof/>
        </w:rPr>
      </w:r>
      <w:r>
        <w:rPr>
          <w:noProof/>
        </w:rPr>
        <w:fldChar w:fldCharType="separate"/>
      </w:r>
      <w:r>
        <w:rPr>
          <w:noProof/>
        </w:rPr>
        <w:t>27</w:t>
      </w:r>
      <w:r>
        <w:rPr>
          <w:noProof/>
        </w:rPr>
        <w:fldChar w:fldCharType="end"/>
      </w:r>
    </w:p>
    <w:p w14:paraId="5941D717" w14:textId="77777777" w:rsidR="00C967D4" w:rsidRDefault="00C967D4">
      <w:pPr>
        <w:pStyle w:val="TOC1"/>
        <w:tabs>
          <w:tab w:val="left" w:pos="1229"/>
        </w:tabs>
        <w:rPr>
          <w:rFonts w:eastAsiaTheme="minorEastAsia" w:cstheme="minorBidi"/>
          <w:b w:val="0"/>
          <w:noProof/>
        </w:rPr>
      </w:pPr>
      <w:r>
        <w:rPr>
          <w:noProof/>
        </w:rPr>
        <w:t>5.</w:t>
      </w:r>
      <w:r>
        <w:rPr>
          <w:rFonts w:eastAsiaTheme="minorEastAsia" w:cstheme="minorBidi"/>
          <w:b w:val="0"/>
          <w:noProof/>
        </w:rPr>
        <w:tab/>
      </w:r>
      <w:r>
        <w:rPr>
          <w:noProof/>
        </w:rPr>
        <w:t>MBS items which require no change</w:t>
      </w:r>
      <w:r>
        <w:rPr>
          <w:noProof/>
        </w:rPr>
        <w:tab/>
      </w:r>
      <w:r>
        <w:rPr>
          <w:noProof/>
        </w:rPr>
        <w:fldChar w:fldCharType="begin"/>
      </w:r>
      <w:r>
        <w:rPr>
          <w:noProof/>
        </w:rPr>
        <w:instrText xml:space="preserve"> PAGEREF _Toc485723858 \h </w:instrText>
      </w:r>
      <w:r>
        <w:rPr>
          <w:noProof/>
        </w:rPr>
      </w:r>
      <w:r>
        <w:rPr>
          <w:noProof/>
        </w:rPr>
        <w:fldChar w:fldCharType="separate"/>
      </w:r>
      <w:r>
        <w:rPr>
          <w:noProof/>
        </w:rPr>
        <w:t>29</w:t>
      </w:r>
      <w:r>
        <w:rPr>
          <w:noProof/>
        </w:rPr>
        <w:fldChar w:fldCharType="end"/>
      </w:r>
    </w:p>
    <w:p w14:paraId="4DE565D8" w14:textId="77777777" w:rsidR="00C967D4" w:rsidRDefault="00C967D4">
      <w:pPr>
        <w:pStyle w:val="TOC3"/>
        <w:tabs>
          <w:tab w:val="left" w:pos="2452"/>
          <w:tab w:val="right" w:pos="9016"/>
        </w:tabs>
        <w:rPr>
          <w:rFonts w:eastAsiaTheme="minorEastAsia" w:cstheme="minorBidi"/>
          <w:i w:val="0"/>
          <w:noProof/>
        </w:rPr>
      </w:pPr>
      <w:r>
        <w:rPr>
          <w:noProof/>
        </w:rPr>
        <w:t>Recommendation 6:</w:t>
      </w:r>
      <w:r>
        <w:rPr>
          <w:rFonts w:eastAsiaTheme="minorEastAsia" w:cstheme="minorBidi"/>
          <w:i w:val="0"/>
          <w:noProof/>
        </w:rPr>
        <w:tab/>
      </w:r>
      <w:r>
        <w:rPr>
          <w:noProof/>
        </w:rPr>
        <w:t>Items requiring no change</w:t>
      </w:r>
      <w:r>
        <w:rPr>
          <w:noProof/>
        </w:rPr>
        <w:tab/>
      </w:r>
      <w:r>
        <w:rPr>
          <w:noProof/>
        </w:rPr>
        <w:fldChar w:fldCharType="begin"/>
      </w:r>
      <w:r>
        <w:rPr>
          <w:noProof/>
        </w:rPr>
        <w:instrText xml:space="preserve"> PAGEREF _Toc485723859 \h </w:instrText>
      </w:r>
      <w:r>
        <w:rPr>
          <w:noProof/>
        </w:rPr>
      </w:r>
      <w:r>
        <w:rPr>
          <w:noProof/>
        </w:rPr>
        <w:fldChar w:fldCharType="separate"/>
      </w:r>
      <w:r>
        <w:rPr>
          <w:noProof/>
        </w:rPr>
        <w:t>29</w:t>
      </w:r>
      <w:r>
        <w:rPr>
          <w:noProof/>
        </w:rPr>
        <w:fldChar w:fldCharType="end"/>
      </w:r>
    </w:p>
    <w:p w14:paraId="7480FD29" w14:textId="77777777" w:rsidR="00C967D4" w:rsidRDefault="00C967D4">
      <w:pPr>
        <w:pStyle w:val="TOC1"/>
        <w:tabs>
          <w:tab w:val="left" w:pos="1229"/>
        </w:tabs>
        <w:rPr>
          <w:rFonts w:eastAsiaTheme="minorEastAsia" w:cstheme="minorBidi"/>
          <w:b w:val="0"/>
          <w:noProof/>
        </w:rPr>
      </w:pPr>
      <w:r>
        <w:rPr>
          <w:noProof/>
        </w:rPr>
        <w:t>6.</w:t>
      </w:r>
      <w:r>
        <w:rPr>
          <w:rFonts w:eastAsiaTheme="minorEastAsia" w:cstheme="minorBidi"/>
          <w:b w:val="0"/>
          <w:noProof/>
        </w:rPr>
        <w:tab/>
      </w:r>
      <w:r>
        <w:rPr>
          <w:noProof/>
        </w:rPr>
        <w:t>MBS Item Group 2 – Obsolete Items</w:t>
      </w:r>
      <w:r>
        <w:rPr>
          <w:noProof/>
        </w:rPr>
        <w:tab/>
      </w:r>
      <w:r>
        <w:rPr>
          <w:noProof/>
        </w:rPr>
        <w:fldChar w:fldCharType="begin"/>
      </w:r>
      <w:r>
        <w:rPr>
          <w:noProof/>
        </w:rPr>
        <w:instrText xml:space="preserve"> PAGEREF _Toc485723860 \h </w:instrText>
      </w:r>
      <w:r>
        <w:rPr>
          <w:noProof/>
        </w:rPr>
      </w:r>
      <w:r>
        <w:rPr>
          <w:noProof/>
        </w:rPr>
        <w:fldChar w:fldCharType="separate"/>
      </w:r>
      <w:r>
        <w:rPr>
          <w:noProof/>
        </w:rPr>
        <w:t>30</w:t>
      </w:r>
      <w:r>
        <w:rPr>
          <w:noProof/>
        </w:rPr>
        <w:fldChar w:fldCharType="end"/>
      </w:r>
    </w:p>
    <w:p w14:paraId="137D0B1A" w14:textId="77777777" w:rsidR="00C967D4" w:rsidRDefault="00C967D4">
      <w:pPr>
        <w:pStyle w:val="TOC3"/>
        <w:tabs>
          <w:tab w:val="left" w:pos="2452"/>
          <w:tab w:val="right" w:pos="9016"/>
        </w:tabs>
        <w:rPr>
          <w:rFonts w:eastAsiaTheme="minorEastAsia" w:cstheme="minorBidi"/>
          <w:i w:val="0"/>
          <w:noProof/>
        </w:rPr>
      </w:pPr>
      <w:r>
        <w:rPr>
          <w:noProof/>
        </w:rPr>
        <w:t>Recommendation 7:</w:t>
      </w:r>
      <w:r>
        <w:rPr>
          <w:rFonts w:eastAsiaTheme="minorEastAsia" w:cstheme="minorBidi"/>
          <w:i w:val="0"/>
          <w:noProof/>
        </w:rPr>
        <w:tab/>
      </w:r>
      <w:r>
        <w:rPr>
          <w:noProof/>
        </w:rPr>
        <w:t>Obsolete items</w:t>
      </w:r>
      <w:r>
        <w:rPr>
          <w:noProof/>
        </w:rPr>
        <w:tab/>
      </w:r>
      <w:r>
        <w:rPr>
          <w:noProof/>
        </w:rPr>
        <w:fldChar w:fldCharType="begin"/>
      </w:r>
      <w:r>
        <w:rPr>
          <w:noProof/>
        </w:rPr>
        <w:instrText xml:space="preserve"> PAGEREF _Toc485723861 \h </w:instrText>
      </w:r>
      <w:r>
        <w:rPr>
          <w:noProof/>
        </w:rPr>
      </w:r>
      <w:r>
        <w:rPr>
          <w:noProof/>
        </w:rPr>
        <w:fldChar w:fldCharType="separate"/>
      </w:r>
      <w:r>
        <w:rPr>
          <w:noProof/>
        </w:rPr>
        <w:t>30</w:t>
      </w:r>
      <w:r>
        <w:rPr>
          <w:noProof/>
        </w:rPr>
        <w:fldChar w:fldCharType="end"/>
      </w:r>
    </w:p>
    <w:p w14:paraId="3F1FAC01" w14:textId="77777777" w:rsidR="00C967D4" w:rsidRDefault="00C967D4">
      <w:pPr>
        <w:pStyle w:val="TOC1"/>
        <w:tabs>
          <w:tab w:val="left" w:pos="1229"/>
        </w:tabs>
        <w:rPr>
          <w:rFonts w:eastAsiaTheme="minorEastAsia" w:cstheme="minorBidi"/>
          <w:b w:val="0"/>
          <w:noProof/>
        </w:rPr>
      </w:pPr>
      <w:r>
        <w:rPr>
          <w:noProof/>
        </w:rPr>
        <w:t>7.</w:t>
      </w:r>
      <w:r>
        <w:rPr>
          <w:rFonts w:eastAsiaTheme="minorEastAsia" w:cstheme="minorBidi"/>
          <w:b w:val="0"/>
          <w:noProof/>
        </w:rPr>
        <w:tab/>
      </w:r>
      <w:r>
        <w:rPr>
          <w:noProof/>
        </w:rPr>
        <w:t>MBS Item Group 3 – Generic issues</w:t>
      </w:r>
      <w:r>
        <w:rPr>
          <w:noProof/>
        </w:rPr>
        <w:tab/>
      </w:r>
      <w:r>
        <w:rPr>
          <w:noProof/>
        </w:rPr>
        <w:fldChar w:fldCharType="begin"/>
      </w:r>
      <w:r>
        <w:rPr>
          <w:noProof/>
        </w:rPr>
        <w:instrText xml:space="preserve"> PAGEREF _Toc485723862 \h </w:instrText>
      </w:r>
      <w:r>
        <w:rPr>
          <w:noProof/>
        </w:rPr>
      </w:r>
      <w:r>
        <w:rPr>
          <w:noProof/>
        </w:rPr>
        <w:fldChar w:fldCharType="separate"/>
      </w:r>
      <w:r>
        <w:rPr>
          <w:noProof/>
        </w:rPr>
        <w:t>31</w:t>
      </w:r>
      <w:r>
        <w:rPr>
          <w:noProof/>
        </w:rPr>
        <w:fldChar w:fldCharType="end"/>
      </w:r>
    </w:p>
    <w:p w14:paraId="3D1667BF" w14:textId="77777777" w:rsidR="00C967D4" w:rsidRDefault="00C967D4">
      <w:pPr>
        <w:pStyle w:val="TOC3"/>
        <w:tabs>
          <w:tab w:val="left" w:pos="2452"/>
          <w:tab w:val="right" w:pos="9016"/>
        </w:tabs>
        <w:rPr>
          <w:rFonts w:eastAsiaTheme="minorEastAsia" w:cstheme="minorBidi"/>
          <w:i w:val="0"/>
          <w:noProof/>
        </w:rPr>
      </w:pPr>
      <w:r>
        <w:rPr>
          <w:noProof/>
        </w:rPr>
        <w:t>Recommendation 8:</w:t>
      </w:r>
      <w:r>
        <w:rPr>
          <w:rFonts w:eastAsiaTheme="minorEastAsia" w:cstheme="minorBidi"/>
          <w:i w:val="0"/>
          <w:noProof/>
        </w:rPr>
        <w:tab/>
      </w:r>
      <w:r>
        <w:rPr>
          <w:noProof/>
        </w:rPr>
        <w:t>Generic Issues</w:t>
      </w:r>
      <w:r>
        <w:rPr>
          <w:noProof/>
        </w:rPr>
        <w:tab/>
      </w:r>
      <w:r>
        <w:rPr>
          <w:noProof/>
        </w:rPr>
        <w:fldChar w:fldCharType="begin"/>
      </w:r>
      <w:r>
        <w:rPr>
          <w:noProof/>
        </w:rPr>
        <w:instrText xml:space="preserve"> PAGEREF _Toc485723863 \h </w:instrText>
      </w:r>
      <w:r>
        <w:rPr>
          <w:noProof/>
        </w:rPr>
      </w:r>
      <w:r>
        <w:rPr>
          <w:noProof/>
        </w:rPr>
        <w:fldChar w:fldCharType="separate"/>
      </w:r>
      <w:r>
        <w:rPr>
          <w:noProof/>
        </w:rPr>
        <w:t>32</w:t>
      </w:r>
      <w:r>
        <w:rPr>
          <w:noProof/>
        </w:rPr>
        <w:fldChar w:fldCharType="end"/>
      </w:r>
    </w:p>
    <w:p w14:paraId="1F96EBDF" w14:textId="77777777" w:rsidR="00C967D4" w:rsidRDefault="00C967D4">
      <w:pPr>
        <w:pStyle w:val="TOC1"/>
        <w:tabs>
          <w:tab w:val="left" w:pos="1229"/>
        </w:tabs>
        <w:rPr>
          <w:rFonts w:eastAsiaTheme="minorEastAsia" w:cstheme="minorBidi"/>
          <w:b w:val="0"/>
          <w:noProof/>
        </w:rPr>
      </w:pPr>
      <w:r>
        <w:rPr>
          <w:noProof/>
        </w:rPr>
        <w:t>8.</w:t>
      </w:r>
      <w:r>
        <w:rPr>
          <w:rFonts w:eastAsiaTheme="minorEastAsia" w:cstheme="minorBidi"/>
          <w:b w:val="0"/>
          <w:noProof/>
        </w:rPr>
        <w:tab/>
      </w:r>
      <w:r>
        <w:rPr>
          <w:noProof/>
        </w:rPr>
        <w:t>Recommendations Impact Statement</w:t>
      </w:r>
      <w:r>
        <w:rPr>
          <w:noProof/>
        </w:rPr>
        <w:tab/>
      </w:r>
      <w:r>
        <w:rPr>
          <w:noProof/>
        </w:rPr>
        <w:fldChar w:fldCharType="begin"/>
      </w:r>
      <w:r>
        <w:rPr>
          <w:noProof/>
        </w:rPr>
        <w:instrText xml:space="preserve"> PAGEREF _Toc485723864 \h </w:instrText>
      </w:r>
      <w:r>
        <w:rPr>
          <w:noProof/>
        </w:rPr>
      </w:r>
      <w:r>
        <w:rPr>
          <w:noProof/>
        </w:rPr>
        <w:fldChar w:fldCharType="separate"/>
      </w:r>
      <w:r>
        <w:rPr>
          <w:noProof/>
        </w:rPr>
        <w:t>34</w:t>
      </w:r>
      <w:r>
        <w:rPr>
          <w:noProof/>
        </w:rPr>
        <w:fldChar w:fldCharType="end"/>
      </w:r>
    </w:p>
    <w:p w14:paraId="7BE3898C" w14:textId="77777777" w:rsidR="00C967D4" w:rsidRDefault="00C967D4">
      <w:pPr>
        <w:pStyle w:val="TOC1"/>
        <w:tabs>
          <w:tab w:val="left" w:pos="1229"/>
        </w:tabs>
        <w:rPr>
          <w:rFonts w:eastAsiaTheme="minorEastAsia" w:cstheme="minorBidi"/>
          <w:b w:val="0"/>
          <w:noProof/>
        </w:rPr>
      </w:pPr>
      <w:r>
        <w:rPr>
          <w:noProof/>
        </w:rPr>
        <w:t>9.</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_Toc485723865 \h </w:instrText>
      </w:r>
      <w:r>
        <w:rPr>
          <w:noProof/>
        </w:rPr>
      </w:r>
      <w:r>
        <w:rPr>
          <w:noProof/>
        </w:rPr>
        <w:fldChar w:fldCharType="separate"/>
      </w:r>
      <w:r>
        <w:rPr>
          <w:noProof/>
        </w:rPr>
        <w:t>35</w:t>
      </w:r>
      <w:r>
        <w:rPr>
          <w:noProof/>
        </w:rPr>
        <w:fldChar w:fldCharType="end"/>
      </w:r>
    </w:p>
    <w:p w14:paraId="6320C142" w14:textId="77777777" w:rsidR="00C967D4" w:rsidRDefault="00C967D4">
      <w:pPr>
        <w:pStyle w:val="TOC1"/>
        <w:tabs>
          <w:tab w:val="left" w:pos="1229"/>
        </w:tabs>
        <w:rPr>
          <w:rFonts w:eastAsiaTheme="minorEastAsia" w:cstheme="minorBidi"/>
          <w:b w:val="0"/>
          <w:noProof/>
        </w:rPr>
      </w:pPr>
      <w:r>
        <w:rPr>
          <w:noProof/>
        </w:rPr>
        <w:t>10.</w:t>
      </w:r>
      <w:r>
        <w:rPr>
          <w:rFonts w:eastAsiaTheme="minorEastAsia" w:cstheme="minorBidi"/>
          <w:b w:val="0"/>
          <w:noProof/>
        </w:rPr>
        <w:tab/>
      </w:r>
      <w:r>
        <w:rPr>
          <w:noProof/>
        </w:rPr>
        <w:t>Acronyms and Abbreviations</w:t>
      </w:r>
      <w:r>
        <w:rPr>
          <w:noProof/>
        </w:rPr>
        <w:tab/>
      </w:r>
      <w:r>
        <w:rPr>
          <w:noProof/>
        </w:rPr>
        <w:fldChar w:fldCharType="begin"/>
      </w:r>
      <w:r>
        <w:rPr>
          <w:noProof/>
        </w:rPr>
        <w:instrText xml:space="preserve"> PAGEREF _Toc485723866 \h </w:instrText>
      </w:r>
      <w:r>
        <w:rPr>
          <w:noProof/>
        </w:rPr>
      </w:r>
      <w:r>
        <w:rPr>
          <w:noProof/>
        </w:rPr>
        <w:fldChar w:fldCharType="separate"/>
      </w:r>
      <w:r>
        <w:rPr>
          <w:noProof/>
        </w:rPr>
        <w:t>36</w:t>
      </w:r>
      <w:r>
        <w:rPr>
          <w:noProof/>
        </w:rPr>
        <w:fldChar w:fldCharType="end"/>
      </w:r>
    </w:p>
    <w:p w14:paraId="7AA2F57D" w14:textId="77777777" w:rsidR="00C967D4" w:rsidRDefault="00C967D4">
      <w:pPr>
        <w:pStyle w:val="TOC1"/>
        <w:tabs>
          <w:tab w:val="left" w:pos="1229"/>
        </w:tabs>
        <w:rPr>
          <w:rFonts w:eastAsiaTheme="minorEastAsia" w:cstheme="minorBidi"/>
          <w:b w:val="0"/>
          <w:noProof/>
        </w:rPr>
      </w:pPr>
      <w:r>
        <w:rPr>
          <w:noProof/>
        </w:rPr>
        <w:t>11.</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_Toc485723867 \h </w:instrText>
      </w:r>
      <w:r>
        <w:rPr>
          <w:noProof/>
        </w:rPr>
      </w:r>
      <w:r>
        <w:rPr>
          <w:noProof/>
        </w:rPr>
        <w:fldChar w:fldCharType="separate"/>
      </w:r>
      <w:r>
        <w:rPr>
          <w:noProof/>
        </w:rPr>
        <w:t>37</w:t>
      </w:r>
      <w:r>
        <w:rPr>
          <w:noProof/>
        </w:rPr>
        <w:fldChar w:fldCharType="end"/>
      </w:r>
    </w:p>
    <w:p w14:paraId="58B0A78E" w14:textId="77777777" w:rsidR="00C967D4" w:rsidRDefault="00C967D4">
      <w:pPr>
        <w:pStyle w:val="TOC1"/>
        <w:tabs>
          <w:tab w:val="left" w:pos="1320"/>
        </w:tabs>
        <w:rPr>
          <w:rFonts w:eastAsiaTheme="minorEastAsia" w:cstheme="minorBidi"/>
          <w:b w:val="0"/>
          <w:noProof/>
        </w:rPr>
      </w:pPr>
      <w:r w:rsidRPr="00782E71">
        <w:rPr>
          <w:noProof/>
          <w:color w:val="000000"/>
        </w:rPr>
        <w:t>Appendix A</w:t>
      </w:r>
      <w:r>
        <w:rPr>
          <w:rFonts w:eastAsiaTheme="minorEastAsia" w:cstheme="minorBidi"/>
          <w:b w:val="0"/>
          <w:noProof/>
        </w:rPr>
        <w:tab/>
      </w:r>
      <w:r>
        <w:rPr>
          <w:noProof/>
        </w:rPr>
        <w:t>MBS items, Descriptors and Explanatory Notes</w:t>
      </w:r>
      <w:r>
        <w:rPr>
          <w:noProof/>
        </w:rPr>
        <w:tab/>
      </w:r>
      <w:r>
        <w:rPr>
          <w:noProof/>
        </w:rPr>
        <w:fldChar w:fldCharType="begin"/>
      </w:r>
      <w:r>
        <w:rPr>
          <w:noProof/>
        </w:rPr>
        <w:instrText xml:space="preserve"> PAGEREF _Toc485723868 \h </w:instrText>
      </w:r>
      <w:r>
        <w:rPr>
          <w:noProof/>
        </w:rPr>
      </w:r>
      <w:r>
        <w:rPr>
          <w:noProof/>
        </w:rPr>
        <w:fldChar w:fldCharType="separate"/>
      </w:r>
      <w:r>
        <w:rPr>
          <w:noProof/>
        </w:rPr>
        <w:t>38</w:t>
      </w:r>
      <w:r>
        <w:rPr>
          <w:noProof/>
        </w:rPr>
        <w:fldChar w:fldCharType="end"/>
      </w:r>
    </w:p>
    <w:p w14:paraId="0C18E933" w14:textId="77777777" w:rsidR="00C967D4" w:rsidRDefault="00C967D4">
      <w:pPr>
        <w:pStyle w:val="TOC1"/>
        <w:tabs>
          <w:tab w:val="left" w:pos="1320"/>
        </w:tabs>
        <w:rPr>
          <w:rFonts w:eastAsiaTheme="minorEastAsia" w:cstheme="minorBidi"/>
          <w:b w:val="0"/>
          <w:noProof/>
        </w:rPr>
      </w:pPr>
      <w:r w:rsidRPr="00782E71">
        <w:rPr>
          <w:noProof/>
          <w:color w:val="000000"/>
        </w:rPr>
        <w:t>Appendix B</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_Toc485723869 \h </w:instrText>
      </w:r>
      <w:r>
        <w:rPr>
          <w:noProof/>
        </w:rPr>
      </w:r>
      <w:r>
        <w:rPr>
          <w:noProof/>
        </w:rPr>
        <w:fldChar w:fldCharType="separate"/>
      </w:r>
      <w:r>
        <w:rPr>
          <w:noProof/>
        </w:rPr>
        <w:t>63</w:t>
      </w:r>
      <w:r>
        <w:rPr>
          <w:noProof/>
        </w:rPr>
        <w:fldChar w:fldCharType="end"/>
      </w:r>
    </w:p>
    <w:p w14:paraId="32B7119C" w14:textId="77777777" w:rsidR="00C967D4" w:rsidRDefault="00C967D4">
      <w:pPr>
        <w:pStyle w:val="TOC1"/>
        <w:tabs>
          <w:tab w:val="left" w:pos="1320"/>
        </w:tabs>
        <w:rPr>
          <w:rFonts w:eastAsiaTheme="minorEastAsia" w:cstheme="minorBidi"/>
          <w:b w:val="0"/>
          <w:noProof/>
        </w:rPr>
      </w:pPr>
      <w:r w:rsidRPr="00782E71">
        <w:rPr>
          <w:noProof/>
          <w:color w:val="000000"/>
        </w:rPr>
        <w:t>Appendix C</w:t>
      </w:r>
      <w:r>
        <w:rPr>
          <w:rFonts w:eastAsiaTheme="minorEastAsia" w:cstheme="minorBidi"/>
          <w:b w:val="0"/>
          <w:noProof/>
        </w:rPr>
        <w:tab/>
      </w:r>
      <w:r>
        <w:rPr>
          <w:noProof/>
        </w:rPr>
        <w:t>Stroboscopy Review</w:t>
      </w:r>
      <w:r>
        <w:rPr>
          <w:noProof/>
        </w:rPr>
        <w:tab/>
      </w:r>
      <w:r>
        <w:rPr>
          <w:noProof/>
        </w:rPr>
        <w:fldChar w:fldCharType="begin"/>
      </w:r>
      <w:r>
        <w:rPr>
          <w:noProof/>
        </w:rPr>
        <w:instrText xml:space="preserve"> PAGEREF _Toc485723870 \h </w:instrText>
      </w:r>
      <w:r>
        <w:rPr>
          <w:noProof/>
        </w:rPr>
      </w:r>
      <w:r>
        <w:rPr>
          <w:noProof/>
        </w:rPr>
        <w:fldChar w:fldCharType="separate"/>
      </w:r>
      <w:r>
        <w:rPr>
          <w:noProof/>
        </w:rPr>
        <w:t>71</w:t>
      </w:r>
      <w:r>
        <w:rPr>
          <w:noProof/>
        </w:rPr>
        <w:fldChar w:fldCharType="end"/>
      </w:r>
    </w:p>
    <w:p w14:paraId="342B5D79" w14:textId="77777777" w:rsidR="00C967D4" w:rsidRDefault="00C967D4">
      <w:pPr>
        <w:pStyle w:val="TOC1"/>
        <w:tabs>
          <w:tab w:val="left" w:pos="1320"/>
        </w:tabs>
        <w:rPr>
          <w:rFonts w:eastAsiaTheme="minorEastAsia" w:cstheme="minorBidi"/>
          <w:b w:val="0"/>
          <w:noProof/>
        </w:rPr>
      </w:pPr>
      <w:r w:rsidRPr="00782E71">
        <w:rPr>
          <w:noProof/>
          <w:color w:val="000000"/>
        </w:rPr>
        <w:t>Appendix D</w:t>
      </w:r>
      <w:r>
        <w:rPr>
          <w:rFonts w:eastAsiaTheme="minorEastAsia" w:cstheme="minorBidi"/>
          <w:b w:val="0"/>
          <w:noProof/>
        </w:rPr>
        <w:tab/>
      </w:r>
      <w:r>
        <w:rPr>
          <w:noProof/>
        </w:rPr>
        <w:t>Data for items requiring no change</w:t>
      </w:r>
      <w:r>
        <w:rPr>
          <w:noProof/>
        </w:rPr>
        <w:tab/>
      </w:r>
      <w:r>
        <w:rPr>
          <w:noProof/>
        </w:rPr>
        <w:fldChar w:fldCharType="begin"/>
      </w:r>
      <w:r>
        <w:rPr>
          <w:noProof/>
        </w:rPr>
        <w:instrText xml:space="preserve"> PAGEREF _Toc485723871 \h </w:instrText>
      </w:r>
      <w:r>
        <w:rPr>
          <w:noProof/>
        </w:rPr>
      </w:r>
      <w:r>
        <w:rPr>
          <w:noProof/>
        </w:rPr>
        <w:fldChar w:fldCharType="separate"/>
      </w:r>
      <w:r>
        <w:rPr>
          <w:noProof/>
        </w:rPr>
        <w:t>81</w:t>
      </w:r>
      <w:r>
        <w:rPr>
          <w:noProof/>
        </w:rPr>
        <w:fldChar w:fldCharType="end"/>
      </w:r>
    </w:p>
    <w:p w14:paraId="7EADAF96" w14:textId="77777777" w:rsidR="00C967D4" w:rsidRDefault="00C967D4">
      <w:pPr>
        <w:pStyle w:val="TOC1"/>
        <w:rPr>
          <w:rFonts w:eastAsiaTheme="minorEastAsia" w:cstheme="minorBidi"/>
          <w:b w:val="0"/>
          <w:noProof/>
        </w:rPr>
      </w:pPr>
      <w:r>
        <w:rPr>
          <w:noProof/>
        </w:rPr>
        <w:t>Addendum</w:t>
      </w:r>
      <w:r>
        <w:rPr>
          <w:noProof/>
        </w:rPr>
        <w:tab/>
      </w:r>
      <w:r>
        <w:rPr>
          <w:noProof/>
        </w:rPr>
        <w:fldChar w:fldCharType="begin"/>
      </w:r>
      <w:r>
        <w:rPr>
          <w:noProof/>
        </w:rPr>
        <w:instrText xml:space="preserve"> PAGEREF _Toc485723872 \h </w:instrText>
      </w:r>
      <w:r>
        <w:rPr>
          <w:noProof/>
        </w:rPr>
      </w:r>
      <w:r>
        <w:rPr>
          <w:noProof/>
        </w:rPr>
        <w:fldChar w:fldCharType="separate"/>
      </w:r>
      <w:r>
        <w:rPr>
          <w:noProof/>
        </w:rPr>
        <w:t>85</w:t>
      </w:r>
      <w:r>
        <w:rPr>
          <w:noProof/>
        </w:rPr>
        <w:fldChar w:fldCharType="end"/>
      </w:r>
    </w:p>
    <w:p w14:paraId="68361C61" w14:textId="77777777" w:rsidR="00A32201" w:rsidRPr="001C3B56" w:rsidRDefault="001815E3" w:rsidP="00681E75">
      <w:pPr>
        <w:rPr>
          <w:rFonts w:eastAsiaTheme="minorHAnsi"/>
        </w:rPr>
      </w:pPr>
      <w:r>
        <w:rPr>
          <w:rFonts w:ascii="Cambria" w:hAnsi="Cambria"/>
          <w:smallCaps/>
          <w:noProof/>
          <w:szCs w:val="22"/>
        </w:rPr>
        <w:fldChar w:fldCharType="end"/>
      </w:r>
      <w:r w:rsidR="00A32201" w:rsidRPr="001C3B56">
        <w:br w:type="page"/>
      </w:r>
    </w:p>
    <w:p w14:paraId="7EEB9E0F" w14:textId="77777777" w:rsidR="00326D7D" w:rsidRPr="003B1222" w:rsidRDefault="0011166D" w:rsidP="002923D1">
      <w:pPr>
        <w:pStyle w:val="Heading1a"/>
        <w:rPr>
          <w:noProof/>
        </w:rPr>
      </w:pPr>
      <w:r w:rsidRPr="003B1222">
        <w:rPr>
          <w:noProof/>
        </w:rPr>
        <w:lastRenderedPageBreak/>
        <w:t>List of Tables</w:t>
      </w:r>
    </w:p>
    <w:p w14:paraId="301BAA13" w14:textId="77777777" w:rsidR="00271ED7" w:rsidRDefault="00235035">
      <w:pPr>
        <w:pStyle w:val="TableofFigures"/>
        <w:tabs>
          <w:tab w:val="left" w:pos="1229"/>
          <w:tab w:val="right" w:leader="dot" w:pos="9016"/>
        </w:tabs>
        <w:rPr>
          <w:rFonts w:eastAsiaTheme="minorEastAsia" w:cstheme="minorBidi"/>
          <w:noProof/>
          <w:sz w:val="22"/>
          <w:szCs w:val="22"/>
        </w:rPr>
      </w:pPr>
      <w:r w:rsidRPr="00235035">
        <w:rPr>
          <w:bCs/>
          <w:noProof/>
          <w:sz w:val="22"/>
          <w:szCs w:val="22"/>
        </w:rPr>
        <w:fldChar w:fldCharType="begin"/>
      </w:r>
      <w:r w:rsidRPr="00235035">
        <w:rPr>
          <w:bCs/>
          <w:noProof/>
          <w:sz w:val="22"/>
          <w:szCs w:val="22"/>
        </w:rPr>
        <w:instrText xml:space="preserve"> TOC \c "Table" </w:instrText>
      </w:r>
      <w:r w:rsidRPr="00235035">
        <w:rPr>
          <w:bCs/>
          <w:noProof/>
          <w:sz w:val="22"/>
          <w:szCs w:val="22"/>
        </w:rPr>
        <w:fldChar w:fldCharType="separate"/>
      </w:r>
      <w:r w:rsidR="00271ED7">
        <w:rPr>
          <w:noProof/>
        </w:rPr>
        <w:t>Table 1:</w:t>
      </w:r>
      <w:r w:rsidR="00271ED7">
        <w:rPr>
          <w:rFonts w:eastAsiaTheme="minorEastAsia" w:cstheme="minorBidi"/>
          <w:noProof/>
          <w:sz w:val="22"/>
          <w:szCs w:val="22"/>
        </w:rPr>
        <w:tab/>
      </w:r>
      <w:r w:rsidR="00271ED7">
        <w:rPr>
          <w:noProof/>
        </w:rPr>
        <w:t>Ears, Nose and Throat Surgery Clinical Committee Members</w:t>
      </w:r>
      <w:r w:rsidR="00271ED7">
        <w:rPr>
          <w:noProof/>
        </w:rPr>
        <w:tab/>
      </w:r>
      <w:r w:rsidR="00271ED7">
        <w:rPr>
          <w:noProof/>
        </w:rPr>
        <w:fldChar w:fldCharType="begin"/>
      </w:r>
      <w:r w:rsidR="00271ED7">
        <w:rPr>
          <w:noProof/>
        </w:rPr>
        <w:instrText xml:space="preserve"> PAGEREF _Toc485720818 \h </w:instrText>
      </w:r>
      <w:r w:rsidR="00271ED7">
        <w:rPr>
          <w:noProof/>
        </w:rPr>
      </w:r>
      <w:r w:rsidR="00271ED7">
        <w:rPr>
          <w:noProof/>
        </w:rPr>
        <w:fldChar w:fldCharType="separate"/>
      </w:r>
      <w:r w:rsidR="00271ED7">
        <w:rPr>
          <w:noProof/>
        </w:rPr>
        <w:t>10</w:t>
      </w:r>
      <w:r w:rsidR="00271ED7">
        <w:rPr>
          <w:noProof/>
        </w:rPr>
        <w:fldChar w:fldCharType="end"/>
      </w:r>
    </w:p>
    <w:p w14:paraId="305861DC" w14:textId="77777777" w:rsidR="00271ED7" w:rsidRDefault="00271ED7">
      <w:pPr>
        <w:pStyle w:val="TableofFigures"/>
        <w:tabs>
          <w:tab w:val="left" w:pos="1229"/>
          <w:tab w:val="right" w:leader="dot" w:pos="9016"/>
        </w:tabs>
        <w:rPr>
          <w:rFonts w:eastAsiaTheme="minorEastAsia" w:cstheme="minorBidi"/>
          <w:noProof/>
          <w:sz w:val="22"/>
          <w:szCs w:val="22"/>
        </w:rPr>
      </w:pPr>
      <w:r>
        <w:rPr>
          <w:noProof/>
        </w:rPr>
        <w:t>Table 2:</w:t>
      </w:r>
      <w:r>
        <w:rPr>
          <w:rFonts w:eastAsiaTheme="minorEastAsia" w:cstheme="minorBidi"/>
          <w:noProof/>
          <w:sz w:val="22"/>
          <w:szCs w:val="22"/>
        </w:rPr>
        <w:tab/>
      </w:r>
      <w:r>
        <w:rPr>
          <w:noProof/>
        </w:rPr>
        <w:t>High level MBS data on adenoidectomy, 2014–15 (date of processing)</w:t>
      </w:r>
      <w:r>
        <w:rPr>
          <w:noProof/>
        </w:rPr>
        <w:tab/>
      </w:r>
      <w:r>
        <w:rPr>
          <w:noProof/>
        </w:rPr>
        <w:fldChar w:fldCharType="begin"/>
      </w:r>
      <w:r>
        <w:rPr>
          <w:noProof/>
        </w:rPr>
        <w:instrText xml:space="preserve"> PAGEREF _Toc485720819 \h </w:instrText>
      </w:r>
      <w:r>
        <w:rPr>
          <w:noProof/>
        </w:rPr>
      </w:r>
      <w:r>
        <w:rPr>
          <w:noProof/>
        </w:rPr>
        <w:fldChar w:fldCharType="separate"/>
      </w:r>
      <w:r>
        <w:rPr>
          <w:noProof/>
        </w:rPr>
        <w:t>11</w:t>
      </w:r>
      <w:r>
        <w:rPr>
          <w:noProof/>
        </w:rPr>
        <w:fldChar w:fldCharType="end"/>
      </w:r>
    </w:p>
    <w:p w14:paraId="49AF0F49" w14:textId="77777777" w:rsidR="00271ED7" w:rsidRDefault="00271ED7">
      <w:pPr>
        <w:pStyle w:val="TableofFigures"/>
        <w:tabs>
          <w:tab w:val="left" w:pos="1229"/>
          <w:tab w:val="right" w:leader="dot" w:pos="9016"/>
        </w:tabs>
        <w:rPr>
          <w:rFonts w:eastAsiaTheme="minorEastAsia" w:cstheme="minorBidi"/>
          <w:noProof/>
          <w:sz w:val="22"/>
          <w:szCs w:val="22"/>
        </w:rPr>
      </w:pPr>
      <w:r>
        <w:rPr>
          <w:noProof/>
        </w:rPr>
        <w:t xml:space="preserve">Table 3: </w:t>
      </w:r>
      <w:r>
        <w:rPr>
          <w:rFonts w:eastAsiaTheme="minorEastAsia" w:cstheme="minorBidi"/>
          <w:noProof/>
          <w:sz w:val="22"/>
          <w:szCs w:val="22"/>
        </w:rPr>
        <w:tab/>
      </w:r>
      <w:r>
        <w:rPr>
          <w:noProof/>
        </w:rPr>
        <w:t>Proposed changes to the item descriptors</w:t>
      </w:r>
      <w:r>
        <w:rPr>
          <w:noProof/>
        </w:rPr>
        <w:tab/>
      </w:r>
      <w:r>
        <w:rPr>
          <w:noProof/>
        </w:rPr>
        <w:fldChar w:fldCharType="begin"/>
      </w:r>
      <w:r>
        <w:rPr>
          <w:noProof/>
        </w:rPr>
        <w:instrText xml:space="preserve"> PAGEREF _Toc485720820 \h </w:instrText>
      </w:r>
      <w:r>
        <w:rPr>
          <w:noProof/>
        </w:rPr>
      </w:r>
      <w:r>
        <w:rPr>
          <w:noProof/>
        </w:rPr>
        <w:fldChar w:fldCharType="separate"/>
      </w:r>
      <w:r>
        <w:rPr>
          <w:noProof/>
        </w:rPr>
        <w:t>13</w:t>
      </w:r>
      <w:r>
        <w:rPr>
          <w:noProof/>
        </w:rPr>
        <w:fldChar w:fldCharType="end"/>
      </w:r>
    </w:p>
    <w:p w14:paraId="5BEA3F9B" w14:textId="77777777" w:rsidR="00271ED7" w:rsidRDefault="00271ED7">
      <w:pPr>
        <w:pStyle w:val="TableofFigures"/>
        <w:tabs>
          <w:tab w:val="left" w:pos="1229"/>
          <w:tab w:val="right" w:leader="dot" w:pos="9016"/>
        </w:tabs>
        <w:rPr>
          <w:rFonts w:eastAsiaTheme="minorEastAsia" w:cstheme="minorBidi"/>
          <w:noProof/>
          <w:sz w:val="22"/>
          <w:szCs w:val="22"/>
        </w:rPr>
      </w:pPr>
      <w:r>
        <w:rPr>
          <w:noProof/>
        </w:rPr>
        <w:t xml:space="preserve">Table 4: </w:t>
      </w:r>
      <w:r>
        <w:rPr>
          <w:rFonts w:eastAsiaTheme="minorEastAsia" w:cstheme="minorBidi"/>
          <w:noProof/>
          <w:sz w:val="22"/>
          <w:szCs w:val="22"/>
        </w:rPr>
        <w:tab/>
      </w:r>
      <w:r>
        <w:rPr>
          <w:noProof/>
        </w:rPr>
        <w:t>High level MBS data on grommet insertion, 2014–15 (date of processing)</w:t>
      </w:r>
      <w:r>
        <w:rPr>
          <w:noProof/>
        </w:rPr>
        <w:tab/>
      </w:r>
      <w:r>
        <w:rPr>
          <w:noProof/>
        </w:rPr>
        <w:fldChar w:fldCharType="begin"/>
      </w:r>
      <w:r>
        <w:rPr>
          <w:noProof/>
        </w:rPr>
        <w:instrText xml:space="preserve"> PAGEREF _Toc485720821 \h </w:instrText>
      </w:r>
      <w:r>
        <w:rPr>
          <w:noProof/>
        </w:rPr>
      </w:r>
      <w:r>
        <w:rPr>
          <w:noProof/>
        </w:rPr>
        <w:fldChar w:fldCharType="separate"/>
      </w:r>
      <w:r>
        <w:rPr>
          <w:noProof/>
        </w:rPr>
        <w:t>14</w:t>
      </w:r>
      <w:r>
        <w:rPr>
          <w:noProof/>
        </w:rPr>
        <w:fldChar w:fldCharType="end"/>
      </w:r>
    </w:p>
    <w:p w14:paraId="44970037" w14:textId="77777777" w:rsidR="00271ED7" w:rsidRDefault="00271ED7">
      <w:pPr>
        <w:pStyle w:val="TableofFigures"/>
        <w:tabs>
          <w:tab w:val="left" w:pos="1229"/>
          <w:tab w:val="right" w:leader="dot" w:pos="9016"/>
        </w:tabs>
        <w:rPr>
          <w:rFonts w:eastAsiaTheme="minorEastAsia" w:cstheme="minorBidi"/>
          <w:noProof/>
          <w:sz w:val="22"/>
          <w:szCs w:val="22"/>
        </w:rPr>
      </w:pPr>
      <w:r>
        <w:rPr>
          <w:noProof/>
        </w:rPr>
        <w:t>Table 5:</w:t>
      </w:r>
      <w:r>
        <w:rPr>
          <w:rFonts w:eastAsiaTheme="minorEastAsia" w:cstheme="minorBidi"/>
          <w:noProof/>
          <w:sz w:val="22"/>
          <w:szCs w:val="22"/>
        </w:rPr>
        <w:tab/>
      </w:r>
      <w:r>
        <w:rPr>
          <w:noProof/>
        </w:rPr>
        <w:t>High level MBS data on removal of tonsils and adenoids under 12, 2014–15 (date of processing)</w:t>
      </w:r>
      <w:r>
        <w:rPr>
          <w:noProof/>
        </w:rPr>
        <w:tab/>
      </w:r>
      <w:r>
        <w:rPr>
          <w:noProof/>
        </w:rPr>
        <w:fldChar w:fldCharType="begin"/>
      </w:r>
      <w:r>
        <w:rPr>
          <w:noProof/>
        </w:rPr>
        <w:instrText xml:space="preserve"> PAGEREF _Toc485720822 \h </w:instrText>
      </w:r>
      <w:r>
        <w:rPr>
          <w:noProof/>
        </w:rPr>
      </w:r>
      <w:r>
        <w:rPr>
          <w:noProof/>
        </w:rPr>
        <w:fldChar w:fldCharType="separate"/>
      </w:r>
      <w:r>
        <w:rPr>
          <w:noProof/>
        </w:rPr>
        <w:t>17</w:t>
      </w:r>
      <w:r>
        <w:rPr>
          <w:noProof/>
        </w:rPr>
        <w:fldChar w:fldCharType="end"/>
      </w:r>
    </w:p>
    <w:p w14:paraId="6FF00ED3" w14:textId="77777777" w:rsidR="00271ED7" w:rsidRDefault="00271ED7">
      <w:pPr>
        <w:pStyle w:val="TableofFigures"/>
        <w:tabs>
          <w:tab w:val="left" w:pos="1229"/>
          <w:tab w:val="right" w:leader="dot" w:pos="9016"/>
        </w:tabs>
        <w:rPr>
          <w:rFonts w:eastAsiaTheme="minorEastAsia" w:cstheme="minorBidi"/>
          <w:noProof/>
          <w:sz w:val="22"/>
          <w:szCs w:val="22"/>
        </w:rPr>
      </w:pPr>
      <w:r>
        <w:rPr>
          <w:noProof/>
        </w:rPr>
        <w:t>Table 62:</w:t>
      </w:r>
      <w:r>
        <w:rPr>
          <w:rFonts w:eastAsiaTheme="minorEastAsia" w:cstheme="minorBidi"/>
          <w:noProof/>
          <w:sz w:val="22"/>
          <w:szCs w:val="22"/>
        </w:rPr>
        <w:tab/>
      </w:r>
      <w:r>
        <w:rPr>
          <w:noProof/>
        </w:rPr>
        <w:t>Number of services by financial year – item 41846</w:t>
      </w:r>
      <w:r>
        <w:rPr>
          <w:noProof/>
        </w:rPr>
        <w:tab/>
      </w:r>
      <w:r>
        <w:rPr>
          <w:noProof/>
        </w:rPr>
        <w:fldChar w:fldCharType="begin"/>
      </w:r>
      <w:r>
        <w:rPr>
          <w:noProof/>
        </w:rPr>
        <w:instrText xml:space="preserve"> PAGEREF _Toc485720823 \h </w:instrText>
      </w:r>
      <w:r>
        <w:rPr>
          <w:noProof/>
        </w:rPr>
      </w:r>
      <w:r>
        <w:rPr>
          <w:noProof/>
        </w:rPr>
        <w:fldChar w:fldCharType="separate"/>
      </w:r>
      <w:r>
        <w:rPr>
          <w:noProof/>
        </w:rPr>
        <w:t>24</w:t>
      </w:r>
      <w:r>
        <w:rPr>
          <w:noProof/>
        </w:rPr>
        <w:fldChar w:fldCharType="end"/>
      </w:r>
    </w:p>
    <w:p w14:paraId="6775B47A" w14:textId="77777777" w:rsidR="00262127" w:rsidRPr="00CF1E64" w:rsidRDefault="00235035" w:rsidP="00422EC8">
      <w:pPr>
        <w:pStyle w:val="TableofFigures"/>
        <w:tabs>
          <w:tab w:val="left" w:pos="1100"/>
          <w:tab w:val="right" w:leader="dot" w:pos="9016"/>
        </w:tabs>
        <w:spacing w:before="60" w:after="60"/>
        <w:ind w:left="851" w:hanging="851"/>
        <w:rPr>
          <w:rFonts w:cs="Arial"/>
        </w:rPr>
      </w:pPr>
      <w:r w:rsidRPr="00235035">
        <w:rPr>
          <w:bCs/>
          <w:noProof/>
          <w:szCs w:val="22"/>
        </w:rPr>
        <w:fldChar w:fldCharType="end"/>
      </w:r>
      <w:r w:rsidR="00262127" w:rsidRPr="00CF1E64">
        <w:rPr>
          <w:rFonts w:cs="Arial"/>
        </w:rPr>
        <w:br w:type="page"/>
      </w:r>
    </w:p>
    <w:p w14:paraId="2999A807" w14:textId="77777777" w:rsidR="009837DB" w:rsidRPr="00EA0A9F" w:rsidRDefault="00262127" w:rsidP="002923D1">
      <w:pPr>
        <w:pStyle w:val="Heading1"/>
      </w:pPr>
      <w:bookmarkStart w:id="2" w:name="_Toc457053403"/>
      <w:bookmarkStart w:id="3" w:name="_Toc485723849"/>
      <w:bookmarkEnd w:id="0"/>
      <w:r w:rsidRPr="00FE6728">
        <w:lastRenderedPageBreak/>
        <w:t>Executive</w:t>
      </w:r>
      <w:r w:rsidRPr="00EA0A9F">
        <w:t xml:space="preserve"> Summary</w:t>
      </w:r>
      <w:bookmarkEnd w:id="2"/>
      <w:bookmarkEnd w:id="3"/>
    </w:p>
    <w:p w14:paraId="06CFEA1D" w14:textId="77777777" w:rsidR="00463B1C" w:rsidRDefault="00FE088C" w:rsidP="00FE6728">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71551EA4" w14:textId="77777777" w:rsidR="00E15051" w:rsidRPr="009D0EED" w:rsidRDefault="00E15051" w:rsidP="007E1A59">
      <w:r w:rsidRPr="009D0EED">
        <w:t>The Taskforce is committed to providing recommendations to the Minister that will allow the MBS to deliver on each of these four key goals:</w:t>
      </w:r>
    </w:p>
    <w:p w14:paraId="69857E0D" w14:textId="77777777" w:rsidR="00E15051" w:rsidRPr="003F788A" w:rsidRDefault="00E15051" w:rsidP="00E15051">
      <w:pPr>
        <w:pStyle w:val="NormalBulleted"/>
      </w:pPr>
      <w:r w:rsidRPr="003F788A">
        <w:t>Affordable and universal access</w:t>
      </w:r>
    </w:p>
    <w:p w14:paraId="414197F5" w14:textId="77777777" w:rsidR="00E15051" w:rsidRPr="003F788A" w:rsidRDefault="00E15051" w:rsidP="00E15051">
      <w:pPr>
        <w:pStyle w:val="NormalBulleted"/>
      </w:pPr>
      <w:r w:rsidRPr="003F788A">
        <w:t>Best practice health services</w:t>
      </w:r>
    </w:p>
    <w:p w14:paraId="0C6F66AD" w14:textId="77777777" w:rsidR="00E15051" w:rsidRPr="003F788A" w:rsidRDefault="00E15051" w:rsidP="00E15051">
      <w:pPr>
        <w:pStyle w:val="NormalBulleted"/>
      </w:pPr>
      <w:r w:rsidRPr="003F788A">
        <w:t>Value for the individual patient</w:t>
      </w:r>
    </w:p>
    <w:p w14:paraId="28C2B811" w14:textId="77777777" w:rsidR="00E15051" w:rsidRDefault="00E15051" w:rsidP="00E15051">
      <w:pPr>
        <w:pStyle w:val="NormalBulleted"/>
      </w:pPr>
      <w:r w:rsidRPr="003F788A">
        <w:t>Value</w:t>
      </w:r>
      <w:r w:rsidRPr="009D0EED">
        <w:t xml:space="preserve"> for the health system</w:t>
      </w:r>
      <w:r>
        <w:t>.</w:t>
      </w:r>
    </w:p>
    <w:p w14:paraId="511C2703" w14:textId="77777777" w:rsidR="00E15051" w:rsidRPr="009200D8" w:rsidRDefault="00E15051" w:rsidP="00E15051">
      <w:r w:rsidRPr="009200D8">
        <w:t>The Taskforce has endorsed a methodology whereby the necessary clinical review of MBS items is undertaken by Clinical Committees and Working Groups.</w:t>
      </w:r>
      <w:r w:rsidR="007736E8">
        <w:t xml:space="preserve"> </w:t>
      </w:r>
      <w:r w:rsidRPr="009200D8">
        <w:t xml:space="preserve">The Taskforce has asked the Clinical Committees to undertake the following tasks: </w:t>
      </w:r>
    </w:p>
    <w:p w14:paraId="401178D4" w14:textId="77777777" w:rsidR="00E15051" w:rsidRPr="00C52AD7" w:rsidRDefault="00E15051" w:rsidP="00C52AD7">
      <w:pPr>
        <w:pStyle w:val="Numbering"/>
        <w:numPr>
          <w:ilvl w:val="0"/>
          <w:numId w:val="63"/>
        </w:numPr>
        <w:tabs>
          <w:tab w:val="clear" w:pos="357"/>
        </w:tabs>
        <w:ind w:left="426" w:hanging="426"/>
      </w:pPr>
      <w:r w:rsidRPr="00C52AD7">
        <w:t xml:space="preserve">Consider whether there are MBS items that are obsolete and should be removed from the MBS. </w:t>
      </w:r>
    </w:p>
    <w:p w14:paraId="79553594" w14:textId="77777777" w:rsidR="00E15051" w:rsidRPr="00C52AD7" w:rsidRDefault="00E15051" w:rsidP="00C52AD7">
      <w:pPr>
        <w:pStyle w:val="Numbering"/>
        <w:numPr>
          <w:ilvl w:val="0"/>
          <w:numId w:val="63"/>
        </w:numPr>
        <w:tabs>
          <w:tab w:val="clear" w:pos="357"/>
        </w:tabs>
        <w:ind w:left="426" w:hanging="426"/>
      </w:pPr>
      <w:r w:rsidRPr="00C52AD7">
        <w:t xml:space="preserve">Consider identified priority reviews of selected MBS services. </w:t>
      </w:r>
    </w:p>
    <w:p w14:paraId="54F5636E" w14:textId="77777777" w:rsidR="00E15051" w:rsidRPr="00C52AD7" w:rsidRDefault="00E15051" w:rsidP="00C52AD7">
      <w:pPr>
        <w:pStyle w:val="Numbering"/>
        <w:numPr>
          <w:ilvl w:val="0"/>
          <w:numId w:val="63"/>
        </w:numPr>
        <w:tabs>
          <w:tab w:val="clear" w:pos="357"/>
        </w:tabs>
        <w:ind w:left="426" w:hanging="426"/>
      </w:pPr>
      <w:r w:rsidRPr="00C52AD7">
        <w:t xml:space="preserve">Develop a program of work to consider the balance of MBS services within its remit and items assigned to the Committee. </w:t>
      </w:r>
    </w:p>
    <w:p w14:paraId="64F445C1" w14:textId="77777777" w:rsidR="00E15051" w:rsidRPr="00C52AD7" w:rsidRDefault="00E15051" w:rsidP="00C52AD7">
      <w:pPr>
        <w:pStyle w:val="Numbering"/>
        <w:numPr>
          <w:ilvl w:val="0"/>
          <w:numId w:val="63"/>
        </w:numPr>
        <w:tabs>
          <w:tab w:val="clear" w:pos="357"/>
        </w:tabs>
        <w:ind w:left="426" w:hanging="426"/>
      </w:pPr>
      <w:r w:rsidRPr="00C52AD7">
        <w:t xml:space="preserve">Advise the Taskforce on relevant general MBS issues identified by the Committee </w:t>
      </w:r>
      <w:proofErr w:type="gramStart"/>
      <w:r w:rsidRPr="00C52AD7">
        <w:t>in the course of</w:t>
      </w:r>
      <w:proofErr w:type="gramEnd"/>
      <w:r w:rsidRPr="00C52AD7">
        <w:t xml:space="preserve"> its deliberations. </w:t>
      </w:r>
    </w:p>
    <w:p w14:paraId="0A24F24E" w14:textId="77777777" w:rsidR="00CF522D" w:rsidRDefault="00CF522D" w:rsidP="00703DC7">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4670511C" w14:textId="77777777" w:rsidR="00E15051" w:rsidRPr="008F7A7C" w:rsidRDefault="00E15051" w:rsidP="00E15051">
      <w:r w:rsidRPr="008F7A7C">
        <w:t>The Ear, Nose and Throat (ENT) Surgery Clinical Committee (the Committee) was established in 2015 to undertake a review of relevant MBS items.</w:t>
      </w:r>
      <w:r w:rsidR="007736E8">
        <w:t xml:space="preserve"> </w:t>
      </w:r>
      <w:r w:rsidRPr="008F7A7C">
        <w:t xml:space="preserve">Phase one of this review relied upon the clinical expertise of the members who sought advice from colleagues as necessary, as well as independent, targeted rapid evidence reviews of certain services. </w:t>
      </w:r>
    </w:p>
    <w:p w14:paraId="5DE4708B" w14:textId="77777777" w:rsidR="00885208" w:rsidRPr="00700528" w:rsidRDefault="00885208" w:rsidP="006508BC">
      <w:pPr>
        <w:pStyle w:val="Heading2"/>
      </w:pPr>
      <w:bookmarkStart w:id="4" w:name="_Toc457303644"/>
      <w:bookmarkStart w:id="5" w:name="_Toc457326637"/>
      <w:bookmarkStart w:id="6" w:name="_Toc457326689"/>
      <w:bookmarkStart w:id="7" w:name="_Toc457303645"/>
      <w:bookmarkStart w:id="8" w:name="_Toc457326638"/>
      <w:bookmarkStart w:id="9" w:name="_Toc457326690"/>
      <w:bookmarkStart w:id="10" w:name="_Toc457303646"/>
      <w:bookmarkStart w:id="11" w:name="_Toc457326639"/>
      <w:bookmarkStart w:id="12" w:name="_Toc457326691"/>
      <w:bookmarkStart w:id="13" w:name="_Toc457303647"/>
      <w:bookmarkStart w:id="14" w:name="_Toc457326640"/>
      <w:bookmarkStart w:id="15" w:name="_Toc457326692"/>
      <w:bookmarkStart w:id="16" w:name="_Toc457303648"/>
      <w:bookmarkStart w:id="17" w:name="_Toc457326641"/>
      <w:bookmarkStart w:id="18" w:name="_Toc457326693"/>
      <w:bookmarkStart w:id="19" w:name="_Toc457303649"/>
      <w:bookmarkStart w:id="20" w:name="_Toc457103945"/>
      <w:bookmarkStart w:id="21" w:name="_Toc45705340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00528">
        <w:t xml:space="preserve">Areas of responsibility of the </w:t>
      </w:r>
      <w:r w:rsidR="008F7A7C" w:rsidRPr="00700528">
        <w:t>Ear, Nose and Throat Surgery Clinical Committee</w:t>
      </w:r>
      <w:bookmarkEnd w:id="21"/>
    </w:p>
    <w:p w14:paraId="1FBE6861" w14:textId="77777777" w:rsidR="008F7A7C" w:rsidRDefault="008F7A7C" w:rsidP="00684331">
      <w:pPr>
        <w:rPr>
          <w:lang w:val="en-US"/>
        </w:rPr>
      </w:pPr>
      <w:r>
        <w:rPr>
          <w:lang w:val="en-US"/>
        </w:rPr>
        <w:t>The Taskforce identified</w:t>
      </w:r>
      <w:r w:rsidRPr="00F249F7">
        <w:rPr>
          <w:lang w:val="en-US"/>
        </w:rPr>
        <w:t xml:space="preserve"> </w:t>
      </w:r>
      <w:r>
        <w:rPr>
          <w:lang w:val="en-US"/>
        </w:rPr>
        <w:t>196 MBS items for review by the Committee (see Appendix A for full descriptions).</w:t>
      </w:r>
      <w:r w:rsidR="007736E8">
        <w:rPr>
          <w:lang w:val="en-US"/>
        </w:rPr>
        <w:t xml:space="preserve"> </w:t>
      </w:r>
    </w:p>
    <w:p w14:paraId="66B70995" w14:textId="77777777" w:rsidR="008F7A7C" w:rsidRPr="00524006" w:rsidRDefault="008F7A7C" w:rsidP="00681E75">
      <w:pPr>
        <w:pStyle w:val="NormalBulleted"/>
      </w:pPr>
      <w:r w:rsidRPr="00524006">
        <w:t xml:space="preserve">Otolaryngology and Audiology Diagnostic Procedures </w:t>
      </w:r>
    </w:p>
    <w:p w14:paraId="16F789C0" w14:textId="77777777" w:rsidR="008F7A7C" w:rsidRPr="00E0114D" w:rsidRDefault="008F7A7C" w:rsidP="00681E75">
      <w:pPr>
        <w:pStyle w:val="NormalBulleted2Table"/>
      </w:pPr>
      <w:r w:rsidRPr="00E0114D">
        <w:t>11300</w:t>
      </w:r>
      <w:r>
        <w:t xml:space="preserve"> to </w:t>
      </w:r>
      <w:r w:rsidRPr="00E0114D">
        <w:t>11339 (16 items)</w:t>
      </w:r>
    </w:p>
    <w:p w14:paraId="316C3E74" w14:textId="77777777" w:rsidR="008F7A7C" w:rsidRPr="00524006" w:rsidRDefault="008F7A7C" w:rsidP="00681E75">
      <w:pPr>
        <w:pStyle w:val="NormalBulleted"/>
      </w:pPr>
      <w:r w:rsidRPr="00524006">
        <w:t>General Surgery Items</w:t>
      </w:r>
    </w:p>
    <w:p w14:paraId="20A4A85B" w14:textId="77777777" w:rsidR="008F7A7C" w:rsidRDefault="008F7A7C" w:rsidP="00681E75">
      <w:pPr>
        <w:pStyle w:val="NormalBulleted2Table"/>
      </w:pPr>
      <w:r>
        <w:lastRenderedPageBreak/>
        <w:t>30244</w:t>
      </w:r>
      <w:r w:rsidR="00684331">
        <w:t xml:space="preserve"> to </w:t>
      </w:r>
      <w:r w:rsidRPr="00E0114D">
        <w:t xml:space="preserve">30259 </w:t>
      </w:r>
      <w:r w:rsidR="00684331" w:rsidRPr="00E0114D">
        <w:t>(9 items)</w:t>
      </w:r>
      <w:r w:rsidR="00A376AF">
        <w:t xml:space="preserve"> –</w:t>
      </w:r>
      <w:r w:rsidRPr="00E0114D">
        <w:t xml:space="preserve"> procedures on the styloid process, parotid gland and associated structures, submandibular </w:t>
      </w:r>
      <w:proofErr w:type="gramStart"/>
      <w:r w:rsidRPr="00E0114D">
        <w:t>gland</w:t>
      </w:r>
      <w:proofErr w:type="gramEnd"/>
      <w:r w:rsidRPr="00E0114D">
        <w:t xml:space="preserve"> and associated structures </w:t>
      </w:r>
    </w:p>
    <w:p w14:paraId="67DB7815" w14:textId="77777777" w:rsidR="008F7A7C" w:rsidRDefault="008F7A7C" w:rsidP="00681E75">
      <w:pPr>
        <w:pStyle w:val="NormalBulleted2Table"/>
      </w:pPr>
      <w:r>
        <w:t>30265</w:t>
      </w:r>
      <w:r w:rsidR="00684331">
        <w:t xml:space="preserve"> to </w:t>
      </w:r>
      <w:r w:rsidRPr="00E0114D">
        <w:t xml:space="preserve">30294 </w:t>
      </w:r>
      <w:r w:rsidR="00684331">
        <w:t>(</w:t>
      </w:r>
      <w:r w:rsidR="00684331" w:rsidRPr="00E0114D">
        <w:t>12 items)</w:t>
      </w:r>
      <w:r w:rsidR="00A376AF">
        <w:t xml:space="preserve"> – </w:t>
      </w:r>
      <w:r w:rsidRPr="00E0114D">
        <w:t xml:space="preserve">procedures on the salivary glands, tongue, intraoral tumours, branchial cysts and cervical </w:t>
      </w:r>
      <w:proofErr w:type="spellStart"/>
      <w:r w:rsidRPr="00E0114D">
        <w:t>esphago</w:t>
      </w:r>
      <w:r w:rsidR="00C90254">
        <w:t>s</w:t>
      </w:r>
      <w:r w:rsidRPr="00E0114D">
        <w:t>tomy</w:t>
      </w:r>
      <w:proofErr w:type="spellEnd"/>
    </w:p>
    <w:p w14:paraId="699AB357" w14:textId="77777777" w:rsidR="008F7A7C" w:rsidRPr="00E0114D" w:rsidRDefault="008F7A7C" w:rsidP="00681E75">
      <w:pPr>
        <w:pStyle w:val="NormalBulleted2Table"/>
      </w:pPr>
      <w:r>
        <w:t>31400</w:t>
      </w:r>
      <w:r w:rsidR="00684331">
        <w:t xml:space="preserve"> to </w:t>
      </w:r>
      <w:r>
        <w:t xml:space="preserve">31412 </w:t>
      </w:r>
      <w:r w:rsidR="00684331">
        <w:t>(5 items)</w:t>
      </w:r>
      <w:r w:rsidR="00A376AF">
        <w:t xml:space="preserve"> – </w:t>
      </w:r>
      <w:r w:rsidRPr="00E0114D">
        <w:t>removal of tumours of the upper aerodigestive tract</w:t>
      </w:r>
      <w:r>
        <w:t xml:space="preserve"> </w:t>
      </w:r>
    </w:p>
    <w:p w14:paraId="6EDEF827" w14:textId="77777777" w:rsidR="008F7A7C" w:rsidRPr="00524006" w:rsidRDefault="008F7A7C" w:rsidP="00681E75">
      <w:pPr>
        <w:pStyle w:val="NormalBulleted"/>
      </w:pPr>
      <w:r w:rsidRPr="00524006">
        <w:t>Ear Nose and Throat Procedures</w:t>
      </w:r>
    </w:p>
    <w:p w14:paraId="7AE2F16A" w14:textId="77777777" w:rsidR="008F7A7C" w:rsidRPr="00E0114D" w:rsidRDefault="008F7A7C" w:rsidP="00681E75">
      <w:pPr>
        <w:pStyle w:val="NormalBulleted2Table"/>
      </w:pPr>
      <w:r>
        <w:t>41500-</w:t>
      </w:r>
      <w:r w:rsidRPr="00E0114D">
        <w:t>41816, 41822, 41825, 41834- 41886, 41904, 41907, 41910 (145 items)</w:t>
      </w:r>
    </w:p>
    <w:p w14:paraId="6F547C72" w14:textId="77777777" w:rsidR="008F7A7C" w:rsidRPr="00524006" w:rsidRDefault="008F7A7C" w:rsidP="00681E75">
      <w:pPr>
        <w:pStyle w:val="NormalBulleted"/>
      </w:pPr>
      <w:r w:rsidRPr="00524006">
        <w:t>Audiology</w:t>
      </w:r>
    </w:p>
    <w:p w14:paraId="173714E2" w14:textId="77777777" w:rsidR="008F7A7C" w:rsidRPr="00E0114D" w:rsidRDefault="00684331" w:rsidP="00681E75">
      <w:pPr>
        <w:pStyle w:val="NormalBulleted2Table"/>
      </w:pPr>
      <w:r>
        <w:t xml:space="preserve">82300 to </w:t>
      </w:r>
      <w:r w:rsidR="008F7A7C">
        <w:t>82332</w:t>
      </w:r>
      <w:r>
        <w:t xml:space="preserve"> </w:t>
      </w:r>
      <w:r w:rsidRPr="00E0114D">
        <w:t>(9 items)</w:t>
      </w:r>
      <w:r w:rsidR="008F7A7C">
        <w:t xml:space="preserve"> </w:t>
      </w:r>
      <w:r w:rsidR="00A376AF">
        <w:t xml:space="preserve">– </w:t>
      </w:r>
      <w:r>
        <w:t>s</w:t>
      </w:r>
      <w:r w:rsidR="008F7A7C" w:rsidRPr="00E0114D">
        <w:t>ervices by audiologists on request from ENT specialists</w:t>
      </w:r>
      <w:r w:rsidR="008F7A7C">
        <w:t xml:space="preserve"> </w:t>
      </w:r>
    </w:p>
    <w:p w14:paraId="3728D222" w14:textId="77777777" w:rsidR="008F7A7C" w:rsidRDefault="008F7A7C" w:rsidP="00684331">
      <w:pPr>
        <w:rPr>
          <w:bCs/>
        </w:rPr>
      </w:pPr>
      <w:r>
        <w:rPr>
          <w:lang w:val="en-US"/>
        </w:rPr>
        <w:t xml:space="preserve">Phase one of the review </w:t>
      </w:r>
      <w:proofErr w:type="spellStart"/>
      <w:r>
        <w:rPr>
          <w:lang w:val="en-US"/>
        </w:rPr>
        <w:t>prioritised</w:t>
      </w:r>
      <w:proofErr w:type="spellEnd"/>
      <w:r>
        <w:rPr>
          <w:lang w:val="en-US"/>
        </w:rPr>
        <w:t xml:space="preserve"> the items relating to tonsillectomy, adenoidectomy, insertion of grommets and identification of obsolete items.</w:t>
      </w:r>
      <w:r w:rsidR="007736E8">
        <w:rPr>
          <w:lang w:val="en-US"/>
        </w:rPr>
        <w:t xml:space="preserve"> </w:t>
      </w:r>
      <w:r>
        <w:rPr>
          <w:bCs/>
        </w:rPr>
        <w:t>The remaining items are likely to be reviewed during phase two of the ENT review.</w:t>
      </w:r>
    </w:p>
    <w:p w14:paraId="34122663" w14:textId="77777777" w:rsidR="00684331" w:rsidRPr="00700528" w:rsidRDefault="00684331" w:rsidP="006508BC">
      <w:pPr>
        <w:pStyle w:val="Heading2"/>
      </w:pPr>
      <w:bookmarkStart w:id="22" w:name="_Toc457053406"/>
      <w:r w:rsidRPr="00700528">
        <w:t>Items referred to other Clinical Committees for review</w:t>
      </w:r>
      <w:bookmarkEnd w:id="22"/>
    </w:p>
    <w:p w14:paraId="37577B1B" w14:textId="77777777" w:rsidR="00684331" w:rsidRDefault="00684331">
      <w:pPr>
        <w:rPr>
          <w:rFonts w:eastAsiaTheme="majorEastAsia"/>
          <w:lang w:eastAsia="en-US"/>
        </w:rPr>
      </w:pPr>
      <w:r>
        <w:rPr>
          <w:rFonts w:eastAsiaTheme="minorHAnsi" w:cs="Arial"/>
          <w:szCs w:val="20"/>
        </w:rPr>
        <w:t xml:space="preserve">Gastroenterologists are the main providers of items </w:t>
      </w:r>
      <w:r w:rsidRPr="00411E42">
        <w:rPr>
          <w:rFonts w:eastAsiaTheme="majorEastAsia"/>
          <w:lang w:eastAsia="en-US"/>
        </w:rPr>
        <w:t>41819</w:t>
      </w:r>
      <w:r>
        <w:rPr>
          <w:rFonts w:eastAsiaTheme="majorEastAsia"/>
          <w:lang w:eastAsia="en-US"/>
        </w:rPr>
        <w:t xml:space="preserve"> to </w:t>
      </w:r>
      <w:r w:rsidRPr="00411E42">
        <w:rPr>
          <w:rFonts w:eastAsiaTheme="majorEastAsia"/>
          <w:lang w:eastAsia="en-US"/>
        </w:rPr>
        <w:t xml:space="preserve">41820 and </w:t>
      </w:r>
      <w:r>
        <w:rPr>
          <w:rFonts w:eastAsiaTheme="majorEastAsia"/>
          <w:lang w:eastAsia="en-US"/>
        </w:rPr>
        <w:t xml:space="preserve">41828 to 41832 for </w:t>
      </w:r>
      <w:r>
        <w:rPr>
          <w:rFonts w:eastAsiaTheme="majorEastAsia"/>
        </w:rPr>
        <w:t>dilatation of stricture of upper gastro-intestinal tract and balloon dilatation of oesophagus (5 items).</w:t>
      </w:r>
      <w:r w:rsidR="007736E8">
        <w:rPr>
          <w:rFonts w:eastAsiaTheme="majorEastAsia"/>
        </w:rPr>
        <w:t xml:space="preserve"> </w:t>
      </w:r>
      <w:r>
        <w:rPr>
          <w:rFonts w:eastAsiaTheme="majorEastAsia"/>
        </w:rPr>
        <w:t xml:space="preserve">Therefore, these items were referred to the </w:t>
      </w:r>
      <w:r>
        <w:rPr>
          <w:rFonts w:eastAsiaTheme="majorEastAsia"/>
          <w:lang w:eastAsia="en-US"/>
        </w:rPr>
        <w:t xml:space="preserve">Gastroenterology Clinical </w:t>
      </w:r>
      <w:r w:rsidRPr="00AC1913">
        <w:rPr>
          <w:rFonts w:eastAsiaTheme="majorEastAsia"/>
          <w:lang w:eastAsia="en-US"/>
        </w:rPr>
        <w:t>Committee for review</w:t>
      </w:r>
      <w:r>
        <w:rPr>
          <w:rFonts w:eastAsiaTheme="majorEastAsia"/>
          <w:lang w:eastAsia="en-US"/>
        </w:rPr>
        <w:t>.</w:t>
      </w:r>
    </w:p>
    <w:p w14:paraId="321A9E2A" w14:textId="77777777" w:rsidR="00684331" w:rsidRDefault="00684331" w:rsidP="00681E75">
      <w:pPr>
        <w:rPr>
          <w:rFonts w:eastAsiaTheme="majorEastAsia"/>
          <w:lang w:eastAsia="en-US"/>
        </w:rPr>
      </w:pPr>
      <w:r>
        <w:rPr>
          <w:rFonts w:eastAsiaTheme="majorEastAsia"/>
          <w:lang w:eastAsia="en-US"/>
        </w:rPr>
        <w:t xml:space="preserve">Thoracic medicine physicians are the main providers of items </w:t>
      </w:r>
      <w:r w:rsidRPr="00411E42">
        <w:rPr>
          <w:rFonts w:eastAsiaTheme="majorEastAsia"/>
          <w:lang w:eastAsia="en-US"/>
        </w:rPr>
        <w:t xml:space="preserve">41889 to 41898 and item 41905 </w:t>
      </w:r>
      <w:r>
        <w:rPr>
          <w:rFonts w:eastAsiaTheme="majorEastAsia"/>
          <w:lang w:eastAsia="en-US"/>
        </w:rPr>
        <w:t xml:space="preserve">for bronchoscopy (5 items). </w:t>
      </w:r>
      <w:r>
        <w:rPr>
          <w:rFonts w:eastAsiaTheme="majorEastAsia"/>
        </w:rPr>
        <w:t xml:space="preserve">These items were referred to the </w:t>
      </w:r>
      <w:r>
        <w:rPr>
          <w:rFonts w:eastAsiaTheme="majorEastAsia"/>
          <w:lang w:eastAsia="en-US"/>
        </w:rPr>
        <w:t xml:space="preserve">Thoracic Medicine Clinical </w:t>
      </w:r>
      <w:r w:rsidRPr="00AC1913">
        <w:rPr>
          <w:rFonts w:eastAsiaTheme="majorEastAsia"/>
          <w:lang w:eastAsia="en-US"/>
        </w:rPr>
        <w:t>Committee for review</w:t>
      </w:r>
      <w:r>
        <w:rPr>
          <w:rFonts w:eastAsiaTheme="majorEastAsia"/>
          <w:lang w:eastAsia="en-US"/>
        </w:rPr>
        <w:t>.</w:t>
      </w:r>
      <w:r>
        <w:rPr>
          <w:rFonts w:eastAsiaTheme="majorEastAsia"/>
          <w:lang w:eastAsia="en-US"/>
        </w:rPr>
        <w:br w:type="page"/>
      </w:r>
    </w:p>
    <w:p w14:paraId="4232858D" w14:textId="77777777" w:rsidR="00C72869" w:rsidRPr="00700528" w:rsidRDefault="004963B8" w:rsidP="006508BC">
      <w:pPr>
        <w:pStyle w:val="Heading2"/>
      </w:pPr>
      <w:bookmarkStart w:id="23" w:name="_Toc457053407"/>
      <w:r w:rsidRPr="00700528">
        <w:lastRenderedPageBreak/>
        <w:t>Key recommendations</w:t>
      </w:r>
      <w:bookmarkEnd w:id="23"/>
    </w:p>
    <w:p w14:paraId="273A5953" w14:textId="77777777" w:rsidR="006F1D7C" w:rsidRPr="00700528" w:rsidRDefault="006F1D7C" w:rsidP="00681E75">
      <w:pPr>
        <w:pStyle w:val="Heading3"/>
      </w:pPr>
      <w:r w:rsidRPr="00FE6728">
        <w:t>Recommendation</w:t>
      </w:r>
      <w:r>
        <w:t xml:space="preserve"> 1: </w:t>
      </w:r>
      <w:r w:rsidRPr="00700528">
        <w:t>Adenoidectomy</w:t>
      </w:r>
    </w:p>
    <w:p w14:paraId="04819C99" w14:textId="77777777" w:rsidR="00684331" w:rsidRPr="001C3B56" w:rsidRDefault="00226A36" w:rsidP="00684331">
      <w:r>
        <w:rPr>
          <w:rFonts w:eastAsiaTheme="minorHAnsi"/>
        </w:rPr>
        <w:t>Th</w:t>
      </w:r>
      <w:r w:rsidR="00684331" w:rsidRPr="00226A36">
        <w:rPr>
          <w:rFonts w:eastAsiaTheme="minorHAnsi"/>
        </w:rPr>
        <w:t>e Committee recommended changes to items for adenoidectomy procedures that aim to ensure access for patients to MBS services that reflect modern clinical practice.</w:t>
      </w:r>
      <w:r w:rsidR="007736E8">
        <w:rPr>
          <w:rFonts w:eastAsiaTheme="minorHAnsi"/>
        </w:rPr>
        <w:t xml:space="preserve"> </w:t>
      </w:r>
      <w:r w:rsidR="00684331" w:rsidRPr="00226A36">
        <w:rPr>
          <w:szCs w:val="22"/>
        </w:rPr>
        <w:t xml:space="preserve">It has recommended that a restriction be introduced to prevent co-claiming of </w:t>
      </w:r>
      <w:r w:rsidR="003D705D">
        <w:rPr>
          <w:szCs w:val="22"/>
        </w:rPr>
        <w:t>i</w:t>
      </w:r>
      <w:r w:rsidR="00684331" w:rsidRPr="00226A36">
        <w:rPr>
          <w:szCs w:val="22"/>
        </w:rPr>
        <w:t xml:space="preserve">tem </w:t>
      </w:r>
      <w:r w:rsidR="003D705D">
        <w:rPr>
          <w:szCs w:val="22"/>
        </w:rPr>
        <w:t xml:space="preserve">41764 </w:t>
      </w:r>
      <w:r w:rsidR="00684331" w:rsidRPr="00226A36">
        <w:rPr>
          <w:szCs w:val="22"/>
        </w:rPr>
        <w:t>with</w:t>
      </w:r>
      <w:r w:rsidR="003D705D">
        <w:rPr>
          <w:szCs w:val="22"/>
        </w:rPr>
        <w:t xml:space="preserve"> this</w:t>
      </w:r>
      <w:r w:rsidR="00684331" w:rsidRPr="00226A36">
        <w:rPr>
          <w:szCs w:val="22"/>
        </w:rPr>
        <w:t xml:space="preserve"> item because </w:t>
      </w:r>
      <w:bookmarkStart w:id="24" w:name="_Toc434329378"/>
      <w:r w:rsidR="00684331" w:rsidRPr="00226A36">
        <w:rPr>
          <w:szCs w:val="22"/>
        </w:rPr>
        <w:t xml:space="preserve">the examination of the operating space (post nasal space) and the infiltration of local anaesthetic are </w:t>
      </w:r>
      <w:r w:rsidR="003D705D">
        <w:rPr>
          <w:szCs w:val="22"/>
        </w:rPr>
        <w:t>considered to be</w:t>
      </w:r>
      <w:r w:rsidR="003D705D" w:rsidRPr="00226A36">
        <w:rPr>
          <w:szCs w:val="22"/>
        </w:rPr>
        <w:t xml:space="preserve"> </w:t>
      </w:r>
      <w:r w:rsidR="00684331" w:rsidRPr="00226A36">
        <w:rPr>
          <w:szCs w:val="22"/>
        </w:rPr>
        <w:t xml:space="preserve">covered by the relevant item for </w:t>
      </w:r>
      <w:r w:rsidR="003D705D">
        <w:rPr>
          <w:szCs w:val="22"/>
        </w:rPr>
        <w:t>adenoidectomy (41801)</w:t>
      </w:r>
      <w:r w:rsidR="00684331" w:rsidRPr="00226A36">
        <w:rPr>
          <w:szCs w:val="22"/>
        </w:rPr>
        <w:t xml:space="preserve">. </w:t>
      </w:r>
      <w:r w:rsidR="006D0A6A">
        <w:rPr>
          <w:szCs w:val="22"/>
        </w:rPr>
        <w:t xml:space="preserve">Refer to section </w:t>
      </w:r>
      <w:r w:rsidR="003263DE">
        <w:rPr>
          <w:szCs w:val="22"/>
        </w:rPr>
        <w:t>4.1.</w:t>
      </w:r>
    </w:p>
    <w:p w14:paraId="7B614C15" w14:textId="77777777" w:rsidR="006F1D7C" w:rsidRPr="00700528" w:rsidRDefault="006F1D7C" w:rsidP="00681E75">
      <w:pPr>
        <w:pStyle w:val="Heading3"/>
      </w:pPr>
      <w:r w:rsidRPr="00FE6728">
        <w:t>Recommendation</w:t>
      </w:r>
      <w:r>
        <w:t xml:space="preserve"> 2:</w:t>
      </w:r>
      <w:r w:rsidR="007736E8">
        <w:t xml:space="preserve"> </w:t>
      </w:r>
      <w:r>
        <w:t>Insertion of grommets</w:t>
      </w:r>
    </w:p>
    <w:p w14:paraId="5EB0ABCD" w14:textId="77777777" w:rsidR="00684331" w:rsidRPr="00226A36" w:rsidRDefault="00684331" w:rsidP="00684331">
      <w:pPr>
        <w:rPr>
          <w:szCs w:val="22"/>
        </w:rPr>
      </w:pPr>
      <w:r w:rsidRPr="00226A36">
        <w:rPr>
          <w:rFonts w:cs="Arial"/>
          <w:szCs w:val="22"/>
        </w:rPr>
        <w:t>The Committee recommend</w:t>
      </w:r>
      <w:r w:rsidR="00A844B4">
        <w:rPr>
          <w:rFonts w:cs="Arial"/>
          <w:szCs w:val="22"/>
        </w:rPr>
        <w:t>ed</w:t>
      </w:r>
      <w:r w:rsidRPr="00226A36">
        <w:rPr>
          <w:rFonts w:cs="Arial"/>
          <w:szCs w:val="22"/>
        </w:rPr>
        <w:t xml:space="preserve"> no changes to the MBS item for insertion of grommets.</w:t>
      </w:r>
      <w:r w:rsidR="007736E8">
        <w:rPr>
          <w:rFonts w:cs="Arial"/>
          <w:szCs w:val="22"/>
        </w:rPr>
        <w:t xml:space="preserve"> </w:t>
      </w:r>
      <w:r w:rsidRPr="00226A36">
        <w:rPr>
          <w:rFonts w:cs="Arial"/>
          <w:szCs w:val="22"/>
        </w:rPr>
        <w:t xml:space="preserve">However, the low rate of myringotomies performed in the Northern Territory was of concern. The serious consequences for the hearing of patients who </w:t>
      </w:r>
      <w:proofErr w:type="gramStart"/>
      <w:r w:rsidRPr="00226A36">
        <w:rPr>
          <w:rFonts w:cs="Arial"/>
          <w:szCs w:val="22"/>
        </w:rPr>
        <w:t>experience difficulty</w:t>
      </w:r>
      <w:proofErr w:type="gramEnd"/>
      <w:r w:rsidRPr="00226A36">
        <w:rPr>
          <w:rFonts w:cs="Arial"/>
          <w:szCs w:val="22"/>
        </w:rPr>
        <w:t xml:space="preserve"> accessing appropriate services has a significant impact on Indigenous communities. The Committee recommended further examination of the utilisation in this area of need.</w:t>
      </w:r>
      <w:r w:rsidR="006D0A6A">
        <w:rPr>
          <w:rFonts w:cs="Arial"/>
          <w:szCs w:val="22"/>
        </w:rPr>
        <w:t xml:space="preserve"> Refer to section </w:t>
      </w:r>
      <w:r w:rsidR="003263DE">
        <w:rPr>
          <w:rFonts w:cs="Arial"/>
          <w:szCs w:val="22"/>
        </w:rPr>
        <w:t>4.2.</w:t>
      </w:r>
    </w:p>
    <w:p w14:paraId="3ABBC026" w14:textId="77777777" w:rsidR="006F1D7C" w:rsidRPr="00700528" w:rsidRDefault="006F1D7C" w:rsidP="00681E75">
      <w:pPr>
        <w:pStyle w:val="Heading3"/>
      </w:pPr>
      <w:r w:rsidRPr="00FE6728">
        <w:t>Recommendation</w:t>
      </w:r>
      <w:r>
        <w:t xml:space="preserve"> 3:</w:t>
      </w:r>
      <w:r w:rsidR="007736E8">
        <w:t xml:space="preserve"> </w:t>
      </w:r>
      <w:r>
        <w:t>Tonsillectomy</w:t>
      </w:r>
    </w:p>
    <w:p w14:paraId="4FC74221" w14:textId="77777777" w:rsidR="00A844B4" w:rsidRPr="00A41965" w:rsidRDefault="00A844B4" w:rsidP="00A844B4">
      <w:pPr>
        <w:rPr>
          <w:szCs w:val="22"/>
        </w:rPr>
      </w:pPr>
      <w:r>
        <w:t>As with recommendation 1, t</w:t>
      </w:r>
      <w:r w:rsidRPr="00A41965">
        <w:rPr>
          <w:rFonts w:eastAsiaTheme="minorHAnsi"/>
        </w:rPr>
        <w:t xml:space="preserve">he Committee recommended changes to items for </w:t>
      </w:r>
      <w:r>
        <w:rPr>
          <w:rFonts w:eastAsiaTheme="minorHAnsi"/>
        </w:rPr>
        <w:t>tonsillectomy</w:t>
      </w:r>
      <w:r w:rsidRPr="00A41965">
        <w:rPr>
          <w:rFonts w:eastAsiaTheme="minorHAnsi"/>
        </w:rPr>
        <w:t xml:space="preserve"> procedures </w:t>
      </w:r>
      <w:r w:rsidRPr="00A41965">
        <w:rPr>
          <w:szCs w:val="22"/>
        </w:rPr>
        <w:t xml:space="preserve">to prevent co-claiming of </w:t>
      </w:r>
      <w:r w:rsidR="003D705D">
        <w:rPr>
          <w:szCs w:val="22"/>
        </w:rPr>
        <w:t xml:space="preserve">item 41764 </w:t>
      </w:r>
      <w:r w:rsidRPr="00A41965">
        <w:rPr>
          <w:szCs w:val="22"/>
        </w:rPr>
        <w:t xml:space="preserve">with </w:t>
      </w:r>
      <w:r w:rsidR="003D705D">
        <w:rPr>
          <w:szCs w:val="22"/>
        </w:rPr>
        <w:t>this</w:t>
      </w:r>
      <w:r w:rsidR="003D705D" w:rsidRPr="00A41965">
        <w:rPr>
          <w:szCs w:val="22"/>
        </w:rPr>
        <w:t xml:space="preserve"> </w:t>
      </w:r>
      <w:r w:rsidRPr="00A41965">
        <w:rPr>
          <w:szCs w:val="22"/>
        </w:rPr>
        <w:t xml:space="preserve">item because the examination of the operating space (post nasal space) and the infiltration of local anaesthetic are </w:t>
      </w:r>
      <w:r w:rsidR="003D705D">
        <w:rPr>
          <w:szCs w:val="22"/>
        </w:rPr>
        <w:t>considered to be</w:t>
      </w:r>
      <w:r w:rsidR="003D705D" w:rsidRPr="00A41965">
        <w:rPr>
          <w:szCs w:val="22"/>
        </w:rPr>
        <w:t xml:space="preserve"> </w:t>
      </w:r>
      <w:r w:rsidRPr="00A41965">
        <w:rPr>
          <w:szCs w:val="22"/>
        </w:rPr>
        <w:t xml:space="preserve">covered by the relevant items for </w:t>
      </w:r>
      <w:r w:rsidR="003D705D">
        <w:rPr>
          <w:szCs w:val="22"/>
        </w:rPr>
        <w:t>tonsillectomy</w:t>
      </w:r>
      <w:r w:rsidRPr="00A41965">
        <w:rPr>
          <w:szCs w:val="22"/>
        </w:rPr>
        <w:t>.</w:t>
      </w:r>
      <w:r w:rsidR="007736E8">
        <w:rPr>
          <w:szCs w:val="22"/>
        </w:rPr>
        <w:t xml:space="preserve"> </w:t>
      </w:r>
      <w:r>
        <w:rPr>
          <w:szCs w:val="22"/>
        </w:rPr>
        <w:t xml:space="preserve">The Committee also recommends </w:t>
      </w:r>
      <w:r w:rsidR="003D705D">
        <w:rPr>
          <w:szCs w:val="22"/>
        </w:rPr>
        <w:t xml:space="preserve">retaining </w:t>
      </w:r>
      <w:r>
        <w:rPr>
          <w:szCs w:val="22"/>
        </w:rPr>
        <w:t>an age distinction in the item descriptor and suggests further work in relation to geographical variation is warranted.</w:t>
      </w:r>
      <w:r w:rsidR="007736E8">
        <w:rPr>
          <w:szCs w:val="22"/>
        </w:rPr>
        <w:t xml:space="preserve"> </w:t>
      </w:r>
      <w:r w:rsidR="006D0A6A">
        <w:rPr>
          <w:szCs w:val="22"/>
        </w:rPr>
        <w:t>Refer to section</w:t>
      </w:r>
      <w:r w:rsidRPr="00A41965">
        <w:rPr>
          <w:szCs w:val="22"/>
        </w:rPr>
        <w:t xml:space="preserve"> </w:t>
      </w:r>
      <w:r w:rsidR="003263DE">
        <w:rPr>
          <w:szCs w:val="22"/>
        </w:rPr>
        <w:t>4.3.</w:t>
      </w:r>
    </w:p>
    <w:p w14:paraId="2A40BB0A" w14:textId="77777777" w:rsidR="00A844B4" w:rsidRPr="00700528" w:rsidRDefault="00A844B4" w:rsidP="00681E75">
      <w:pPr>
        <w:pStyle w:val="Heading3"/>
      </w:pPr>
      <w:r w:rsidRPr="00FE6728">
        <w:t>Recommendation</w:t>
      </w:r>
      <w:r>
        <w:t xml:space="preserve"> 4:</w:t>
      </w:r>
      <w:r w:rsidR="007736E8">
        <w:t xml:space="preserve"> </w:t>
      </w:r>
      <w:proofErr w:type="spellStart"/>
      <w:r>
        <w:t>Cauterisation</w:t>
      </w:r>
      <w:proofErr w:type="spellEnd"/>
    </w:p>
    <w:p w14:paraId="10543A50" w14:textId="77777777" w:rsidR="00A844B4" w:rsidRDefault="00A844B4" w:rsidP="00684331">
      <w:pPr>
        <w:rPr>
          <w:rFonts w:cs="Arial"/>
          <w:szCs w:val="22"/>
          <w:highlight w:val="cyan"/>
        </w:rPr>
      </w:pPr>
      <w:r>
        <w:t xml:space="preserve">The Committee recommends that a minor amendment be made to remove coverage for </w:t>
      </w:r>
      <w:r w:rsidRPr="00700528">
        <w:t>cauterisation of the pharynx as this procedure is not considered to be appropriate clinical practice.</w:t>
      </w:r>
      <w:r w:rsidR="006D0A6A">
        <w:t xml:space="preserve"> Refer to section</w:t>
      </w:r>
      <w:r w:rsidR="003263DE">
        <w:t xml:space="preserve"> 4.4.</w:t>
      </w:r>
    </w:p>
    <w:p w14:paraId="0A4DD413" w14:textId="77777777" w:rsidR="003263DE" w:rsidRPr="00700528" w:rsidRDefault="003263DE" w:rsidP="00681E75">
      <w:pPr>
        <w:pStyle w:val="Heading3"/>
      </w:pPr>
      <w:r w:rsidRPr="00FE6728">
        <w:t>Recommendation</w:t>
      </w:r>
      <w:r>
        <w:t xml:space="preserve"> 5:</w:t>
      </w:r>
      <w:r w:rsidR="007736E8">
        <w:t xml:space="preserve"> </w:t>
      </w:r>
      <w:proofErr w:type="spellStart"/>
      <w:r>
        <w:t>Stroboscopy</w:t>
      </w:r>
      <w:proofErr w:type="spellEnd"/>
    </w:p>
    <w:p w14:paraId="66CD9B8A" w14:textId="77777777" w:rsidR="003263DE" w:rsidRDefault="003263DE" w:rsidP="003263DE">
      <w:pPr>
        <w:rPr>
          <w:rFonts w:cs="Arial"/>
          <w:szCs w:val="22"/>
          <w:highlight w:val="cyan"/>
        </w:rPr>
      </w:pPr>
      <w:r>
        <w:t xml:space="preserve">The Committee recommends that a new item be created for </w:t>
      </w:r>
      <w:proofErr w:type="spellStart"/>
      <w:r>
        <w:t>stroboscopy</w:t>
      </w:r>
      <w:proofErr w:type="spellEnd"/>
      <w:r>
        <w:t xml:space="preserve">, </w:t>
      </w:r>
      <w:proofErr w:type="gramStart"/>
      <w:r>
        <w:t>on the basis of</w:t>
      </w:r>
      <w:proofErr w:type="gramEnd"/>
      <w:r>
        <w:t xml:space="preserve"> expert advice suggesting that </w:t>
      </w:r>
      <w:proofErr w:type="spellStart"/>
      <w:r>
        <w:t>stroboscopy</w:t>
      </w:r>
      <w:proofErr w:type="spellEnd"/>
      <w:r>
        <w:t xml:space="preserve"> is significantly more time consuming than standard flexible endoscopy. Refer to section 4.5.</w:t>
      </w:r>
    </w:p>
    <w:p w14:paraId="78D4F7A3" w14:textId="77777777" w:rsidR="00A844B4" w:rsidRPr="00700528" w:rsidRDefault="003263DE" w:rsidP="00681E75">
      <w:pPr>
        <w:pStyle w:val="Heading3"/>
      </w:pPr>
      <w:r w:rsidRPr="00FE6728">
        <w:t>Recommendation</w:t>
      </w:r>
      <w:r>
        <w:t xml:space="preserve"> 6</w:t>
      </w:r>
      <w:r w:rsidR="00A844B4">
        <w:t>:</w:t>
      </w:r>
      <w:r w:rsidR="007736E8">
        <w:t xml:space="preserve"> </w:t>
      </w:r>
      <w:r w:rsidR="00A844B4">
        <w:t>No amendments required</w:t>
      </w:r>
    </w:p>
    <w:p w14:paraId="1D2D27BF" w14:textId="77777777" w:rsidR="00A844B4" w:rsidRPr="00226A36" w:rsidRDefault="00A844B4" w:rsidP="00684331">
      <w:pPr>
        <w:rPr>
          <w:rFonts w:cs="Arial"/>
          <w:szCs w:val="22"/>
        </w:rPr>
      </w:pPr>
      <w:r w:rsidRPr="00226A36">
        <w:rPr>
          <w:rFonts w:cs="Arial"/>
          <w:szCs w:val="22"/>
        </w:rPr>
        <w:t xml:space="preserve">The Committee identified </w:t>
      </w:r>
      <w:proofErr w:type="gramStart"/>
      <w:r w:rsidRPr="00226A36">
        <w:rPr>
          <w:rFonts w:cs="Arial"/>
          <w:szCs w:val="22"/>
        </w:rPr>
        <w:t>a number of</w:t>
      </w:r>
      <w:proofErr w:type="gramEnd"/>
      <w:r w:rsidRPr="00226A36">
        <w:rPr>
          <w:rFonts w:cs="Arial"/>
          <w:szCs w:val="22"/>
        </w:rPr>
        <w:t xml:space="preserve"> items that required no amendments.</w:t>
      </w:r>
      <w:r w:rsidR="006D0A6A">
        <w:rPr>
          <w:rFonts w:cs="Arial"/>
          <w:szCs w:val="22"/>
        </w:rPr>
        <w:t xml:space="preserve"> Refer to section </w:t>
      </w:r>
      <w:r w:rsidR="003263DE">
        <w:rPr>
          <w:rFonts w:cs="Arial"/>
          <w:szCs w:val="22"/>
        </w:rPr>
        <w:t>5.</w:t>
      </w:r>
    </w:p>
    <w:p w14:paraId="685A83DB" w14:textId="77777777" w:rsidR="00A844B4" w:rsidRPr="00700528" w:rsidRDefault="003263DE" w:rsidP="00681E75">
      <w:pPr>
        <w:pStyle w:val="Heading3"/>
      </w:pPr>
      <w:r w:rsidRPr="00FE6728">
        <w:t>Recommendation</w:t>
      </w:r>
      <w:r>
        <w:t xml:space="preserve"> 7</w:t>
      </w:r>
      <w:r w:rsidR="00A844B4">
        <w:t>:</w:t>
      </w:r>
      <w:r w:rsidR="007736E8">
        <w:t xml:space="preserve"> </w:t>
      </w:r>
      <w:r>
        <w:t>Generic issues</w:t>
      </w:r>
    </w:p>
    <w:p w14:paraId="73814E9C" w14:textId="77777777" w:rsidR="00684331" w:rsidRPr="00226A36" w:rsidRDefault="00684331" w:rsidP="00684331">
      <w:pPr>
        <w:rPr>
          <w:szCs w:val="22"/>
        </w:rPr>
      </w:pPr>
      <w:r w:rsidRPr="00226A36">
        <w:rPr>
          <w:rFonts w:cs="Arial"/>
          <w:szCs w:val="22"/>
        </w:rPr>
        <w:t xml:space="preserve">The Committee has also referred </w:t>
      </w:r>
      <w:proofErr w:type="gramStart"/>
      <w:r w:rsidRPr="00226A36">
        <w:rPr>
          <w:rFonts w:cs="Arial"/>
          <w:szCs w:val="22"/>
        </w:rPr>
        <w:t>a number of</w:t>
      </w:r>
      <w:proofErr w:type="gramEnd"/>
      <w:r w:rsidRPr="00226A36">
        <w:rPr>
          <w:rFonts w:cs="Arial"/>
          <w:szCs w:val="22"/>
        </w:rPr>
        <w:t xml:space="preserve"> generic issues to the Taskforce for further consideration</w:t>
      </w:r>
      <w:r w:rsidR="006D0A6A">
        <w:rPr>
          <w:rFonts w:cs="Arial"/>
          <w:szCs w:val="22"/>
        </w:rPr>
        <w:t>.</w:t>
      </w:r>
      <w:r w:rsidR="007736E8">
        <w:rPr>
          <w:rFonts w:cs="Arial"/>
          <w:szCs w:val="22"/>
        </w:rPr>
        <w:t xml:space="preserve"> </w:t>
      </w:r>
      <w:r w:rsidR="006D0A6A">
        <w:rPr>
          <w:rFonts w:cs="Arial"/>
          <w:szCs w:val="22"/>
        </w:rPr>
        <w:t xml:space="preserve">Refer to </w:t>
      </w:r>
      <w:r w:rsidRPr="00226A36">
        <w:rPr>
          <w:rFonts w:cs="Arial"/>
          <w:szCs w:val="22"/>
        </w:rPr>
        <w:t>section 7.</w:t>
      </w:r>
      <w:bookmarkStart w:id="25" w:name="_Toc434329379"/>
      <w:bookmarkStart w:id="26" w:name="_Toc442174917"/>
      <w:bookmarkEnd w:id="24"/>
    </w:p>
    <w:bookmarkEnd w:id="25"/>
    <w:bookmarkEnd w:id="26"/>
    <w:p w14:paraId="42B19FA6" w14:textId="77777777" w:rsidR="00684331" w:rsidRPr="003263DE" w:rsidRDefault="00684331" w:rsidP="00684331">
      <w:pPr>
        <w:rPr>
          <w:rFonts w:eastAsiaTheme="majorEastAsia"/>
          <w:bCs/>
          <w:iCs/>
          <w:lang w:eastAsia="en-US"/>
        </w:rPr>
      </w:pPr>
      <w:r w:rsidRPr="003263DE">
        <w:rPr>
          <w:rFonts w:eastAsiaTheme="majorEastAsia"/>
          <w:bCs/>
          <w:iCs/>
          <w:lang w:eastAsia="en-US"/>
        </w:rPr>
        <w:t>All items and descriptions are listed in Appendix A.</w:t>
      </w:r>
    </w:p>
    <w:p w14:paraId="33466937" w14:textId="77777777" w:rsidR="000E7E41" w:rsidRPr="00700528" w:rsidRDefault="000E7E41" w:rsidP="006508BC">
      <w:pPr>
        <w:pStyle w:val="Heading2"/>
      </w:pPr>
      <w:bookmarkStart w:id="27" w:name="_Toc457053404"/>
      <w:r w:rsidRPr="00FE6728">
        <w:lastRenderedPageBreak/>
        <w:t>Consumer</w:t>
      </w:r>
      <w:r w:rsidRPr="00700528">
        <w:t xml:space="preserve"> engagement</w:t>
      </w:r>
      <w:bookmarkEnd w:id="27"/>
    </w:p>
    <w:p w14:paraId="2F3F2884" w14:textId="77777777" w:rsidR="000E7E41" w:rsidRPr="008F7A7C" w:rsidRDefault="000E7E41" w:rsidP="000E7E41">
      <w:r w:rsidRPr="008F7A7C">
        <w:t xml:space="preserve">The Committee undertook one of the first clinical reviews. Committee members include specialist ENT surgeons, a paediatric respiratory and sleep medicine </w:t>
      </w:r>
      <w:proofErr w:type="gramStart"/>
      <w:r w:rsidRPr="008F7A7C">
        <w:t>physician</w:t>
      </w:r>
      <w:proofErr w:type="gramEnd"/>
      <w:r w:rsidRPr="008F7A7C">
        <w:t xml:space="preserve"> and a general practitioner with extensive experience in </w:t>
      </w:r>
      <w:r>
        <w:t>I</w:t>
      </w:r>
      <w:r w:rsidRPr="008F7A7C">
        <w:t xml:space="preserve">ndigenous health. </w:t>
      </w:r>
    </w:p>
    <w:p w14:paraId="25021903" w14:textId="77777777" w:rsidR="009B69F3" w:rsidRDefault="009B69F3" w:rsidP="009B69F3">
      <w:r>
        <w:t>The</w:t>
      </w:r>
      <w:r w:rsidRPr="00177DE4">
        <w:rPr>
          <w:bCs/>
        </w:rPr>
        <w:t xml:space="preserve"> Committee</w:t>
      </w:r>
      <w:r w:rsidRPr="009B69F3">
        <w:t xml:space="preserve"> d</w:t>
      </w:r>
      <w:r>
        <w:t>id not have a consumer representative. The</w:t>
      </w:r>
      <w:r w:rsidR="007736E8">
        <w:t xml:space="preserve"> </w:t>
      </w:r>
      <w:r>
        <w:t>Committee recommendations have been summarised in Appendix</w:t>
      </w:r>
      <w:r w:rsidR="00C543EF">
        <w:t xml:space="preserve"> B</w:t>
      </w:r>
      <w:r>
        <w:t>.</w:t>
      </w:r>
      <w:r w:rsidR="007736E8">
        <w:t xml:space="preserve"> </w:t>
      </w:r>
      <w:r>
        <w:t xml:space="preserve">The </w:t>
      </w:r>
      <w:r w:rsidR="00C543EF">
        <w:t>summary</w:t>
      </w:r>
      <w:r>
        <w:t xml:space="preserve"> table describes the medical service, the recommendation of the clinical experts and why the recommendation has been made</w:t>
      </w:r>
      <w:r w:rsidR="007736E8">
        <w:t xml:space="preserve"> </w:t>
      </w:r>
      <w:r>
        <w:t>for all major changes and proposed new items.</w:t>
      </w:r>
    </w:p>
    <w:p w14:paraId="5C863F63" w14:textId="77777777" w:rsidR="00684331" w:rsidRPr="001766C6" w:rsidRDefault="009B69F3" w:rsidP="00681E75">
      <w:r>
        <w:t>The Committee believes it is important to find out from consumers if they will be helped or disadvantaged by the recommendations – and how, and why.</w:t>
      </w:r>
      <w:r w:rsidR="007736E8">
        <w:t xml:space="preserve"> </w:t>
      </w:r>
      <w:r>
        <w:t xml:space="preserve">Following the public </w:t>
      </w:r>
      <w:proofErr w:type="gramStart"/>
      <w:r>
        <w:t>consultation</w:t>
      </w:r>
      <w:proofErr w:type="gramEnd"/>
      <w:r>
        <w:t xml:space="preserve"> the </w:t>
      </w:r>
      <w:r w:rsidR="00C543EF">
        <w:t>Committee</w:t>
      </w:r>
      <w:r w:rsidR="007736E8">
        <w:t xml:space="preserve"> </w:t>
      </w:r>
      <w:r>
        <w:t>will assess the advice from consumers and decide whether any changes are needed to the recommendations.</w:t>
      </w:r>
      <w:r w:rsidR="007736E8">
        <w:t xml:space="preserve"> </w:t>
      </w:r>
      <w:r>
        <w:t>The Committee will then send the recommendations to the Taskforce.</w:t>
      </w:r>
      <w:r w:rsidR="007736E8">
        <w:t xml:space="preserve"> </w:t>
      </w:r>
      <w:r>
        <w:t xml:space="preserve">The Taskforce will consider the recommendations as well as the information provided by consumers </w:t>
      </w:r>
      <w:proofErr w:type="gramStart"/>
      <w:r>
        <w:t>in order to</w:t>
      </w:r>
      <w:proofErr w:type="gramEnd"/>
      <w:r>
        <w:t xml:space="preserve"> make sure that all the important concerns are addressed.</w:t>
      </w:r>
      <w:r w:rsidR="007736E8">
        <w:t xml:space="preserve"> </w:t>
      </w:r>
      <w:r>
        <w:t>The Taskforce will then provide the recommendation to government.</w:t>
      </w:r>
      <w:r w:rsidR="00684331" w:rsidRPr="001766C6">
        <w:br w:type="page"/>
      </w:r>
    </w:p>
    <w:p w14:paraId="253A94C1" w14:textId="77777777" w:rsidR="009837DB" w:rsidRPr="007E02E9" w:rsidRDefault="00817A04" w:rsidP="00700528">
      <w:pPr>
        <w:pStyle w:val="Heading1"/>
      </w:pPr>
      <w:bookmarkStart w:id="28" w:name="_Toc457053408"/>
      <w:bookmarkStart w:id="29" w:name="_Toc485723850"/>
      <w:r w:rsidRPr="007E02E9">
        <w:lastRenderedPageBreak/>
        <w:t>About the Medicare Benefits Schedule (MBS) Review</w:t>
      </w:r>
      <w:bookmarkEnd w:id="28"/>
      <w:bookmarkEnd w:id="29"/>
      <w:r w:rsidRPr="007E02E9">
        <w:t xml:space="preserve"> </w:t>
      </w:r>
    </w:p>
    <w:p w14:paraId="53697725" w14:textId="77777777" w:rsidR="008A05B8" w:rsidRPr="00700528" w:rsidRDefault="00463B1C" w:rsidP="006508BC">
      <w:pPr>
        <w:pStyle w:val="Heading2"/>
      </w:pPr>
      <w:bookmarkStart w:id="30" w:name="_Toc457053409"/>
      <w:r w:rsidRPr="00700528">
        <w:t>Medicare and the MBS</w:t>
      </w:r>
      <w:bookmarkEnd w:id="30"/>
    </w:p>
    <w:p w14:paraId="100CA7C7" w14:textId="77777777" w:rsidR="006B0D15" w:rsidRPr="009200D8" w:rsidRDefault="006B0D15" w:rsidP="00681E75">
      <w:pPr>
        <w:pStyle w:val="Heading3"/>
      </w:pPr>
      <w:r w:rsidRPr="009200D8">
        <w:t>What is Medicare?</w:t>
      </w:r>
    </w:p>
    <w:p w14:paraId="508D2EE5" w14:textId="77777777" w:rsidR="006B0D15" w:rsidRPr="009D0EED" w:rsidRDefault="006B0D15" w:rsidP="00681E75">
      <w:pPr>
        <w:rPr>
          <w:lang w:val="en-US" w:eastAsia="en-US"/>
        </w:rPr>
      </w:pPr>
      <w:r w:rsidRPr="00253F2C">
        <w:rPr>
          <w:lang w:val="en-US" w:eastAsia="en-US"/>
        </w:rPr>
        <w:t>Medicare is Australia’s universal health scheme</w:t>
      </w:r>
      <w:r w:rsidR="00A13A3C" w:rsidRPr="009D0EED">
        <w:rPr>
          <w:lang w:val="en-US" w:eastAsia="en-US"/>
        </w:rPr>
        <w:t xml:space="preserve"> which</w:t>
      </w:r>
      <w:r w:rsidRPr="009D0EED">
        <w:rPr>
          <w:lang w:val="en-US" w:eastAsia="en-US"/>
        </w:rPr>
        <w:t xml:space="preserve"> </w:t>
      </w:r>
      <w:r w:rsidR="00A13A3C" w:rsidRPr="009D0EED">
        <w:rPr>
          <w:lang w:val="en-US" w:eastAsia="en-US"/>
        </w:rPr>
        <w:t>enables</w:t>
      </w:r>
      <w:r w:rsidRPr="009D0EED">
        <w:rPr>
          <w:lang w:val="en-US" w:eastAsia="en-US"/>
        </w:rPr>
        <w:t xml:space="preserve"> all citizens (and some overseas visitors) </w:t>
      </w:r>
      <w:r w:rsidR="00F971B5" w:rsidRPr="009D0EED">
        <w:rPr>
          <w:lang w:val="en-US" w:eastAsia="en-US"/>
        </w:rPr>
        <w:t xml:space="preserve">to </w:t>
      </w:r>
      <w:r w:rsidR="00AE0B4C" w:rsidRPr="009D0EED">
        <w:rPr>
          <w:lang w:val="en-US" w:eastAsia="en-US"/>
        </w:rPr>
        <w:t>have</w:t>
      </w:r>
      <w:r w:rsidRPr="009D0EED">
        <w:rPr>
          <w:lang w:val="en-US" w:eastAsia="en-US"/>
        </w:rPr>
        <w:t xml:space="preserve"> access to a wide range of health services </w:t>
      </w:r>
      <w:r w:rsidR="00F971B5" w:rsidRPr="009D0EED">
        <w:rPr>
          <w:lang w:val="en-US" w:eastAsia="en-US"/>
        </w:rPr>
        <w:t xml:space="preserve">and medicines </w:t>
      </w:r>
      <w:r w:rsidRPr="009D0EED">
        <w:rPr>
          <w:lang w:val="en-US" w:eastAsia="en-US"/>
        </w:rPr>
        <w:t xml:space="preserve">at little or no cost. </w:t>
      </w:r>
    </w:p>
    <w:p w14:paraId="534CEA78" w14:textId="77777777" w:rsidR="006B0D15" w:rsidRPr="001C3B56" w:rsidRDefault="00A13A3C" w:rsidP="00681E75">
      <w:pPr>
        <w:rPr>
          <w:rFonts w:eastAsiaTheme="minorHAnsi"/>
          <w:lang w:eastAsia="en-US"/>
        </w:rPr>
      </w:pPr>
      <w:r w:rsidRPr="009D0EED">
        <w:t>Introduced in 1984,</w:t>
      </w:r>
      <w:r w:rsidR="00536EB8" w:rsidRPr="009D0EED">
        <w:t xml:space="preserve"> </w:t>
      </w:r>
      <w:r w:rsidR="006B0D15" w:rsidRPr="009D0EED">
        <w:t xml:space="preserve">Medicare </w:t>
      </w:r>
      <w:r w:rsidRPr="009D0EED">
        <w:t>has three components</w:t>
      </w:r>
      <w:r w:rsidR="0076332F">
        <w:t>,</w:t>
      </w:r>
      <w:r w:rsidRPr="009D0EED">
        <w:t xml:space="preserve"> being free public hospital services for public patients, subsidised drugs covered by the Pharmaceutical Benefits Scheme</w:t>
      </w:r>
      <w:r w:rsidR="0076332F">
        <w:t>,</w:t>
      </w:r>
      <w:r w:rsidRPr="009D0EED">
        <w:t xml:space="preserve"> and subsidised health professional services listed on the MBS</w:t>
      </w:r>
      <w:r w:rsidR="006B0D15" w:rsidRPr="009D0EED">
        <w:t>.</w:t>
      </w:r>
    </w:p>
    <w:p w14:paraId="48CBF148" w14:textId="77777777" w:rsidR="008A05B8" w:rsidRPr="009200D8" w:rsidRDefault="008A05B8" w:rsidP="00681E75">
      <w:pPr>
        <w:pStyle w:val="Heading3"/>
      </w:pPr>
      <w:r w:rsidRPr="009200D8">
        <w:t xml:space="preserve">What </w:t>
      </w:r>
      <w:r w:rsidRPr="00FE6728">
        <w:t>is</w:t>
      </w:r>
      <w:r w:rsidRPr="009200D8">
        <w:t xml:space="preserve"> the Medicare Benefits Schedule (MBS)?</w:t>
      </w:r>
    </w:p>
    <w:p w14:paraId="52F44261" w14:textId="77777777" w:rsidR="008A05B8" w:rsidRPr="009D0EED" w:rsidRDefault="00D57793" w:rsidP="00681E75">
      <w:pPr>
        <w:rPr>
          <w:lang w:val="en-US" w:eastAsia="en-US"/>
        </w:rPr>
      </w:pPr>
      <w:r w:rsidRPr="00253F2C">
        <w:rPr>
          <w:lang w:val="en-US" w:eastAsia="en-US"/>
        </w:rPr>
        <w:t>The MBS</w:t>
      </w:r>
      <w:r w:rsidR="00E60228">
        <w:rPr>
          <w:lang w:val="en-US" w:eastAsia="en-US"/>
        </w:rPr>
        <w:t xml:space="preserve"> </w:t>
      </w:r>
      <w:r w:rsidRPr="00253F2C">
        <w:rPr>
          <w:lang w:val="en-US" w:eastAsia="en-US"/>
        </w:rPr>
        <w:t>is a listing of the</w:t>
      </w:r>
      <w:r w:rsidR="00A13A3C" w:rsidRPr="009D0EED">
        <w:rPr>
          <w:lang w:val="en-US" w:eastAsia="en-US"/>
        </w:rPr>
        <w:t xml:space="preserve"> health </w:t>
      </w:r>
      <w:r w:rsidR="00536EB8" w:rsidRPr="009D0EED">
        <w:rPr>
          <w:lang w:val="en-US" w:eastAsia="en-US"/>
        </w:rPr>
        <w:t>professional services</w:t>
      </w:r>
      <w:r w:rsidRPr="009D0EED">
        <w:rPr>
          <w:lang w:val="en-US" w:eastAsia="en-US"/>
        </w:rPr>
        <w:t xml:space="preserve"> </w:t>
      </w:r>
      <w:proofErr w:type="spellStart"/>
      <w:r w:rsidRPr="009D0EED">
        <w:rPr>
          <w:lang w:val="en-US" w:eastAsia="en-US"/>
        </w:rPr>
        <w:t>subsidised</w:t>
      </w:r>
      <w:proofErr w:type="spellEnd"/>
      <w:r w:rsidRPr="009D0EED">
        <w:rPr>
          <w:lang w:val="en-US" w:eastAsia="en-US"/>
        </w:rPr>
        <w:t xml:space="preserve"> by the Australian </w:t>
      </w:r>
      <w:r w:rsidR="00536EB8" w:rsidRPr="009D0EED">
        <w:rPr>
          <w:lang w:val="en-US" w:eastAsia="en-US"/>
        </w:rPr>
        <w:t>government. There</w:t>
      </w:r>
      <w:r w:rsidR="00F971B5" w:rsidRPr="009D0EED">
        <w:rPr>
          <w:lang w:val="en-US" w:eastAsia="en-US"/>
        </w:rPr>
        <w:t xml:space="preserve"> are over 5</w:t>
      </w:r>
      <w:r w:rsidR="0076332F">
        <w:rPr>
          <w:lang w:val="en-US" w:eastAsia="en-US"/>
        </w:rPr>
        <w:t>,</w:t>
      </w:r>
      <w:r w:rsidR="00F971B5" w:rsidRPr="009D0EED">
        <w:rPr>
          <w:lang w:val="en-US" w:eastAsia="en-US"/>
        </w:rPr>
        <w:t xml:space="preserve">700 MBS items </w:t>
      </w:r>
      <w:r w:rsidR="00536EB8" w:rsidRPr="009D0EED">
        <w:rPr>
          <w:lang w:val="en-US" w:eastAsia="en-US"/>
        </w:rPr>
        <w:t>which provide</w:t>
      </w:r>
      <w:r w:rsidR="00F971B5" w:rsidRPr="009D0EED">
        <w:rPr>
          <w:lang w:val="en-US" w:eastAsia="en-US"/>
        </w:rPr>
        <w:t xml:space="preserve"> </w:t>
      </w:r>
      <w:r w:rsidR="006959AC">
        <w:rPr>
          <w:lang w:val="en-US" w:eastAsia="en-US"/>
        </w:rPr>
        <w:t xml:space="preserve">benefits to patients </w:t>
      </w:r>
      <w:r w:rsidR="00536EB8" w:rsidRPr="009D0EED">
        <w:rPr>
          <w:lang w:val="en-US" w:eastAsia="en-US"/>
        </w:rPr>
        <w:t>for</w:t>
      </w:r>
      <w:r w:rsidR="00F971B5" w:rsidRPr="009D0EED">
        <w:rPr>
          <w:lang w:val="en-US" w:eastAsia="en-US"/>
        </w:rPr>
        <w:t xml:space="preserve"> a comprehensive range </w:t>
      </w:r>
      <w:r w:rsidR="0054443F" w:rsidRPr="009D0EED">
        <w:rPr>
          <w:lang w:val="en-US" w:eastAsia="en-US"/>
        </w:rPr>
        <w:t>of services</w:t>
      </w:r>
      <w:r w:rsidR="00F971B5" w:rsidRPr="009D0EED">
        <w:rPr>
          <w:lang w:val="en-US" w:eastAsia="en-US"/>
        </w:rPr>
        <w:t xml:space="preserve"> including consultations, diagnostic </w:t>
      </w:r>
      <w:proofErr w:type="gramStart"/>
      <w:r w:rsidR="00F971B5" w:rsidRPr="009D0EED">
        <w:rPr>
          <w:lang w:val="en-US" w:eastAsia="en-US"/>
        </w:rPr>
        <w:t>tests</w:t>
      </w:r>
      <w:proofErr w:type="gramEnd"/>
      <w:r w:rsidR="00F971B5" w:rsidRPr="009D0EED">
        <w:rPr>
          <w:lang w:val="en-US" w:eastAsia="en-US"/>
        </w:rPr>
        <w:t xml:space="preserve"> and operations. </w:t>
      </w:r>
    </w:p>
    <w:p w14:paraId="7FA35A4D" w14:textId="77777777" w:rsidR="008A05B8" w:rsidRPr="009200D8" w:rsidRDefault="006959AC" w:rsidP="00526F40">
      <w:pPr>
        <w:pStyle w:val="Heading2a"/>
      </w:pPr>
      <w:r>
        <w:t xml:space="preserve">2.2 </w:t>
      </w:r>
      <w:r w:rsidR="008A05B8" w:rsidRPr="00FE6728">
        <w:t>What</w:t>
      </w:r>
      <w:r w:rsidR="008A05B8" w:rsidRPr="009200D8">
        <w:t xml:space="preserve"> is the MBS Review Taskforce?</w:t>
      </w:r>
    </w:p>
    <w:p w14:paraId="38CC3EB9" w14:textId="77777777" w:rsidR="008A05B8" w:rsidRPr="009D40D0" w:rsidRDefault="008A05B8" w:rsidP="00681E75">
      <w:pPr>
        <w:rPr>
          <w:lang w:val="en-US" w:eastAsia="en-US"/>
        </w:rPr>
      </w:pPr>
      <w:r w:rsidRPr="00253F2C">
        <w:rPr>
          <w:lang w:val="en-US" w:eastAsia="en-US"/>
        </w:rPr>
        <w:t xml:space="preserve">The government has established </w:t>
      </w:r>
      <w:proofErr w:type="gramStart"/>
      <w:r w:rsidRPr="00253F2C">
        <w:rPr>
          <w:lang w:val="en-US" w:eastAsia="en-US"/>
        </w:rPr>
        <w:t>a</w:t>
      </w:r>
      <w:proofErr w:type="gramEnd"/>
      <w:r w:rsidRPr="00253F2C">
        <w:rPr>
          <w:lang w:val="en-US" w:eastAsia="en-US"/>
        </w:rPr>
        <w:t xml:space="preserve"> </w:t>
      </w:r>
      <w:r w:rsidR="00E60228">
        <w:rPr>
          <w:lang w:val="en-US" w:eastAsia="en-US"/>
        </w:rPr>
        <w:t>MBS</w:t>
      </w:r>
      <w:r w:rsidR="00E60228" w:rsidRPr="00253F2C">
        <w:rPr>
          <w:lang w:val="en-US" w:eastAsia="en-US"/>
        </w:rPr>
        <w:t xml:space="preserve"> </w:t>
      </w:r>
      <w:r w:rsidRPr="00253F2C">
        <w:rPr>
          <w:lang w:val="en-US" w:eastAsia="en-US"/>
        </w:rPr>
        <w:t>Review Taskforce to review all of the 5</w:t>
      </w:r>
      <w:r w:rsidR="0076332F">
        <w:rPr>
          <w:lang w:val="en-US" w:eastAsia="en-US"/>
        </w:rPr>
        <w:t>,</w:t>
      </w:r>
      <w:r w:rsidRPr="00253F2C">
        <w:rPr>
          <w:lang w:val="en-US" w:eastAsia="en-US"/>
        </w:rPr>
        <w:t>700 M</w:t>
      </w:r>
      <w:r w:rsidR="00F971B5" w:rsidRPr="009D0EED">
        <w:rPr>
          <w:lang w:val="en-US" w:eastAsia="en-US"/>
        </w:rPr>
        <w:t>BS</w:t>
      </w:r>
      <w:r w:rsidRPr="009D0EED">
        <w:rPr>
          <w:lang w:val="en-US" w:eastAsia="en-US"/>
        </w:rPr>
        <w:t xml:space="preserve"> items to ensure they are aligned w</w:t>
      </w:r>
      <w:r w:rsidRPr="009D40D0">
        <w:rPr>
          <w:lang w:val="en-US" w:eastAsia="en-US"/>
        </w:rPr>
        <w:t>ith contemporary clinical evidence and practice and improve health outcomes for patients.</w:t>
      </w:r>
    </w:p>
    <w:p w14:paraId="0E8F17B3" w14:textId="77777777" w:rsidR="008A05B8" w:rsidRPr="00700528" w:rsidRDefault="00202DB4" w:rsidP="00526F40">
      <w:pPr>
        <w:pStyle w:val="Heading3"/>
      </w:pPr>
      <w:bookmarkStart w:id="31" w:name="_Toc457053410"/>
      <w:r w:rsidRPr="00700528">
        <w:t>What are the g</w:t>
      </w:r>
      <w:r w:rsidR="009A1898" w:rsidRPr="00700528">
        <w:t>oals of the Taskforce?</w:t>
      </w:r>
      <w:bookmarkEnd w:id="31"/>
    </w:p>
    <w:p w14:paraId="228CF55C" w14:textId="77777777" w:rsidR="00AE0B4C" w:rsidRPr="009D0EED" w:rsidRDefault="00AE0B4C" w:rsidP="00681E75">
      <w:r w:rsidRPr="009D0EED">
        <w:t>The Taskforce is committed to providing recommendations to the Minister that will allow the MBS to deliver on each of these four key goals:</w:t>
      </w:r>
    </w:p>
    <w:p w14:paraId="14ADA144" w14:textId="77777777" w:rsidR="00AE0B4C" w:rsidRPr="003A6B42" w:rsidRDefault="00AE0B4C" w:rsidP="00490F36">
      <w:pPr>
        <w:pStyle w:val="NormalBulleted"/>
        <w:rPr>
          <w:lang w:val="en-US"/>
        </w:rPr>
      </w:pPr>
      <w:r w:rsidRPr="003A6B42">
        <w:rPr>
          <w:b/>
          <w:lang w:val="en-US"/>
        </w:rPr>
        <w:t>Affordable and universal access</w:t>
      </w:r>
      <w:r w:rsidRPr="003A6B42">
        <w:rPr>
          <w:lang w:val="en-US"/>
        </w:rPr>
        <w:t>—</w:t>
      </w:r>
      <w:r w:rsidR="00306AC2" w:rsidRPr="003A6B42">
        <w:rPr>
          <w:lang w:val="en-US"/>
        </w:rPr>
        <w:t>the</w:t>
      </w:r>
      <w:r w:rsidRPr="003A6B42">
        <w:rPr>
          <w:lang w:val="en-US"/>
        </w:rPr>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6410752F" w14:textId="77777777" w:rsidR="00AE0B4C" w:rsidRPr="003A6B42" w:rsidRDefault="00AE0B4C" w:rsidP="00490F36">
      <w:pPr>
        <w:pStyle w:val="NormalBulleted"/>
        <w:rPr>
          <w:lang w:val="en-US"/>
        </w:rPr>
      </w:pPr>
      <w:r w:rsidRPr="003A6B42">
        <w:rPr>
          <w:b/>
          <w:lang w:val="en-US"/>
        </w:rPr>
        <w:t>Best practice health services</w:t>
      </w:r>
      <w:r w:rsidRPr="003A6B42">
        <w:rPr>
          <w:lang w:val="en-US"/>
        </w:rPr>
        <w:t>—</w:t>
      </w:r>
      <w:r w:rsidR="00306AC2" w:rsidRPr="003A6B42">
        <w:rPr>
          <w:lang w:val="en-US"/>
        </w:rPr>
        <w:t>one</w:t>
      </w:r>
      <w:r w:rsidRPr="003A6B42">
        <w:rPr>
          <w:lang w:val="en-US"/>
        </w:rPr>
        <w:t xml:space="preserve"> of the core objectives of the Review is to </w:t>
      </w:r>
      <w:proofErr w:type="spellStart"/>
      <w:r w:rsidRPr="003A6B42">
        <w:rPr>
          <w:lang w:val="en-US"/>
        </w:rPr>
        <w:t>modernise</w:t>
      </w:r>
      <w:proofErr w:type="spellEnd"/>
      <w:r w:rsidRPr="003A6B42">
        <w:rPr>
          <w:lang w:val="en-US"/>
        </w:rPr>
        <w:t xml:space="preserve"> the MBS, ensuring that individual items and their descriptors are consistent with contemporary best practice and the evidence base where possible. Although the Medical Services Advisory Committee (MSAC) plays a crucial role in thoroughly evaluating new services, </w:t>
      </w:r>
      <w:proofErr w:type="gramStart"/>
      <w:r w:rsidRPr="003A6B42">
        <w:rPr>
          <w:lang w:val="en-US"/>
        </w:rPr>
        <w:t xml:space="preserve">the vast </w:t>
      </w:r>
      <w:r w:rsidR="0054443F" w:rsidRPr="003A6B42">
        <w:rPr>
          <w:lang w:val="en-US"/>
        </w:rPr>
        <w:t>majority of</w:t>
      </w:r>
      <w:proofErr w:type="gramEnd"/>
      <w:r w:rsidR="0054443F" w:rsidRPr="003A6B42">
        <w:rPr>
          <w:lang w:val="en-US"/>
        </w:rPr>
        <w:t xml:space="preserve"> existing MBS items pre-dates this process and has</w:t>
      </w:r>
      <w:r w:rsidRPr="003A6B42">
        <w:rPr>
          <w:lang w:val="en-US"/>
        </w:rPr>
        <w:t xml:space="preserve"> never been reviewed.</w:t>
      </w:r>
    </w:p>
    <w:p w14:paraId="666C70DA" w14:textId="77777777" w:rsidR="00AE0B4C" w:rsidRPr="003A6B42" w:rsidRDefault="00AE0B4C" w:rsidP="00490F36">
      <w:pPr>
        <w:pStyle w:val="NormalBulleted"/>
        <w:rPr>
          <w:lang w:val="en-US"/>
        </w:rPr>
      </w:pPr>
      <w:r w:rsidRPr="003A6B42">
        <w:rPr>
          <w:b/>
          <w:lang w:val="en-US"/>
        </w:rPr>
        <w:t>Value for the individual patient</w:t>
      </w:r>
      <w:r w:rsidR="00306AC2" w:rsidRPr="003A6B42">
        <w:rPr>
          <w:lang w:val="en-US"/>
        </w:rPr>
        <w:t>—a</w:t>
      </w:r>
      <w:r w:rsidRPr="003A6B42">
        <w:rPr>
          <w:lang w:val="en-US"/>
        </w:rPr>
        <w:t>nother core objective of the Review is to have a MBS that supports the delivery of services that are appropriate to the patient’s needs, provide real clinical value and do not expose the patient to unnecessary risk or expense.</w:t>
      </w:r>
    </w:p>
    <w:p w14:paraId="693240CC" w14:textId="77777777" w:rsidR="00AE0B4C" w:rsidRPr="009D0EED" w:rsidRDefault="00AE0B4C" w:rsidP="00490F36">
      <w:pPr>
        <w:pStyle w:val="NormalBulleted"/>
      </w:pPr>
      <w:r w:rsidRPr="003A6B42">
        <w:rPr>
          <w:b/>
          <w:lang w:val="en-US"/>
        </w:rPr>
        <w:t>Value for the health system</w:t>
      </w:r>
      <w:r w:rsidR="00306AC2" w:rsidRPr="003A6B42">
        <w:rPr>
          <w:lang w:val="en-US"/>
        </w:rPr>
        <w:t>—a</w:t>
      </w:r>
      <w:r w:rsidRPr="003A6B42">
        <w:rPr>
          <w:lang w:val="en-US"/>
        </w:rPr>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47ECB7A3" w14:textId="77777777" w:rsidR="00715996" w:rsidRPr="00700528" w:rsidRDefault="00715996" w:rsidP="006508BC">
      <w:pPr>
        <w:pStyle w:val="Heading2"/>
      </w:pPr>
      <w:bookmarkStart w:id="32" w:name="_Toc457053411"/>
      <w:r w:rsidRPr="00700528">
        <w:lastRenderedPageBreak/>
        <w:t>Methods: The Taskforce’s approach</w:t>
      </w:r>
      <w:bookmarkEnd w:id="32"/>
    </w:p>
    <w:p w14:paraId="5F4DC6C6" w14:textId="77777777" w:rsidR="00715996" w:rsidRPr="009D0EED" w:rsidRDefault="00715996" w:rsidP="00681E75">
      <w:r w:rsidRPr="00253F2C">
        <w:t xml:space="preserve">The Taskforce is </w:t>
      </w:r>
      <w:r w:rsidR="00AE0B4C" w:rsidRPr="009D0EED">
        <w:t xml:space="preserve">reviewing the existing MBS items, with </w:t>
      </w:r>
      <w:r w:rsidRPr="009D0EED">
        <w:t>a</w:t>
      </w:r>
      <w:r w:rsidR="00AE0B4C" w:rsidRPr="009D0EED">
        <w:t xml:space="preserve"> </w:t>
      </w:r>
      <w:r w:rsidRPr="009D0EED">
        <w:t xml:space="preserve">primary </w:t>
      </w:r>
      <w:r w:rsidR="00CE0E68" w:rsidRPr="009D0EED">
        <w:t>focus</w:t>
      </w:r>
      <w:r w:rsidR="00AE0B4C" w:rsidRPr="009D0EED">
        <w:t xml:space="preserve"> on ensuring that individual items and usage meet the definition of best practice. </w:t>
      </w:r>
    </w:p>
    <w:p w14:paraId="45CF7C9C" w14:textId="77777777" w:rsidR="00AE0B4C" w:rsidRPr="009D0EED" w:rsidRDefault="00AE0B4C" w:rsidP="00681E75">
      <w:r w:rsidRPr="009D0EED">
        <w:t xml:space="preserve">Within the Taskforce’s brief there is considerable scope to review and advise on all aspects which would contribute to a modern, </w:t>
      </w:r>
      <w:proofErr w:type="gramStart"/>
      <w:r w:rsidRPr="009D0EED">
        <w:t>transparent</w:t>
      </w:r>
      <w:proofErr w:type="gramEnd"/>
      <w:r w:rsidRPr="009D0EED">
        <w:t xml:space="preserve"> and responsive system. This includes not only making recommendations about new items or services being added to the MBS, but also about </w:t>
      </w:r>
      <w:proofErr w:type="gramStart"/>
      <w:r w:rsidRPr="009D0EED">
        <w:t>a</w:t>
      </w:r>
      <w:proofErr w:type="gramEnd"/>
      <w:r w:rsidRPr="009D0EED">
        <w:t xml:space="preserve"> MBS structure that could better accommodate changing health service models. </w:t>
      </w:r>
    </w:p>
    <w:p w14:paraId="43EC4EFA" w14:textId="77777777" w:rsidR="00AE0B4C" w:rsidRPr="009D0EED" w:rsidRDefault="00AE0B4C" w:rsidP="00681E75">
      <w:r w:rsidRPr="009D0EED">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5B9EB2A6" w14:textId="77777777" w:rsidR="00AE0B4C" w:rsidRPr="009D0EED" w:rsidRDefault="00715996" w:rsidP="00681E75">
      <w:r w:rsidRPr="009D0EED">
        <w:t>The</w:t>
      </w:r>
      <w:r w:rsidR="00AE0B4C" w:rsidRPr="009D0EED">
        <w:t xml:space="preserve"> Taskforce will </w:t>
      </w:r>
      <w:r w:rsidRPr="009D0EED">
        <w:t>also develop a</w:t>
      </w:r>
      <w:r w:rsidR="00AE0B4C" w:rsidRPr="009D0EED">
        <w:t xml:space="preserve"> mechanism for the ongoing review of the MBS once the current Review is concluded.</w:t>
      </w:r>
    </w:p>
    <w:p w14:paraId="72385E5F" w14:textId="77777777" w:rsidR="00F971B5" w:rsidRPr="009D0EED" w:rsidRDefault="00F971B5" w:rsidP="00681E75">
      <w:r w:rsidRPr="009D0EED">
        <w:t>As the Review is to be clinician</w:t>
      </w:r>
      <w:r w:rsidR="0076332F">
        <w:t>-</w:t>
      </w:r>
      <w:r w:rsidRPr="009D0EED">
        <w:t>led, the Taskforce has de</w:t>
      </w:r>
      <w:r w:rsidR="009A0DC4" w:rsidRPr="009D0EED">
        <w:t>cided that the detailed review of MBS items should be done by Clinical Committees. The Committees are broad based in their membership and members have been appointed in their individual capacity</w:t>
      </w:r>
      <w:r w:rsidR="0076332F">
        <w:t>,</w:t>
      </w:r>
      <w:r w:rsidR="009A0DC4" w:rsidRPr="009D0EED">
        <w:t xml:space="preserve"> not as representatives of any organisation. This draft report details the work done by the specific Clinical Committee </w:t>
      </w:r>
      <w:r w:rsidR="0054443F" w:rsidRPr="009D0EED">
        <w:t>and describes</w:t>
      </w:r>
      <w:r w:rsidR="009A0DC4" w:rsidRPr="009D0EED">
        <w:t xml:space="preserve"> the Committee’s recommendations and their rationale.</w:t>
      </w:r>
    </w:p>
    <w:p w14:paraId="77895B11" w14:textId="77777777" w:rsidR="004D72E6" w:rsidRDefault="007E588A" w:rsidP="00681E75">
      <w:r w:rsidRPr="009D0EED">
        <w:t xml:space="preserve">This report does not represent the final position of the Clinical Committee. </w:t>
      </w:r>
      <w:r w:rsidR="00306AC2" w:rsidRPr="009D0EED">
        <w:t xml:space="preserve">A consultation process will inform recommendations of the </w:t>
      </w:r>
      <w:r w:rsidR="002F79F4">
        <w:t>Committee</w:t>
      </w:r>
      <w:r w:rsidR="00CF3A42" w:rsidRPr="009D0EED">
        <w:t xml:space="preserve"> and </w:t>
      </w:r>
      <w:r w:rsidR="00306AC2" w:rsidRPr="009D0EED">
        <w:t xml:space="preserve">assist </w:t>
      </w:r>
      <w:r w:rsidR="002F79F4">
        <w:t xml:space="preserve">it </w:t>
      </w:r>
      <w:r w:rsidR="00306AC2" w:rsidRPr="009D0EED">
        <w:t xml:space="preserve">in finalising its report to the MBS review Taskforce. </w:t>
      </w:r>
    </w:p>
    <w:p w14:paraId="6B77A56B" w14:textId="77777777" w:rsidR="00306AC2" w:rsidRPr="009D0EED" w:rsidRDefault="00306AC2" w:rsidP="00681E75">
      <w:pPr>
        <w:rPr>
          <w:lang w:val="en-US" w:eastAsia="en-US"/>
        </w:rPr>
      </w:pPr>
      <w:r w:rsidRPr="009D0EED">
        <w:t xml:space="preserve">Following consultation, the Clinical Committee will provide its final advice to the MBS Review Taskforce. </w:t>
      </w:r>
      <w:r w:rsidRPr="009D0EED">
        <w:rPr>
          <w:lang w:val="en-US" w:eastAsia="en-US"/>
        </w:rPr>
        <w:t xml:space="preserve">The Taskforce will consider the Review Report from Clinical Committees and stakeholder feedback before making recommendations to the Minister for consideration by Government. </w:t>
      </w:r>
    </w:p>
    <w:p w14:paraId="6811D8A7" w14:textId="77777777" w:rsidR="00457693" w:rsidRPr="00700528" w:rsidRDefault="00457693" w:rsidP="006508BC">
      <w:pPr>
        <w:pStyle w:val="Heading2"/>
      </w:pPr>
      <w:bookmarkStart w:id="33" w:name="_Toc457053412"/>
      <w:proofErr w:type="spellStart"/>
      <w:r w:rsidRPr="00700528">
        <w:t>Prioritisation</w:t>
      </w:r>
      <w:proofErr w:type="spellEnd"/>
      <w:r w:rsidRPr="00700528">
        <w:t xml:space="preserve"> process</w:t>
      </w:r>
      <w:bookmarkEnd w:id="33"/>
    </w:p>
    <w:p w14:paraId="0FB17655" w14:textId="77777777" w:rsidR="00457693" w:rsidRPr="009D0EED" w:rsidRDefault="00457693" w:rsidP="00681E75">
      <w:r w:rsidRPr="009D0EED">
        <w:t xml:space="preserve">All MBS items will be reviewed </w:t>
      </w:r>
      <w:proofErr w:type="gramStart"/>
      <w:r w:rsidRPr="009D0EED">
        <w:t>during the course of</w:t>
      </w:r>
      <w:proofErr w:type="gramEnd"/>
      <w:r w:rsidRPr="009D0EED">
        <w:t xml:space="preserve"> the MBS Review. However</w:t>
      </w:r>
      <w:r w:rsidR="00D8120A">
        <w:t>,</w:t>
      </w:r>
      <w:r w:rsidRPr="009D0EED">
        <w:t xml:space="preserve"> </w:t>
      </w:r>
      <w:r w:rsidR="009A0DC4" w:rsidRPr="009D0EED">
        <w:t xml:space="preserve">given the breadth of </w:t>
      </w:r>
      <w:r w:rsidR="000309CE" w:rsidRPr="009D0EED">
        <w:t xml:space="preserve">and timeframe for </w:t>
      </w:r>
      <w:r w:rsidR="009A0DC4" w:rsidRPr="009D0EED">
        <w:t>the Review, each Clinical Committee has needed to develop a work</w:t>
      </w:r>
      <w:r w:rsidR="0026678E" w:rsidRPr="009D0EED">
        <w:t xml:space="preserve"> </w:t>
      </w:r>
      <w:r w:rsidR="009A0DC4" w:rsidRPr="009D0EED">
        <w:t>plan and assign priorities</w:t>
      </w:r>
      <w:r w:rsidR="000309CE" w:rsidRPr="009D0EED">
        <w:t xml:space="preserve"> keeping in mind the objectives of the Review. With a focus on </w:t>
      </w:r>
      <w:r w:rsidR="0054443F" w:rsidRPr="009D0EED">
        <w:t>improving the</w:t>
      </w:r>
      <w:r w:rsidR="000309CE" w:rsidRPr="009D0EED">
        <w:t xml:space="preserve"> clinical value of MBS services</w:t>
      </w:r>
      <w:r w:rsidR="0026678E" w:rsidRPr="009D0EED">
        <w:t>,</w:t>
      </w:r>
      <w:r w:rsidR="000309CE" w:rsidRPr="009D0EED">
        <w:t xml:space="preserve"> the Clinical Committees have taken account of factors including the volume </w:t>
      </w:r>
      <w:r w:rsidR="0026678E" w:rsidRPr="009D0EED">
        <w:t xml:space="preserve">of </w:t>
      </w:r>
      <w:r w:rsidR="000309CE" w:rsidRPr="009D0EED">
        <w:t xml:space="preserve">services, service </w:t>
      </w:r>
      <w:r w:rsidR="0026678E" w:rsidRPr="009D0EED">
        <w:t xml:space="preserve">patterns and </w:t>
      </w:r>
      <w:r w:rsidR="000309CE" w:rsidRPr="009D0EED">
        <w:t>growth</w:t>
      </w:r>
      <w:r w:rsidR="0026678E" w:rsidRPr="009D0EED">
        <w:t xml:space="preserve"> and variation in the per capita use of ser</w:t>
      </w:r>
      <w:r w:rsidR="00CF3A42" w:rsidRPr="009D0EED">
        <w:t>vices, to prioritise their work</w:t>
      </w:r>
      <w:r w:rsidRPr="009D0EED">
        <w:t>.</w:t>
      </w:r>
      <w:r w:rsidR="007736E8">
        <w:t xml:space="preserve"> </w:t>
      </w:r>
      <w:r w:rsidR="0026678E" w:rsidRPr="009D0EED">
        <w:t xml:space="preserve">In addition to MBS </w:t>
      </w:r>
      <w:r w:rsidR="0054443F" w:rsidRPr="009D0EED">
        <w:t>data, important</w:t>
      </w:r>
      <w:r w:rsidR="000309CE" w:rsidRPr="009D0EED">
        <w:t xml:space="preserve"> resource</w:t>
      </w:r>
      <w:r w:rsidR="0026678E" w:rsidRPr="009D0EED">
        <w:t>s</w:t>
      </w:r>
      <w:r w:rsidR="000309CE" w:rsidRPr="009D0EED">
        <w:t xml:space="preserve"> for the Taskforce and the Clinical Committees have i</w:t>
      </w:r>
      <w:r w:rsidR="0026678E" w:rsidRPr="009D0EED">
        <w:t>ncluded</w:t>
      </w:r>
      <w:r w:rsidRPr="009D0EED">
        <w:t xml:space="preserve">: </w:t>
      </w:r>
    </w:p>
    <w:p w14:paraId="2615516E" w14:textId="77777777" w:rsidR="00457693" w:rsidRPr="00FE6728" w:rsidRDefault="0026678E" w:rsidP="00FE6728">
      <w:pPr>
        <w:pStyle w:val="NormalBulleted"/>
      </w:pPr>
      <w:r w:rsidRPr="00FE6728">
        <w:t>T</w:t>
      </w:r>
      <w:r w:rsidR="00457693" w:rsidRPr="00FE6728">
        <w:t xml:space="preserve">he Choosing Wisely recommendations, both from Australian and internationally </w:t>
      </w:r>
    </w:p>
    <w:p w14:paraId="1AE1A56E" w14:textId="77777777" w:rsidR="00457693" w:rsidRPr="00A03057" w:rsidRDefault="00457693" w:rsidP="00FE6728">
      <w:pPr>
        <w:pStyle w:val="NormalBulleted"/>
      </w:pPr>
      <w:r w:rsidRPr="007E1A59">
        <w:t>National Institute for Heal</w:t>
      </w:r>
      <w:r w:rsidRPr="00A03057">
        <w:t xml:space="preserve">th and Care Excellence (NICE UK) Do Not Do recommendations and clinical guidance </w:t>
      </w:r>
    </w:p>
    <w:p w14:paraId="5D9436D7" w14:textId="77777777" w:rsidR="004D72E6" w:rsidRPr="00FE6728" w:rsidRDefault="0026678E" w:rsidP="00FE6728">
      <w:pPr>
        <w:pStyle w:val="NormalBulleted"/>
      </w:pPr>
      <w:r w:rsidRPr="00A03057">
        <w:t>O</w:t>
      </w:r>
      <w:r w:rsidR="00457693" w:rsidRPr="007E27AB">
        <w:t xml:space="preserve">ther </w:t>
      </w:r>
      <w:r w:rsidRPr="00725F6C">
        <w:t>literature on low value care</w:t>
      </w:r>
      <w:r w:rsidR="00457693" w:rsidRPr="00BA6D5D">
        <w:t xml:space="preserve">, including </w:t>
      </w:r>
      <w:proofErr w:type="spellStart"/>
      <w:r w:rsidR="00457693" w:rsidRPr="00BA6D5D">
        <w:t>Elshaug</w:t>
      </w:r>
      <w:proofErr w:type="spellEnd"/>
      <w:r w:rsidR="00457693" w:rsidRPr="00BA6D5D">
        <w:t xml:space="preserve"> et al’s</w:t>
      </w:r>
      <w:r w:rsidR="005C7108">
        <w:rPr>
          <w:vertAlign w:val="superscript"/>
        </w:rPr>
        <w:t>1</w:t>
      </w:r>
      <w:r w:rsidR="004D72E6" w:rsidRPr="00FE6728">
        <w:t xml:space="preserve"> Medical Journal of Australia article on potentially low value health services </w:t>
      </w:r>
    </w:p>
    <w:p w14:paraId="1A08B3B2" w14:textId="77777777" w:rsidR="00354D73" w:rsidRDefault="004D72E6" w:rsidP="00354D73">
      <w:pPr>
        <w:pStyle w:val="NormalBulleted"/>
      </w:pPr>
      <w:r w:rsidRPr="00FE6728">
        <w:lastRenderedPageBreak/>
        <w:t>The Australian</w:t>
      </w:r>
      <w:r w:rsidRPr="00490F36">
        <w:t xml:space="preserve"> Commission on Safety </w:t>
      </w:r>
      <w:r w:rsidR="00A85C44">
        <w:t xml:space="preserve">and Quality </w:t>
      </w:r>
      <w:r w:rsidRPr="00490F36">
        <w:t>in Health Care’s (ACS</w:t>
      </w:r>
      <w:r w:rsidR="00A85C44">
        <w:t>Q</w:t>
      </w:r>
      <w:r w:rsidRPr="00490F36">
        <w:t xml:space="preserve">HC) Atlas of </w:t>
      </w:r>
      <w:r w:rsidR="00895CE6">
        <w:t xml:space="preserve">Healthcare </w:t>
      </w:r>
      <w:r w:rsidRPr="00490F36">
        <w:t>Variation.</w:t>
      </w:r>
      <w:r w:rsidR="00354D73">
        <w:br w:type="page"/>
      </w:r>
    </w:p>
    <w:p w14:paraId="5AE2621E" w14:textId="77777777" w:rsidR="004D72E6" w:rsidRPr="009200D8" w:rsidRDefault="004D72E6" w:rsidP="00FE6728">
      <w:pPr>
        <w:pStyle w:val="Heading1"/>
      </w:pPr>
      <w:bookmarkStart w:id="34" w:name="_Toc457053413"/>
      <w:bookmarkStart w:id="35" w:name="_Toc485723851"/>
      <w:r w:rsidRPr="00FE6728">
        <w:lastRenderedPageBreak/>
        <w:t>About</w:t>
      </w:r>
      <w:r w:rsidRPr="009200D8">
        <w:t xml:space="preserve"> the</w:t>
      </w:r>
      <w:r w:rsidR="006959AC">
        <w:t xml:space="preserve"> ENT </w:t>
      </w:r>
      <w:r w:rsidR="00684331">
        <w:t>Committee</w:t>
      </w:r>
      <w:bookmarkEnd w:id="34"/>
      <w:bookmarkEnd w:id="35"/>
    </w:p>
    <w:p w14:paraId="39DB0A6A" w14:textId="77777777" w:rsidR="004D72E6" w:rsidRPr="00684331" w:rsidRDefault="004D72E6" w:rsidP="00684331">
      <w:pPr>
        <w:rPr>
          <w:lang w:val="en-US" w:eastAsia="en-US"/>
        </w:rPr>
      </w:pPr>
      <w:r w:rsidRPr="009D0EED">
        <w:rPr>
          <w:rFonts w:cs="Arial"/>
        </w:rPr>
        <w:t xml:space="preserve">The </w:t>
      </w:r>
      <w:r w:rsidR="006959AC">
        <w:rPr>
          <w:rFonts w:cs="Arial"/>
        </w:rPr>
        <w:t xml:space="preserve">ENT </w:t>
      </w:r>
      <w:r w:rsidR="00684331">
        <w:rPr>
          <w:rFonts w:cs="Arial"/>
        </w:rPr>
        <w:t>Committee</w:t>
      </w:r>
      <w:r w:rsidRPr="009D0EED">
        <w:rPr>
          <w:rFonts w:cs="Arial"/>
        </w:rPr>
        <w:t xml:space="preserve"> was established </w:t>
      </w:r>
      <w:r w:rsidR="00684331" w:rsidRPr="00BC2064">
        <w:rPr>
          <w:lang w:val="en-US" w:eastAsia="en-US"/>
        </w:rPr>
        <w:t>to make recommendations to the Taskforce on the review of MBS items within its remit, based on rapid evidence review and clinical expertise.</w:t>
      </w:r>
      <w:r w:rsidR="007736E8">
        <w:rPr>
          <w:lang w:val="en-US" w:eastAsia="en-US"/>
        </w:rPr>
        <w:t xml:space="preserve"> </w:t>
      </w:r>
    </w:p>
    <w:p w14:paraId="232B6578" w14:textId="77777777" w:rsidR="004D72E6" w:rsidRPr="00700528" w:rsidRDefault="00343775" w:rsidP="006508BC">
      <w:pPr>
        <w:pStyle w:val="Heading2"/>
      </w:pPr>
      <w:bookmarkStart w:id="36" w:name="_Toc455669872"/>
      <w:bookmarkStart w:id="37" w:name="_Toc457053414"/>
      <w:r w:rsidRPr="00700528">
        <w:t xml:space="preserve">Ears, Nose and Throat Surgery </w:t>
      </w:r>
      <w:r w:rsidR="004D72E6" w:rsidRPr="00700528">
        <w:t>Clinical Committee members</w:t>
      </w:r>
      <w:bookmarkEnd w:id="36"/>
      <w:bookmarkEnd w:id="37"/>
    </w:p>
    <w:p w14:paraId="52E061B8" w14:textId="77777777" w:rsidR="004D72E6" w:rsidRPr="00DA7BF2" w:rsidRDefault="004D72E6" w:rsidP="003B0769">
      <w:pPr>
        <w:pStyle w:val="Caption"/>
        <w:tabs>
          <w:tab w:val="left" w:pos="851"/>
        </w:tabs>
      </w:pPr>
      <w:bookmarkStart w:id="38" w:name="_Toc485720818"/>
      <w:r w:rsidRPr="00DA7BF2">
        <w:t xml:space="preserve">Table </w:t>
      </w:r>
      <w:r w:rsidR="00201595">
        <w:fldChar w:fldCharType="begin"/>
      </w:r>
      <w:r w:rsidR="00201595">
        <w:instrText xml:space="preserve"> SEQ </w:instrText>
      </w:r>
      <w:r w:rsidR="00201595">
        <w:instrText xml:space="preserve">Table \* ARABIC </w:instrText>
      </w:r>
      <w:r w:rsidR="00201595">
        <w:fldChar w:fldCharType="separate"/>
      </w:r>
      <w:r w:rsidR="00E60472">
        <w:rPr>
          <w:noProof/>
        </w:rPr>
        <w:t>1</w:t>
      </w:r>
      <w:r w:rsidR="00201595">
        <w:rPr>
          <w:noProof/>
        </w:rPr>
        <w:fldChar w:fldCharType="end"/>
      </w:r>
      <w:r w:rsidR="003B0769">
        <w:t>:</w:t>
      </w:r>
      <w:r w:rsidR="003B0769">
        <w:tab/>
      </w:r>
      <w:r w:rsidR="00343775">
        <w:t>Ears, Nose and Throat Surgery</w:t>
      </w:r>
      <w:r w:rsidR="007736E8">
        <w:t xml:space="preserve"> </w:t>
      </w:r>
      <w:r w:rsidRPr="00DA7BF2">
        <w:t>Clinical Committee Members</w:t>
      </w:r>
      <w:bookmarkEnd w:id="38"/>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has 3 column headers: 1. Removal of adenoids, 2. 41800(GP) and 3 41801 (specialist)"/>
      </w:tblPr>
      <w:tblGrid>
        <w:gridCol w:w="2354"/>
        <w:gridCol w:w="3982"/>
        <w:gridCol w:w="2690"/>
      </w:tblGrid>
      <w:tr w:rsidR="004D72E6" w:rsidRPr="00F648DD" w14:paraId="5D3C7D82" w14:textId="77777777" w:rsidTr="0006464C">
        <w:trPr>
          <w:tblHeader/>
        </w:trPr>
        <w:tc>
          <w:tcPr>
            <w:tcW w:w="1304" w:type="pct"/>
            <w:shd w:val="clear" w:color="auto" w:fill="auto"/>
          </w:tcPr>
          <w:p w14:paraId="0511A15F" w14:textId="77777777" w:rsidR="004D72E6" w:rsidRPr="00F648DD" w:rsidRDefault="004D72E6" w:rsidP="006A406F">
            <w:pPr>
              <w:pStyle w:val="Tableheading"/>
            </w:pPr>
            <w:r w:rsidRPr="00F648DD">
              <w:t>Name</w:t>
            </w:r>
          </w:p>
        </w:tc>
        <w:tc>
          <w:tcPr>
            <w:tcW w:w="2206" w:type="pct"/>
            <w:shd w:val="clear" w:color="auto" w:fill="auto"/>
          </w:tcPr>
          <w:p w14:paraId="10685E9B" w14:textId="77777777" w:rsidR="004D72E6" w:rsidRPr="00F648DD" w:rsidRDefault="004D72E6" w:rsidP="006A406F">
            <w:pPr>
              <w:pStyle w:val="Tableheading"/>
            </w:pPr>
            <w:r w:rsidRPr="00F648DD">
              <w:t>Position/Organisation</w:t>
            </w:r>
          </w:p>
        </w:tc>
        <w:tc>
          <w:tcPr>
            <w:tcW w:w="1490" w:type="pct"/>
            <w:shd w:val="clear" w:color="auto" w:fill="auto"/>
          </w:tcPr>
          <w:p w14:paraId="0F02106A" w14:textId="77777777" w:rsidR="004D72E6" w:rsidRPr="00F648DD" w:rsidRDefault="004D72E6" w:rsidP="006A406F">
            <w:pPr>
              <w:pStyle w:val="Tableheading"/>
            </w:pPr>
            <w:r w:rsidRPr="00F648DD">
              <w:t>Declared conflict of interest</w:t>
            </w:r>
          </w:p>
        </w:tc>
      </w:tr>
      <w:tr w:rsidR="00343775" w:rsidRPr="00804630" w14:paraId="0A76FF2C" w14:textId="77777777" w:rsidTr="0006464C">
        <w:trPr>
          <w:trHeight w:val="549"/>
        </w:trPr>
        <w:tc>
          <w:tcPr>
            <w:tcW w:w="1304" w:type="pct"/>
            <w:hideMark/>
          </w:tcPr>
          <w:p w14:paraId="74A7DD9C" w14:textId="77777777" w:rsidR="00343775" w:rsidRPr="00804630" w:rsidRDefault="00343775" w:rsidP="006A406F">
            <w:pPr>
              <w:pStyle w:val="Tabletext"/>
            </w:pPr>
            <w:r w:rsidRPr="007C7C71">
              <w:t>Mr Patrick Guiney (Chair)</w:t>
            </w:r>
          </w:p>
        </w:tc>
        <w:tc>
          <w:tcPr>
            <w:tcW w:w="2206" w:type="pct"/>
          </w:tcPr>
          <w:p w14:paraId="66ED8D66" w14:textId="77777777" w:rsidR="00343775" w:rsidRPr="00804630" w:rsidRDefault="00343775" w:rsidP="006A406F">
            <w:pPr>
              <w:pStyle w:val="Tabletext"/>
            </w:pPr>
            <w:r w:rsidRPr="007C7C71">
              <w:t>Ear</w:t>
            </w:r>
            <w:r w:rsidR="00C543EF">
              <w:t>,</w:t>
            </w:r>
            <w:r w:rsidRPr="007C7C71">
              <w:t xml:space="preserve"> </w:t>
            </w:r>
            <w:r w:rsidR="00C543EF">
              <w:t>n</w:t>
            </w:r>
            <w:r w:rsidRPr="007C7C71">
              <w:t xml:space="preserve">ose </w:t>
            </w:r>
            <w:r w:rsidR="00C543EF">
              <w:t>and t</w:t>
            </w:r>
            <w:r w:rsidRPr="007C7C71">
              <w:t xml:space="preserve">hroat </w:t>
            </w:r>
            <w:r w:rsidR="00C543EF">
              <w:t>s</w:t>
            </w:r>
            <w:r w:rsidRPr="007C7C71">
              <w:t>urgeon</w:t>
            </w:r>
            <w:r w:rsidR="00A376AF">
              <w:t xml:space="preserve">, </w:t>
            </w:r>
            <w:r w:rsidR="003D705D">
              <w:t>Box Hill Hospital, Victoria</w:t>
            </w:r>
            <w:r w:rsidR="00A376AF">
              <w:t xml:space="preserve">; </w:t>
            </w:r>
            <w:r w:rsidRPr="007C7C71">
              <w:t>Chair</w:t>
            </w:r>
            <w:r>
              <w:t xml:space="preserve">, </w:t>
            </w:r>
            <w:r w:rsidRPr="007C7C71">
              <w:t>Fees</w:t>
            </w:r>
            <w:r w:rsidR="003D705D">
              <w:t xml:space="preserve"> </w:t>
            </w:r>
            <w:r w:rsidRPr="007C7C71">
              <w:t>Sub-Committee</w:t>
            </w:r>
            <w:r w:rsidR="00A376AF">
              <w:t xml:space="preserve">, </w:t>
            </w:r>
            <w:r w:rsidRPr="007C7C71">
              <w:t>Australian Society of Otolaryngology Head and Neck Surgery</w:t>
            </w:r>
          </w:p>
        </w:tc>
        <w:tc>
          <w:tcPr>
            <w:tcW w:w="1490" w:type="pct"/>
          </w:tcPr>
          <w:p w14:paraId="42567944" w14:textId="77777777" w:rsidR="00343775" w:rsidRPr="00804630" w:rsidRDefault="00343775" w:rsidP="006A406F">
            <w:pPr>
              <w:pStyle w:val="Tabletext"/>
            </w:pPr>
            <w:r w:rsidRPr="00BC2064">
              <w:t>Provider of MBS services</w:t>
            </w:r>
          </w:p>
        </w:tc>
      </w:tr>
      <w:tr w:rsidR="00343775" w:rsidRPr="00804630" w14:paraId="2A07A756" w14:textId="77777777" w:rsidTr="0006464C">
        <w:trPr>
          <w:trHeight w:val="842"/>
        </w:trPr>
        <w:tc>
          <w:tcPr>
            <w:tcW w:w="1304" w:type="pct"/>
            <w:hideMark/>
          </w:tcPr>
          <w:p w14:paraId="1227E9D1" w14:textId="77777777" w:rsidR="00343775" w:rsidRPr="00804630" w:rsidRDefault="00343775" w:rsidP="006A406F">
            <w:pPr>
              <w:pStyle w:val="Tabletext"/>
            </w:pPr>
            <w:r w:rsidRPr="007C7C71">
              <w:t xml:space="preserve">Dr John </w:t>
            </w:r>
            <w:proofErr w:type="spellStart"/>
            <w:r w:rsidRPr="007C7C71">
              <w:t>Curotta</w:t>
            </w:r>
            <w:proofErr w:type="spellEnd"/>
          </w:p>
        </w:tc>
        <w:tc>
          <w:tcPr>
            <w:tcW w:w="2206" w:type="pct"/>
          </w:tcPr>
          <w:p w14:paraId="2041BE8F" w14:textId="77777777" w:rsidR="00343775" w:rsidRPr="00804630" w:rsidRDefault="00343775" w:rsidP="006A406F">
            <w:pPr>
              <w:pStyle w:val="Tabletext"/>
            </w:pPr>
            <w:r w:rsidRPr="007C7C71">
              <w:t>Director</w:t>
            </w:r>
            <w:r>
              <w:t xml:space="preserve">, </w:t>
            </w:r>
            <w:r w:rsidRPr="007C7C71">
              <w:t>Department of Ear Nose and Throat Surgery</w:t>
            </w:r>
            <w:r w:rsidR="00A376AF">
              <w:t xml:space="preserve">, </w:t>
            </w:r>
            <w:r w:rsidRPr="007C7C71">
              <w:t>The Children’s Hospital Westmead</w:t>
            </w:r>
            <w:r w:rsidR="00A376AF">
              <w:t xml:space="preserve">, </w:t>
            </w:r>
            <w:r w:rsidRPr="007C7C71">
              <w:t>Sydney</w:t>
            </w:r>
          </w:p>
        </w:tc>
        <w:tc>
          <w:tcPr>
            <w:tcW w:w="1490" w:type="pct"/>
          </w:tcPr>
          <w:p w14:paraId="1538404E" w14:textId="77777777" w:rsidR="00343775" w:rsidRPr="00804630" w:rsidRDefault="00343775" w:rsidP="006A406F">
            <w:pPr>
              <w:pStyle w:val="Tabletext"/>
            </w:pPr>
            <w:r w:rsidRPr="00B408F6">
              <w:t>Provider of MBS services</w:t>
            </w:r>
          </w:p>
        </w:tc>
      </w:tr>
      <w:tr w:rsidR="00343775" w:rsidRPr="00804630" w14:paraId="1D015CDA" w14:textId="77777777" w:rsidTr="0006464C">
        <w:trPr>
          <w:trHeight w:val="945"/>
        </w:trPr>
        <w:tc>
          <w:tcPr>
            <w:tcW w:w="1304" w:type="pct"/>
            <w:hideMark/>
          </w:tcPr>
          <w:p w14:paraId="02AB4E29" w14:textId="77777777" w:rsidR="00343775" w:rsidRPr="00804630" w:rsidRDefault="00343775" w:rsidP="006A406F">
            <w:pPr>
              <w:pStyle w:val="Tabletext"/>
            </w:pPr>
            <w:r w:rsidRPr="007C7C71">
              <w:t>Dr Chris Dalton</w:t>
            </w:r>
          </w:p>
        </w:tc>
        <w:tc>
          <w:tcPr>
            <w:tcW w:w="2206" w:type="pct"/>
          </w:tcPr>
          <w:p w14:paraId="00E22C0D" w14:textId="77777777" w:rsidR="00343775" w:rsidRPr="00804630" w:rsidRDefault="00343775" w:rsidP="006A406F">
            <w:pPr>
              <w:pStyle w:val="Tabletext"/>
            </w:pPr>
            <w:r w:rsidRPr="007C7C71">
              <w:t>National Medical Director</w:t>
            </w:r>
            <w:r w:rsidR="00A376AF">
              <w:t xml:space="preserve">, </w:t>
            </w:r>
            <w:r w:rsidRPr="007C7C71">
              <w:t xml:space="preserve">Bupa </w:t>
            </w:r>
            <w:proofErr w:type="gramStart"/>
            <w:r w:rsidRPr="007C7C71">
              <w:t>Australia</w:t>
            </w:r>
            <w:proofErr w:type="gramEnd"/>
            <w:r w:rsidRPr="007C7C71">
              <w:t xml:space="preserve"> and New Zealand</w:t>
            </w:r>
            <w:r w:rsidR="00A376AF">
              <w:t xml:space="preserve">; </w:t>
            </w:r>
            <w:r w:rsidRPr="007C7C71">
              <w:t xml:space="preserve">Ear, </w:t>
            </w:r>
            <w:r w:rsidR="00C543EF">
              <w:t>n</w:t>
            </w:r>
            <w:r w:rsidRPr="007C7C71">
              <w:t xml:space="preserve">ose and </w:t>
            </w:r>
            <w:r w:rsidR="00C543EF">
              <w:t>t</w:t>
            </w:r>
            <w:r w:rsidRPr="007C7C71">
              <w:t>hroat surgeon</w:t>
            </w:r>
            <w:r w:rsidR="00A376AF">
              <w:t xml:space="preserve">, </w:t>
            </w:r>
            <w:r w:rsidRPr="007C7C71">
              <w:t>Private practice</w:t>
            </w:r>
            <w:r w:rsidR="00A376AF">
              <w:t xml:space="preserve">, </w:t>
            </w:r>
            <w:r w:rsidRPr="007C7C71">
              <w:t>Sydney and Wollongong</w:t>
            </w:r>
          </w:p>
        </w:tc>
        <w:tc>
          <w:tcPr>
            <w:tcW w:w="1490" w:type="pct"/>
          </w:tcPr>
          <w:p w14:paraId="7FC0A831" w14:textId="77777777" w:rsidR="00343775" w:rsidRPr="00804630" w:rsidRDefault="00343775" w:rsidP="006A406F">
            <w:pPr>
              <w:pStyle w:val="Tabletext"/>
            </w:pPr>
            <w:r w:rsidRPr="00B408F6">
              <w:t>Provider of MBS services</w:t>
            </w:r>
          </w:p>
        </w:tc>
      </w:tr>
      <w:tr w:rsidR="00343775" w:rsidRPr="00804630" w14:paraId="7CAC757E" w14:textId="77777777" w:rsidTr="0006464C">
        <w:trPr>
          <w:trHeight w:val="1260"/>
        </w:trPr>
        <w:tc>
          <w:tcPr>
            <w:tcW w:w="1304" w:type="pct"/>
            <w:hideMark/>
          </w:tcPr>
          <w:p w14:paraId="5853E3FF" w14:textId="77777777" w:rsidR="00343775" w:rsidRPr="00804630" w:rsidRDefault="00343775" w:rsidP="006A406F">
            <w:pPr>
              <w:pStyle w:val="Tabletext"/>
            </w:pPr>
            <w:r w:rsidRPr="007C7C71">
              <w:t>Dr Margaret-Anne Harris</w:t>
            </w:r>
          </w:p>
        </w:tc>
        <w:tc>
          <w:tcPr>
            <w:tcW w:w="2206" w:type="pct"/>
          </w:tcPr>
          <w:p w14:paraId="255E8E72" w14:textId="77777777" w:rsidR="00343775" w:rsidRPr="00804630" w:rsidRDefault="00343775" w:rsidP="006A406F">
            <w:pPr>
              <w:pStyle w:val="Tabletext"/>
            </w:pPr>
            <w:r w:rsidRPr="007C7C71">
              <w:t>Senior Medical Officer</w:t>
            </w:r>
            <w:r w:rsidR="00A376AF">
              <w:t xml:space="preserve">, </w:t>
            </w:r>
            <w:r w:rsidRPr="007C7C71">
              <w:t xml:space="preserve">Department of Respiratory and Sleep </w:t>
            </w:r>
            <w:r w:rsidR="00A376AF" w:rsidRPr="007C7C71">
              <w:t>Medicine</w:t>
            </w:r>
            <w:r w:rsidR="00A376AF">
              <w:t xml:space="preserve">, </w:t>
            </w:r>
            <w:r w:rsidRPr="007C7C71">
              <w:t>Children’s Health</w:t>
            </w:r>
            <w:r w:rsidR="00C543EF">
              <w:t xml:space="preserve">, </w:t>
            </w:r>
            <w:r w:rsidRPr="007C7C71">
              <w:t>Queensland Hospital and Health Service</w:t>
            </w:r>
            <w:r w:rsidR="00A376AF">
              <w:t xml:space="preserve">; </w:t>
            </w:r>
            <w:r w:rsidRPr="007C7C71">
              <w:t>Lady Cilento Children’s Hospital Brisbane</w:t>
            </w:r>
          </w:p>
        </w:tc>
        <w:tc>
          <w:tcPr>
            <w:tcW w:w="1490" w:type="pct"/>
          </w:tcPr>
          <w:p w14:paraId="378B78F7" w14:textId="77777777" w:rsidR="00343775" w:rsidRPr="00804630" w:rsidRDefault="00343775" w:rsidP="006A406F">
            <w:pPr>
              <w:pStyle w:val="Tabletext"/>
            </w:pPr>
            <w:r w:rsidRPr="00B408F6">
              <w:t>Provider of MBS services</w:t>
            </w:r>
          </w:p>
        </w:tc>
      </w:tr>
      <w:tr w:rsidR="00343775" w:rsidRPr="00804630" w14:paraId="5F567B49" w14:textId="77777777" w:rsidTr="0006464C">
        <w:trPr>
          <w:trHeight w:val="788"/>
        </w:trPr>
        <w:tc>
          <w:tcPr>
            <w:tcW w:w="1304" w:type="pct"/>
            <w:hideMark/>
          </w:tcPr>
          <w:p w14:paraId="7F2453D6" w14:textId="77777777" w:rsidR="00343775" w:rsidRPr="00804630" w:rsidRDefault="00343775" w:rsidP="006A406F">
            <w:pPr>
              <w:pStyle w:val="Tabletext"/>
            </w:pPr>
            <w:r w:rsidRPr="00571E36">
              <w:t>Dr Carmel Nelson</w:t>
            </w:r>
          </w:p>
        </w:tc>
        <w:tc>
          <w:tcPr>
            <w:tcW w:w="2206" w:type="pct"/>
          </w:tcPr>
          <w:p w14:paraId="2FB13CB1" w14:textId="77777777" w:rsidR="00343775" w:rsidRPr="00804630" w:rsidRDefault="00343775" w:rsidP="006A406F">
            <w:pPr>
              <w:pStyle w:val="Tabletext"/>
            </w:pPr>
            <w:r w:rsidRPr="00571E36">
              <w:t>Director</w:t>
            </w:r>
            <w:r>
              <w:t xml:space="preserve">, </w:t>
            </w:r>
            <w:r w:rsidRPr="00571E36">
              <w:t>Clinical Services</w:t>
            </w:r>
            <w:r w:rsidR="00A376AF">
              <w:t xml:space="preserve">, </w:t>
            </w:r>
            <w:r w:rsidRPr="00571E36">
              <w:t>Institute for Urban Indigenous Health</w:t>
            </w:r>
            <w:r w:rsidR="00A376AF">
              <w:t xml:space="preserve">, </w:t>
            </w:r>
            <w:r w:rsidRPr="00571E36">
              <w:t>Brisbane</w:t>
            </w:r>
          </w:p>
        </w:tc>
        <w:tc>
          <w:tcPr>
            <w:tcW w:w="1490" w:type="pct"/>
          </w:tcPr>
          <w:p w14:paraId="3D722732" w14:textId="77777777" w:rsidR="00343775" w:rsidRPr="00804630" w:rsidRDefault="00343775" w:rsidP="006A406F">
            <w:pPr>
              <w:pStyle w:val="Tabletext"/>
            </w:pPr>
            <w:r w:rsidRPr="00B408F6">
              <w:t>Provider of MBS services</w:t>
            </w:r>
          </w:p>
        </w:tc>
      </w:tr>
      <w:tr w:rsidR="00343775" w:rsidRPr="00804630" w14:paraId="12940296" w14:textId="77777777" w:rsidTr="00681E75">
        <w:trPr>
          <w:trHeight w:val="697"/>
        </w:trPr>
        <w:tc>
          <w:tcPr>
            <w:tcW w:w="1304" w:type="pct"/>
            <w:hideMark/>
          </w:tcPr>
          <w:p w14:paraId="13C47C5C" w14:textId="77777777" w:rsidR="00343775" w:rsidRPr="00804630" w:rsidRDefault="00343775" w:rsidP="006A406F">
            <w:pPr>
              <w:pStyle w:val="Tabletext"/>
            </w:pPr>
            <w:r w:rsidRPr="00571E36">
              <w:t xml:space="preserve">Dr David </w:t>
            </w:r>
            <w:proofErr w:type="spellStart"/>
            <w:r w:rsidRPr="00571E36">
              <w:t>Wabnitz</w:t>
            </w:r>
            <w:proofErr w:type="spellEnd"/>
          </w:p>
        </w:tc>
        <w:tc>
          <w:tcPr>
            <w:tcW w:w="2206" w:type="pct"/>
          </w:tcPr>
          <w:p w14:paraId="73E38AEB" w14:textId="77777777" w:rsidR="00343775" w:rsidRPr="00804630" w:rsidRDefault="00343775" w:rsidP="006A406F">
            <w:pPr>
              <w:pStyle w:val="Tabletext"/>
            </w:pPr>
            <w:r w:rsidRPr="00571E36">
              <w:t>Ear</w:t>
            </w:r>
            <w:r w:rsidR="00C543EF">
              <w:t>, n</w:t>
            </w:r>
            <w:r w:rsidRPr="00571E36">
              <w:t>ose</w:t>
            </w:r>
            <w:r w:rsidR="00C543EF">
              <w:t xml:space="preserve"> and t</w:t>
            </w:r>
            <w:r w:rsidRPr="00571E36">
              <w:t xml:space="preserve">hroat </w:t>
            </w:r>
            <w:r w:rsidR="00C543EF">
              <w:t>s</w:t>
            </w:r>
            <w:r w:rsidRPr="00571E36">
              <w:t>urgeon</w:t>
            </w:r>
            <w:r w:rsidR="00A376AF">
              <w:t xml:space="preserve">, </w:t>
            </w:r>
            <w:r w:rsidRPr="00571E36">
              <w:t>Private practice</w:t>
            </w:r>
            <w:r w:rsidR="00A376AF">
              <w:t xml:space="preserve">, </w:t>
            </w:r>
            <w:r w:rsidRPr="00571E36">
              <w:t>Adelaide</w:t>
            </w:r>
          </w:p>
        </w:tc>
        <w:tc>
          <w:tcPr>
            <w:tcW w:w="1490" w:type="pct"/>
          </w:tcPr>
          <w:p w14:paraId="7B554DBB" w14:textId="77777777" w:rsidR="00343775" w:rsidRPr="00804630" w:rsidRDefault="00343775" w:rsidP="006A406F">
            <w:pPr>
              <w:pStyle w:val="Tabletext"/>
            </w:pPr>
            <w:r w:rsidRPr="00B408F6">
              <w:t>Provider of MBS services</w:t>
            </w:r>
          </w:p>
        </w:tc>
      </w:tr>
    </w:tbl>
    <w:p w14:paraId="5333ED83" w14:textId="77777777" w:rsidR="004D72E6" w:rsidRPr="00700528" w:rsidRDefault="004D72E6" w:rsidP="006508BC">
      <w:pPr>
        <w:pStyle w:val="Heading2"/>
      </w:pPr>
      <w:bookmarkStart w:id="39" w:name="_Toc457053415"/>
      <w:r w:rsidRPr="00700528">
        <w:t>Conflicts of interest</w:t>
      </w:r>
      <w:bookmarkEnd w:id="39"/>
    </w:p>
    <w:p w14:paraId="0A2B9D33" w14:textId="77777777" w:rsidR="004D72E6" w:rsidRDefault="004D72E6" w:rsidP="00681E75">
      <w:pPr>
        <w:rPr>
          <w:rFonts w:eastAsiaTheme="minorHAnsi"/>
          <w:highlight w:val="lightGray"/>
          <w:lang w:val="en-US" w:eastAsia="en-US"/>
        </w:rPr>
      </w:pPr>
      <w:r w:rsidRPr="009D0EED">
        <w:rPr>
          <w:lang w:val="en-US" w:eastAsia="en-US"/>
        </w:rPr>
        <w:t>All members of the Taskforce, Clinical Committees and Working Groups are asked to declare any conflicts of interest at the start of their involvement and reminded to update their declarations periodically.</w:t>
      </w:r>
      <w:r>
        <w:rPr>
          <w:highlight w:val="lightGray"/>
        </w:rPr>
        <w:br w:type="page"/>
      </w:r>
    </w:p>
    <w:p w14:paraId="463A6280" w14:textId="77777777" w:rsidR="00BC209F" w:rsidRDefault="00BC209F" w:rsidP="00700528">
      <w:pPr>
        <w:pStyle w:val="Heading1"/>
      </w:pPr>
      <w:bookmarkStart w:id="40" w:name="_Toc457053416"/>
      <w:bookmarkStart w:id="41" w:name="_Toc485723852"/>
      <w:r>
        <w:lastRenderedPageBreak/>
        <w:t>MBS Item Group 1</w:t>
      </w:r>
      <w:r w:rsidR="003D74C9">
        <w:t xml:space="preserve"> –</w:t>
      </w:r>
      <w:r>
        <w:t xml:space="preserve"> ENT Therapeutic Procedures</w:t>
      </w:r>
      <w:bookmarkEnd w:id="40"/>
      <w:bookmarkEnd w:id="41"/>
    </w:p>
    <w:p w14:paraId="48E1B273" w14:textId="77777777" w:rsidR="00BC209F" w:rsidRDefault="00BC209F" w:rsidP="006508BC">
      <w:pPr>
        <w:pStyle w:val="Heading2"/>
      </w:pPr>
      <w:bookmarkStart w:id="42" w:name="_Toc457053417"/>
      <w:r w:rsidRPr="00700528">
        <w:t>Adenoidectomy</w:t>
      </w:r>
      <w:r w:rsidR="0082217D" w:rsidRPr="00700528">
        <w:t xml:space="preserve"> MBS i</w:t>
      </w:r>
      <w:r w:rsidR="008374C6" w:rsidRPr="00700528">
        <w:t>tems</w:t>
      </w:r>
      <w:bookmarkEnd w:id="42"/>
    </w:p>
    <w:p w14:paraId="1587B97A" w14:textId="77777777" w:rsidR="004361D0" w:rsidRPr="000C2D92" w:rsidRDefault="004361D0" w:rsidP="004361D0">
      <w:pPr>
        <w:pStyle w:val="Heading3"/>
      </w:pPr>
      <w:r w:rsidRPr="000C2D92">
        <w:t xml:space="preserve">Items </w:t>
      </w:r>
      <w:r w:rsidRPr="00142E8E">
        <w:t>considered</w:t>
      </w:r>
      <w:r w:rsidRPr="000C2D92">
        <w:t xml:space="preserve"> in the section</w:t>
      </w:r>
    </w:p>
    <w:p w14:paraId="12E32CAE" w14:textId="77777777" w:rsidR="00BC209F" w:rsidRDefault="00BC209F" w:rsidP="00BC209F">
      <w:pPr>
        <w:rPr>
          <w:lang w:val="en-US" w:eastAsia="en-US"/>
        </w:rPr>
      </w:pPr>
      <w:r>
        <w:rPr>
          <w:lang w:val="en-US" w:eastAsia="en-US"/>
        </w:rPr>
        <w:t>Two adenoidectomy items are</w:t>
      </w:r>
      <w:r w:rsidRPr="003F1FC3">
        <w:rPr>
          <w:lang w:val="en-US" w:eastAsia="en-US"/>
        </w:rPr>
        <w:t xml:space="preserve"> considered in this section</w:t>
      </w:r>
      <w:r>
        <w:rPr>
          <w:lang w:val="en-US" w:eastAsia="en-US"/>
        </w:rPr>
        <w:t>:</w:t>
      </w:r>
    </w:p>
    <w:p w14:paraId="3035BAE5" w14:textId="77777777" w:rsidR="00BC209F" w:rsidRPr="003D74C9" w:rsidRDefault="00BC209F" w:rsidP="008374C6">
      <w:pPr>
        <w:pStyle w:val="NormalBulleted"/>
      </w:pPr>
      <w:r w:rsidRPr="00C2233F">
        <w:rPr>
          <w:b/>
        </w:rPr>
        <w:t>41800</w:t>
      </w:r>
      <w:r w:rsidRPr="003D74C9">
        <w:t xml:space="preserve"> </w:t>
      </w:r>
      <w:r w:rsidR="00C2233F">
        <w:rPr>
          <w:b/>
          <w:bCs/>
          <w:i/>
          <w:iCs/>
          <w:color w:val="auto"/>
        </w:rPr>
        <w:t xml:space="preserve">– </w:t>
      </w:r>
      <w:r w:rsidRPr="003D74C9">
        <w:t>Adenoids, removal by GP</w:t>
      </w:r>
    </w:p>
    <w:p w14:paraId="184FB910" w14:textId="77777777" w:rsidR="00BC209F" w:rsidRPr="003D74C9" w:rsidRDefault="00BC209F" w:rsidP="008374C6">
      <w:pPr>
        <w:pStyle w:val="NormalBulleted"/>
      </w:pPr>
      <w:r w:rsidRPr="00C2233F">
        <w:rPr>
          <w:b/>
        </w:rPr>
        <w:t>41801</w:t>
      </w:r>
      <w:r w:rsidRPr="003D74C9">
        <w:t xml:space="preserve"> </w:t>
      </w:r>
      <w:r w:rsidR="00C2233F">
        <w:rPr>
          <w:b/>
          <w:bCs/>
          <w:i/>
          <w:iCs/>
          <w:color w:val="auto"/>
        </w:rPr>
        <w:t xml:space="preserve">– </w:t>
      </w:r>
      <w:r w:rsidRPr="003D74C9">
        <w:t xml:space="preserve">Adenoids, removal by </w:t>
      </w:r>
      <w:r w:rsidR="00E60228">
        <w:t>s</w:t>
      </w:r>
      <w:r w:rsidRPr="003D74C9">
        <w:t>pecialist</w:t>
      </w:r>
      <w:r w:rsidR="001A7526">
        <w:t>.</w:t>
      </w:r>
    </w:p>
    <w:p w14:paraId="457B546F" w14:textId="77777777" w:rsidR="00BC209F" w:rsidRDefault="00BC209F" w:rsidP="00700528">
      <w:pPr>
        <w:pStyle w:val="Heading3"/>
      </w:pPr>
      <w:r>
        <w:t>Issues identified</w:t>
      </w:r>
    </w:p>
    <w:p w14:paraId="2762F3F4" w14:textId="77777777" w:rsidR="00BC209F" w:rsidRDefault="00BC209F" w:rsidP="00700528">
      <w:r w:rsidRPr="003F1FC3">
        <w:t xml:space="preserve">The Committee considered </w:t>
      </w:r>
      <w:r>
        <w:t>several issues in relation to the MBS items for adenoidectomy including:</w:t>
      </w:r>
    </w:p>
    <w:p w14:paraId="1A359203" w14:textId="77777777" w:rsidR="00BC209F" w:rsidRPr="00700528" w:rsidRDefault="005378BB" w:rsidP="00700528">
      <w:pPr>
        <w:pStyle w:val="NormalBulleted"/>
      </w:pPr>
      <w:r>
        <w:t>C</w:t>
      </w:r>
      <w:r w:rsidR="00BC209F" w:rsidRPr="00700528">
        <w:t>o-claiming between adenoidectomy and other MBS items on the same occasion of service</w:t>
      </w:r>
    </w:p>
    <w:p w14:paraId="142F43AD" w14:textId="77777777" w:rsidR="00BC209F" w:rsidRPr="00700528" w:rsidRDefault="005378BB" w:rsidP="00700528">
      <w:pPr>
        <w:pStyle w:val="NormalBulleted"/>
      </w:pPr>
      <w:r>
        <w:t>W</w:t>
      </w:r>
      <w:r w:rsidR="00BC209F" w:rsidRPr="00700528">
        <w:t>hether the items should detail patient indications</w:t>
      </w:r>
    </w:p>
    <w:p w14:paraId="7443FB5E" w14:textId="77777777" w:rsidR="00BC209F" w:rsidRPr="00700528" w:rsidRDefault="005378BB" w:rsidP="00700528">
      <w:pPr>
        <w:pStyle w:val="NormalBulleted"/>
      </w:pPr>
      <w:r>
        <w:t>W</w:t>
      </w:r>
      <w:r w:rsidR="00BC209F" w:rsidRPr="00700528">
        <w:t>hether the scope of the service reflects the MBS item</w:t>
      </w:r>
    </w:p>
    <w:p w14:paraId="6F0F35D7" w14:textId="77777777" w:rsidR="00BC209F" w:rsidRDefault="00BC209F" w:rsidP="00700528">
      <w:pPr>
        <w:pStyle w:val="Heading3"/>
      </w:pPr>
      <w:r>
        <w:t>Rationale</w:t>
      </w:r>
    </w:p>
    <w:p w14:paraId="35915A23" w14:textId="77777777" w:rsidR="00BC209F" w:rsidRDefault="00BC209F" w:rsidP="008374C6">
      <w:pPr>
        <w:rPr>
          <w:lang w:val="en-US" w:eastAsia="en-US"/>
        </w:rPr>
      </w:pPr>
      <w:r>
        <w:t>The Taskforce identified a</w:t>
      </w:r>
      <w:r w:rsidRPr="00C45317">
        <w:t xml:space="preserve">denoidectomy </w:t>
      </w:r>
      <w:r>
        <w:t>as a priority following</w:t>
      </w:r>
      <w:r w:rsidRPr="00C45317">
        <w:t xml:space="preserve"> </w:t>
      </w:r>
      <w:proofErr w:type="spellStart"/>
      <w:r w:rsidRPr="00C45317">
        <w:t>Elshaug</w:t>
      </w:r>
      <w:proofErr w:type="spellEnd"/>
      <w:r w:rsidRPr="00C45317">
        <w:t xml:space="preserve"> et al</w:t>
      </w:r>
      <w:r w:rsidR="00B97414" w:rsidRPr="00B97414">
        <w:rPr>
          <w:vertAlign w:val="superscript"/>
        </w:rPr>
        <w:t>1</w:t>
      </w:r>
      <w:r w:rsidRPr="00C45317">
        <w:t xml:space="preserve"> </w:t>
      </w:r>
      <w:r>
        <w:t>identification of the</w:t>
      </w:r>
      <w:r w:rsidRPr="00C45317">
        <w:t xml:space="preserve"> service </w:t>
      </w:r>
      <w:r>
        <w:t>as having</w:t>
      </w:r>
      <w:r w:rsidRPr="00C45317">
        <w:t xml:space="preserve"> </w:t>
      </w:r>
      <w:r>
        <w:t xml:space="preserve">potentially </w:t>
      </w:r>
      <w:r w:rsidRPr="00C45317">
        <w:t>low clinical value</w:t>
      </w:r>
      <w:r>
        <w:t xml:space="preserve"> when provided to some patient groups.</w:t>
      </w:r>
      <w:r w:rsidR="007736E8">
        <w:t xml:space="preserve"> </w:t>
      </w:r>
      <w:proofErr w:type="spellStart"/>
      <w:r w:rsidRPr="00C45317">
        <w:t>Elshaug</w:t>
      </w:r>
      <w:proofErr w:type="spellEnd"/>
      <w:r w:rsidRPr="00C45317">
        <w:t xml:space="preserve"> et al cited evidence from NICE</w:t>
      </w:r>
      <w:r>
        <w:t xml:space="preserve"> in the</w:t>
      </w:r>
      <w:r w:rsidRPr="00C45317">
        <w:t xml:space="preserve"> U</w:t>
      </w:r>
      <w:r>
        <w:t>K</w:t>
      </w:r>
      <w:r w:rsidRPr="00C45317">
        <w:t xml:space="preserve"> </w:t>
      </w:r>
      <w:r>
        <w:t xml:space="preserve">which concluded that </w:t>
      </w:r>
      <w:r w:rsidRPr="00C45317">
        <w:t>“In the trials that evaluated the combined effect of unilateral ventilation tube insertion and adenoidectomy, the improvement in hearing level was less than that seen for the insertion of unilateral ventilation tubes alone</w:t>
      </w:r>
      <w:r w:rsidR="005C7108">
        <w:rPr>
          <w:vertAlign w:val="superscript"/>
        </w:rPr>
        <w:t>2</w:t>
      </w:r>
      <w:r w:rsidRPr="00C45317">
        <w:t xml:space="preserve">” and a Cochrane </w:t>
      </w:r>
      <w:r w:rsidR="003D705D">
        <w:rPr>
          <w:rFonts w:eastAsiaTheme="minorHAnsi"/>
        </w:rPr>
        <w:t>m</w:t>
      </w:r>
      <w:r w:rsidRPr="00C45317">
        <w:rPr>
          <w:rFonts w:eastAsiaTheme="minorHAnsi"/>
        </w:rPr>
        <w:t xml:space="preserve">eta-analysis of </w:t>
      </w:r>
      <w:r>
        <w:rPr>
          <w:rFonts w:eastAsiaTheme="minorHAnsi"/>
        </w:rPr>
        <w:t xml:space="preserve">two studies of </w:t>
      </w:r>
      <w:r w:rsidRPr="00C45317">
        <w:rPr>
          <w:rFonts w:eastAsiaTheme="minorHAnsi"/>
        </w:rPr>
        <w:t>tympanostomy tube sequelae</w:t>
      </w:r>
      <w:r w:rsidRPr="00C45317">
        <w:t xml:space="preserve"> </w:t>
      </w:r>
      <w:r w:rsidRPr="00C45317">
        <w:rPr>
          <w:rFonts w:eastAsiaTheme="minorHAnsi"/>
        </w:rPr>
        <w:t>which</w:t>
      </w:r>
      <w:r>
        <w:rPr>
          <w:rFonts w:eastAsiaTheme="minorHAnsi"/>
        </w:rPr>
        <w:t xml:space="preserve"> concluded</w:t>
      </w:r>
      <w:r w:rsidR="007736E8">
        <w:rPr>
          <w:rFonts w:eastAsiaTheme="minorHAnsi"/>
        </w:rPr>
        <w:t xml:space="preserve"> </w:t>
      </w:r>
      <w:r>
        <w:rPr>
          <w:rFonts w:eastAsiaTheme="minorHAnsi"/>
        </w:rPr>
        <w:t>“</w:t>
      </w:r>
      <w:r w:rsidRPr="00C45317">
        <w:rPr>
          <w:rFonts w:eastAsiaTheme="minorHAnsi"/>
        </w:rPr>
        <w:t xml:space="preserve">that it is uncertain whether adenoidectomy is effective in children with recurrent or chronic nasal symptoms. Further </w:t>
      </w:r>
      <w:proofErr w:type="gramStart"/>
      <w:r w:rsidRPr="00C45317">
        <w:rPr>
          <w:rFonts w:eastAsiaTheme="minorHAnsi"/>
        </w:rPr>
        <w:t>high quality</w:t>
      </w:r>
      <w:proofErr w:type="gramEnd"/>
      <w:r w:rsidRPr="00C45317">
        <w:rPr>
          <w:rFonts w:eastAsiaTheme="minorHAnsi"/>
        </w:rPr>
        <w:t xml:space="preserve"> trials are needed”</w:t>
      </w:r>
      <w:r w:rsidR="00C96A5A">
        <w:rPr>
          <w:rFonts w:eastAsiaTheme="minorHAnsi"/>
        </w:rPr>
        <w:t>.</w:t>
      </w:r>
      <w:r w:rsidR="005C7108">
        <w:rPr>
          <w:rFonts w:eastAsiaTheme="minorHAnsi"/>
          <w:vertAlign w:val="superscript"/>
        </w:rPr>
        <w:t>3</w:t>
      </w:r>
      <w:r>
        <w:rPr>
          <w:rFonts w:eastAsiaTheme="minorHAnsi"/>
        </w:rPr>
        <w:t xml:space="preserve"> The UK National Health Service (NHS) Commissioning guidelines state that adenoidectomy should only be funded where performed </w:t>
      </w:r>
      <w:r w:rsidRPr="00855FDA">
        <w:rPr>
          <w:lang w:val="en-US" w:eastAsia="en-US"/>
        </w:rPr>
        <w:t>in association with tonsillectomy or grommets.</w:t>
      </w:r>
    </w:p>
    <w:p w14:paraId="243BD33F" w14:textId="77777777" w:rsidR="00BC209F" w:rsidRPr="00700528" w:rsidRDefault="00BC209F" w:rsidP="00700528">
      <w:pPr>
        <w:pStyle w:val="Heading3"/>
      </w:pPr>
      <w:r w:rsidRPr="00700528">
        <w:t>Considerations during the review of the items for adenoidectomy</w:t>
      </w:r>
    </w:p>
    <w:p w14:paraId="2623EC42" w14:textId="77777777" w:rsidR="00BC209F" w:rsidRDefault="00BC209F" w:rsidP="00681E75">
      <w:pPr>
        <w:pStyle w:val="Caption"/>
      </w:pPr>
      <w:bookmarkStart w:id="43" w:name="_Toc485720819"/>
      <w:r>
        <w:t xml:space="preserve">Table </w:t>
      </w:r>
      <w:r w:rsidR="00201595">
        <w:fldChar w:fldCharType="begin"/>
      </w:r>
      <w:r w:rsidR="00201595">
        <w:instrText xml:space="preserve"> SEQ Table \* ARABIC </w:instrText>
      </w:r>
      <w:r w:rsidR="00201595">
        <w:fldChar w:fldCharType="separate"/>
      </w:r>
      <w:r w:rsidR="00E60472">
        <w:rPr>
          <w:noProof/>
        </w:rPr>
        <w:t>2</w:t>
      </w:r>
      <w:r w:rsidR="00201595">
        <w:rPr>
          <w:noProof/>
        </w:rPr>
        <w:fldChar w:fldCharType="end"/>
      </w:r>
      <w:r w:rsidR="003B0769">
        <w:t>:</w:t>
      </w:r>
      <w:r w:rsidR="003B0769">
        <w:tab/>
      </w:r>
      <w:r w:rsidRPr="001974EA">
        <w:t xml:space="preserve">High level MBS data on </w:t>
      </w:r>
      <w:r>
        <w:t>adenoidectomy</w:t>
      </w:r>
      <w:r w:rsidRPr="001974EA">
        <w:t>, 2014</w:t>
      </w:r>
      <w:r w:rsidR="003F50B2">
        <w:t>–</w:t>
      </w:r>
      <w:r w:rsidRPr="001974EA">
        <w:t>15 (date of processing)</w:t>
      </w:r>
      <w:bookmarkEnd w:id="43"/>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2 gives data for the removal adenoids by GPs and specialists during 2014-15."/>
      </w:tblPr>
      <w:tblGrid>
        <w:gridCol w:w="3544"/>
        <w:gridCol w:w="2835"/>
        <w:gridCol w:w="2835"/>
      </w:tblGrid>
      <w:tr w:rsidR="008374C6" w:rsidRPr="003B0769" w14:paraId="5A51139D" w14:textId="77777777" w:rsidTr="003B0769">
        <w:trPr>
          <w:tblHeader/>
        </w:trPr>
        <w:tc>
          <w:tcPr>
            <w:tcW w:w="3544" w:type="dxa"/>
            <w:tcBorders>
              <w:top w:val="single" w:sz="4" w:space="0" w:color="B56012"/>
            </w:tcBorders>
            <w:shd w:val="clear" w:color="auto" w:fill="auto"/>
          </w:tcPr>
          <w:p w14:paraId="4B2B67AF" w14:textId="77777777" w:rsidR="00BC209F" w:rsidRPr="00226A36" w:rsidRDefault="003B0769" w:rsidP="006A406F">
            <w:pPr>
              <w:pStyle w:val="Tableheading"/>
              <w:rPr>
                <w:rFonts w:eastAsiaTheme="minorHAnsi"/>
              </w:rPr>
            </w:pPr>
            <w:r w:rsidRPr="00226A36">
              <w:rPr>
                <w:rFonts w:eastAsiaTheme="minorHAnsi"/>
              </w:rPr>
              <w:t>Removal of adenoids</w:t>
            </w:r>
          </w:p>
        </w:tc>
        <w:tc>
          <w:tcPr>
            <w:tcW w:w="2835" w:type="dxa"/>
            <w:tcBorders>
              <w:top w:val="single" w:sz="4" w:space="0" w:color="B56012"/>
            </w:tcBorders>
            <w:shd w:val="clear" w:color="auto" w:fill="auto"/>
          </w:tcPr>
          <w:p w14:paraId="5B3577E5" w14:textId="77777777" w:rsidR="00BC209F" w:rsidRPr="00226A36" w:rsidRDefault="00BC209F" w:rsidP="006A406F">
            <w:pPr>
              <w:pStyle w:val="Tableheading"/>
              <w:rPr>
                <w:rFonts w:eastAsiaTheme="minorHAnsi"/>
              </w:rPr>
            </w:pPr>
            <w:r w:rsidRPr="00226A36">
              <w:rPr>
                <w:rFonts w:eastAsiaTheme="minorHAnsi"/>
              </w:rPr>
              <w:t>41800</w:t>
            </w:r>
            <w:r w:rsidR="008374C6" w:rsidRPr="00226A36">
              <w:rPr>
                <w:rFonts w:eastAsiaTheme="minorHAnsi"/>
              </w:rPr>
              <w:t xml:space="preserve"> (</w:t>
            </w:r>
            <w:r w:rsidRPr="00226A36">
              <w:rPr>
                <w:rFonts w:eastAsiaTheme="minorHAnsi"/>
              </w:rPr>
              <w:t>GP)</w:t>
            </w:r>
          </w:p>
        </w:tc>
        <w:tc>
          <w:tcPr>
            <w:tcW w:w="2835" w:type="dxa"/>
            <w:tcBorders>
              <w:top w:val="single" w:sz="4" w:space="0" w:color="B56012"/>
            </w:tcBorders>
            <w:shd w:val="clear" w:color="auto" w:fill="auto"/>
          </w:tcPr>
          <w:p w14:paraId="2D45656F" w14:textId="77777777" w:rsidR="00BC209F" w:rsidRPr="00226A36" w:rsidRDefault="00BC209F" w:rsidP="006A406F">
            <w:pPr>
              <w:pStyle w:val="Tableheading"/>
              <w:rPr>
                <w:rFonts w:eastAsiaTheme="minorHAnsi"/>
              </w:rPr>
            </w:pPr>
            <w:r w:rsidRPr="00226A36">
              <w:rPr>
                <w:rFonts w:eastAsiaTheme="minorHAnsi"/>
              </w:rPr>
              <w:t>41801</w:t>
            </w:r>
            <w:r w:rsidR="008374C6" w:rsidRPr="00226A36">
              <w:rPr>
                <w:rFonts w:eastAsiaTheme="minorHAnsi"/>
              </w:rPr>
              <w:t xml:space="preserve"> </w:t>
            </w:r>
            <w:r w:rsidRPr="00226A36">
              <w:rPr>
                <w:rFonts w:eastAsiaTheme="minorHAnsi"/>
              </w:rPr>
              <w:t>(specialist)</w:t>
            </w:r>
          </w:p>
        </w:tc>
      </w:tr>
      <w:tr w:rsidR="008374C6" w:rsidRPr="00DC3A35" w14:paraId="5BC73328" w14:textId="77777777" w:rsidTr="008374C6">
        <w:tc>
          <w:tcPr>
            <w:tcW w:w="3544" w:type="dxa"/>
          </w:tcPr>
          <w:p w14:paraId="736A4207" w14:textId="77777777" w:rsidR="00BC209F" w:rsidRPr="00226A36" w:rsidRDefault="00BC209F" w:rsidP="006A406F">
            <w:pPr>
              <w:pStyle w:val="Tabletext"/>
              <w:rPr>
                <w:rFonts w:eastAsiaTheme="minorHAnsi"/>
              </w:rPr>
            </w:pPr>
            <w:r w:rsidRPr="00226A36">
              <w:rPr>
                <w:rFonts w:eastAsiaTheme="minorHAnsi"/>
              </w:rPr>
              <w:t>Number of services 2014-15</w:t>
            </w:r>
          </w:p>
        </w:tc>
        <w:tc>
          <w:tcPr>
            <w:tcW w:w="2835" w:type="dxa"/>
            <w:vAlign w:val="center"/>
          </w:tcPr>
          <w:p w14:paraId="4E73F822" w14:textId="77777777" w:rsidR="00BC209F" w:rsidRPr="00226A36" w:rsidRDefault="00BC209F" w:rsidP="006A406F">
            <w:pPr>
              <w:pStyle w:val="TableTextDecimalAlign"/>
            </w:pPr>
            <w:r w:rsidRPr="00226A36">
              <w:t>60</w:t>
            </w:r>
          </w:p>
        </w:tc>
        <w:tc>
          <w:tcPr>
            <w:tcW w:w="2835" w:type="dxa"/>
            <w:vAlign w:val="center"/>
          </w:tcPr>
          <w:p w14:paraId="52031847" w14:textId="77777777" w:rsidR="00BC209F" w:rsidRPr="00226A36" w:rsidRDefault="00BC209F" w:rsidP="006A406F">
            <w:pPr>
              <w:pStyle w:val="TableTextDecimalAlign"/>
            </w:pPr>
            <w:r w:rsidRPr="00226A36">
              <w:t>10,548</w:t>
            </w:r>
          </w:p>
        </w:tc>
      </w:tr>
      <w:tr w:rsidR="008374C6" w:rsidRPr="00DC3A35" w14:paraId="0F0F82DB" w14:textId="77777777" w:rsidTr="008374C6">
        <w:tc>
          <w:tcPr>
            <w:tcW w:w="3544" w:type="dxa"/>
          </w:tcPr>
          <w:p w14:paraId="04027DCC" w14:textId="77777777" w:rsidR="00BC209F" w:rsidRPr="00226A36" w:rsidRDefault="00BC209F" w:rsidP="006A406F">
            <w:pPr>
              <w:pStyle w:val="Tabletext"/>
              <w:rPr>
                <w:rFonts w:eastAsiaTheme="minorHAnsi"/>
              </w:rPr>
            </w:pPr>
            <w:r w:rsidRPr="00226A36">
              <w:rPr>
                <w:rFonts w:eastAsiaTheme="minorHAnsi"/>
              </w:rPr>
              <w:t>MBS Benefits 2014-15</w:t>
            </w:r>
          </w:p>
        </w:tc>
        <w:tc>
          <w:tcPr>
            <w:tcW w:w="2835" w:type="dxa"/>
            <w:vAlign w:val="center"/>
          </w:tcPr>
          <w:p w14:paraId="6EA09CAD" w14:textId="77777777" w:rsidR="00BC209F" w:rsidRPr="00226A36" w:rsidRDefault="00BC209F" w:rsidP="006A406F">
            <w:pPr>
              <w:pStyle w:val="TableTextDecimalAlign"/>
            </w:pPr>
            <w:r w:rsidRPr="00226A36">
              <w:t>2,289</w:t>
            </w:r>
          </w:p>
        </w:tc>
        <w:tc>
          <w:tcPr>
            <w:tcW w:w="2835" w:type="dxa"/>
            <w:vAlign w:val="center"/>
          </w:tcPr>
          <w:p w14:paraId="22A78113" w14:textId="77777777" w:rsidR="00BC209F" w:rsidRPr="00226A36" w:rsidRDefault="00BC209F" w:rsidP="006A406F">
            <w:pPr>
              <w:pStyle w:val="TableTextDecimalAlign"/>
            </w:pPr>
            <w:r w:rsidRPr="00226A36">
              <w:t>656,711</w:t>
            </w:r>
          </w:p>
        </w:tc>
      </w:tr>
      <w:tr w:rsidR="008374C6" w:rsidRPr="00DC3A35" w14:paraId="618D6759" w14:textId="77777777" w:rsidTr="008374C6">
        <w:tc>
          <w:tcPr>
            <w:tcW w:w="3544" w:type="dxa"/>
          </w:tcPr>
          <w:p w14:paraId="611BD3F0" w14:textId="77777777" w:rsidR="00BC209F" w:rsidRPr="00226A36" w:rsidRDefault="00BC209F" w:rsidP="006A406F">
            <w:pPr>
              <w:pStyle w:val="Tabletext"/>
              <w:rPr>
                <w:rFonts w:eastAsiaTheme="minorHAnsi"/>
              </w:rPr>
            </w:pPr>
            <w:r w:rsidRPr="00226A36">
              <w:rPr>
                <w:rFonts w:eastAsiaTheme="minorHAnsi"/>
              </w:rPr>
              <w:t>Number of providers</w:t>
            </w:r>
          </w:p>
        </w:tc>
        <w:tc>
          <w:tcPr>
            <w:tcW w:w="2835" w:type="dxa"/>
            <w:vAlign w:val="center"/>
          </w:tcPr>
          <w:p w14:paraId="039E89DD" w14:textId="77777777" w:rsidR="00BC209F" w:rsidRPr="00226A36" w:rsidRDefault="00BC209F" w:rsidP="006A406F">
            <w:pPr>
              <w:pStyle w:val="TableTextDecimalAlign"/>
            </w:pPr>
            <w:r w:rsidRPr="00226A36">
              <w:t>8</w:t>
            </w:r>
          </w:p>
        </w:tc>
        <w:tc>
          <w:tcPr>
            <w:tcW w:w="2835" w:type="dxa"/>
            <w:vAlign w:val="center"/>
          </w:tcPr>
          <w:p w14:paraId="741B976F" w14:textId="77777777" w:rsidR="00BC209F" w:rsidRPr="00226A36" w:rsidRDefault="00BC209F" w:rsidP="006A406F">
            <w:pPr>
              <w:pStyle w:val="TableTextDecimalAlign"/>
            </w:pPr>
            <w:r w:rsidRPr="00226A36">
              <w:t>408</w:t>
            </w:r>
          </w:p>
        </w:tc>
      </w:tr>
      <w:tr w:rsidR="008374C6" w:rsidRPr="00DC3A35" w14:paraId="280C65E5" w14:textId="77777777" w:rsidTr="008374C6">
        <w:tc>
          <w:tcPr>
            <w:tcW w:w="3544" w:type="dxa"/>
          </w:tcPr>
          <w:p w14:paraId="08C29C13" w14:textId="77777777" w:rsidR="00BC209F" w:rsidRPr="00226A36" w:rsidRDefault="00BC209F" w:rsidP="006A406F">
            <w:pPr>
              <w:pStyle w:val="Tabletext"/>
              <w:rPr>
                <w:rFonts w:eastAsiaTheme="minorHAnsi"/>
              </w:rPr>
            </w:pPr>
            <w:r w:rsidRPr="00226A36">
              <w:rPr>
                <w:rFonts w:eastAsiaTheme="minorHAnsi"/>
              </w:rPr>
              <w:t>Number of patients</w:t>
            </w:r>
          </w:p>
        </w:tc>
        <w:tc>
          <w:tcPr>
            <w:tcW w:w="2835" w:type="dxa"/>
            <w:vAlign w:val="center"/>
          </w:tcPr>
          <w:p w14:paraId="2CEA371B" w14:textId="77777777" w:rsidR="00BC209F" w:rsidRPr="00226A36" w:rsidRDefault="00BC209F" w:rsidP="006A406F">
            <w:pPr>
              <w:pStyle w:val="TableTextDecimalAlign"/>
            </w:pPr>
            <w:r w:rsidRPr="00226A36">
              <w:t xml:space="preserve">60 </w:t>
            </w:r>
          </w:p>
        </w:tc>
        <w:tc>
          <w:tcPr>
            <w:tcW w:w="2835" w:type="dxa"/>
            <w:vAlign w:val="center"/>
          </w:tcPr>
          <w:p w14:paraId="3050D51C" w14:textId="77777777" w:rsidR="00BC209F" w:rsidRPr="00226A36" w:rsidRDefault="00BC209F" w:rsidP="006A406F">
            <w:pPr>
              <w:pStyle w:val="TableTextDecimalAlign"/>
            </w:pPr>
            <w:r w:rsidRPr="00226A36">
              <w:t>10,548</w:t>
            </w:r>
          </w:p>
        </w:tc>
      </w:tr>
    </w:tbl>
    <w:p w14:paraId="7EADCA0B" w14:textId="77777777" w:rsidR="00BC209F" w:rsidRPr="003F1FC3" w:rsidRDefault="00BC209F" w:rsidP="00226A36">
      <w:pPr>
        <w:pStyle w:val="TableUnderlast"/>
      </w:pPr>
      <w:r w:rsidRPr="003F1FC3">
        <w:t>Unpublished data (Department of Health)</w:t>
      </w:r>
    </w:p>
    <w:p w14:paraId="6C2D0F9D" w14:textId="77777777" w:rsidR="00BC209F" w:rsidRPr="00700528" w:rsidRDefault="00BC209F" w:rsidP="00700528">
      <w:pPr>
        <w:pStyle w:val="Heading3"/>
      </w:pPr>
      <w:r w:rsidRPr="00700528">
        <w:t xml:space="preserve">Observations on data on service usage and geographical variation </w:t>
      </w:r>
    </w:p>
    <w:p w14:paraId="17BCF18C" w14:textId="77777777" w:rsidR="00BC209F" w:rsidRPr="001C3B56" w:rsidRDefault="00BC209F" w:rsidP="00700528">
      <w:pPr>
        <w:rPr>
          <w:rFonts w:eastAsiaTheme="minorHAnsi"/>
        </w:rPr>
      </w:pPr>
      <w:r w:rsidRPr="003F1FC3">
        <w:t xml:space="preserve">The Committee considered MBS data on service usage by age and gender, </w:t>
      </w:r>
      <w:proofErr w:type="gramStart"/>
      <w:r w:rsidRPr="003F1FC3">
        <w:t>state</w:t>
      </w:r>
      <w:proofErr w:type="gramEnd"/>
      <w:r w:rsidRPr="003F1FC3">
        <w:t xml:space="preserve"> and small geographic area (unadjusted and adjusted for population). Data was also provided on patterns of co-</w:t>
      </w:r>
      <w:r w:rsidRPr="003F1FC3">
        <w:lastRenderedPageBreak/>
        <w:t xml:space="preserve">claiming of adenoidectomy with MBS consultation services and </w:t>
      </w:r>
      <w:r>
        <w:t xml:space="preserve">other </w:t>
      </w:r>
      <w:r w:rsidRPr="003F1FC3">
        <w:t xml:space="preserve">procedural services and the pattern of adenoidectomy in relation to the number of </w:t>
      </w:r>
      <w:r w:rsidR="00A444D1">
        <w:t xml:space="preserve">grommet </w:t>
      </w:r>
      <w:r w:rsidRPr="003F1FC3">
        <w:t>insertion</w:t>
      </w:r>
      <w:r w:rsidR="00A444D1">
        <w:t>s</w:t>
      </w:r>
      <w:r w:rsidRPr="003F1FC3">
        <w:t>.</w:t>
      </w:r>
    </w:p>
    <w:p w14:paraId="468B56E9" w14:textId="77777777" w:rsidR="00BC209F" w:rsidRPr="003F1FC3" w:rsidRDefault="00BC209F" w:rsidP="00700528">
      <w:r w:rsidRPr="003F1FC3">
        <w:t xml:space="preserve">The Committee </w:t>
      </w:r>
      <w:r>
        <w:t xml:space="preserve">also </w:t>
      </w:r>
      <w:r w:rsidRPr="003F1FC3">
        <w:t>examined data on the use of adenoidectomy in patients who also underwent insertion of grommet</w:t>
      </w:r>
      <w:r w:rsidR="00A444D1">
        <w:t>s</w:t>
      </w:r>
      <w:r w:rsidRPr="003F1FC3">
        <w:t>. The Committee proposed that for some patients</w:t>
      </w:r>
      <w:r w:rsidR="00A444D1">
        <w:t>,</w:t>
      </w:r>
      <w:r w:rsidRPr="003F1FC3">
        <w:t xml:space="preserve"> adenoidectomy is also performed to reduce the need for repeated episodes of grommet insertion. The data show that around 25 per cent of patients who underwent insertion of grommets also had an adenoidectomy on the first episode of grommet insertion. This was broadly in line with expectations.</w:t>
      </w:r>
    </w:p>
    <w:p w14:paraId="6A91F452" w14:textId="77777777" w:rsidR="00BC209F" w:rsidRPr="003F1FC3" w:rsidRDefault="00BC209F" w:rsidP="00700528">
      <w:r w:rsidRPr="003F1FC3">
        <w:t xml:space="preserve">In general, the Committee was of the view that from the data presented, there was no strong evidence that the services were being rendered inappropriately. </w:t>
      </w:r>
    </w:p>
    <w:p w14:paraId="7C56D928" w14:textId="77777777" w:rsidR="00BC209F" w:rsidRPr="00700528" w:rsidRDefault="00BC209F" w:rsidP="00700528">
      <w:pPr>
        <w:pStyle w:val="Heading3"/>
      </w:pPr>
      <w:r w:rsidRPr="00700528">
        <w:t xml:space="preserve">Structure of the items </w:t>
      </w:r>
    </w:p>
    <w:p w14:paraId="2AD5DEE6" w14:textId="77777777" w:rsidR="00BC209F" w:rsidRPr="001C3B56" w:rsidRDefault="00BC209F" w:rsidP="00700528">
      <w:pPr>
        <w:rPr>
          <w:rFonts w:eastAsiaTheme="minorHAnsi"/>
        </w:rPr>
      </w:pPr>
      <w:r w:rsidRPr="003F1FC3">
        <w:t>The Committee noted that all adenoidectomies are performed in hospital and that there are a very small number of GPs providing the service.</w:t>
      </w:r>
      <w:r>
        <w:t xml:space="preserve"> </w:t>
      </w:r>
    </w:p>
    <w:p w14:paraId="69D4F1B2" w14:textId="77777777" w:rsidR="00BC209F" w:rsidRPr="00700528" w:rsidRDefault="00BC209F" w:rsidP="00700528">
      <w:pPr>
        <w:pStyle w:val="Heading3"/>
      </w:pPr>
      <w:r w:rsidRPr="00700528">
        <w:t>Patient indications</w:t>
      </w:r>
    </w:p>
    <w:p w14:paraId="29493932" w14:textId="77777777" w:rsidR="00BC209F" w:rsidRPr="001C3B56" w:rsidRDefault="00BC209F" w:rsidP="00700528">
      <w:pPr>
        <w:rPr>
          <w:rFonts w:eastAsiaTheme="minorHAnsi"/>
        </w:rPr>
      </w:pPr>
      <w:r w:rsidRPr="003F1FC3">
        <w:t xml:space="preserve">The view of the Committee was that the service of adenoidectomy was a valuable clinical service, appropriate for funding through the MBS, when provided to patients with </w:t>
      </w:r>
      <w:proofErr w:type="gramStart"/>
      <w:r w:rsidRPr="003F1FC3">
        <w:t>particular indications</w:t>
      </w:r>
      <w:proofErr w:type="gramEnd"/>
      <w:r w:rsidRPr="003F1FC3">
        <w:t>. There was a majority view that the patient indications for adenoidectomy are well-known by practitioners who perform the services.</w:t>
      </w:r>
    </w:p>
    <w:p w14:paraId="7923EC7B" w14:textId="77777777" w:rsidR="00BC209F" w:rsidRPr="003F1FC3" w:rsidRDefault="00BC209F" w:rsidP="00700528">
      <w:r w:rsidRPr="003F1FC3">
        <w:t xml:space="preserve">The Committee noted that there are no published comprehensive guidelines for adenoidectomy covering all aspects of adenoid surgery. There are numerous studies looking at individual aspects of adenoid surgery, particularly in relation to otitis media. The role of adenoidectomy in obstructive sleep apnoea </w:t>
      </w:r>
      <w:r w:rsidR="00C543EF">
        <w:t xml:space="preserve">(OSA) </w:t>
      </w:r>
      <w:r w:rsidRPr="003F1FC3">
        <w:t>is covered in literature relating to adenotonsillectomy.</w:t>
      </w:r>
    </w:p>
    <w:p w14:paraId="72342929" w14:textId="77777777" w:rsidR="00BC209F" w:rsidRPr="003F1FC3" w:rsidRDefault="00BC209F" w:rsidP="00700528">
      <w:r w:rsidRPr="003F1FC3">
        <w:t>Accepted common indications for adenoidectomy, alone or in combination with other procedures, include:</w:t>
      </w:r>
    </w:p>
    <w:p w14:paraId="561BFB1C" w14:textId="77777777" w:rsidR="00BC209F" w:rsidRPr="003B0769" w:rsidRDefault="00BC209F" w:rsidP="00700528">
      <w:pPr>
        <w:pStyle w:val="NormalBulleted"/>
      </w:pPr>
      <w:r w:rsidRPr="003B0769">
        <w:t>O</w:t>
      </w:r>
      <w:r w:rsidR="00C543EF">
        <w:t>SA</w:t>
      </w:r>
      <w:r w:rsidRPr="003B0769">
        <w:t xml:space="preserve">/ sleep disordered breathing </w:t>
      </w:r>
      <w:r w:rsidR="005061F1">
        <w:t xml:space="preserve">(SDB) </w:t>
      </w:r>
      <w:r w:rsidRPr="003B0769">
        <w:t>(with or without tonsillectomy)</w:t>
      </w:r>
    </w:p>
    <w:p w14:paraId="0A7D4CB3" w14:textId="77777777" w:rsidR="00BC209F" w:rsidRPr="003F1FC3" w:rsidRDefault="00BC209F" w:rsidP="00700528">
      <w:pPr>
        <w:pStyle w:val="NormalBulleted"/>
      </w:pPr>
      <w:r w:rsidRPr="003F1FC3">
        <w:t>Eustachian tube dysfunction / otitis media with effusion</w:t>
      </w:r>
      <w:r w:rsidR="005061F1">
        <w:t xml:space="preserve"> (OME)</w:t>
      </w:r>
      <w:r w:rsidRPr="003F1FC3">
        <w:t xml:space="preserve"> / middle ear atelectasis </w:t>
      </w:r>
      <w:r w:rsidR="00A444D1">
        <w:t>(</w:t>
      </w:r>
      <w:r w:rsidRPr="003F1FC3">
        <w:t>with or without ventilation tube insertion)</w:t>
      </w:r>
      <w:r w:rsidR="00B97414">
        <w:rPr>
          <w:vertAlign w:val="superscript"/>
        </w:rPr>
        <w:t>4</w:t>
      </w:r>
    </w:p>
    <w:p w14:paraId="03F4153F" w14:textId="77777777" w:rsidR="00BC209F" w:rsidRPr="003F1FC3" w:rsidRDefault="00BC209F" w:rsidP="00700528">
      <w:pPr>
        <w:pStyle w:val="NormalBulleted"/>
      </w:pPr>
      <w:r w:rsidRPr="003F1FC3">
        <w:t>Nasal obstruction</w:t>
      </w:r>
    </w:p>
    <w:p w14:paraId="45DFB76D" w14:textId="77777777" w:rsidR="00BC209F" w:rsidRPr="003F1FC3" w:rsidRDefault="00BC209F" w:rsidP="00700528">
      <w:pPr>
        <w:pStyle w:val="NormalBulleted"/>
      </w:pPr>
      <w:r w:rsidRPr="003F1FC3">
        <w:t>Chronic rhinosinusitis</w:t>
      </w:r>
    </w:p>
    <w:p w14:paraId="328CAA83" w14:textId="77777777" w:rsidR="00BC209F" w:rsidRPr="003F1FC3" w:rsidRDefault="00BC209F" w:rsidP="00700528">
      <w:pPr>
        <w:pStyle w:val="NormalBulleted"/>
      </w:pPr>
      <w:r w:rsidRPr="003F1FC3">
        <w:t>Suspected malignancy</w:t>
      </w:r>
    </w:p>
    <w:p w14:paraId="59763C3B" w14:textId="77777777" w:rsidR="00BC209F" w:rsidRPr="003F1FC3" w:rsidRDefault="00BC209F" w:rsidP="00FE6728">
      <w:pPr>
        <w:rPr>
          <w:rFonts w:eastAsiaTheme="minorHAnsi" w:cs="Arial"/>
          <w:szCs w:val="22"/>
        </w:rPr>
      </w:pPr>
      <w:r w:rsidRPr="003F1FC3">
        <w:t xml:space="preserve">The Committee also notes a recent study concluded that “Adjuvant adenoidectomy doubles benefit from short-stay ventilation tubes by extending better hearing through the second year in children aged 3.25-6.75 years with persistent </w:t>
      </w:r>
      <w:r w:rsidR="005061F1">
        <w:t>OME</w:t>
      </w:r>
      <w:r w:rsidRPr="003F1FC3">
        <w:t xml:space="preserve"> with at least a 20 dB HL in both ears. The duration of benefit of adenoidectomy is related to the duration of function of the type of the ventilation tubes used. Adenoidectomy also substantially reduces eligibility for revision surgery.”</w:t>
      </w:r>
      <w:r w:rsidR="00E754D9" w:rsidRPr="00E754D9">
        <w:rPr>
          <w:szCs w:val="22"/>
          <w:vertAlign w:val="superscript"/>
        </w:rPr>
        <w:t>5</w:t>
      </w:r>
    </w:p>
    <w:p w14:paraId="27F178B4" w14:textId="77777777" w:rsidR="00BC209F" w:rsidRPr="003F1FC3" w:rsidRDefault="00BC209F" w:rsidP="00FE6728">
      <w:r w:rsidRPr="003F1FC3">
        <w:lastRenderedPageBreak/>
        <w:t xml:space="preserve">The Committee considered whether the items should be amended to include patient indications for the service. The majority view of the Committee was that there was no strong evidence to justify amending the item descriptors to include patient indications. </w:t>
      </w:r>
    </w:p>
    <w:p w14:paraId="75B05FFD" w14:textId="77777777" w:rsidR="00BC209F" w:rsidRPr="00700528" w:rsidRDefault="00BC209F" w:rsidP="00700528">
      <w:pPr>
        <w:pStyle w:val="Heading3"/>
      </w:pPr>
      <w:r w:rsidRPr="00700528">
        <w:t xml:space="preserve">Claiming patterns, including co-claiming of other MBS services </w:t>
      </w:r>
    </w:p>
    <w:p w14:paraId="0A5F5B82" w14:textId="77777777" w:rsidR="00BC209F" w:rsidRPr="001C3B56" w:rsidRDefault="00BC209F" w:rsidP="00700528">
      <w:pPr>
        <w:rPr>
          <w:rFonts w:eastAsiaTheme="minorHAnsi"/>
        </w:rPr>
      </w:pPr>
      <w:r w:rsidRPr="003F1FC3">
        <w:t xml:space="preserve">The Committee </w:t>
      </w:r>
      <w:r>
        <w:t>reviewed</w:t>
      </w:r>
      <w:r w:rsidRPr="003F1FC3">
        <w:t xml:space="preserve"> data on other MBS items (including consultation and procedural services) claimed on the same day, by the same practitioner, for the same patient who underwent the adenoidectomy. </w:t>
      </w:r>
    </w:p>
    <w:p w14:paraId="0746419A" w14:textId="77777777" w:rsidR="00BC209F" w:rsidRPr="003F1FC3" w:rsidRDefault="00BC209F" w:rsidP="00700528">
      <w:r w:rsidRPr="003F1FC3">
        <w:t>The data show that adenoidectomy was the only MBS item claimed on around eight per cent of occasions. Other commonly, co-claimed items include:</w:t>
      </w:r>
    </w:p>
    <w:p w14:paraId="2D4F6D57" w14:textId="77777777" w:rsidR="00BC209F" w:rsidRPr="00700528" w:rsidRDefault="00BC209F" w:rsidP="00700528">
      <w:pPr>
        <w:pStyle w:val="NormalBulleted"/>
      </w:pPr>
      <w:r w:rsidRPr="00226A36">
        <w:rPr>
          <w:b/>
        </w:rPr>
        <w:t xml:space="preserve">41632 </w:t>
      </w:r>
      <w:r w:rsidR="00C2233F" w:rsidRPr="00700528">
        <w:t>– Insertion of grommet</w:t>
      </w:r>
      <w:r w:rsidRPr="00700528">
        <w:t xml:space="preserve"> </w:t>
      </w:r>
      <w:r w:rsidR="00C2233F" w:rsidRPr="00700528">
        <w:t>(</w:t>
      </w:r>
      <w:r w:rsidRPr="00700528">
        <w:t>arou</w:t>
      </w:r>
      <w:r w:rsidR="00C2233F" w:rsidRPr="00700528">
        <w:t xml:space="preserve">nd 59 per cent of occasions </w:t>
      </w:r>
      <w:r w:rsidRPr="00700528">
        <w:t xml:space="preserve">for the item for tonsillectomy for under </w:t>
      </w:r>
      <w:proofErr w:type="gramStart"/>
      <w:r w:rsidRPr="00700528">
        <w:t>12 year</w:t>
      </w:r>
      <w:proofErr w:type="gramEnd"/>
      <w:r w:rsidRPr="00700528">
        <w:t xml:space="preserve"> </w:t>
      </w:r>
      <w:proofErr w:type="spellStart"/>
      <w:r w:rsidRPr="00700528">
        <w:t>olds</w:t>
      </w:r>
      <w:proofErr w:type="spellEnd"/>
      <w:r w:rsidRPr="00700528">
        <w:t>).</w:t>
      </w:r>
    </w:p>
    <w:p w14:paraId="5B226584" w14:textId="77777777" w:rsidR="00BC209F" w:rsidRPr="00700528" w:rsidRDefault="00BC209F" w:rsidP="00700528">
      <w:pPr>
        <w:pStyle w:val="NormalBulleted"/>
      </w:pPr>
      <w:r w:rsidRPr="00226A36">
        <w:rPr>
          <w:b/>
        </w:rPr>
        <w:t>41764</w:t>
      </w:r>
      <w:r w:rsidR="00C2233F" w:rsidRPr="00226A36">
        <w:rPr>
          <w:b/>
        </w:rPr>
        <w:t xml:space="preserve"> </w:t>
      </w:r>
      <w:r w:rsidR="00C2233F" w:rsidRPr="00700528">
        <w:t xml:space="preserve">– </w:t>
      </w:r>
      <w:proofErr w:type="spellStart"/>
      <w:r w:rsidR="00C2233F" w:rsidRPr="00700528">
        <w:t>N</w:t>
      </w:r>
      <w:r w:rsidRPr="00700528">
        <w:t>asendoscopic</w:t>
      </w:r>
      <w:proofErr w:type="spellEnd"/>
      <w:r w:rsidRPr="00700528">
        <w:t xml:space="preserve"> examination of the nasopharynx or larynx</w:t>
      </w:r>
      <w:r w:rsidR="00C2233F" w:rsidRPr="00700528">
        <w:t xml:space="preserve"> (</w:t>
      </w:r>
      <w:r w:rsidRPr="00700528">
        <w:t>around 30 per cent of occasions</w:t>
      </w:r>
      <w:r w:rsidR="00C2233F" w:rsidRPr="00700528">
        <w:t>)</w:t>
      </w:r>
      <w:r w:rsidRPr="00700528">
        <w:t>.</w:t>
      </w:r>
    </w:p>
    <w:p w14:paraId="519D5AA9" w14:textId="77777777" w:rsidR="00BC209F" w:rsidRPr="00700528" w:rsidRDefault="00BC209F" w:rsidP="00700528">
      <w:pPr>
        <w:pStyle w:val="NormalBulleted"/>
      </w:pPr>
      <w:r w:rsidRPr="00226A36">
        <w:rPr>
          <w:b/>
        </w:rPr>
        <w:t>41692</w:t>
      </w:r>
      <w:r w:rsidRPr="00700528">
        <w:t xml:space="preserve"> </w:t>
      </w:r>
      <w:r w:rsidR="00C2233F" w:rsidRPr="00700528">
        <w:t>– S</w:t>
      </w:r>
      <w:r w:rsidRPr="00700528">
        <w:t>ubcutaneous resection of turbinates</w:t>
      </w:r>
      <w:r w:rsidR="00C2233F" w:rsidRPr="00700528">
        <w:t xml:space="preserve"> (</w:t>
      </w:r>
      <w:r w:rsidRPr="00700528">
        <w:t>around 16 per cent of occasions</w:t>
      </w:r>
      <w:r w:rsidR="00C2233F" w:rsidRPr="00700528">
        <w:t>)</w:t>
      </w:r>
      <w:r w:rsidRPr="00700528">
        <w:t>.</w:t>
      </w:r>
    </w:p>
    <w:p w14:paraId="1CABD9D7" w14:textId="77777777" w:rsidR="00BC209F" w:rsidRPr="00700528" w:rsidRDefault="00BC209F" w:rsidP="00700528">
      <w:pPr>
        <w:pStyle w:val="NormalBulleted"/>
      </w:pPr>
      <w:r w:rsidRPr="00226A36">
        <w:rPr>
          <w:b/>
        </w:rPr>
        <w:t>41674</w:t>
      </w:r>
      <w:r w:rsidR="00C2233F" w:rsidRPr="00226A36">
        <w:rPr>
          <w:b/>
        </w:rPr>
        <w:t xml:space="preserve"> </w:t>
      </w:r>
      <w:r w:rsidR="00C2233F" w:rsidRPr="00700528">
        <w:t>– C</w:t>
      </w:r>
      <w:r w:rsidRPr="00700528">
        <w:t>auterisation of s</w:t>
      </w:r>
      <w:r w:rsidR="00C2233F" w:rsidRPr="00700528">
        <w:t xml:space="preserve">eptum, </w:t>
      </w:r>
      <w:proofErr w:type="gramStart"/>
      <w:r w:rsidR="00C2233F" w:rsidRPr="00700528">
        <w:t>turbinates</w:t>
      </w:r>
      <w:proofErr w:type="gramEnd"/>
      <w:r w:rsidR="00C2233F" w:rsidRPr="00700528">
        <w:t xml:space="preserve"> or pharynx (</w:t>
      </w:r>
      <w:r w:rsidRPr="00700528">
        <w:t>around 10 per cent of occasions</w:t>
      </w:r>
      <w:r w:rsidR="00C2233F" w:rsidRPr="00700528">
        <w:t>)</w:t>
      </w:r>
      <w:r w:rsidRPr="00700528">
        <w:t>.</w:t>
      </w:r>
    </w:p>
    <w:p w14:paraId="07D0DBC9" w14:textId="77777777" w:rsidR="00BC209F" w:rsidRPr="003F1FC3" w:rsidRDefault="00BC209F" w:rsidP="00700528">
      <w:pPr>
        <w:rPr>
          <w:rFonts w:eastAsiaTheme="minorHAnsi" w:cs="Arial"/>
          <w:szCs w:val="22"/>
        </w:rPr>
      </w:pPr>
      <w:r w:rsidRPr="003F1FC3">
        <w:t>The Committee w</w:t>
      </w:r>
      <w:r w:rsidR="00A444D1">
        <w:t>as</w:t>
      </w:r>
      <w:r w:rsidRPr="003F1FC3">
        <w:t xml:space="preserve"> of the view that the service of adenoidectomy should include any examination of the post nasal space and for clarification and consistency with the service of tonsillectomy should also be amended to include the infiltration of local anaesthetic as part of the procedure.</w:t>
      </w:r>
    </w:p>
    <w:p w14:paraId="728C56DA" w14:textId="77777777" w:rsidR="00BC209F" w:rsidRPr="00700528" w:rsidRDefault="00BC209F" w:rsidP="00BC0C1D">
      <w:pPr>
        <w:pStyle w:val="Rec"/>
      </w:pPr>
      <w:bookmarkStart w:id="44" w:name="_Toc457053418"/>
      <w:bookmarkStart w:id="45" w:name="_Toc485723853"/>
      <w:r w:rsidRPr="00700528">
        <w:t>Adenoidectomy</w:t>
      </w:r>
      <w:bookmarkEnd w:id="44"/>
      <w:bookmarkEnd w:id="45"/>
    </w:p>
    <w:p w14:paraId="0CECE92D" w14:textId="77777777" w:rsidR="00BC209F" w:rsidRPr="001C3B56" w:rsidRDefault="00BC209F" w:rsidP="00700528">
      <w:r w:rsidRPr="003F1FC3">
        <w:t xml:space="preserve">The </w:t>
      </w:r>
      <w:r>
        <w:t xml:space="preserve">Committee recommended that the </w:t>
      </w:r>
      <w:r w:rsidRPr="003F1FC3">
        <w:t xml:space="preserve">item descriptor for adenoidectomy should be amended to clarify that the service includes examination of the </w:t>
      </w:r>
      <w:proofErr w:type="gramStart"/>
      <w:r w:rsidRPr="003F1FC3">
        <w:t>post nasal</w:t>
      </w:r>
      <w:proofErr w:type="gramEnd"/>
      <w:r w:rsidRPr="003F1FC3">
        <w:t xml:space="preserve"> space </w:t>
      </w:r>
      <w:r w:rsidR="00AE6B10">
        <w:t xml:space="preserve">and </w:t>
      </w:r>
      <w:r w:rsidRPr="003F1FC3">
        <w:t xml:space="preserve">local anaesthetic and that the restrictions be put in place to prevent co-claiming of </w:t>
      </w:r>
      <w:r w:rsidR="00AE6B10">
        <w:t>adenoidectomy</w:t>
      </w:r>
      <w:r w:rsidR="00AE6B10" w:rsidRPr="003F1FC3">
        <w:t xml:space="preserve"> </w:t>
      </w:r>
      <w:r w:rsidRPr="003F1FC3">
        <w:t>with item 41764.</w:t>
      </w:r>
    </w:p>
    <w:p w14:paraId="77BA201D" w14:textId="77777777" w:rsidR="00BC209F" w:rsidRPr="00700528" w:rsidRDefault="003B0769" w:rsidP="00700528">
      <w:pPr>
        <w:pStyle w:val="Caption"/>
      </w:pPr>
      <w:bookmarkStart w:id="46" w:name="_Toc485720820"/>
      <w:r w:rsidRPr="00700528">
        <w:t xml:space="preserve">Table </w:t>
      </w:r>
      <w:r w:rsidR="00201595">
        <w:fldChar w:fldCharType="begin"/>
      </w:r>
      <w:r w:rsidR="00201595">
        <w:instrText xml:space="preserve"> SEQ Table \* ARABIC </w:instrText>
      </w:r>
      <w:r w:rsidR="00201595">
        <w:fldChar w:fldCharType="separate"/>
      </w:r>
      <w:r w:rsidR="00E60472">
        <w:rPr>
          <w:noProof/>
        </w:rPr>
        <w:t>3</w:t>
      </w:r>
      <w:r w:rsidR="00201595">
        <w:rPr>
          <w:noProof/>
        </w:rPr>
        <w:fldChar w:fldCharType="end"/>
      </w:r>
      <w:r w:rsidRPr="00700528">
        <w:t xml:space="preserve">: </w:t>
      </w:r>
      <w:r w:rsidRPr="00700528">
        <w:tab/>
        <w:t>P</w:t>
      </w:r>
      <w:r w:rsidR="00BC209F" w:rsidRPr="00700528">
        <w:t>roposed changes to the item descriptors</w:t>
      </w:r>
      <w:bookmarkEnd w:id="46"/>
      <w:r w:rsidR="00BC209F" w:rsidRPr="00700528">
        <w:t xml:space="preserve"> </w:t>
      </w:r>
    </w:p>
    <w:tbl>
      <w:tblPr>
        <w:tblStyle w:val="TableGrid"/>
        <w:tblW w:w="0" w:type="auto"/>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3 provides the current item descriptor and the proposed new item descriptorfor adenoid removal."/>
      </w:tblPr>
      <w:tblGrid>
        <w:gridCol w:w="1051"/>
        <w:gridCol w:w="3769"/>
        <w:gridCol w:w="4098"/>
      </w:tblGrid>
      <w:tr w:rsidR="00BC209F" w:rsidRPr="00CB799E" w14:paraId="5CC4FB7F" w14:textId="77777777" w:rsidTr="00776CB7">
        <w:trPr>
          <w:tblHeader/>
        </w:trPr>
        <w:tc>
          <w:tcPr>
            <w:tcW w:w="1063" w:type="dxa"/>
          </w:tcPr>
          <w:p w14:paraId="3A6EDE4A" w14:textId="77777777" w:rsidR="00BC209F" w:rsidRPr="00C2233F" w:rsidRDefault="00BC209F" w:rsidP="006A406F">
            <w:pPr>
              <w:pStyle w:val="Tableheading"/>
              <w:rPr>
                <w:lang w:val="en-US"/>
              </w:rPr>
            </w:pPr>
            <w:r w:rsidRPr="00C2233F">
              <w:rPr>
                <w:lang w:val="en-US"/>
              </w:rPr>
              <w:t>Item</w:t>
            </w:r>
            <w:r w:rsidR="005840F6">
              <w:rPr>
                <w:lang w:val="en-US"/>
              </w:rPr>
              <w:t>*</w:t>
            </w:r>
          </w:p>
        </w:tc>
        <w:tc>
          <w:tcPr>
            <w:tcW w:w="3869" w:type="dxa"/>
          </w:tcPr>
          <w:p w14:paraId="4A528A22" w14:textId="77777777" w:rsidR="00BC209F" w:rsidRPr="002378DB" w:rsidRDefault="00BC209F" w:rsidP="006A406F">
            <w:pPr>
              <w:pStyle w:val="Tableheading"/>
              <w:rPr>
                <w:lang w:val="en-US"/>
              </w:rPr>
            </w:pPr>
            <w:r w:rsidRPr="002378DB">
              <w:rPr>
                <w:lang w:val="en-US"/>
              </w:rPr>
              <w:t>Current Item Descriptor</w:t>
            </w:r>
          </w:p>
        </w:tc>
        <w:tc>
          <w:tcPr>
            <w:tcW w:w="4202" w:type="dxa"/>
          </w:tcPr>
          <w:p w14:paraId="5B8A1E9B" w14:textId="77777777" w:rsidR="00BC209F" w:rsidRPr="002378DB" w:rsidRDefault="00BC209F" w:rsidP="006A406F">
            <w:pPr>
              <w:pStyle w:val="Tableheading"/>
              <w:rPr>
                <w:lang w:val="en-US"/>
              </w:rPr>
            </w:pPr>
            <w:r w:rsidRPr="002378DB">
              <w:rPr>
                <w:lang w:val="en-US"/>
              </w:rPr>
              <w:t>Proposed new Item Descriptor</w:t>
            </w:r>
            <w:r>
              <w:rPr>
                <w:lang w:val="en-US"/>
              </w:rPr>
              <w:t>*</w:t>
            </w:r>
            <w:r w:rsidR="005840F6">
              <w:rPr>
                <w:lang w:val="en-US"/>
              </w:rPr>
              <w:t>*</w:t>
            </w:r>
          </w:p>
        </w:tc>
      </w:tr>
      <w:tr w:rsidR="00BC209F" w:rsidRPr="00CB799E" w14:paraId="7CD8F65C" w14:textId="77777777" w:rsidTr="006058ED">
        <w:tc>
          <w:tcPr>
            <w:tcW w:w="1063" w:type="dxa"/>
          </w:tcPr>
          <w:p w14:paraId="0BF11327" w14:textId="77777777" w:rsidR="00BC209F" w:rsidRPr="00C2233F" w:rsidRDefault="00BC209F" w:rsidP="006A406F">
            <w:pPr>
              <w:pStyle w:val="Tabletext"/>
              <w:rPr>
                <w:lang w:val="en-US"/>
              </w:rPr>
            </w:pPr>
            <w:r w:rsidRPr="006A406F">
              <w:rPr>
                <w:b/>
                <w:lang w:val="en-US"/>
              </w:rPr>
              <w:t>41800 G</w:t>
            </w:r>
            <w:r w:rsidR="00A376AF" w:rsidRPr="006A406F">
              <w:rPr>
                <w:b/>
                <w:lang w:val="en-US"/>
              </w:rPr>
              <w:t xml:space="preserve">, </w:t>
            </w:r>
            <w:r w:rsidRPr="006A406F">
              <w:rPr>
                <w:b/>
                <w:lang w:val="en-US"/>
              </w:rPr>
              <w:t>41801 S</w:t>
            </w:r>
          </w:p>
        </w:tc>
        <w:tc>
          <w:tcPr>
            <w:tcW w:w="3869" w:type="dxa"/>
          </w:tcPr>
          <w:p w14:paraId="3A7874BE" w14:textId="77777777" w:rsidR="00BC209F" w:rsidRPr="002378DB" w:rsidRDefault="00BC209F" w:rsidP="006A406F">
            <w:pPr>
              <w:pStyle w:val="Tabletext"/>
              <w:rPr>
                <w:lang w:val="en-US"/>
              </w:rPr>
            </w:pPr>
            <w:r w:rsidRPr="008B7E72">
              <w:rPr>
                <w:lang w:val="en-US"/>
              </w:rPr>
              <w:t>Adenoids, removal of (</w:t>
            </w:r>
            <w:proofErr w:type="spellStart"/>
            <w:r w:rsidRPr="008B7E72">
              <w:rPr>
                <w:lang w:val="en-US"/>
              </w:rPr>
              <w:t>Anaes</w:t>
            </w:r>
            <w:proofErr w:type="spellEnd"/>
            <w:r w:rsidRPr="008B7E72">
              <w:rPr>
                <w:lang w:val="en-US"/>
              </w:rPr>
              <w:t>.)</w:t>
            </w:r>
          </w:p>
        </w:tc>
        <w:tc>
          <w:tcPr>
            <w:tcW w:w="4202" w:type="dxa"/>
          </w:tcPr>
          <w:p w14:paraId="3A2371FE" w14:textId="77777777" w:rsidR="00BC209F" w:rsidRPr="00855FDA" w:rsidRDefault="00BC209F" w:rsidP="006A406F">
            <w:pPr>
              <w:pStyle w:val="Tabletext"/>
              <w:rPr>
                <w:lang w:val="en-US"/>
              </w:rPr>
            </w:pPr>
            <w:r w:rsidRPr="00683497">
              <w:rPr>
                <w:lang w:val="en-US"/>
              </w:rPr>
              <w:t xml:space="preserve">Adenoids, removal of, </w:t>
            </w:r>
            <w:r w:rsidRPr="003873E6">
              <w:rPr>
                <w:u w:val="single"/>
                <w:lang w:val="en-US"/>
              </w:rPr>
              <w:t>including any examination of the postnasal space</w:t>
            </w:r>
            <w:r w:rsidR="001406C1">
              <w:rPr>
                <w:u w:val="single"/>
                <w:lang w:val="en-US"/>
              </w:rPr>
              <w:t xml:space="preserve"> and nasopharynx</w:t>
            </w:r>
            <w:r w:rsidR="00AE6B10">
              <w:rPr>
                <w:u w:val="single"/>
                <w:lang w:val="en-US"/>
              </w:rPr>
              <w:t xml:space="preserve"> </w:t>
            </w:r>
            <w:r w:rsidRPr="003873E6">
              <w:rPr>
                <w:u w:val="single"/>
                <w:lang w:val="en-US"/>
              </w:rPr>
              <w:t xml:space="preserve">and infiltration of local </w:t>
            </w:r>
            <w:proofErr w:type="spellStart"/>
            <w:r w:rsidRPr="003873E6">
              <w:rPr>
                <w:u w:val="single"/>
                <w:lang w:val="en-US"/>
              </w:rPr>
              <w:t>anaesthetic</w:t>
            </w:r>
            <w:proofErr w:type="spellEnd"/>
            <w:r w:rsidRPr="003873E6">
              <w:rPr>
                <w:u w:val="single"/>
                <w:lang w:val="en-US"/>
              </w:rPr>
              <w:t>; not being a service associated with item 41764</w:t>
            </w:r>
            <w:r>
              <w:rPr>
                <w:lang w:val="en-US"/>
              </w:rPr>
              <w:t xml:space="preserve"> (</w:t>
            </w:r>
            <w:proofErr w:type="spellStart"/>
            <w:r>
              <w:rPr>
                <w:lang w:val="en-US"/>
              </w:rPr>
              <w:t>Anaes</w:t>
            </w:r>
            <w:proofErr w:type="spellEnd"/>
            <w:r>
              <w:rPr>
                <w:lang w:val="en-US"/>
              </w:rPr>
              <w:t>.)</w:t>
            </w:r>
          </w:p>
        </w:tc>
      </w:tr>
    </w:tbl>
    <w:p w14:paraId="2A702680" w14:textId="77777777" w:rsidR="00C11C81" w:rsidRDefault="006058ED" w:rsidP="00681E75">
      <w:pPr>
        <w:pStyle w:val="TableUnderlast"/>
      </w:pPr>
      <w:r w:rsidRPr="00A32201">
        <w:t xml:space="preserve">* </w:t>
      </w:r>
      <w:r w:rsidR="005840F6">
        <w:t xml:space="preserve">G means service is provided by a GP. S </w:t>
      </w:r>
      <w:r w:rsidR="00E60228">
        <w:t>means service is provided by a s</w:t>
      </w:r>
      <w:r w:rsidR="005840F6">
        <w:t>pecialist. **</w:t>
      </w:r>
      <w:r w:rsidRPr="00A32201">
        <w:t>New text underlined; text to be removed struck out.</w:t>
      </w:r>
      <w:bookmarkStart w:id="47" w:name="_Toc457053419"/>
      <w:r w:rsidR="00C11C81">
        <w:br w:type="page"/>
      </w:r>
    </w:p>
    <w:p w14:paraId="2B81D8BD" w14:textId="77777777" w:rsidR="00BC209F" w:rsidRPr="00700528" w:rsidRDefault="00C543EF">
      <w:pPr>
        <w:pStyle w:val="Heading2"/>
      </w:pPr>
      <w:r>
        <w:lastRenderedPageBreak/>
        <w:t xml:space="preserve">Insertion of </w:t>
      </w:r>
      <w:r w:rsidR="00BC209F" w:rsidRPr="00700528">
        <w:t>Grommets</w:t>
      </w:r>
      <w:r w:rsidR="0082217D" w:rsidRPr="00700528">
        <w:t xml:space="preserve"> MBS items</w:t>
      </w:r>
      <w:bookmarkEnd w:id="47"/>
    </w:p>
    <w:p w14:paraId="2F649524" w14:textId="77777777" w:rsidR="00BC209F" w:rsidRPr="0082217D" w:rsidRDefault="00BC209F" w:rsidP="00700528">
      <w:pPr>
        <w:pStyle w:val="Heading3"/>
      </w:pPr>
      <w:r w:rsidRPr="0082217D">
        <w:t>Items considered in this section</w:t>
      </w:r>
    </w:p>
    <w:p w14:paraId="40BA4EAF" w14:textId="77777777" w:rsidR="00BC209F" w:rsidRDefault="00BC209F" w:rsidP="0082217D">
      <w:pPr>
        <w:rPr>
          <w:lang w:val="en-US" w:eastAsia="en-US"/>
        </w:rPr>
      </w:pPr>
      <w:r>
        <w:rPr>
          <w:lang w:val="en-US" w:eastAsia="en-US"/>
        </w:rPr>
        <w:t>One item for the insertion of grommets is</w:t>
      </w:r>
      <w:r w:rsidRPr="003F1FC3">
        <w:rPr>
          <w:lang w:val="en-US" w:eastAsia="en-US"/>
        </w:rPr>
        <w:t xml:space="preserve"> considered in this section</w:t>
      </w:r>
      <w:r>
        <w:rPr>
          <w:lang w:val="en-US" w:eastAsia="en-US"/>
        </w:rPr>
        <w:t>:</w:t>
      </w:r>
    </w:p>
    <w:p w14:paraId="466969CA" w14:textId="77777777" w:rsidR="00BC209F" w:rsidRPr="00BC2064" w:rsidRDefault="00BC209F" w:rsidP="0082217D">
      <w:pPr>
        <w:pStyle w:val="NormalBulleted"/>
      </w:pPr>
      <w:r w:rsidRPr="0082217D">
        <w:rPr>
          <w:b/>
        </w:rPr>
        <w:t>41632</w:t>
      </w:r>
      <w:r w:rsidR="00C2233F">
        <w:t xml:space="preserve"> </w:t>
      </w:r>
      <w:r w:rsidR="00C2233F">
        <w:rPr>
          <w:b/>
          <w:bCs/>
          <w:i/>
          <w:iCs/>
          <w:color w:val="auto"/>
        </w:rPr>
        <w:t xml:space="preserve">– </w:t>
      </w:r>
      <w:r>
        <w:t>Middle ear, insertion of tube for drainage of, (including myringotomy)</w:t>
      </w:r>
    </w:p>
    <w:p w14:paraId="550C3888" w14:textId="77777777" w:rsidR="00BC209F" w:rsidRPr="0082217D" w:rsidRDefault="00BC209F" w:rsidP="00700528">
      <w:pPr>
        <w:pStyle w:val="Heading3"/>
      </w:pPr>
      <w:r w:rsidRPr="0082217D">
        <w:t>Issues identified</w:t>
      </w:r>
    </w:p>
    <w:p w14:paraId="50E1A48E" w14:textId="77777777" w:rsidR="00BC209F" w:rsidRDefault="00BC209F" w:rsidP="00700528">
      <w:r w:rsidRPr="003F1FC3">
        <w:t xml:space="preserve">The Committee considered </w:t>
      </w:r>
      <w:r>
        <w:t>several issues in relation to the MBS items for insertion of grommets including:</w:t>
      </w:r>
    </w:p>
    <w:p w14:paraId="7B72ABAE" w14:textId="77777777" w:rsidR="00BC209F" w:rsidRPr="00700528" w:rsidRDefault="00A444D1" w:rsidP="00700528">
      <w:pPr>
        <w:pStyle w:val="NormalBulleted"/>
      </w:pPr>
      <w:r>
        <w:t>S</w:t>
      </w:r>
      <w:r w:rsidR="00BC209F" w:rsidRPr="00700528">
        <w:t>ervice usage and geographical variation</w:t>
      </w:r>
    </w:p>
    <w:p w14:paraId="79313914" w14:textId="77777777" w:rsidR="00BC209F" w:rsidRPr="00700528" w:rsidRDefault="00A444D1" w:rsidP="00700528">
      <w:pPr>
        <w:pStyle w:val="NormalBulleted"/>
      </w:pPr>
      <w:r>
        <w:t>C</w:t>
      </w:r>
      <w:r w:rsidR="00BC209F" w:rsidRPr="00700528">
        <w:t>o-claiming between adenoidectomy and other MBS items on the same occasion of service</w:t>
      </w:r>
    </w:p>
    <w:p w14:paraId="7067B2AB" w14:textId="77777777" w:rsidR="00BC209F" w:rsidRPr="00700528" w:rsidRDefault="00A444D1" w:rsidP="00700528">
      <w:pPr>
        <w:pStyle w:val="NormalBulleted"/>
      </w:pPr>
      <w:r>
        <w:t>W</w:t>
      </w:r>
      <w:r w:rsidR="00BC209F" w:rsidRPr="00700528">
        <w:t>hether the items should detail patient indications</w:t>
      </w:r>
    </w:p>
    <w:p w14:paraId="553E3472" w14:textId="77777777" w:rsidR="00BC209F" w:rsidRPr="00700528" w:rsidRDefault="00A444D1" w:rsidP="00700528">
      <w:pPr>
        <w:pStyle w:val="NormalBulleted"/>
      </w:pPr>
      <w:r>
        <w:t>W</w:t>
      </w:r>
      <w:r w:rsidR="00BC209F" w:rsidRPr="00700528">
        <w:t>hether the scope of the service reflects the MBS item</w:t>
      </w:r>
      <w:r>
        <w:t>.</w:t>
      </w:r>
    </w:p>
    <w:p w14:paraId="4E6EC9A9" w14:textId="77777777" w:rsidR="00BC209F" w:rsidRPr="0082217D" w:rsidRDefault="00BC209F" w:rsidP="00700528">
      <w:pPr>
        <w:pStyle w:val="Heading3"/>
      </w:pPr>
      <w:r w:rsidRPr="0082217D">
        <w:t>Rationale</w:t>
      </w:r>
    </w:p>
    <w:p w14:paraId="0B3B46D8" w14:textId="77777777" w:rsidR="00BC209F" w:rsidRDefault="00BC209F" w:rsidP="0082217D">
      <w:r>
        <w:t>The Taskforce identified insertion of grommets</w:t>
      </w:r>
      <w:r w:rsidRPr="00C45317">
        <w:t xml:space="preserve"> </w:t>
      </w:r>
      <w:r>
        <w:t>as a priority following</w:t>
      </w:r>
      <w:r w:rsidRPr="00C45317">
        <w:t xml:space="preserve"> </w:t>
      </w:r>
      <w:r>
        <w:t xml:space="preserve">a </w:t>
      </w:r>
      <w:r w:rsidRPr="00855FDA">
        <w:rPr>
          <w:lang w:val="en-US" w:eastAsia="en-US"/>
        </w:rPr>
        <w:t>Choosing Wisely recommend</w:t>
      </w:r>
      <w:r>
        <w:rPr>
          <w:lang w:val="en-US" w:eastAsia="en-US"/>
        </w:rPr>
        <w:t>ation</w:t>
      </w:r>
      <w:r w:rsidRPr="00855FDA">
        <w:rPr>
          <w:lang w:val="en-US" w:eastAsia="en-US"/>
        </w:rPr>
        <w:t xml:space="preserve"> that ear tubes should not be placed in children who have had a single episode of ear fluid lasting less than three months. Some academics have reported that there appears to be uncertainty regarding the clinical effectiveness of the procedure when compared</w:t>
      </w:r>
      <w:r w:rsidRPr="00C45317">
        <w:t xml:space="preserve"> with alternate treatments including watchful waiting or antibiotic treatment. There are </w:t>
      </w:r>
      <w:proofErr w:type="gramStart"/>
      <w:r w:rsidRPr="00C45317">
        <w:t>a number of</w:t>
      </w:r>
      <w:proofErr w:type="gramEnd"/>
      <w:r w:rsidRPr="00C45317">
        <w:t xml:space="preserve"> risks associated with the procedure including anaest</w:t>
      </w:r>
      <w:r>
        <w:t xml:space="preserve">hetic complications, infection, and </w:t>
      </w:r>
      <w:r w:rsidRPr="00C45317">
        <w:t xml:space="preserve">lasting hole in the ear drum which can result in hearing loss. </w:t>
      </w:r>
      <w:r>
        <w:t>In addition, t</w:t>
      </w:r>
      <w:r w:rsidRPr="00C45317">
        <w:t xml:space="preserve">he </w:t>
      </w:r>
      <w:r>
        <w:t>ACS</w:t>
      </w:r>
      <w:r w:rsidR="00A85C44">
        <w:t>Q</w:t>
      </w:r>
      <w:r>
        <w:t>HC</w:t>
      </w:r>
      <w:r w:rsidRPr="00C45317">
        <w:t xml:space="preserve"> identified hospital admission myringotomy as one of the procedures with greatest variation in service provision in Australia.</w:t>
      </w:r>
    </w:p>
    <w:p w14:paraId="7C1975E7" w14:textId="77777777" w:rsidR="00BC209F" w:rsidRPr="0082217D" w:rsidRDefault="00BC209F" w:rsidP="00700528">
      <w:pPr>
        <w:pStyle w:val="Heading3"/>
      </w:pPr>
      <w:r w:rsidRPr="0082217D">
        <w:t>Background to review of grommet insertion</w:t>
      </w:r>
    </w:p>
    <w:p w14:paraId="77CD09EA" w14:textId="77777777" w:rsidR="00BC209F" w:rsidRDefault="00BC209F" w:rsidP="0082217D">
      <w:pPr>
        <w:pStyle w:val="Caption"/>
        <w:tabs>
          <w:tab w:val="left" w:pos="851"/>
        </w:tabs>
      </w:pPr>
      <w:bookmarkStart w:id="48" w:name="_Toc485720821"/>
      <w:r>
        <w:t xml:space="preserve">Table </w:t>
      </w:r>
      <w:r w:rsidR="00201595">
        <w:fldChar w:fldCharType="begin"/>
      </w:r>
      <w:r w:rsidR="00201595">
        <w:instrText xml:space="preserve"> SEQ Table \* ARABIC </w:instrText>
      </w:r>
      <w:r w:rsidR="00201595">
        <w:fldChar w:fldCharType="separate"/>
      </w:r>
      <w:r w:rsidR="00E60472">
        <w:rPr>
          <w:noProof/>
        </w:rPr>
        <w:t>4</w:t>
      </w:r>
      <w:r w:rsidR="00201595">
        <w:rPr>
          <w:noProof/>
        </w:rPr>
        <w:fldChar w:fldCharType="end"/>
      </w:r>
      <w:r>
        <w:t xml:space="preserve">: </w:t>
      </w:r>
      <w:r w:rsidR="0082217D">
        <w:tab/>
      </w:r>
      <w:r w:rsidRPr="001974EA">
        <w:t xml:space="preserve">High level MBS data on </w:t>
      </w:r>
      <w:r>
        <w:t>grommet insertion</w:t>
      </w:r>
      <w:r w:rsidRPr="001974EA">
        <w:t>, 2014</w:t>
      </w:r>
      <w:r w:rsidR="003F50B2">
        <w:t>–</w:t>
      </w:r>
      <w:r w:rsidRPr="001974EA">
        <w:t>15 (date of processing)</w:t>
      </w:r>
      <w:bookmarkEnd w:id="48"/>
    </w:p>
    <w:tbl>
      <w:tblPr>
        <w:tblStyle w:val="TableGrid"/>
        <w:tblW w:w="5812"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4 provides data for item 41632 from 2014-15."/>
      </w:tblPr>
      <w:tblGrid>
        <w:gridCol w:w="3969"/>
        <w:gridCol w:w="1843"/>
      </w:tblGrid>
      <w:tr w:rsidR="00BC209F" w:rsidRPr="00953405" w14:paraId="62B245B1" w14:textId="77777777" w:rsidTr="00EE3FA4">
        <w:trPr>
          <w:tblHeader/>
        </w:trPr>
        <w:tc>
          <w:tcPr>
            <w:tcW w:w="3969" w:type="dxa"/>
            <w:shd w:val="clear" w:color="auto" w:fill="auto"/>
          </w:tcPr>
          <w:p w14:paraId="10023E89" w14:textId="77777777" w:rsidR="00BC209F" w:rsidRPr="00226A36" w:rsidRDefault="00A376AF" w:rsidP="00EE3FA4">
            <w:pPr>
              <w:pStyle w:val="Tableheading"/>
              <w:rPr>
                <w:rFonts w:eastAsiaTheme="minorHAnsi"/>
              </w:rPr>
            </w:pPr>
            <w:r>
              <w:rPr>
                <w:rFonts w:eastAsiaTheme="minorHAnsi"/>
              </w:rPr>
              <w:t>Statistic</w:t>
            </w:r>
          </w:p>
        </w:tc>
        <w:tc>
          <w:tcPr>
            <w:tcW w:w="1843" w:type="dxa"/>
            <w:shd w:val="clear" w:color="auto" w:fill="auto"/>
          </w:tcPr>
          <w:p w14:paraId="4125D03B" w14:textId="77777777" w:rsidR="00BC209F" w:rsidRPr="00226A36" w:rsidRDefault="00BC209F" w:rsidP="00EE3FA4">
            <w:pPr>
              <w:pStyle w:val="Tableheading"/>
              <w:jc w:val="center"/>
              <w:rPr>
                <w:rFonts w:eastAsiaTheme="minorHAnsi"/>
              </w:rPr>
            </w:pPr>
            <w:r w:rsidRPr="00226A36">
              <w:rPr>
                <w:rFonts w:eastAsiaTheme="minorHAnsi"/>
              </w:rPr>
              <w:t>41632</w:t>
            </w:r>
          </w:p>
        </w:tc>
      </w:tr>
      <w:tr w:rsidR="00BC209F" w:rsidRPr="00953405" w14:paraId="5DEFADEE" w14:textId="77777777" w:rsidTr="00EE3FA4">
        <w:tc>
          <w:tcPr>
            <w:tcW w:w="3969" w:type="dxa"/>
          </w:tcPr>
          <w:p w14:paraId="6C288478" w14:textId="77777777" w:rsidR="00BC209F" w:rsidRPr="00226A36" w:rsidRDefault="00BC209F" w:rsidP="00EE3FA4">
            <w:pPr>
              <w:pStyle w:val="Tabletext"/>
              <w:rPr>
                <w:rFonts w:eastAsiaTheme="minorHAnsi"/>
              </w:rPr>
            </w:pPr>
            <w:r w:rsidRPr="00226A36">
              <w:rPr>
                <w:rFonts w:eastAsiaTheme="minorHAnsi"/>
              </w:rPr>
              <w:t>Number of services 2014-15</w:t>
            </w:r>
          </w:p>
        </w:tc>
        <w:tc>
          <w:tcPr>
            <w:tcW w:w="1843" w:type="dxa"/>
            <w:vAlign w:val="center"/>
          </w:tcPr>
          <w:p w14:paraId="696EE262" w14:textId="77777777" w:rsidR="00BC209F" w:rsidRPr="00226A36" w:rsidRDefault="00BC209F" w:rsidP="00EE3FA4">
            <w:pPr>
              <w:pStyle w:val="TableTextDecimalAlign"/>
            </w:pPr>
            <w:r w:rsidRPr="00226A36">
              <w:t>51,243</w:t>
            </w:r>
          </w:p>
        </w:tc>
      </w:tr>
      <w:tr w:rsidR="00BC209F" w:rsidRPr="00953405" w14:paraId="336A9132" w14:textId="77777777" w:rsidTr="00EE3FA4">
        <w:tc>
          <w:tcPr>
            <w:tcW w:w="3969" w:type="dxa"/>
          </w:tcPr>
          <w:p w14:paraId="4EF0659E" w14:textId="77777777" w:rsidR="00BC209F" w:rsidRPr="00226A36" w:rsidRDefault="00BC209F" w:rsidP="00EE3FA4">
            <w:pPr>
              <w:pStyle w:val="Tabletext"/>
              <w:rPr>
                <w:rFonts w:eastAsiaTheme="minorHAnsi"/>
              </w:rPr>
            </w:pPr>
            <w:r w:rsidRPr="00226A36">
              <w:rPr>
                <w:rFonts w:eastAsiaTheme="minorHAnsi"/>
              </w:rPr>
              <w:t>MBS Benefits 2014-15</w:t>
            </w:r>
          </w:p>
        </w:tc>
        <w:tc>
          <w:tcPr>
            <w:tcW w:w="1843" w:type="dxa"/>
            <w:vAlign w:val="center"/>
          </w:tcPr>
          <w:p w14:paraId="77773649" w14:textId="77777777" w:rsidR="00BC209F" w:rsidRPr="00226A36" w:rsidRDefault="00BC209F" w:rsidP="00EE3FA4">
            <w:pPr>
              <w:pStyle w:val="TableTextDecimalAlign"/>
            </w:pPr>
            <w:r w:rsidRPr="00226A36">
              <w:t>$6,491,472</w:t>
            </w:r>
          </w:p>
        </w:tc>
      </w:tr>
      <w:tr w:rsidR="00BC209F" w:rsidRPr="00953405" w14:paraId="5213E3E7" w14:textId="77777777" w:rsidTr="00EE3FA4">
        <w:tc>
          <w:tcPr>
            <w:tcW w:w="3969" w:type="dxa"/>
          </w:tcPr>
          <w:p w14:paraId="1A50FC9D" w14:textId="77777777" w:rsidR="00BC209F" w:rsidRPr="00226A36" w:rsidRDefault="00BC209F" w:rsidP="00EE3FA4">
            <w:pPr>
              <w:pStyle w:val="Tabletext"/>
              <w:rPr>
                <w:rFonts w:eastAsiaTheme="minorHAnsi"/>
              </w:rPr>
            </w:pPr>
            <w:r w:rsidRPr="00226A36">
              <w:rPr>
                <w:rFonts w:eastAsiaTheme="minorHAnsi"/>
              </w:rPr>
              <w:t>Number of providers</w:t>
            </w:r>
          </w:p>
        </w:tc>
        <w:tc>
          <w:tcPr>
            <w:tcW w:w="1843" w:type="dxa"/>
            <w:vAlign w:val="center"/>
          </w:tcPr>
          <w:p w14:paraId="2FF7D785" w14:textId="77777777" w:rsidR="00BC209F" w:rsidRPr="00226A36" w:rsidRDefault="00BC209F" w:rsidP="00EE3FA4">
            <w:pPr>
              <w:pStyle w:val="TableTextDecimalAlign"/>
            </w:pPr>
            <w:r w:rsidRPr="00226A36">
              <w:t xml:space="preserve">470 </w:t>
            </w:r>
          </w:p>
        </w:tc>
      </w:tr>
      <w:tr w:rsidR="00BC209F" w:rsidRPr="00953405" w14:paraId="34FB0D69" w14:textId="77777777" w:rsidTr="00EE3FA4">
        <w:tc>
          <w:tcPr>
            <w:tcW w:w="3969" w:type="dxa"/>
          </w:tcPr>
          <w:p w14:paraId="601B05E8" w14:textId="77777777" w:rsidR="00BC209F" w:rsidRPr="00226A36" w:rsidRDefault="00BC209F" w:rsidP="00EE3FA4">
            <w:pPr>
              <w:pStyle w:val="Tabletext"/>
              <w:rPr>
                <w:rFonts w:eastAsiaTheme="minorHAnsi"/>
              </w:rPr>
            </w:pPr>
            <w:r w:rsidRPr="00226A36">
              <w:rPr>
                <w:rFonts w:eastAsiaTheme="minorHAnsi"/>
              </w:rPr>
              <w:t>Number of patients</w:t>
            </w:r>
          </w:p>
        </w:tc>
        <w:tc>
          <w:tcPr>
            <w:tcW w:w="1843" w:type="dxa"/>
            <w:vAlign w:val="center"/>
          </w:tcPr>
          <w:p w14:paraId="07BE9231" w14:textId="77777777" w:rsidR="00BC209F" w:rsidRPr="00226A36" w:rsidRDefault="00BC209F" w:rsidP="00EE3FA4">
            <w:pPr>
              <w:pStyle w:val="TableTextDecimalAlign"/>
            </w:pPr>
            <w:r w:rsidRPr="00226A36">
              <w:t xml:space="preserve">27,080 </w:t>
            </w:r>
          </w:p>
        </w:tc>
      </w:tr>
      <w:tr w:rsidR="00BC209F" w:rsidRPr="00953405" w14:paraId="0AEC38B3" w14:textId="77777777" w:rsidTr="00EE3FA4">
        <w:tc>
          <w:tcPr>
            <w:tcW w:w="3969" w:type="dxa"/>
          </w:tcPr>
          <w:p w14:paraId="1E3E440C" w14:textId="77777777" w:rsidR="00BC209F" w:rsidRPr="00226A36" w:rsidRDefault="00BC209F" w:rsidP="00EE3FA4">
            <w:pPr>
              <w:pStyle w:val="Tabletext"/>
              <w:rPr>
                <w:rFonts w:eastAsiaTheme="minorHAnsi"/>
              </w:rPr>
            </w:pPr>
            <w:r w:rsidRPr="00226A36">
              <w:rPr>
                <w:rFonts w:eastAsiaTheme="minorHAnsi"/>
              </w:rPr>
              <w:t>% out of hospital</w:t>
            </w:r>
          </w:p>
        </w:tc>
        <w:tc>
          <w:tcPr>
            <w:tcW w:w="1843" w:type="dxa"/>
            <w:vAlign w:val="center"/>
          </w:tcPr>
          <w:p w14:paraId="55C53E19" w14:textId="77777777" w:rsidR="00BC209F" w:rsidRPr="00226A36" w:rsidRDefault="00BC209F" w:rsidP="00681E75">
            <w:pPr>
              <w:pStyle w:val="TableTextDecimalAlign"/>
              <w:ind w:right="459"/>
            </w:pPr>
            <w:r w:rsidRPr="00226A36">
              <w:t>6.97%</w:t>
            </w:r>
          </w:p>
        </w:tc>
      </w:tr>
    </w:tbl>
    <w:p w14:paraId="2347E8EC" w14:textId="77777777" w:rsidR="00BC209F" w:rsidRPr="0082217D" w:rsidRDefault="00BC209F" w:rsidP="00226A36">
      <w:pPr>
        <w:pStyle w:val="TableUnderlast"/>
      </w:pPr>
      <w:r w:rsidRPr="0082217D">
        <w:t>Unpublished data (Department of Health)</w:t>
      </w:r>
    </w:p>
    <w:p w14:paraId="18BF5A90" w14:textId="77777777" w:rsidR="00BC209F" w:rsidRPr="00700528" w:rsidRDefault="00BC209F" w:rsidP="00700528">
      <w:pPr>
        <w:pStyle w:val="Heading3"/>
      </w:pPr>
      <w:r w:rsidRPr="00700528">
        <w:t xml:space="preserve">Observations on data on service usage and geographical variation </w:t>
      </w:r>
    </w:p>
    <w:p w14:paraId="0001FBF7" w14:textId="77777777" w:rsidR="00BC209F" w:rsidRPr="001C3B56" w:rsidRDefault="00BC209F" w:rsidP="00700528">
      <w:pPr>
        <w:rPr>
          <w:rFonts w:eastAsiaTheme="minorHAnsi"/>
        </w:rPr>
      </w:pPr>
      <w:r w:rsidRPr="00E41DFA">
        <w:t xml:space="preserve">The Committee considered MBS data on service usage by age and gender, </w:t>
      </w:r>
      <w:proofErr w:type="gramStart"/>
      <w:r w:rsidRPr="00E41DFA">
        <w:t>state</w:t>
      </w:r>
      <w:proofErr w:type="gramEnd"/>
      <w:r w:rsidRPr="00E41DFA">
        <w:t xml:space="preserve"> and small geographic area (unadjusted and adjusted for population). Data was also provided on the number of episodes of grommet insertion over a </w:t>
      </w:r>
      <w:r w:rsidR="00953405" w:rsidRPr="00E41DFA">
        <w:t>three-year</w:t>
      </w:r>
      <w:r w:rsidRPr="00E41DFA">
        <w:t xml:space="preserve"> period. </w:t>
      </w:r>
    </w:p>
    <w:p w14:paraId="672BE84D" w14:textId="77777777" w:rsidR="00BC209F" w:rsidRPr="00E41DFA" w:rsidRDefault="00BC209F" w:rsidP="00700528">
      <w:r w:rsidRPr="00E41DFA">
        <w:t xml:space="preserve">The Committee agreed that the data on age breakdown was in line with expectations. The Committee noted the data provided on the number of patients undergoing repeat episode of </w:t>
      </w:r>
      <w:r w:rsidRPr="00E41DFA">
        <w:lastRenderedPageBreak/>
        <w:t xml:space="preserve">grommet insertion in a </w:t>
      </w:r>
      <w:r w:rsidR="00953405" w:rsidRPr="00E41DFA">
        <w:t>three-year</w:t>
      </w:r>
      <w:r w:rsidRPr="00E41DFA">
        <w:t xml:space="preserve"> period which indicated that in the younger age group (0</w:t>
      </w:r>
      <w:r w:rsidR="003F50B2">
        <w:t>–</w:t>
      </w:r>
      <w:r w:rsidRPr="00E41DFA">
        <w:t xml:space="preserve">4 year </w:t>
      </w:r>
      <w:proofErr w:type="spellStart"/>
      <w:r w:rsidRPr="00E41DFA">
        <w:t>olds</w:t>
      </w:r>
      <w:proofErr w:type="spellEnd"/>
      <w:r w:rsidRPr="00E41DFA">
        <w:t>) around 80 per cent of patients underwent one episode of grommet insertion. The data was broadly in line with expected patterns.</w:t>
      </w:r>
    </w:p>
    <w:p w14:paraId="1A7BCD4F" w14:textId="77777777" w:rsidR="00BC209F" w:rsidRPr="00E41DFA" w:rsidRDefault="00BC209F" w:rsidP="00700528">
      <w:r w:rsidRPr="00E41DFA">
        <w:t>ACS</w:t>
      </w:r>
      <w:r w:rsidR="00A85C44">
        <w:t>Q</w:t>
      </w:r>
      <w:r w:rsidRPr="00E41DFA">
        <w:t>HC analysis (which includes private and public admissions) demonstrated that in 2012</w:t>
      </w:r>
      <w:r w:rsidR="003F50B2">
        <w:t>–</w:t>
      </w:r>
      <w:r w:rsidRPr="00E41DFA">
        <w:t xml:space="preserve">13 the number of myringotomies varied between 205 (Alice Spring </w:t>
      </w:r>
      <w:r w:rsidR="003F50B2">
        <w:t>–</w:t>
      </w:r>
      <w:r w:rsidRPr="00E41DFA">
        <w:t xml:space="preserve"> NT) and 1,398 (Onkaparinga) per 100,000 people aged under 18. Ten of the 14 SA3 areas with the highest rate of myringotomy were in South Australia. The other areas with the highest rates of service were the Kimberley (WA), Far North Queensland (QLD) and Warringah (NSW). MBS data showed that South Australia was the state with the highest service rates per 1,000 of population. The Committee noted the geographical variation in service rates and agreed that the higher rates in the Kimberley and Far North Queensland are encouraging and likely indicative of higher need of the population.</w:t>
      </w:r>
    </w:p>
    <w:p w14:paraId="1A80104A" w14:textId="77777777" w:rsidR="00BC209F" w:rsidRPr="00E41DFA" w:rsidRDefault="00BC209F" w:rsidP="00700528">
      <w:r w:rsidRPr="00E41DFA">
        <w:t xml:space="preserve">Data on geographical distribution of MBS services showed that the state with the highest rate of service per 100,000 of population was South Australia. Analysis on small geographical area showed that the highest service rates by population were the North Shore in Sydney, </w:t>
      </w:r>
      <w:proofErr w:type="gramStart"/>
      <w:r w:rsidRPr="00E41DFA">
        <w:t>Adelaide</w:t>
      </w:r>
      <w:proofErr w:type="gramEnd"/>
      <w:r w:rsidRPr="00E41DFA">
        <w:t xml:space="preserve"> and Perth. It noted the higher MBS services rates for insertion of grommet, which could be indicative of higher rate</w:t>
      </w:r>
      <w:r w:rsidR="001766C6">
        <w:t>s</w:t>
      </w:r>
      <w:r w:rsidRPr="00E41DFA">
        <w:t xml:space="preserve"> of private health insurance, however from the data presented, the Committee was of the view that the reason for the geographical variation cannot be determined. </w:t>
      </w:r>
    </w:p>
    <w:p w14:paraId="3DFDB063" w14:textId="77777777" w:rsidR="00BC209F" w:rsidRPr="00700528" w:rsidRDefault="00BC209F" w:rsidP="00700528">
      <w:pPr>
        <w:pStyle w:val="Heading3"/>
      </w:pPr>
      <w:r w:rsidRPr="00700528">
        <w:t>Patient indications</w:t>
      </w:r>
    </w:p>
    <w:p w14:paraId="4864A712" w14:textId="77777777" w:rsidR="00BC209F" w:rsidRPr="001C3B56" w:rsidRDefault="00BC209F" w:rsidP="00700528">
      <w:pPr>
        <w:rPr>
          <w:rFonts w:eastAsiaTheme="minorHAnsi"/>
        </w:rPr>
      </w:pPr>
      <w:r w:rsidRPr="00E41DFA">
        <w:t xml:space="preserve">The view of the Committee was that grommet insertion was a valuable clinical service, appropriate for funding through the MBS, when provided to patients with </w:t>
      </w:r>
      <w:proofErr w:type="gramStart"/>
      <w:r w:rsidRPr="00E41DFA">
        <w:t>particular indications</w:t>
      </w:r>
      <w:proofErr w:type="gramEnd"/>
      <w:r w:rsidRPr="00E41DFA">
        <w:t>. There was a majority view that the patient indications for grommet insertion are well-known by practitioners who perform the services.</w:t>
      </w:r>
    </w:p>
    <w:p w14:paraId="586A46F6" w14:textId="77777777" w:rsidR="00BC209F" w:rsidRPr="00E41DFA" w:rsidRDefault="00BC209F" w:rsidP="00700528">
      <w:r w:rsidRPr="00E41DFA">
        <w:t>As with many areas in medicine and surgery, there will be individual clinical variations that will require decision-making based on clinician judgement in consultation with patients/guardians. The Committee is of the view that the main indications for grommet insertion are:</w:t>
      </w:r>
    </w:p>
    <w:p w14:paraId="00313B04" w14:textId="77777777" w:rsidR="00BC209F" w:rsidRPr="00700528" w:rsidRDefault="00BC209F" w:rsidP="00700528">
      <w:pPr>
        <w:pStyle w:val="NormalBulleted"/>
      </w:pPr>
      <w:r w:rsidRPr="00700528">
        <w:t>OME</w:t>
      </w:r>
    </w:p>
    <w:p w14:paraId="7BB1AE4A" w14:textId="77777777" w:rsidR="00BC209F" w:rsidRPr="00700528" w:rsidRDefault="00BC209F" w:rsidP="00700528">
      <w:pPr>
        <w:pStyle w:val="NormalBulleted"/>
      </w:pPr>
      <w:r w:rsidRPr="00700528">
        <w:t>Recurrent Acute Otitis Media (AOM)</w:t>
      </w:r>
      <w:r w:rsidR="00AD50EA">
        <w:t>.</w:t>
      </w:r>
    </w:p>
    <w:p w14:paraId="6A7842AB" w14:textId="77777777" w:rsidR="00BC209F" w:rsidRPr="00E41DFA" w:rsidRDefault="00BC209F" w:rsidP="00700528">
      <w:pPr>
        <w:rPr>
          <w:rFonts w:eastAsiaTheme="minorHAnsi" w:cs="Arial"/>
          <w:szCs w:val="22"/>
        </w:rPr>
      </w:pPr>
      <w:r w:rsidRPr="00E41DFA">
        <w:t xml:space="preserve">The “Clinical Practice Guidelines: Tympanostomy Tubes in Children” published by the American Academy of Otolaryngology, Head and Neck Surgery provide a suitable guide to </w:t>
      </w:r>
      <w:proofErr w:type="gramStart"/>
      <w:r w:rsidRPr="00E41DFA">
        <w:t>evidence based</w:t>
      </w:r>
      <w:proofErr w:type="gramEnd"/>
      <w:r w:rsidRPr="00E41DFA">
        <w:t xml:space="preserve"> indications for ventilation tubes in OME and recurrent AOM</w:t>
      </w:r>
      <w:r w:rsidR="00C96A5A">
        <w:t>.</w:t>
      </w:r>
      <w:r w:rsidR="00EC09DB">
        <w:rPr>
          <w:vertAlign w:val="superscript"/>
        </w:rPr>
        <w:t>6</w:t>
      </w:r>
    </w:p>
    <w:p w14:paraId="22A29707" w14:textId="77777777" w:rsidR="00BC209F" w:rsidRPr="00E41DFA" w:rsidRDefault="00BC209F" w:rsidP="00700528">
      <w:r w:rsidRPr="00E41DFA">
        <w:t>The NICE guidelines also provide appropriate guidance for management of OME</w:t>
      </w:r>
      <w:r w:rsidR="002424EB">
        <w:t xml:space="preserve"> in children</w:t>
      </w:r>
      <w:r w:rsidR="00C96A5A">
        <w:t>.</w:t>
      </w:r>
      <w:r w:rsidR="00D37CC5">
        <w:rPr>
          <w:vertAlign w:val="superscript"/>
        </w:rPr>
        <w:t>7</w:t>
      </w:r>
      <w:r w:rsidRPr="00E41DFA">
        <w:t xml:space="preserve"> With respect to recurrent acute otitis media, a Cochrane review</w:t>
      </w:r>
      <w:r w:rsidR="00D37CC5">
        <w:rPr>
          <w:vertAlign w:val="superscript"/>
        </w:rPr>
        <w:t>8</w:t>
      </w:r>
      <w:r w:rsidR="007736E8">
        <w:t xml:space="preserve"> </w:t>
      </w:r>
      <w:r w:rsidRPr="00E41DFA">
        <w:t>indicated significant benefit from ventilation tube insertion for A</w:t>
      </w:r>
      <w:r w:rsidR="00C11C81">
        <w:t>OM</w:t>
      </w:r>
      <w:r w:rsidRPr="00E41DFA">
        <w:t xml:space="preserve">, defined as </w:t>
      </w:r>
      <w:r w:rsidR="00C11C81">
        <w:t>three</w:t>
      </w:r>
      <w:r w:rsidRPr="00E41DFA">
        <w:t xml:space="preserve"> or more episodes within </w:t>
      </w:r>
      <w:r w:rsidR="00C11C81">
        <w:t>six</w:t>
      </w:r>
      <w:r w:rsidR="00C11C81" w:rsidRPr="00E41DFA">
        <w:t xml:space="preserve"> </w:t>
      </w:r>
      <w:r w:rsidRPr="00E41DFA">
        <w:t xml:space="preserve">months, or </w:t>
      </w:r>
      <w:r w:rsidR="00C11C81">
        <w:t>four</w:t>
      </w:r>
      <w:r w:rsidR="00C11C81" w:rsidRPr="00E41DFA">
        <w:t xml:space="preserve"> </w:t>
      </w:r>
      <w:r w:rsidRPr="00E41DFA">
        <w:t>or more episodes within 12 months.</w:t>
      </w:r>
    </w:p>
    <w:p w14:paraId="5288B984" w14:textId="77777777" w:rsidR="00BC209F" w:rsidRPr="00BC2064" w:rsidRDefault="00BC209F" w:rsidP="00700528">
      <w:r w:rsidRPr="00BC2064">
        <w:t>Further indications for grommets include:</w:t>
      </w:r>
    </w:p>
    <w:p w14:paraId="6241CBDA" w14:textId="77777777" w:rsidR="00BC209F" w:rsidRPr="00700528" w:rsidRDefault="00BC209F" w:rsidP="00700528">
      <w:pPr>
        <w:pStyle w:val="NormalBulleted"/>
      </w:pPr>
      <w:r w:rsidRPr="00700528">
        <w:t xml:space="preserve">Complicated </w:t>
      </w:r>
      <w:r w:rsidR="00AE6B10">
        <w:t>a</w:t>
      </w:r>
      <w:r w:rsidRPr="00700528">
        <w:t xml:space="preserve">cute </w:t>
      </w:r>
      <w:r w:rsidR="00AE6B10">
        <w:t>o</w:t>
      </w:r>
      <w:r w:rsidRPr="00700528">
        <w:t xml:space="preserve">titis </w:t>
      </w:r>
      <w:r w:rsidR="00AE6B10">
        <w:t>m</w:t>
      </w:r>
      <w:r w:rsidRPr="00700528">
        <w:t>edia (e.g. facial nerve palsy, meningitis)</w:t>
      </w:r>
    </w:p>
    <w:p w14:paraId="11364E4D" w14:textId="77777777" w:rsidR="00BC209F" w:rsidRPr="00700528" w:rsidRDefault="00BC209F" w:rsidP="00700528">
      <w:pPr>
        <w:pStyle w:val="NormalBulleted"/>
      </w:pPr>
      <w:r w:rsidRPr="00700528">
        <w:t xml:space="preserve">Severe </w:t>
      </w:r>
      <w:r w:rsidR="00AE6B10">
        <w:t>a</w:t>
      </w:r>
      <w:r w:rsidRPr="00700528">
        <w:t xml:space="preserve">cute </w:t>
      </w:r>
      <w:r w:rsidR="00AE6B10">
        <w:t>o</w:t>
      </w:r>
      <w:r w:rsidRPr="00700528">
        <w:t xml:space="preserve">titis </w:t>
      </w:r>
      <w:r w:rsidR="00AE6B10">
        <w:t>m</w:t>
      </w:r>
      <w:r w:rsidRPr="00700528">
        <w:t>edia not responsive to conservative (medical) treatment</w:t>
      </w:r>
    </w:p>
    <w:p w14:paraId="6B66AD39" w14:textId="77777777" w:rsidR="00BC209F" w:rsidRPr="00700528" w:rsidRDefault="00BC209F" w:rsidP="00700528">
      <w:pPr>
        <w:pStyle w:val="NormalBulleted"/>
      </w:pPr>
      <w:r w:rsidRPr="00700528">
        <w:lastRenderedPageBreak/>
        <w:t>Acute mastoiditis</w:t>
      </w:r>
    </w:p>
    <w:p w14:paraId="5D1047F6" w14:textId="77777777" w:rsidR="00BC209F" w:rsidRPr="00700528" w:rsidRDefault="00BC209F" w:rsidP="00700528">
      <w:pPr>
        <w:pStyle w:val="NormalBulleted"/>
      </w:pPr>
      <w:r w:rsidRPr="00700528">
        <w:t xml:space="preserve">Middle </w:t>
      </w:r>
      <w:r w:rsidR="00AE6B10">
        <w:t>e</w:t>
      </w:r>
      <w:r w:rsidRPr="00700528">
        <w:t xml:space="preserve">ar </w:t>
      </w:r>
      <w:r w:rsidR="00AE6B10">
        <w:t>a</w:t>
      </w:r>
      <w:r w:rsidRPr="00700528">
        <w:t>telectasis / retraction pocket disease</w:t>
      </w:r>
    </w:p>
    <w:p w14:paraId="54A583B4" w14:textId="77777777" w:rsidR="00BC209F" w:rsidRPr="00700528" w:rsidRDefault="00BC209F" w:rsidP="00700528">
      <w:pPr>
        <w:pStyle w:val="NormalBulleted"/>
      </w:pPr>
      <w:r w:rsidRPr="00700528">
        <w:t xml:space="preserve">Severe </w:t>
      </w:r>
      <w:r w:rsidR="00AE6B10">
        <w:t>p</w:t>
      </w:r>
      <w:r w:rsidRPr="00700528">
        <w:t xml:space="preserve">ersistent </w:t>
      </w:r>
      <w:r w:rsidR="00AE6B10">
        <w:t>e</w:t>
      </w:r>
      <w:r w:rsidRPr="00700528">
        <w:t xml:space="preserve">ustachian </w:t>
      </w:r>
      <w:r w:rsidR="00AE6B10">
        <w:t>t</w:t>
      </w:r>
      <w:r w:rsidRPr="00700528">
        <w:t xml:space="preserve">ube </w:t>
      </w:r>
      <w:r w:rsidR="00AE6B10">
        <w:t>d</w:t>
      </w:r>
      <w:r w:rsidRPr="00700528">
        <w:t>ysfunction</w:t>
      </w:r>
    </w:p>
    <w:p w14:paraId="6CBA7A56" w14:textId="77777777" w:rsidR="00BC209F" w:rsidRPr="00700528" w:rsidRDefault="00BC209F" w:rsidP="00700528">
      <w:pPr>
        <w:pStyle w:val="NormalBulleted"/>
      </w:pPr>
      <w:r w:rsidRPr="00700528">
        <w:t xml:space="preserve">Prevention and </w:t>
      </w:r>
      <w:r w:rsidR="00AE6B10">
        <w:t>t</w:t>
      </w:r>
      <w:r w:rsidRPr="00700528">
        <w:t xml:space="preserve">reatment of </w:t>
      </w:r>
      <w:r w:rsidR="00AE6B10">
        <w:t>m</w:t>
      </w:r>
      <w:r w:rsidRPr="00700528">
        <w:t xml:space="preserve">iddle </w:t>
      </w:r>
      <w:r w:rsidR="00AE6B10">
        <w:t>e</w:t>
      </w:r>
      <w:r w:rsidRPr="00700528">
        <w:t xml:space="preserve">ar </w:t>
      </w:r>
      <w:r w:rsidR="00AE6B10">
        <w:t>b</w:t>
      </w:r>
      <w:r w:rsidRPr="00700528">
        <w:t xml:space="preserve">arotrauma </w:t>
      </w:r>
    </w:p>
    <w:p w14:paraId="48F42F4D" w14:textId="77777777" w:rsidR="00BC209F" w:rsidRPr="00700528" w:rsidRDefault="00BC209F" w:rsidP="00700528">
      <w:pPr>
        <w:pStyle w:val="NormalBulleted"/>
      </w:pPr>
      <w:r w:rsidRPr="00700528">
        <w:t xml:space="preserve">Medication </w:t>
      </w:r>
      <w:r w:rsidR="00AE6B10">
        <w:t>a</w:t>
      </w:r>
      <w:r w:rsidRPr="00700528">
        <w:t>dministration (</w:t>
      </w:r>
      <w:r w:rsidR="00AE6B10">
        <w:t>g</w:t>
      </w:r>
      <w:r w:rsidRPr="00700528">
        <w:t xml:space="preserve">entamycin, </w:t>
      </w:r>
      <w:r w:rsidR="00AE6B10">
        <w:t>c</w:t>
      </w:r>
      <w:r w:rsidRPr="00700528">
        <w:t>orticosteroids)</w:t>
      </w:r>
      <w:r w:rsidR="00AD50EA">
        <w:t>.</w:t>
      </w:r>
    </w:p>
    <w:p w14:paraId="5AC772C4" w14:textId="77777777" w:rsidR="00BC209F" w:rsidRPr="00E41DFA" w:rsidRDefault="00BC209F" w:rsidP="00700528">
      <w:pPr>
        <w:rPr>
          <w:rFonts w:eastAsiaTheme="minorHAnsi" w:cs="Arial"/>
          <w:szCs w:val="22"/>
        </w:rPr>
      </w:pPr>
      <w:r w:rsidRPr="00E41DFA">
        <w:t xml:space="preserve">The Committee considered whether the items should be amended to include patient indications for the service. The majority view of the Committee was that there was no strong evidence to justify amending the item descriptors to include patient indications. </w:t>
      </w:r>
    </w:p>
    <w:p w14:paraId="308AA238" w14:textId="77777777" w:rsidR="00BC209F" w:rsidRPr="0082217D" w:rsidRDefault="00BC209F" w:rsidP="00700528">
      <w:pPr>
        <w:pStyle w:val="Heading3"/>
      </w:pPr>
      <w:r w:rsidRPr="0082217D">
        <w:t xml:space="preserve">Claiming patterns, including co-claiming of other MBS services </w:t>
      </w:r>
    </w:p>
    <w:p w14:paraId="517E1017" w14:textId="77777777" w:rsidR="00BC209F" w:rsidRPr="00700528" w:rsidRDefault="00BC209F" w:rsidP="00226A36">
      <w:r w:rsidRPr="00E41DFA">
        <w:t>The Committee was presented with data on other MBS items (including consultation and procedural services) claimed on the same day, by the same practitioner, for the same patient who ha</w:t>
      </w:r>
      <w:r w:rsidR="00F61AEB">
        <w:t xml:space="preserve">d </w:t>
      </w:r>
      <w:r w:rsidRPr="00E41DFA">
        <w:t>grommets inserted.</w:t>
      </w:r>
      <w:r w:rsidR="00F61AEB">
        <w:t xml:space="preserve"> The data show that on 80 per cent of occasions item 41632 was claimed twice</w:t>
      </w:r>
      <w:r w:rsidR="00226A36">
        <w:t xml:space="preserve"> (an occasion is defined as any episode where a tonsillectomy was performed)</w:t>
      </w:r>
      <w:r w:rsidR="00F61AEB">
        <w:t>.</w:t>
      </w:r>
      <w:r w:rsidR="007736E8">
        <w:t xml:space="preserve"> </w:t>
      </w:r>
      <w:r w:rsidR="00F61AEB">
        <w:t xml:space="preserve">Other commonly co-claimed </w:t>
      </w:r>
      <w:r w:rsidR="007023CD">
        <w:t>items include:</w:t>
      </w:r>
    </w:p>
    <w:p w14:paraId="6C3C22B6" w14:textId="77777777" w:rsidR="007023CD" w:rsidRPr="00226A36" w:rsidRDefault="007023CD" w:rsidP="00700528">
      <w:pPr>
        <w:pStyle w:val="NormalBulleted"/>
      </w:pPr>
      <w:r w:rsidRPr="00226A36">
        <w:rPr>
          <w:b/>
        </w:rPr>
        <w:t>41801</w:t>
      </w:r>
      <w:r>
        <w:t xml:space="preserve"> – Adenoidectomy (around 21 per cent of occasions)</w:t>
      </w:r>
    </w:p>
    <w:p w14:paraId="5A0C9095" w14:textId="77777777" w:rsidR="00BC209F" w:rsidRPr="00700528" w:rsidRDefault="00BC209F" w:rsidP="00700528">
      <w:pPr>
        <w:pStyle w:val="NormalBulleted"/>
      </w:pPr>
      <w:r w:rsidRPr="00226A36">
        <w:rPr>
          <w:b/>
        </w:rPr>
        <w:t>41789</w:t>
      </w:r>
      <w:r w:rsidRPr="00700528">
        <w:t xml:space="preserve"> </w:t>
      </w:r>
      <w:r w:rsidR="00C2233F" w:rsidRPr="00700528">
        <w:t>– T</w:t>
      </w:r>
      <w:r w:rsidRPr="00700528">
        <w:t>onsillectomy under 12</w:t>
      </w:r>
      <w:r w:rsidR="00C2233F" w:rsidRPr="00700528">
        <w:t xml:space="preserve"> (</w:t>
      </w:r>
      <w:r w:rsidRPr="00700528">
        <w:t>around 16 per cent of occasions</w:t>
      </w:r>
      <w:r w:rsidR="00C2233F" w:rsidRPr="00700528">
        <w:t>)</w:t>
      </w:r>
    </w:p>
    <w:p w14:paraId="2F1396B2" w14:textId="77777777" w:rsidR="00BC209F" w:rsidRPr="00700528" w:rsidRDefault="00BC209F" w:rsidP="00700528">
      <w:pPr>
        <w:pStyle w:val="NormalBulleted"/>
      </w:pPr>
      <w:r w:rsidRPr="00226A36">
        <w:rPr>
          <w:b/>
        </w:rPr>
        <w:t>41764</w:t>
      </w:r>
      <w:r w:rsidR="00C2233F" w:rsidRPr="00700528">
        <w:t xml:space="preserve"> – </w:t>
      </w:r>
      <w:proofErr w:type="spellStart"/>
      <w:r w:rsidR="00C2233F" w:rsidRPr="00700528">
        <w:t>N</w:t>
      </w:r>
      <w:r w:rsidRPr="00700528">
        <w:t>asendoscopic</w:t>
      </w:r>
      <w:proofErr w:type="spellEnd"/>
      <w:r w:rsidRPr="00700528">
        <w:t xml:space="preserve"> examination of the nasopharynx or larynx</w:t>
      </w:r>
      <w:r w:rsidR="00C2233F" w:rsidRPr="00700528">
        <w:t xml:space="preserve"> (around 13 per cent of occasions)</w:t>
      </w:r>
    </w:p>
    <w:p w14:paraId="1D88FA17" w14:textId="77777777" w:rsidR="00BC209F" w:rsidRPr="00700528" w:rsidRDefault="00BC209F" w:rsidP="00700528">
      <w:pPr>
        <w:pStyle w:val="NormalBulleted"/>
      </w:pPr>
      <w:r w:rsidRPr="00226A36">
        <w:rPr>
          <w:b/>
        </w:rPr>
        <w:t>41761</w:t>
      </w:r>
      <w:r w:rsidR="00C2233F" w:rsidRPr="00700528">
        <w:t xml:space="preserve"> – D</w:t>
      </w:r>
      <w:r w:rsidRPr="00700528">
        <w:t xml:space="preserve">irect examination of the </w:t>
      </w:r>
      <w:proofErr w:type="gramStart"/>
      <w:r w:rsidRPr="00700528">
        <w:t>post nasal</w:t>
      </w:r>
      <w:proofErr w:type="gramEnd"/>
      <w:r w:rsidRPr="00700528">
        <w:t xml:space="preserve"> space</w:t>
      </w:r>
      <w:r w:rsidR="00C2233F" w:rsidRPr="00700528">
        <w:t xml:space="preserve"> (</w:t>
      </w:r>
      <w:r w:rsidRPr="00700528">
        <w:t>around 5 per cent of occasions</w:t>
      </w:r>
      <w:r w:rsidR="00C2233F" w:rsidRPr="00700528">
        <w:t>)</w:t>
      </w:r>
      <w:r w:rsidRPr="00700528">
        <w:t>.</w:t>
      </w:r>
    </w:p>
    <w:p w14:paraId="2AEF0C83" w14:textId="77777777" w:rsidR="00BC209F" w:rsidRPr="00422EC8" w:rsidRDefault="006431E5" w:rsidP="00700528">
      <w:pPr>
        <w:pStyle w:val="Rec"/>
      </w:pPr>
      <w:bookmarkStart w:id="49" w:name="_Toc457053420"/>
      <w:bookmarkStart w:id="50" w:name="_Toc485723854"/>
      <w:r>
        <w:t>I</w:t>
      </w:r>
      <w:r w:rsidR="00BC209F" w:rsidRPr="0082217D">
        <w:t xml:space="preserve">nsertion of </w:t>
      </w:r>
      <w:r w:rsidR="00BC209F" w:rsidRPr="00422EC8">
        <w:t>grommets</w:t>
      </w:r>
      <w:bookmarkEnd w:id="49"/>
      <w:bookmarkEnd w:id="50"/>
      <w:r w:rsidR="00BC209F" w:rsidRPr="0082217D">
        <w:rPr>
          <w:iCs/>
        </w:rPr>
        <w:t xml:space="preserve"> </w:t>
      </w:r>
    </w:p>
    <w:p w14:paraId="2FBFD45C" w14:textId="77777777" w:rsidR="00BC209F" w:rsidRPr="001C3B56" w:rsidRDefault="00BC209F" w:rsidP="00700528">
      <w:pPr>
        <w:rPr>
          <w:rFonts w:eastAsiaTheme="minorHAnsi"/>
        </w:rPr>
      </w:pPr>
      <w:r w:rsidRPr="00E41DFA">
        <w:t>The Committee recommends th</w:t>
      </w:r>
      <w:r>
        <w:t>e following in relation to the MBS item for insertion of grommets:</w:t>
      </w:r>
    </w:p>
    <w:p w14:paraId="6D428DEF" w14:textId="77777777" w:rsidR="00BC209F" w:rsidRPr="00700528" w:rsidRDefault="00BC209F" w:rsidP="00700528">
      <w:pPr>
        <w:pStyle w:val="NormalBulleted"/>
      </w:pPr>
      <w:r w:rsidRPr="00700528">
        <w:t>No change to the descriptor for item 41632 (insertion of grommet)</w:t>
      </w:r>
    </w:p>
    <w:p w14:paraId="2D4BF2BA" w14:textId="77777777" w:rsidR="00BC209F" w:rsidRPr="00700528" w:rsidRDefault="00BC209F" w:rsidP="00700528">
      <w:pPr>
        <w:pStyle w:val="NormalBulleted"/>
      </w:pPr>
      <w:r w:rsidRPr="00700528">
        <w:t>Further work looking at the reasons for geographical variation for grommets services is warranted in the future</w:t>
      </w:r>
    </w:p>
    <w:p w14:paraId="55AB886F" w14:textId="77777777" w:rsidR="00BC209F" w:rsidRPr="00700528" w:rsidRDefault="00BC209F" w:rsidP="00700528">
      <w:pPr>
        <w:pStyle w:val="NormalBulleted"/>
      </w:pPr>
      <w:r w:rsidRPr="00700528">
        <w:t xml:space="preserve">The lower service rates of myringotomy in the Northern Territory should be further examined as it is an area of need and </w:t>
      </w:r>
      <w:r w:rsidR="00AE6B10">
        <w:t xml:space="preserve">inadequate </w:t>
      </w:r>
      <w:r w:rsidRPr="00700528">
        <w:t>access to appropriate services can have serious implications for hearing problems in Indigenous populations</w:t>
      </w:r>
      <w:r w:rsidR="00C2233F" w:rsidRPr="00700528">
        <w:t>.</w:t>
      </w:r>
    </w:p>
    <w:p w14:paraId="309DF360" w14:textId="77777777" w:rsidR="00BC209F" w:rsidRPr="00700528" w:rsidRDefault="00BC209F" w:rsidP="006508BC">
      <w:pPr>
        <w:pStyle w:val="Heading2"/>
      </w:pPr>
      <w:bookmarkStart w:id="51" w:name="_Toc457053421"/>
      <w:r w:rsidRPr="00700528">
        <w:t xml:space="preserve">Tonsillectomy </w:t>
      </w:r>
      <w:r w:rsidR="0082217D" w:rsidRPr="00700528">
        <w:t>MBS items</w:t>
      </w:r>
      <w:bookmarkEnd w:id="51"/>
    </w:p>
    <w:p w14:paraId="368E76AD" w14:textId="77777777" w:rsidR="00BC209F" w:rsidRPr="00D744EE" w:rsidRDefault="00BC209F" w:rsidP="00700528">
      <w:pPr>
        <w:pStyle w:val="Heading3"/>
      </w:pPr>
      <w:r w:rsidRPr="00D744EE">
        <w:t>Items considered in this section</w:t>
      </w:r>
    </w:p>
    <w:p w14:paraId="126BABA8" w14:textId="77777777" w:rsidR="00BC209F" w:rsidRDefault="00BC209F" w:rsidP="00D744EE">
      <w:pPr>
        <w:rPr>
          <w:lang w:val="en-US" w:eastAsia="en-US"/>
        </w:rPr>
      </w:pPr>
      <w:r>
        <w:rPr>
          <w:lang w:val="en-US" w:eastAsia="en-US"/>
        </w:rPr>
        <w:t>Six items tonsillectomy procedures (including arrest of hemorrhage) are</w:t>
      </w:r>
      <w:r w:rsidRPr="003F1FC3">
        <w:rPr>
          <w:lang w:val="en-US" w:eastAsia="en-US"/>
        </w:rPr>
        <w:t xml:space="preserve"> considered in this section</w:t>
      </w:r>
      <w:r>
        <w:rPr>
          <w:lang w:val="en-US" w:eastAsia="en-US"/>
        </w:rPr>
        <w:t>:</w:t>
      </w:r>
    </w:p>
    <w:p w14:paraId="47A51995" w14:textId="77777777" w:rsidR="00BC209F" w:rsidRPr="00D744EE" w:rsidRDefault="00BC209F" w:rsidP="00D744EE">
      <w:pPr>
        <w:pStyle w:val="NormalBulleted"/>
      </w:pPr>
      <w:r w:rsidRPr="006058ED">
        <w:rPr>
          <w:b/>
        </w:rPr>
        <w:t>41788 G</w:t>
      </w:r>
      <w:r w:rsidR="00AE6B10">
        <w:rPr>
          <w:b/>
        </w:rPr>
        <w:t>*</w:t>
      </w:r>
      <w:r w:rsidRPr="00D744EE">
        <w:t xml:space="preserve"> </w:t>
      </w:r>
      <w:r w:rsidR="00D744EE" w:rsidRPr="00D744EE">
        <w:rPr>
          <w:b/>
          <w:bCs/>
          <w:i/>
          <w:iCs/>
        </w:rPr>
        <w:t xml:space="preserve">– </w:t>
      </w:r>
      <w:r w:rsidRPr="00D744EE">
        <w:t>Removal of tonsil and/or adenoids (less than 12 years)</w:t>
      </w:r>
    </w:p>
    <w:p w14:paraId="23D342E5" w14:textId="77777777" w:rsidR="00BC209F" w:rsidRPr="00D744EE" w:rsidRDefault="00BC209F" w:rsidP="00D744EE">
      <w:pPr>
        <w:pStyle w:val="NormalBulleted"/>
      </w:pPr>
      <w:r w:rsidRPr="006058ED">
        <w:rPr>
          <w:b/>
        </w:rPr>
        <w:t>41789 S</w:t>
      </w:r>
      <w:r w:rsidRPr="00D744EE">
        <w:t xml:space="preserve"> </w:t>
      </w:r>
      <w:r w:rsidR="00D744EE" w:rsidRPr="00D744EE">
        <w:rPr>
          <w:b/>
          <w:bCs/>
          <w:i/>
          <w:iCs/>
        </w:rPr>
        <w:t xml:space="preserve">– </w:t>
      </w:r>
      <w:r w:rsidRPr="00D744EE">
        <w:t>Removal of tonsil and/or adenoids (less than 12 years)</w:t>
      </w:r>
    </w:p>
    <w:p w14:paraId="7ABA15E4" w14:textId="77777777" w:rsidR="00BC209F" w:rsidRPr="00D744EE" w:rsidRDefault="00BC209F" w:rsidP="00D744EE">
      <w:pPr>
        <w:pStyle w:val="NormalBulleted"/>
      </w:pPr>
      <w:r w:rsidRPr="006058ED">
        <w:rPr>
          <w:b/>
        </w:rPr>
        <w:t>41792 G</w:t>
      </w:r>
      <w:r w:rsidRPr="00D744EE">
        <w:t xml:space="preserve"> </w:t>
      </w:r>
      <w:r w:rsidR="00D744EE" w:rsidRPr="00D744EE">
        <w:rPr>
          <w:b/>
          <w:bCs/>
          <w:i/>
          <w:iCs/>
        </w:rPr>
        <w:t xml:space="preserve">– </w:t>
      </w:r>
      <w:r w:rsidRPr="00D744EE">
        <w:t>Removal of tonsil and/or adenoids (less than 12 years or ov</w:t>
      </w:r>
      <w:r w:rsidR="00AE6B10">
        <w:t>er</w:t>
      </w:r>
    </w:p>
    <w:p w14:paraId="4FE6CFB4" w14:textId="77777777" w:rsidR="00BC209F" w:rsidRPr="00D744EE" w:rsidRDefault="00BC209F" w:rsidP="00D744EE">
      <w:pPr>
        <w:pStyle w:val="NormalBulleted"/>
      </w:pPr>
      <w:r w:rsidRPr="006058ED">
        <w:rPr>
          <w:b/>
        </w:rPr>
        <w:t>41793 S</w:t>
      </w:r>
      <w:r w:rsidRPr="00D744EE">
        <w:t xml:space="preserve"> </w:t>
      </w:r>
      <w:r w:rsidR="00D744EE" w:rsidRPr="00D744EE">
        <w:rPr>
          <w:b/>
          <w:bCs/>
          <w:i/>
          <w:iCs/>
        </w:rPr>
        <w:t xml:space="preserve">– </w:t>
      </w:r>
      <w:r w:rsidRPr="00D744EE">
        <w:t>Removal of tonsil and/or adenoids (less than 12 years or over)</w:t>
      </w:r>
    </w:p>
    <w:p w14:paraId="64BAFA3D" w14:textId="77777777" w:rsidR="00BC209F" w:rsidRPr="00D744EE" w:rsidRDefault="00BC209F" w:rsidP="00D744EE">
      <w:pPr>
        <w:pStyle w:val="NormalBulleted"/>
      </w:pPr>
      <w:r w:rsidRPr="006058ED">
        <w:rPr>
          <w:b/>
        </w:rPr>
        <w:t>41796 G</w:t>
      </w:r>
      <w:r w:rsidRPr="00D744EE">
        <w:t xml:space="preserve"> </w:t>
      </w:r>
      <w:r w:rsidR="00D744EE" w:rsidRPr="00D744EE">
        <w:rPr>
          <w:b/>
          <w:bCs/>
          <w:i/>
          <w:iCs/>
        </w:rPr>
        <w:t>–</w:t>
      </w:r>
      <w:r w:rsidRPr="00D744EE">
        <w:t xml:space="preserve"> Arrest of haemorrhage, following removal of tonsils and/or adenoids</w:t>
      </w:r>
    </w:p>
    <w:p w14:paraId="741EEBCB" w14:textId="77777777" w:rsidR="00AE6B10" w:rsidRDefault="00BC209F" w:rsidP="00D744EE">
      <w:pPr>
        <w:pStyle w:val="NormalBulleted"/>
      </w:pPr>
      <w:r w:rsidRPr="006058ED">
        <w:rPr>
          <w:b/>
        </w:rPr>
        <w:t>41797 S</w:t>
      </w:r>
      <w:r w:rsidRPr="00D744EE">
        <w:t xml:space="preserve"> </w:t>
      </w:r>
      <w:r w:rsidR="00D744EE" w:rsidRPr="00D744EE">
        <w:rPr>
          <w:b/>
          <w:bCs/>
          <w:i/>
          <w:iCs/>
        </w:rPr>
        <w:t xml:space="preserve">– </w:t>
      </w:r>
      <w:r w:rsidRPr="00D744EE">
        <w:t>Arrest of haemorrhage, following removal of tonsils and/or adenoids</w:t>
      </w:r>
    </w:p>
    <w:p w14:paraId="6148D1B1" w14:textId="77777777" w:rsidR="00BC209F" w:rsidRPr="00C11C81" w:rsidRDefault="00AE6B10" w:rsidP="00C11C81">
      <w:pPr>
        <w:pStyle w:val="NormalBulleted"/>
        <w:numPr>
          <w:ilvl w:val="0"/>
          <w:numId w:val="0"/>
        </w:numPr>
        <w:rPr>
          <w:i/>
        </w:rPr>
      </w:pPr>
      <w:r w:rsidRPr="00C11C81">
        <w:rPr>
          <w:i/>
        </w:rPr>
        <w:lastRenderedPageBreak/>
        <w:t>*Note</w:t>
      </w:r>
      <w:r w:rsidR="00FE6728">
        <w:rPr>
          <w:i/>
        </w:rPr>
        <w:t>:</w:t>
      </w:r>
      <w:r w:rsidRPr="00C11C81">
        <w:rPr>
          <w:i/>
        </w:rPr>
        <w:t xml:space="preserve"> G means the service is provided by a GP. S means the service is provided by a specialist. </w:t>
      </w:r>
    </w:p>
    <w:p w14:paraId="41A15263" w14:textId="77777777" w:rsidR="00BC209F" w:rsidRPr="00D744EE" w:rsidRDefault="00BC209F" w:rsidP="00700528">
      <w:pPr>
        <w:pStyle w:val="Heading3"/>
      </w:pPr>
      <w:r w:rsidRPr="00D744EE">
        <w:t>Issues identified</w:t>
      </w:r>
    </w:p>
    <w:p w14:paraId="64E266B2" w14:textId="77777777" w:rsidR="00BC209F" w:rsidRDefault="00BC209F" w:rsidP="00700528">
      <w:r w:rsidRPr="003F1FC3">
        <w:t xml:space="preserve">The Committee considered </w:t>
      </w:r>
      <w:r>
        <w:t>several issues in relation to the MBS items tonsillectomy including:</w:t>
      </w:r>
    </w:p>
    <w:p w14:paraId="5C8AA67C" w14:textId="77777777" w:rsidR="00BC209F" w:rsidRPr="00B179A9" w:rsidRDefault="00BC478B" w:rsidP="00700528">
      <w:pPr>
        <w:pStyle w:val="NormalBulleted"/>
      </w:pPr>
      <w:r>
        <w:t>U</w:t>
      </w:r>
      <w:r w:rsidR="00BC209F">
        <w:t>nderutilisation of</w:t>
      </w:r>
      <w:r w:rsidR="00BC209F" w:rsidRPr="007F40DA">
        <w:t xml:space="preserve"> tonsillectomies in </w:t>
      </w:r>
      <w:r w:rsidR="00BC209F">
        <w:t>children under 12 years</w:t>
      </w:r>
      <w:r w:rsidR="00BC209F" w:rsidRPr="007F40DA">
        <w:t xml:space="preserve"> suggest</w:t>
      </w:r>
      <w:r w:rsidR="00BC209F">
        <w:t>ing</w:t>
      </w:r>
      <w:r w:rsidR="00BC209F" w:rsidRPr="007F40DA">
        <w:t xml:space="preserve"> significant under-treatment of OSA/SDB</w:t>
      </w:r>
    </w:p>
    <w:p w14:paraId="4E21CB7F" w14:textId="77777777" w:rsidR="00BC209F" w:rsidRPr="00700528" w:rsidRDefault="00BC478B" w:rsidP="00700528">
      <w:pPr>
        <w:pStyle w:val="NormalBulleted"/>
      </w:pPr>
      <w:r>
        <w:t>S</w:t>
      </w:r>
      <w:r w:rsidR="00BC209F" w:rsidRPr="00700528">
        <w:t>ervice usage and geographical variation</w:t>
      </w:r>
    </w:p>
    <w:p w14:paraId="0188A8EC" w14:textId="77777777" w:rsidR="00BC209F" w:rsidRPr="00700528" w:rsidRDefault="00BC478B" w:rsidP="00700528">
      <w:pPr>
        <w:pStyle w:val="NormalBulleted"/>
      </w:pPr>
      <w:r>
        <w:t>C</w:t>
      </w:r>
      <w:r w:rsidR="00BC209F" w:rsidRPr="00700528">
        <w:t>o-claiming between tonsillectomy and other MBS items on the same occasion of service</w:t>
      </w:r>
    </w:p>
    <w:p w14:paraId="72C51AC8" w14:textId="77777777" w:rsidR="00BC209F" w:rsidRPr="00700528" w:rsidRDefault="00BC478B" w:rsidP="00700528">
      <w:pPr>
        <w:pStyle w:val="NormalBulleted"/>
      </w:pPr>
      <w:r>
        <w:t>W</w:t>
      </w:r>
      <w:r w:rsidR="00BC209F" w:rsidRPr="00700528">
        <w:t>hether the items should detail patient indications</w:t>
      </w:r>
    </w:p>
    <w:p w14:paraId="0EA15B94" w14:textId="77777777" w:rsidR="00BC209F" w:rsidRPr="00700528" w:rsidRDefault="00BC478B" w:rsidP="00700528">
      <w:pPr>
        <w:pStyle w:val="NormalBulleted"/>
      </w:pPr>
      <w:r>
        <w:t>W</w:t>
      </w:r>
      <w:r w:rsidR="00BC209F" w:rsidRPr="00700528">
        <w:t>hether the scope of the service reflects the MBS item</w:t>
      </w:r>
      <w:r>
        <w:t>.</w:t>
      </w:r>
      <w:r w:rsidR="00BC209F" w:rsidRPr="00700528">
        <w:t xml:space="preserve"> </w:t>
      </w:r>
    </w:p>
    <w:p w14:paraId="5F42F197" w14:textId="77777777" w:rsidR="00BC209F" w:rsidRPr="00D744EE" w:rsidRDefault="00BC209F" w:rsidP="00700528">
      <w:pPr>
        <w:pStyle w:val="Heading3"/>
      </w:pPr>
      <w:r w:rsidRPr="00D744EE">
        <w:t>Rationale</w:t>
      </w:r>
    </w:p>
    <w:p w14:paraId="263B09DF" w14:textId="77777777" w:rsidR="00BC209F" w:rsidRDefault="00BC209F" w:rsidP="00D744EE">
      <w:r>
        <w:t>Following the Taskforce identification of a</w:t>
      </w:r>
      <w:r w:rsidRPr="00C0293A">
        <w:t>denoidectomy as a service of</w:t>
      </w:r>
      <w:r>
        <w:t xml:space="preserve"> </w:t>
      </w:r>
      <w:r w:rsidRPr="00C0293A">
        <w:t>potentia</w:t>
      </w:r>
      <w:r>
        <w:t>lly</w:t>
      </w:r>
      <w:r w:rsidRPr="00C0293A">
        <w:t xml:space="preserve"> low clinical value</w:t>
      </w:r>
      <w:r>
        <w:t xml:space="preserve"> for some patient groups, it was considered that t</w:t>
      </w:r>
      <w:r w:rsidRPr="00C0293A">
        <w:t>onsillectomy</w:t>
      </w:r>
      <w:r>
        <w:t xml:space="preserve">, </w:t>
      </w:r>
      <w:r w:rsidRPr="00C0293A">
        <w:t>a related procedure</w:t>
      </w:r>
      <w:r>
        <w:t>, was also suitable for priority review.</w:t>
      </w:r>
    </w:p>
    <w:p w14:paraId="41F66596" w14:textId="77777777" w:rsidR="007023CD" w:rsidRPr="003F1FC3" w:rsidRDefault="00BC209F" w:rsidP="00700528">
      <w:r w:rsidRPr="003F1FC3">
        <w:t>The ACS</w:t>
      </w:r>
      <w:r w:rsidR="00A85C44">
        <w:t>Q</w:t>
      </w:r>
      <w:r w:rsidRPr="003F1FC3">
        <w:t xml:space="preserve">HC identified hospital admission for tonsillectomy for under </w:t>
      </w:r>
      <w:proofErr w:type="gramStart"/>
      <w:r w:rsidRPr="00BC2064">
        <w:t>18 year</w:t>
      </w:r>
      <w:proofErr w:type="gramEnd"/>
      <w:r w:rsidRPr="00BC2064">
        <w:t xml:space="preserve"> </w:t>
      </w:r>
      <w:proofErr w:type="spellStart"/>
      <w:r w:rsidRPr="00BC2064">
        <w:t>olds</w:t>
      </w:r>
      <w:proofErr w:type="spellEnd"/>
      <w:r w:rsidRPr="00BC2064">
        <w:t xml:space="preserve"> as one of the procedures with greatest variation in service provision in Australia. </w:t>
      </w:r>
      <w:r>
        <w:t xml:space="preserve">Based on </w:t>
      </w:r>
      <w:r w:rsidRPr="003F1FC3">
        <w:t>admitted hospital data (including public and private admissions)</w:t>
      </w:r>
      <w:r>
        <w:t>, t</w:t>
      </w:r>
      <w:r w:rsidRPr="00BC2064">
        <w:t>he ACS</w:t>
      </w:r>
      <w:r w:rsidR="00A85C44">
        <w:t>Q</w:t>
      </w:r>
      <w:r w:rsidRPr="00BC2064">
        <w:t>HC analysis found variation in service provision ranged from 254 to 1,640 per 100,000 people in SA3 area analysis</w:t>
      </w:r>
      <w:r>
        <w:t>.</w:t>
      </w:r>
      <w:r w:rsidR="007736E8">
        <w:t xml:space="preserve"> </w:t>
      </w:r>
      <w:r>
        <w:t>The</w:t>
      </w:r>
      <w:r w:rsidRPr="00BC2064">
        <w:t xml:space="preserve"> area with the highest rate </w:t>
      </w:r>
      <w:r>
        <w:t>was</w:t>
      </w:r>
      <w:r w:rsidRPr="00BC2064">
        <w:t xml:space="preserve"> South Australia and the lowest rate </w:t>
      </w:r>
      <w:r>
        <w:t xml:space="preserve">was </w:t>
      </w:r>
      <w:r w:rsidRPr="00BC2064">
        <w:t>in rural Queensland. Excluding the outliers (the highest and the lowest rate areas),</w:t>
      </w:r>
      <w:r w:rsidRPr="003F1FC3">
        <w:t xml:space="preserve"> there was still a significant variation across areas with the surgical rate in one local area three times higher than in another local area</w:t>
      </w:r>
      <w:r w:rsidR="00F61AEB">
        <w:t>.</w:t>
      </w:r>
      <w:r w:rsidR="007467D5">
        <w:rPr>
          <w:vertAlign w:val="superscript"/>
        </w:rPr>
        <w:t>9</w:t>
      </w:r>
    </w:p>
    <w:p w14:paraId="24A40076" w14:textId="77777777" w:rsidR="00BC209F" w:rsidRPr="003F1FC3" w:rsidRDefault="00BC209F" w:rsidP="00700528">
      <w:r w:rsidRPr="003F1FC3">
        <w:t xml:space="preserve">Geographical variation is not necessarily indicative of inappropriate service provision or </w:t>
      </w:r>
      <w:proofErr w:type="gramStart"/>
      <w:r w:rsidRPr="003F1FC3">
        <w:t>use, but</w:t>
      </w:r>
      <w:proofErr w:type="gramEnd"/>
      <w:r w:rsidRPr="003F1FC3">
        <w:t xml:space="preserve"> can indicate that the service warrants greater examination or consideration. Variation can be an indicator of over-servicing or under-servicing. In some circumstances geographical variation is warranted, owing to the health status and need of the population.</w:t>
      </w:r>
      <w:r w:rsidR="005C7108">
        <w:rPr>
          <w:vertAlign w:val="superscript"/>
        </w:rPr>
        <w:t>1</w:t>
      </w:r>
      <w:r w:rsidR="007467D5">
        <w:rPr>
          <w:vertAlign w:val="superscript"/>
        </w:rPr>
        <w:t>0</w:t>
      </w:r>
      <w:r w:rsidRPr="003F1FC3">
        <w:t xml:space="preserve"> In other situations, a large variation in geographical service provision can be indicative of differences in clinical practice, for example where practitioners are interpreting clinical guidelines differently, which can result in patients being over-serviced or not receiving the services that they need.</w:t>
      </w:r>
      <w:r w:rsidR="005C7108">
        <w:rPr>
          <w:vertAlign w:val="superscript"/>
        </w:rPr>
        <w:t>1</w:t>
      </w:r>
      <w:r w:rsidR="00AF2FE1">
        <w:rPr>
          <w:vertAlign w:val="superscript"/>
        </w:rPr>
        <w:t>1</w:t>
      </w:r>
      <w:r w:rsidR="007736E8">
        <w:t xml:space="preserve"> </w:t>
      </w:r>
      <w:r w:rsidRPr="003F1FC3">
        <w:t>Geographical variation can also be indicative of patient access to services (for example, issues with workforce supply and/or distribution) and the relative socio</w:t>
      </w:r>
      <w:r w:rsidRPr="003F1FC3">
        <w:noBreakHyphen/>
        <w:t xml:space="preserve">economic status of areas. </w:t>
      </w:r>
    </w:p>
    <w:p w14:paraId="42B287F5" w14:textId="77777777" w:rsidR="00BC209F" w:rsidRPr="00D744EE" w:rsidRDefault="00BC209F" w:rsidP="00700528">
      <w:pPr>
        <w:pStyle w:val="Heading3"/>
      </w:pPr>
      <w:r w:rsidRPr="00D744EE">
        <w:t xml:space="preserve">Considerations during the review of the items for tonsillectomy </w:t>
      </w:r>
    </w:p>
    <w:p w14:paraId="56169AB8" w14:textId="77777777" w:rsidR="00BC209F" w:rsidRDefault="00BC209F" w:rsidP="00D744EE">
      <w:pPr>
        <w:pStyle w:val="Caption"/>
        <w:keepLines/>
        <w:tabs>
          <w:tab w:val="left" w:pos="851"/>
        </w:tabs>
      </w:pPr>
      <w:bookmarkStart w:id="52" w:name="_Toc485720822"/>
      <w:r w:rsidRPr="005639B9">
        <w:t xml:space="preserve">Table </w:t>
      </w:r>
      <w:r w:rsidR="00201595">
        <w:fldChar w:fldCharType="begin"/>
      </w:r>
      <w:r w:rsidR="00201595">
        <w:instrText xml:space="preserve"> SEQ Table \* ARABIC </w:instrText>
      </w:r>
      <w:r w:rsidR="00201595">
        <w:fldChar w:fldCharType="separate"/>
      </w:r>
      <w:r w:rsidR="00E60472">
        <w:rPr>
          <w:noProof/>
        </w:rPr>
        <w:t>5</w:t>
      </w:r>
      <w:r w:rsidR="00201595">
        <w:rPr>
          <w:noProof/>
        </w:rPr>
        <w:fldChar w:fldCharType="end"/>
      </w:r>
      <w:r w:rsidR="00D744EE" w:rsidRPr="005639B9">
        <w:t>:</w:t>
      </w:r>
      <w:r w:rsidR="00D744EE" w:rsidRPr="005639B9">
        <w:tab/>
      </w:r>
      <w:r w:rsidRPr="005639B9">
        <w:t xml:space="preserve">High level MBS data on </w:t>
      </w:r>
      <w:r w:rsidR="005639B9">
        <w:t>r</w:t>
      </w:r>
      <w:r w:rsidR="005639B9" w:rsidRPr="005639B9">
        <w:t>emoval of tonsils and adenoids under 12</w:t>
      </w:r>
      <w:r w:rsidRPr="005639B9">
        <w:t>, 2014</w:t>
      </w:r>
      <w:r w:rsidR="003F50B2">
        <w:t>–</w:t>
      </w:r>
      <w:r w:rsidRPr="005639B9">
        <w:t>15 (date of processing)</w:t>
      </w:r>
      <w:bookmarkEnd w:id="52"/>
    </w:p>
    <w:tbl>
      <w:tblPr>
        <w:tblStyle w:val="TableGrid"/>
        <w:tblW w:w="6930"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5 provides an overview of tonsillectomy services and benefis paid in 2014-15 for patients under 12 years of age."/>
      </w:tblPr>
      <w:tblGrid>
        <w:gridCol w:w="2970"/>
        <w:gridCol w:w="1170"/>
        <w:gridCol w:w="2790"/>
      </w:tblGrid>
      <w:tr w:rsidR="005639B9" w:rsidRPr="001C7A94" w14:paraId="4510D382" w14:textId="77777777" w:rsidTr="00F513A6">
        <w:trPr>
          <w:tblHeader/>
        </w:trPr>
        <w:tc>
          <w:tcPr>
            <w:tcW w:w="2970" w:type="dxa"/>
            <w:shd w:val="clear" w:color="auto" w:fill="auto"/>
          </w:tcPr>
          <w:p w14:paraId="3C3A6115" w14:textId="77777777" w:rsidR="005639B9" w:rsidRPr="001C7A94" w:rsidRDefault="005639B9" w:rsidP="00EE3FA4">
            <w:pPr>
              <w:pStyle w:val="Tableheading"/>
              <w:rPr>
                <w:rFonts w:eastAsiaTheme="minorHAnsi"/>
              </w:rPr>
            </w:pPr>
            <w:r>
              <w:rPr>
                <w:rFonts w:eastAsiaTheme="minorHAnsi"/>
              </w:rPr>
              <w:t>Statistic</w:t>
            </w:r>
          </w:p>
        </w:tc>
        <w:tc>
          <w:tcPr>
            <w:tcW w:w="1170" w:type="dxa"/>
            <w:shd w:val="clear" w:color="auto" w:fill="auto"/>
            <w:vAlign w:val="center"/>
          </w:tcPr>
          <w:p w14:paraId="26AB2D1C" w14:textId="77777777" w:rsidR="005639B9" w:rsidRPr="001C7A94" w:rsidRDefault="005639B9" w:rsidP="00EE3FA4">
            <w:pPr>
              <w:pStyle w:val="Tableheading"/>
              <w:rPr>
                <w:rFonts w:eastAsiaTheme="minorHAnsi"/>
              </w:rPr>
            </w:pPr>
            <w:r w:rsidRPr="001C7A94">
              <w:rPr>
                <w:rFonts w:eastAsiaTheme="minorHAnsi"/>
              </w:rPr>
              <w:t>41788 (GP)</w:t>
            </w:r>
          </w:p>
        </w:tc>
        <w:tc>
          <w:tcPr>
            <w:tcW w:w="2790" w:type="dxa"/>
            <w:shd w:val="clear" w:color="auto" w:fill="auto"/>
            <w:vAlign w:val="center"/>
          </w:tcPr>
          <w:p w14:paraId="0FEE53C8" w14:textId="77777777" w:rsidR="005639B9" w:rsidRPr="001C7A94" w:rsidRDefault="005639B9" w:rsidP="00EE3FA4">
            <w:pPr>
              <w:pStyle w:val="Tableheading"/>
              <w:rPr>
                <w:rFonts w:eastAsiaTheme="minorHAnsi"/>
              </w:rPr>
            </w:pPr>
            <w:r w:rsidRPr="001C7A94">
              <w:rPr>
                <w:rFonts w:eastAsiaTheme="minorHAnsi"/>
              </w:rPr>
              <w:t>41789 (specialist)</w:t>
            </w:r>
          </w:p>
        </w:tc>
      </w:tr>
      <w:tr w:rsidR="005639B9" w:rsidRPr="001C7A94" w14:paraId="0E67904E" w14:textId="77777777" w:rsidTr="005639B9">
        <w:tc>
          <w:tcPr>
            <w:tcW w:w="2970" w:type="dxa"/>
            <w:shd w:val="clear" w:color="auto" w:fill="auto"/>
          </w:tcPr>
          <w:p w14:paraId="318EF061" w14:textId="77777777" w:rsidR="005639B9" w:rsidRPr="001C7A94" w:rsidRDefault="005639B9" w:rsidP="00EE3FA4">
            <w:pPr>
              <w:pStyle w:val="Tabletext"/>
              <w:rPr>
                <w:rFonts w:eastAsiaTheme="minorHAnsi"/>
              </w:rPr>
            </w:pPr>
            <w:r w:rsidRPr="001C7A94">
              <w:rPr>
                <w:rFonts w:eastAsiaTheme="minorHAnsi"/>
              </w:rPr>
              <w:t>Number of services 2014-15</w:t>
            </w:r>
          </w:p>
        </w:tc>
        <w:tc>
          <w:tcPr>
            <w:tcW w:w="1170" w:type="dxa"/>
            <w:shd w:val="clear" w:color="auto" w:fill="auto"/>
            <w:vAlign w:val="center"/>
          </w:tcPr>
          <w:p w14:paraId="53A87E06" w14:textId="77777777" w:rsidR="005639B9" w:rsidRPr="001C7A94" w:rsidRDefault="005639B9" w:rsidP="00EE3FA4">
            <w:pPr>
              <w:pStyle w:val="TableTextDecimalAlign"/>
            </w:pPr>
            <w:r w:rsidRPr="001C7A94">
              <w:t xml:space="preserve">118 </w:t>
            </w:r>
          </w:p>
        </w:tc>
        <w:tc>
          <w:tcPr>
            <w:tcW w:w="2790" w:type="dxa"/>
            <w:shd w:val="clear" w:color="auto" w:fill="auto"/>
            <w:vAlign w:val="center"/>
          </w:tcPr>
          <w:p w14:paraId="01F77C48" w14:textId="77777777" w:rsidR="005639B9" w:rsidRPr="001C7A94" w:rsidRDefault="005639B9" w:rsidP="00EE3FA4">
            <w:pPr>
              <w:pStyle w:val="TableTextDecimalAlign"/>
            </w:pPr>
            <w:r w:rsidRPr="001C7A94">
              <w:t xml:space="preserve">19,888 </w:t>
            </w:r>
          </w:p>
        </w:tc>
      </w:tr>
      <w:tr w:rsidR="005639B9" w:rsidRPr="001C7A94" w14:paraId="4CD7B63B" w14:textId="77777777" w:rsidTr="005639B9">
        <w:tc>
          <w:tcPr>
            <w:tcW w:w="2970" w:type="dxa"/>
            <w:shd w:val="clear" w:color="auto" w:fill="auto"/>
            <w:vAlign w:val="center"/>
          </w:tcPr>
          <w:p w14:paraId="3617B204" w14:textId="77777777" w:rsidR="005639B9" w:rsidRPr="001C7A94" w:rsidRDefault="005639B9" w:rsidP="00EE3FA4">
            <w:pPr>
              <w:pStyle w:val="Tabletext"/>
              <w:rPr>
                <w:rFonts w:eastAsiaTheme="minorHAnsi"/>
              </w:rPr>
            </w:pPr>
            <w:r w:rsidRPr="001C7A94">
              <w:rPr>
                <w:rFonts w:eastAsiaTheme="minorHAnsi"/>
              </w:rPr>
              <w:t>MBS Benefits 2014-15</w:t>
            </w:r>
          </w:p>
        </w:tc>
        <w:tc>
          <w:tcPr>
            <w:tcW w:w="1170" w:type="dxa"/>
            <w:shd w:val="clear" w:color="auto" w:fill="auto"/>
            <w:vAlign w:val="center"/>
          </w:tcPr>
          <w:p w14:paraId="46151E57" w14:textId="77777777" w:rsidR="005639B9" w:rsidRPr="001C7A94" w:rsidRDefault="005639B9" w:rsidP="00EE3FA4">
            <w:pPr>
              <w:pStyle w:val="TableTextDecimalAlign"/>
            </w:pPr>
            <w:r w:rsidRPr="001C7A94">
              <w:t>$16,333</w:t>
            </w:r>
          </w:p>
        </w:tc>
        <w:tc>
          <w:tcPr>
            <w:tcW w:w="2790" w:type="dxa"/>
            <w:shd w:val="clear" w:color="auto" w:fill="auto"/>
            <w:vAlign w:val="center"/>
          </w:tcPr>
          <w:p w14:paraId="3339D61C" w14:textId="77777777" w:rsidR="005639B9" w:rsidRPr="001C7A94" w:rsidRDefault="005639B9" w:rsidP="00EE3FA4">
            <w:pPr>
              <w:pStyle w:val="TableTextDecimalAlign"/>
            </w:pPr>
            <w:r w:rsidRPr="001C7A94">
              <w:t>$4,273,410</w:t>
            </w:r>
          </w:p>
        </w:tc>
      </w:tr>
      <w:tr w:rsidR="005639B9" w:rsidRPr="001C7A94" w14:paraId="62C956BB" w14:textId="77777777" w:rsidTr="005639B9">
        <w:tc>
          <w:tcPr>
            <w:tcW w:w="2970" w:type="dxa"/>
            <w:shd w:val="clear" w:color="auto" w:fill="auto"/>
          </w:tcPr>
          <w:p w14:paraId="0A76C8E8" w14:textId="77777777" w:rsidR="005639B9" w:rsidRPr="001C7A94" w:rsidRDefault="005639B9" w:rsidP="00EE3FA4">
            <w:pPr>
              <w:pStyle w:val="Tabletext"/>
              <w:rPr>
                <w:rFonts w:eastAsiaTheme="minorHAnsi"/>
              </w:rPr>
            </w:pPr>
            <w:r w:rsidRPr="001C7A94">
              <w:rPr>
                <w:rFonts w:eastAsiaTheme="minorHAnsi"/>
              </w:rPr>
              <w:t>Number of providers</w:t>
            </w:r>
          </w:p>
        </w:tc>
        <w:tc>
          <w:tcPr>
            <w:tcW w:w="1170" w:type="dxa"/>
            <w:shd w:val="clear" w:color="auto" w:fill="auto"/>
            <w:vAlign w:val="center"/>
          </w:tcPr>
          <w:p w14:paraId="0A062D19" w14:textId="77777777" w:rsidR="005639B9" w:rsidRPr="001C7A94" w:rsidRDefault="005639B9" w:rsidP="00EE3FA4">
            <w:pPr>
              <w:pStyle w:val="TableTextDecimalAlign"/>
            </w:pPr>
            <w:r w:rsidRPr="001C7A94">
              <w:t xml:space="preserve">9 </w:t>
            </w:r>
          </w:p>
        </w:tc>
        <w:tc>
          <w:tcPr>
            <w:tcW w:w="2790" w:type="dxa"/>
            <w:shd w:val="clear" w:color="auto" w:fill="auto"/>
            <w:vAlign w:val="center"/>
          </w:tcPr>
          <w:p w14:paraId="29FCD021" w14:textId="77777777" w:rsidR="005639B9" w:rsidRPr="001C7A94" w:rsidRDefault="005639B9" w:rsidP="00EE3FA4">
            <w:pPr>
              <w:pStyle w:val="TableTextDecimalAlign"/>
            </w:pPr>
            <w:r w:rsidRPr="001C7A94">
              <w:t xml:space="preserve">410 </w:t>
            </w:r>
          </w:p>
        </w:tc>
      </w:tr>
      <w:tr w:rsidR="005639B9" w:rsidRPr="001C7A94" w14:paraId="4C715DAF" w14:textId="77777777" w:rsidTr="005639B9">
        <w:tc>
          <w:tcPr>
            <w:tcW w:w="2970" w:type="dxa"/>
            <w:shd w:val="clear" w:color="auto" w:fill="auto"/>
          </w:tcPr>
          <w:p w14:paraId="61112E7B" w14:textId="77777777" w:rsidR="005639B9" w:rsidRPr="001C7A94" w:rsidRDefault="005639B9" w:rsidP="00EE3FA4">
            <w:pPr>
              <w:pStyle w:val="Tabletext"/>
              <w:rPr>
                <w:rFonts w:eastAsiaTheme="minorHAnsi"/>
              </w:rPr>
            </w:pPr>
            <w:r w:rsidRPr="001C7A94">
              <w:rPr>
                <w:rFonts w:eastAsiaTheme="minorHAnsi"/>
              </w:rPr>
              <w:t>Number of patients</w:t>
            </w:r>
          </w:p>
        </w:tc>
        <w:tc>
          <w:tcPr>
            <w:tcW w:w="1170" w:type="dxa"/>
            <w:shd w:val="clear" w:color="auto" w:fill="auto"/>
            <w:vAlign w:val="center"/>
          </w:tcPr>
          <w:p w14:paraId="6B3109C2" w14:textId="77777777" w:rsidR="005639B9" w:rsidRPr="001C7A94" w:rsidRDefault="005639B9" w:rsidP="00EE3FA4">
            <w:pPr>
              <w:pStyle w:val="TableTextDecimalAlign"/>
            </w:pPr>
            <w:r w:rsidRPr="001C7A94">
              <w:t xml:space="preserve">118 </w:t>
            </w:r>
          </w:p>
        </w:tc>
        <w:tc>
          <w:tcPr>
            <w:tcW w:w="2790" w:type="dxa"/>
            <w:shd w:val="clear" w:color="auto" w:fill="auto"/>
            <w:vAlign w:val="center"/>
          </w:tcPr>
          <w:p w14:paraId="535058F4" w14:textId="77777777" w:rsidR="005639B9" w:rsidRPr="001C7A94" w:rsidRDefault="005639B9" w:rsidP="00EE3FA4">
            <w:pPr>
              <w:pStyle w:val="TableTextDecimalAlign"/>
            </w:pPr>
            <w:r w:rsidRPr="001C7A94">
              <w:t xml:space="preserve">19,888 </w:t>
            </w:r>
          </w:p>
        </w:tc>
      </w:tr>
    </w:tbl>
    <w:p w14:paraId="3423E2A2" w14:textId="77777777" w:rsidR="00BC209F" w:rsidRPr="008A086A" w:rsidRDefault="00BC209F" w:rsidP="00226A36">
      <w:pPr>
        <w:pStyle w:val="TableUnderlast"/>
      </w:pPr>
      <w:r w:rsidRPr="008A086A">
        <w:t>Unpublished data (Department of Health).</w:t>
      </w:r>
    </w:p>
    <w:p w14:paraId="5FBA3572" w14:textId="77777777" w:rsidR="005639B9" w:rsidRDefault="005639B9" w:rsidP="005639B9">
      <w:pPr>
        <w:pStyle w:val="Caption"/>
        <w:keepLines/>
        <w:tabs>
          <w:tab w:val="left" w:pos="851"/>
        </w:tabs>
      </w:pPr>
      <w:r w:rsidRPr="005639B9">
        <w:lastRenderedPageBreak/>
        <w:t xml:space="preserve">Table </w:t>
      </w:r>
      <w:r>
        <w:t>6</w:t>
      </w:r>
      <w:r w:rsidR="003F50B2">
        <w:t>:</w:t>
      </w:r>
      <w:r w:rsidR="003F50B2">
        <w:tab/>
        <w:t xml:space="preserve">High level MBS data on </w:t>
      </w:r>
      <w:r>
        <w:t>r</w:t>
      </w:r>
      <w:r w:rsidRPr="005639B9">
        <w:t>emoval of tonsils and adenoids over 12, 2014-15 (date of processing)</w:t>
      </w:r>
    </w:p>
    <w:tbl>
      <w:tblPr>
        <w:tblStyle w:val="TableGrid"/>
        <w:tblW w:w="7020"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6 provides an overview of tonsillectomy services and benefis paid in 2014-15 for patients over 12 years of age."/>
      </w:tblPr>
      <w:tblGrid>
        <w:gridCol w:w="3261"/>
        <w:gridCol w:w="1701"/>
        <w:gridCol w:w="2058"/>
      </w:tblGrid>
      <w:tr w:rsidR="005639B9" w:rsidRPr="001C7A94" w14:paraId="2BA08C60" w14:textId="77777777" w:rsidTr="00EE3FA4">
        <w:trPr>
          <w:tblHeader/>
        </w:trPr>
        <w:tc>
          <w:tcPr>
            <w:tcW w:w="3261" w:type="dxa"/>
            <w:shd w:val="clear" w:color="auto" w:fill="auto"/>
          </w:tcPr>
          <w:p w14:paraId="05A13308" w14:textId="77777777" w:rsidR="005639B9" w:rsidRPr="001C7A94" w:rsidRDefault="005639B9" w:rsidP="00EE3FA4">
            <w:pPr>
              <w:pStyle w:val="Tableheading"/>
              <w:rPr>
                <w:rFonts w:eastAsiaTheme="minorHAnsi"/>
              </w:rPr>
            </w:pPr>
            <w:r>
              <w:rPr>
                <w:rFonts w:eastAsiaTheme="minorHAnsi"/>
              </w:rPr>
              <w:t>Statistic</w:t>
            </w:r>
          </w:p>
        </w:tc>
        <w:tc>
          <w:tcPr>
            <w:tcW w:w="1701" w:type="dxa"/>
            <w:shd w:val="clear" w:color="auto" w:fill="auto"/>
            <w:vAlign w:val="center"/>
          </w:tcPr>
          <w:p w14:paraId="142F5A81" w14:textId="77777777" w:rsidR="005639B9" w:rsidRPr="001C7A94" w:rsidRDefault="005639B9" w:rsidP="00EE3FA4">
            <w:pPr>
              <w:pStyle w:val="Tableheading"/>
              <w:jc w:val="center"/>
              <w:rPr>
                <w:rFonts w:eastAsiaTheme="minorHAnsi"/>
              </w:rPr>
            </w:pPr>
            <w:r w:rsidRPr="001C7A94">
              <w:rPr>
                <w:rFonts w:eastAsiaTheme="minorHAnsi"/>
              </w:rPr>
              <w:t>41792 (GP)</w:t>
            </w:r>
          </w:p>
        </w:tc>
        <w:tc>
          <w:tcPr>
            <w:tcW w:w="2058" w:type="dxa"/>
            <w:shd w:val="clear" w:color="auto" w:fill="auto"/>
            <w:vAlign w:val="center"/>
          </w:tcPr>
          <w:p w14:paraId="77AFBADC" w14:textId="77777777" w:rsidR="005639B9" w:rsidRPr="001C7A94" w:rsidRDefault="005639B9" w:rsidP="00EE3FA4">
            <w:pPr>
              <w:pStyle w:val="Tableheading"/>
              <w:rPr>
                <w:rFonts w:eastAsiaTheme="minorHAnsi"/>
              </w:rPr>
            </w:pPr>
            <w:r w:rsidRPr="001C7A94">
              <w:rPr>
                <w:rFonts w:eastAsiaTheme="minorHAnsi"/>
              </w:rPr>
              <w:t>41793 (specialist)</w:t>
            </w:r>
          </w:p>
        </w:tc>
      </w:tr>
      <w:tr w:rsidR="005639B9" w:rsidRPr="001C7A94" w14:paraId="741D8018" w14:textId="77777777" w:rsidTr="00EE3FA4">
        <w:tc>
          <w:tcPr>
            <w:tcW w:w="3261" w:type="dxa"/>
            <w:shd w:val="clear" w:color="auto" w:fill="auto"/>
          </w:tcPr>
          <w:p w14:paraId="4935FB7E" w14:textId="77777777" w:rsidR="005639B9" w:rsidRPr="001C7A94" w:rsidRDefault="005639B9" w:rsidP="00EE3FA4">
            <w:pPr>
              <w:pStyle w:val="Tabletext"/>
              <w:rPr>
                <w:rFonts w:eastAsiaTheme="minorHAnsi"/>
              </w:rPr>
            </w:pPr>
            <w:r w:rsidRPr="001C7A94">
              <w:rPr>
                <w:rFonts w:eastAsiaTheme="minorHAnsi"/>
              </w:rPr>
              <w:t>Number of services 2014-15</w:t>
            </w:r>
          </w:p>
        </w:tc>
        <w:tc>
          <w:tcPr>
            <w:tcW w:w="1701" w:type="dxa"/>
            <w:shd w:val="clear" w:color="auto" w:fill="auto"/>
            <w:vAlign w:val="center"/>
          </w:tcPr>
          <w:p w14:paraId="36FDE897" w14:textId="77777777" w:rsidR="005639B9" w:rsidRPr="001C7A94" w:rsidRDefault="005639B9" w:rsidP="00EE3FA4">
            <w:pPr>
              <w:pStyle w:val="TableTextDecimalAlign"/>
            </w:pPr>
            <w:r w:rsidRPr="001C7A94">
              <w:t xml:space="preserve">128 </w:t>
            </w:r>
          </w:p>
        </w:tc>
        <w:tc>
          <w:tcPr>
            <w:tcW w:w="2058" w:type="dxa"/>
            <w:shd w:val="clear" w:color="auto" w:fill="auto"/>
            <w:vAlign w:val="center"/>
          </w:tcPr>
          <w:p w14:paraId="45D0BE33" w14:textId="77777777" w:rsidR="005639B9" w:rsidRPr="001C7A94" w:rsidRDefault="005639B9" w:rsidP="00EE3FA4">
            <w:pPr>
              <w:pStyle w:val="TableTextDecimalAlign"/>
            </w:pPr>
            <w:r w:rsidRPr="001C7A94">
              <w:t xml:space="preserve">11,016 </w:t>
            </w:r>
          </w:p>
        </w:tc>
      </w:tr>
      <w:tr w:rsidR="005639B9" w:rsidRPr="001C7A94" w14:paraId="4BE5A74C" w14:textId="77777777" w:rsidTr="00EE3FA4">
        <w:tc>
          <w:tcPr>
            <w:tcW w:w="3261" w:type="dxa"/>
            <w:shd w:val="clear" w:color="auto" w:fill="auto"/>
            <w:vAlign w:val="center"/>
          </w:tcPr>
          <w:p w14:paraId="2AC80332" w14:textId="77777777" w:rsidR="005639B9" w:rsidRPr="001C7A94" w:rsidRDefault="005639B9" w:rsidP="00EE3FA4">
            <w:pPr>
              <w:pStyle w:val="Tabletext"/>
              <w:rPr>
                <w:rFonts w:eastAsiaTheme="minorHAnsi"/>
              </w:rPr>
            </w:pPr>
            <w:r w:rsidRPr="001C7A94">
              <w:rPr>
                <w:rFonts w:eastAsiaTheme="minorHAnsi"/>
              </w:rPr>
              <w:t>MBS Benefits 2014-15</w:t>
            </w:r>
          </w:p>
        </w:tc>
        <w:tc>
          <w:tcPr>
            <w:tcW w:w="1701" w:type="dxa"/>
            <w:shd w:val="clear" w:color="auto" w:fill="auto"/>
            <w:vAlign w:val="center"/>
          </w:tcPr>
          <w:p w14:paraId="562F4CFC" w14:textId="77777777" w:rsidR="005639B9" w:rsidRPr="001C7A94" w:rsidRDefault="005639B9" w:rsidP="00EE3FA4">
            <w:pPr>
              <w:pStyle w:val="TableTextDecimalAlign"/>
            </w:pPr>
            <w:r w:rsidRPr="001C7A94">
              <w:t>$23,859</w:t>
            </w:r>
          </w:p>
        </w:tc>
        <w:tc>
          <w:tcPr>
            <w:tcW w:w="2058" w:type="dxa"/>
            <w:shd w:val="clear" w:color="auto" w:fill="auto"/>
            <w:vAlign w:val="center"/>
          </w:tcPr>
          <w:p w14:paraId="6FA945BF" w14:textId="77777777" w:rsidR="005639B9" w:rsidRPr="001C7A94" w:rsidRDefault="005639B9" w:rsidP="00EE3FA4">
            <w:pPr>
              <w:pStyle w:val="TableTextDecimalAlign"/>
            </w:pPr>
            <w:r w:rsidRPr="001C7A94">
              <w:t>$2,909,682</w:t>
            </w:r>
          </w:p>
        </w:tc>
      </w:tr>
      <w:tr w:rsidR="005639B9" w:rsidRPr="001C7A94" w14:paraId="54AA396C" w14:textId="77777777" w:rsidTr="00EE3FA4">
        <w:tc>
          <w:tcPr>
            <w:tcW w:w="3261" w:type="dxa"/>
            <w:shd w:val="clear" w:color="auto" w:fill="auto"/>
          </w:tcPr>
          <w:p w14:paraId="444FF2A4" w14:textId="77777777" w:rsidR="005639B9" w:rsidRPr="001C7A94" w:rsidRDefault="005639B9" w:rsidP="00EE3FA4">
            <w:pPr>
              <w:pStyle w:val="Tabletext"/>
              <w:rPr>
                <w:rFonts w:eastAsiaTheme="minorHAnsi"/>
              </w:rPr>
            </w:pPr>
            <w:r w:rsidRPr="001C7A94">
              <w:rPr>
                <w:rFonts w:eastAsiaTheme="minorHAnsi"/>
              </w:rPr>
              <w:t>Number of providers</w:t>
            </w:r>
          </w:p>
        </w:tc>
        <w:tc>
          <w:tcPr>
            <w:tcW w:w="1701" w:type="dxa"/>
            <w:shd w:val="clear" w:color="auto" w:fill="auto"/>
            <w:vAlign w:val="center"/>
          </w:tcPr>
          <w:p w14:paraId="4A1C43DC" w14:textId="77777777" w:rsidR="005639B9" w:rsidRPr="001C7A94" w:rsidRDefault="005639B9" w:rsidP="00EE3FA4">
            <w:pPr>
              <w:pStyle w:val="TableTextDecimalAlign"/>
            </w:pPr>
            <w:r w:rsidRPr="001C7A94">
              <w:t xml:space="preserve">37 </w:t>
            </w:r>
          </w:p>
        </w:tc>
        <w:tc>
          <w:tcPr>
            <w:tcW w:w="2058" w:type="dxa"/>
            <w:shd w:val="clear" w:color="auto" w:fill="auto"/>
            <w:vAlign w:val="center"/>
          </w:tcPr>
          <w:p w14:paraId="3964374C" w14:textId="77777777" w:rsidR="005639B9" w:rsidRPr="001C7A94" w:rsidRDefault="005639B9" w:rsidP="00EE3FA4">
            <w:pPr>
              <w:pStyle w:val="TableTextDecimalAlign"/>
            </w:pPr>
            <w:r w:rsidRPr="001C7A94">
              <w:t xml:space="preserve">433 </w:t>
            </w:r>
          </w:p>
        </w:tc>
      </w:tr>
      <w:tr w:rsidR="005639B9" w:rsidRPr="001C7A94" w14:paraId="220D9975" w14:textId="77777777" w:rsidTr="00EE3FA4">
        <w:tc>
          <w:tcPr>
            <w:tcW w:w="3261" w:type="dxa"/>
            <w:shd w:val="clear" w:color="auto" w:fill="auto"/>
          </w:tcPr>
          <w:p w14:paraId="2169C3C5" w14:textId="77777777" w:rsidR="005639B9" w:rsidRPr="001C7A94" w:rsidRDefault="005639B9" w:rsidP="00EE3FA4">
            <w:pPr>
              <w:pStyle w:val="Tabletext"/>
              <w:rPr>
                <w:rFonts w:eastAsiaTheme="minorHAnsi"/>
              </w:rPr>
            </w:pPr>
            <w:r w:rsidRPr="001C7A94">
              <w:rPr>
                <w:rFonts w:eastAsiaTheme="minorHAnsi"/>
              </w:rPr>
              <w:t>Number of patients</w:t>
            </w:r>
          </w:p>
        </w:tc>
        <w:tc>
          <w:tcPr>
            <w:tcW w:w="1701" w:type="dxa"/>
            <w:shd w:val="clear" w:color="auto" w:fill="auto"/>
            <w:vAlign w:val="center"/>
          </w:tcPr>
          <w:p w14:paraId="718826BE" w14:textId="77777777" w:rsidR="005639B9" w:rsidRPr="001C7A94" w:rsidRDefault="005639B9" w:rsidP="00EE3FA4">
            <w:pPr>
              <w:pStyle w:val="TableTextDecimalAlign"/>
            </w:pPr>
            <w:r w:rsidRPr="001C7A94">
              <w:t xml:space="preserve">128 </w:t>
            </w:r>
          </w:p>
        </w:tc>
        <w:tc>
          <w:tcPr>
            <w:tcW w:w="2058" w:type="dxa"/>
            <w:shd w:val="clear" w:color="auto" w:fill="auto"/>
            <w:vAlign w:val="center"/>
          </w:tcPr>
          <w:p w14:paraId="0F43407C" w14:textId="77777777" w:rsidR="005639B9" w:rsidRPr="001C7A94" w:rsidRDefault="005639B9" w:rsidP="00EE3FA4">
            <w:pPr>
              <w:pStyle w:val="TableTextDecimalAlign"/>
            </w:pPr>
            <w:r w:rsidRPr="001C7A94">
              <w:t xml:space="preserve">11,016 </w:t>
            </w:r>
          </w:p>
        </w:tc>
      </w:tr>
    </w:tbl>
    <w:p w14:paraId="7EC4F11F" w14:textId="77777777" w:rsidR="005639B9" w:rsidRPr="008A086A" w:rsidRDefault="005639B9" w:rsidP="005639B9">
      <w:pPr>
        <w:pStyle w:val="TableUnderlast"/>
      </w:pPr>
      <w:r w:rsidRPr="008A086A">
        <w:t>Unpublished data (Department of Health).</w:t>
      </w:r>
    </w:p>
    <w:p w14:paraId="6463275F" w14:textId="77777777" w:rsidR="005639B9" w:rsidRDefault="005639B9" w:rsidP="005639B9">
      <w:pPr>
        <w:pStyle w:val="Caption"/>
        <w:keepLines/>
        <w:tabs>
          <w:tab w:val="left" w:pos="851"/>
        </w:tabs>
      </w:pPr>
      <w:r w:rsidRPr="005639B9">
        <w:t xml:space="preserve">Table </w:t>
      </w:r>
      <w:r>
        <w:t>7</w:t>
      </w:r>
      <w:r w:rsidRPr="005639B9">
        <w:t>:</w:t>
      </w:r>
      <w:r w:rsidRPr="005639B9">
        <w:tab/>
        <w:t xml:space="preserve">High level MBS data on </w:t>
      </w:r>
      <w:r>
        <w:t>a</w:t>
      </w:r>
      <w:r w:rsidRPr="005639B9">
        <w:t>rrest of haemorrhage, 2014</w:t>
      </w:r>
      <w:r w:rsidR="003F50B2">
        <w:t>–</w:t>
      </w:r>
      <w:r w:rsidRPr="005639B9">
        <w:t>15 (date of processing)</w:t>
      </w:r>
    </w:p>
    <w:tbl>
      <w:tblPr>
        <w:tblStyle w:val="TableGrid"/>
        <w:tblW w:w="7020"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7 provides an overview of services and benefis paid in 2014-15 for the arrest of haemorrhage during tonsillectomy."/>
      </w:tblPr>
      <w:tblGrid>
        <w:gridCol w:w="3261"/>
        <w:gridCol w:w="1701"/>
        <w:gridCol w:w="2058"/>
      </w:tblGrid>
      <w:tr w:rsidR="005639B9" w:rsidRPr="001C7A94" w14:paraId="5F4E3071" w14:textId="77777777" w:rsidTr="00EE3FA4">
        <w:trPr>
          <w:tblHeader/>
        </w:trPr>
        <w:tc>
          <w:tcPr>
            <w:tcW w:w="3261" w:type="dxa"/>
            <w:shd w:val="clear" w:color="auto" w:fill="auto"/>
          </w:tcPr>
          <w:p w14:paraId="4AEA641E" w14:textId="77777777" w:rsidR="005639B9" w:rsidRPr="001C7A94" w:rsidRDefault="005639B9" w:rsidP="00EE3FA4">
            <w:pPr>
              <w:pStyle w:val="Tableheading"/>
              <w:rPr>
                <w:rFonts w:eastAsiaTheme="minorHAnsi"/>
              </w:rPr>
            </w:pPr>
            <w:r>
              <w:rPr>
                <w:rFonts w:eastAsiaTheme="minorHAnsi"/>
              </w:rPr>
              <w:t>Statistic</w:t>
            </w:r>
          </w:p>
        </w:tc>
        <w:tc>
          <w:tcPr>
            <w:tcW w:w="1701" w:type="dxa"/>
            <w:shd w:val="clear" w:color="auto" w:fill="auto"/>
            <w:vAlign w:val="center"/>
          </w:tcPr>
          <w:p w14:paraId="1D0FAF5D" w14:textId="77777777" w:rsidR="005639B9" w:rsidRPr="001C7A94" w:rsidRDefault="005639B9" w:rsidP="00EE3FA4">
            <w:pPr>
              <w:pStyle w:val="Tableheading"/>
              <w:jc w:val="center"/>
              <w:rPr>
                <w:rFonts w:eastAsiaTheme="minorHAnsi"/>
              </w:rPr>
            </w:pPr>
            <w:r w:rsidRPr="001C7A94">
              <w:rPr>
                <w:rFonts w:eastAsiaTheme="minorHAnsi"/>
              </w:rPr>
              <w:t>41796</w:t>
            </w:r>
            <w:r w:rsidR="00EE3FA4">
              <w:rPr>
                <w:rFonts w:eastAsiaTheme="minorHAnsi"/>
              </w:rPr>
              <w:t xml:space="preserve"> </w:t>
            </w:r>
            <w:r w:rsidRPr="001C7A94">
              <w:rPr>
                <w:rFonts w:eastAsiaTheme="minorHAnsi"/>
              </w:rPr>
              <w:t>(GP)</w:t>
            </w:r>
          </w:p>
        </w:tc>
        <w:tc>
          <w:tcPr>
            <w:tcW w:w="2058" w:type="dxa"/>
            <w:shd w:val="clear" w:color="auto" w:fill="auto"/>
            <w:vAlign w:val="center"/>
          </w:tcPr>
          <w:p w14:paraId="7DC73BCD" w14:textId="77777777" w:rsidR="005639B9" w:rsidRPr="001C7A94" w:rsidRDefault="005639B9" w:rsidP="00EE3FA4">
            <w:pPr>
              <w:pStyle w:val="Tableheading"/>
              <w:rPr>
                <w:rFonts w:eastAsiaTheme="minorHAnsi"/>
              </w:rPr>
            </w:pPr>
            <w:r w:rsidRPr="001C7A94">
              <w:rPr>
                <w:rFonts w:eastAsiaTheme="minorHAnsi"/>
              </w:rPr>
              <w:t>41797</w:t>
            </w:r>
            <w:r w:rsidR="00EE3FA4">
              <w:rPr>
                <w:rFonts w:eastAsiaTheme="minorHAnsi"/>
              </w:rPr>
              <w:t xml:space="preserve"> </w:t>
            </w:r>
            <w:r w:rsidRPr="001C7A94">
              <w:rPr>
                <w:rFonts w:eastAsiaTheme="minorHAnsi"/>
              </w:rPr>
              <w:t>(specialist)</w:t>
            </w:r>
          </w:p>
        </w:tc>
      </w:tr>
      <w:tr w:rsidR="005639B9" w:rsidRPr="001C7A94" w14:paraId="6CBBBC1B" w14:textId="77777777" w:rsidTr="00EE3FA4">
        <w:tc>
          <w:tcPr>
            <w:tcW w:w="3261" w:type="dxa"/>
            <w:shd w:val="clear" w:color="auto" w:fill="auto"/>
          </w:tcPr>
          <w:p w14:paraId="55A53A63" w14:textId="77777777" w:rsidR="005639B9" w:rsidRPr="001C7A94" w:rsidRDefault="005639B9" w:rsidP="00EE3FA4">
            <w:pPr>
              <w:pStyle w:val="Tabletext"/>
              <w:rPr>
                <w:rFonts w:eastAsiaTheme="minorHAnsi"/>
              </w:rPr>
            </w:pPr>
            <w:r w:rsidRPr="001C7A94">
              <w:rPr>
                <w:rFonts w:eastAsiaTheme="minorHAnsi"/>
              </w:rPr>
              <w:t>Number of services 2014-15</w:t>
            </w:r>
          </w:p>
        </w:tc>
        <w:tc>
          <w:tcPr>
            <w:tcW w:w="1701" w:type="dxa"/>
            <w:shd w:val="clear" w:color="auto" w:fill="auto"/>
            <w:vAlign w:val="center"/>
          </w:tcPr>
          <w:p w14:paraId="3EBDD1EA" w14:textId="77777777" w:rsidR="005639B9" w:rsidRPr="001C7A94" w:rsidRDefault="005639B9" w:rsidP="00EE3FA4">
            <w:pPr>
              <w:pStyle w:val="TableTextDecimalAlign"/>
            </w:pPr>
            <w:r w:rsidRPr="001C7A94">
              <w:t xml:space="preserve">10 </w:t>
            </w:r>
          </w:p>
        </w:tc>
        <w:tc>
          <w:tcPr>
            <w:tcW w:w="2058" w:type="dxa"/>
            <w:shd w:val="clear" w:color="auto" w:fill="auto"/>
            <w:vAlign w:val="center"/>
          </w:tcPr>
          <w:p w14:paraId="132AD1B5" w14:textId="77777777" w:rsidR="005639B9" w:rsidRPr="001C7A94" w:rsidRDefault="005639B9" w:rsidP="00EE3FA4">
            <w:pPr>
              <w:pStyle w:val="TableTextDecimalAlign"/>
            </w:pPr>
            <w:r w:rsidRPr="001C7A94">
              <w:t xml:space="preserve">207 </w:t>
            </w:r>
          </w:p>
        </w:tc>
      </w:tr>
      <w:tr w:rsidR="005639B9" w:rsidRPr="001C7A94" w14:paraId="1E8F0056" w14:textId="77777777" w:rsidTr="00EE3FA4">
        <w:tc>
          <w:tcPr>
            <w:tcW w:w="3261" w:type="dxa"/>
            <w:shd w:val="clear" w:color="auto" w:fill="auto"/>
            <w:vAlign w:val="center"/>
          </w:tcPr>
          <w:p w14:paraId="792C5037" w14:textId="77777777" w:rsidR="005639B9" w:rsidRPr="001C7A94" w:rsidRDefault="005639B9" w:rsidP="00EE3FA4">
            <w:pPr>
              <w:pStyle w:val="Tabletext"/>
              <w:rPr>
                <w:rFonts w:eastAsiaTheme="minorHAnsi"/>
              </w:rPr>
            </w:pPr>
            <w:r w:rsidRPr="001C7A94">
              <w:rPr>
                <w:rFonts w:eastAsiaTheme="minorHAnsi"/>
              </w:rPr>
              <w:t>MBS Benefits 2014-15</w:t>
            </w:r>
          </w:p>
        </w:tc>
        <w:tc>
          <w:tcPr>
            <w:tcW w:w="1701" w:type="dxa"/>
            <w:shd w:val="clear" w:color="auto" w:fill="auto"/>
            <w:vAlign w:val="center"/>
          </w:tcPr>
          <w:p w14:paraId="340E4A4A" w14:textId="77777777" w:rsidR="005639B9" w:rsidRPr="001C7A94" w:rsidRDefault="005639B9" w:rsidP="00EE3FA4">
            <w:pPr>
              <w:pStyle w:val="TableTextDecimalAlign"/>
            </w:pPr>
            <w:r w:rsidRPr="001C7A94">
              <w:t>$725</w:t>
            </w:r>
          </w:p>
        </w:tc>
        <w:tc>
          <w:tcPr>
            <w:tcW w:w="2058" w:type="dxa"/>
            <w:shd w:val="clear" w:color="auto" w:fill="auto"/>
            <w:vAlign w:val="center"/>
          </w:tcPr>
          <w:p w14:paraId="2344B98C" w14:textId="77777777" w:rsidR="005639B9" w:rsidRPr="001C7A94" w:rsidRDefault="005639B9" w:rsidP="00EE3FA4">
            <w:pPr>
              <w:pStyle w:val="TableTextDecimalAlign"/>
            </w:pPr>
            <w:r w:rsidRPr="001C7A94">
              <w:t>$20,722</w:t>
            </w:r>
          </w:p>
        </w:tc>
      </w:tr>
      <w:tr w:rsidR="005639B9" w:rsidRPr="001C7A94" w14:paraId="3B5915B6" w14:textId="77777777" w:rsidTr="00EE3FA4">
        <w:tc>
          <w:tcPr>
            <w:tcW w:w="3261" w:type="dxa"/>
            <w:shd w:val="clear" w:color="auto" w:fill="auto"/>
          </w:tcPr>
          <w:p w14:paraId="6F0C99DD" w14:textId="77777777" w:rsidR="005639B9" w:rsidRPr="001C7A94" w:rsidRDefault="005639B9" w:rsidP="00EE3FA4">
            <w:pPr>
              <w:pStyle w:val="Tabletext"/>
              <w:rPr>
                <w:rFonts w:eastAsiaTheme="minorHAnsi"/>
              </w:rPr>
            </w:pPr>
            <w:r w:rsidRPr="001C7A94">
              <w:rPr>
                <w:rFonts w:eastAsiaTheme="minorHAnsi"/>
              </w:rPr>
              <w:t>Number of providers</w:t>
            </w:r>
          </w:p>
        </w:tc>
        <w:tc>
          <w:tcPr>
            <w:tcW w:w="1701" w:type="dxa"/>
            <w:shd w:val="clear" w:color="auto" w:fill="auto"/>
            <w:vAlign w:val="center"/>
          </w:tcPr>
          <w:p w14:paraId="51779D15" w14:textId="77777777" w:rsidR="005639B9" w:rsidRPr="001C7A94" w:rsidRDefault="005639B9" w:rsidP="00EE3FA4">
            <w:pPr>
              <w:pStyle w:val="TableTextDecimalAlign"/>
            </w:pPr>
            <w:r w:rsidRPr="001C7A94">
              <w:t xml:space="preserve">10 </w:t>
            </w:r>
          </w:p>
        </w:tc>
        <w:tc>
          <w:tcPr>
            <w:tcW w:w="2058" w:type="dxa"/>
            <w:shd w:val="clear" w:color="auto" w:fill="auto"/>
            <w:vAlign w:val="center"/>
          </w:tcPr>
          <w:p w14:paraId="74D21ABF" w14:textId="77777777" w:rsidR="005639B9" w:rsidRPr="001C7A94" w:rsidRDefault="005639B9" w:rsidP="00EE3FA4">
            <w:pPr>
              <w:pStyle w:val="TableTextDecimalAlign"/>
            </w:pPr>
            <w:r w:rsidRPr="001C7A94">
              <w:t xml:space="preserve">125 </w:t>
            </w:r>
          </w:p>
        </w:tc>
      </w:tr>
      <w:tr w:rsidR="005639B9" w:rsidRPr="001C7A94" w14:paraId="03A651C1" w14:textId="77777777" w:rsidTr="00EE3FA4">
        <w:tc>
          <w:tcPr>
            <w:tcW w:w="3261" w:type="dxa"/>
            <w:shd w:val="clear" w:color="auto" w:fill="auto"/>
          </w:tcPr>
          <w:p w14:paraId="63A2B890" w14:textId="77777777" w:rsidR="005639B9" w:rsidRPr="001C7A94" w:rsidRDefault="005639B9" w:rsidP="00EE3FA4">
            <w:pPr>
              <w:pStyle w:val="Tabletext"/>
              <w:rPr>
                <w:rFonts w:eastAsiaTheme="minorHAnsi"/>
              </w:rPr>
            </w:pPr>
            <w:r w:rsidRPr="001C7A94">
              <w:rPr>
                <w:rFonts w:eastAsiaTheme="minorHAnsi"/>
              </w:rPr>
              <w:t>Number of patients</w:t>
            </w:r>
          </w:p>
        </w:tc>
        <w:tc>
          <w:tcPr>
            <w:tcW w:w="1701" w:type="dxa"/>
            <w:shd w:val="clear" w:color="auto" w:fill="auto"/>
            <w:vAlign w:val="center"/>
          </w:tcPr>
          <w:p w14:paraId="748F5728" w14:textId="77777777" w:rsidR="005639B9" w:rsidRPr="001C7A94" w:rsidRDefault="005639B9" w:rsidP="00EE3FA4">
            <w:pPr>
              <w:pStyle w:val="TableTextDecimalAlign"/>
            </w:pPr>
            <w:r w:rsidRPr="001C7A94">
              <w:t xml:space="preserve">10 </w:t>
            </w:r>
          </w:p>
        </w:tc>
        <w:tc>
          <w:tcPr>
            <w:tcW w:w="2058" w:type="dxa"/>
            <w:shd w:val="clear" w:color="auto" w:fill="auto"/>
            <w:vAlign w:val="center"/>
          </w:tcPr>
          <w:p w14:paraId="3A0F9A7C" w14:textId="77777777" w:rsidR="005639B9" w:rsidRPr="001C7A94" w:rsidRDefault="005639B9" w:rsidP="00EE3FA4">
            <w:pPr>
              <w:pStyle w:val="TableTextDecimalAlign"/>
            </w:pPr>
            <w:r w:rsidRPr="001C7A94">
              <w:t xml:space="preserve">207 </w:t>
            </w:r>
          </w:p>
        </w:tc>
      </w:tr>
    </w:tbl>
    <w:p w14:paraId="1E9B1043" w14:textId="77777777" w:rsidR="005639B9" w:rsidRPr="008A086A" w:rsidRDefault="005639B9" w:rsidP="005639B9">
      <w:pPr>
        <w:pStyle w:val="TableUnderlast"/>
      </w:pPr>
      <w:r w:rsidRPr="008A086A">
        <w:t>Unpublished data (Department of Health).</w:t>
      </w:r>
    </w:p>
    <w:p w14:paraId="3DCBA831" w14:textId="77777777" w:rsidR="00BC209F" w:rsidRPr="00D744EE" w:rsidRDefault="00BC209F" w:rsidP="00700528">
      <w:pPr>
        <w:pStyle w:val="Heading3"/>
      </w:pPr>
      <w:r w:rsidRPr="00D744EE">
        <w:t xml:space="preserve">Observations on data on service usage and geographical variation </w:t>
      </w:r>
    </w:p>
    <w:p w14:paraId="49002F13" w14:textId="77777777" w:rsidR="00BC209F" w:rsidRPr="001C3B56" w:rsidRDefault="00BC209F" w:rsidP="00700528">
      <w:pPr>
        <w:rPr>
          <w:rFonts w:eastAsiaTheme="minorHAnsi"/>
        </w:rPr>
      </w:pPr>
      <w:r w:rsidRPr="003F1FC3">
        <w:t xml:space="preserve">The Committee considered MBS data on service usage by age and gender, </w:t>
      </w:r>
      <w:proofErr w:type="gramStart"/>
      <w:r w:rsidRPr="003F1FC3">
        <w:t>state</w:t>
      </w:r>
      <w:proofErr w:type="gramEnd"/>
      <w:r w:rsidRPr="003F1FC3">
        <w:t xml:space="preserve"> and small geographic area (unadjusted and adjusted for population). Data was also provided on referring provider speciality and patterns of co-claiming of tonsillectomy with other MBS consultation services and procedural services. </w:t>
      </w:r>
    </w:p>
    <w:p w14:paraId="271ACC7D" w14:textId="77777777" w:rsidR="00BC209F" w:rsidRPr="003F1FC3" w:rsidRDefault="00BC209F" w:rsidP="00700528">
      <w:r w:rsidRPr="003F1FC3">
        <w:t xml:space="preserve">The Committee agreed that the data on age breakdown and specialty of referring practitioner were broadly in line with expectations. The ratio of referring practitioners to patients undergoing tonsillectomy was small, indicating there does not appear to be concentrated referral patterns (for example, a small number of practitioners referring </w:t>
      </w:r>
      <w:proofErr w:type="gramStart"/>
      <w:r w:rsidRPr="003F1FC3">
        <w:t>a large number of</w:t>
      </w:r>
      <w:proofErr w:type="gramEnd"/>
      <w:r w:rsidRPr="003F1FC3">
        <w:t xml:space="preserve"> patients).</w:t>
      </w:r>
    </w:p>
    <w:p w14:paraId="4A23900E" w14:textId="77777777" w:rsidR="00BC209F" w:rsidRDefault="00BC209F" w:rsidP="00700528">
      <w:r w:rsidRPr="003F1FC3">
        <w:t>ACS</w:t>
      </w:r>
      <w:r w:rsidR="00A85C44">
        <w:t>Q</w:t>
      </w:r>
      <w:r w:rsidRPr="003F1FC3">
        <w:t>HC analysis (which includes private and public admissions) demonstrated that in 2012</w:t>
      </w:r>
      <w:r w:rsidR="003F50B2">
        <w:t>–</w:t>
      </w:r>
      <w:r w:rsidRPr="003F1FC3">
        <w:t>13 the number of tonsillectomies varied between 254 (Tablelands – Kuranda in QLD) and 1,640 (Glenelg – South Grampians</w:t>
      </w:r>
      <w:r>
        <w:t xml:space="preserve"> in VIC) per 100,000 people aged under 18. Local area analysis of MBS service data showed higher rates per 100,000 people in Central QLD, </w:t>
      </w:r>
      <w:proofErr w:type="gramStart"/>
      <w:r>
        <w:t>Perth</w:t>
      </w:r>
      <w:proofErr w:type="gramEnd"/>
      <w:r>
        <w:t xml:space="preserve"> and Canberra.</w:t>
      </w:r>
    </w:p>
    <w:p w14:paraId="515A4F36" w14:textId="77777777" w:rsidR="00BC209F" w:rsidRPr="00D744EE" w:rsidRDefault="00BC209F" w:rsidP="00FE6728">
      <w:pPr>
        <w:pStyle w:val="Heading4"/>
      </w:pPr>
      <w:r w:rsidRPr="00D744EE">
        <w:t xml:space="preserve">Service rates </w:t>
      </w:r>
      <w:r w:rsidRPr="00681E75">
        <w:t>under</w:t>
      </w:r>
      <w:r w:rsidRPr="00D744EE">
        <w:t xml:space="preserve"> </w:t>
      </w:r>
      <w:proofErr w:type="gramStart"/>
      <w:r w:rsidRPr="00D744EE">
        <w:t>12 year</w:t>
      </w:r>
      <w:proofErr w:type="gramEnd"/>
      <w:r w:rsidRPr="00D744EE">
        <w:t xml:space="preserve"> </w:t>
      </w:r>
      <w:proofErr w:type="spellStart"/>
      <w:r w:rsidRPr="00D744EE">
        <w:t>olds</w:t>
      </w:r>
      <w:proofErr w:type="spellEnd"/>
    </w:p>
    <w:p w14:paraId="109DBA90" w14:textId="77777777" w:rsidR="00BC209F" w:rsidRPr="00AB2BF3" w:rsidRDefault="00BC209F" w:rsidP="008A086A">
      <w:r w:rsidRPr="00AB2BF3">
        <w:t>The Committee noted that the overall rates of tonsillectomy Australia wide is in the order of 0.5 per 100 children. For the major states (in terms of population), rate varies from 0.4/100 to 0.6/100. The incidence of significant OSA</w:t>
      </w:r>
      <w:r w:rsidR="00583DD1">
        <w:t xml:space="preserve"> </w:t>
      </w:r>
      <w:r w:rsidRPr="00AB2BF3">
        <w:t>/</w:t>
      </w:r>
      <w:r w:rsidR="00583DD1">
        <w:t xml:space="preserve"> </w:t>
      </w:r>
      <w:r w:rsidRPr="00AB2BF3">
        <w:t>SDB is in the range of 2-3/100 in the 2</w:t>
      </w:r>
      <w:r w:rsidR="003F50B2">
        <w:t>–</w:t>
      </w:r>
      <w:r w:rsidRPr="00AB2BF3">
        <w:t xml:space="preserve">10 </w:t>
      </w:r>
      <w:r>
        <w:t xml:space="preserve">years </w:t>
      </w:r>
      <w:r w:rsidRPr="00AB2BF3">
        <w:t>age group</w:t>
      </w:r>
      <w:r w:rsidR="00DB280E">
        <w:t>.</w:t>
      </w:r>
      <w:r w:rsidR="00280820" w:rsidRPr="00280820">
        <w:rPr>
          <w:vertAlign w:val="superscript"/>
        </w:rPr>
        <w:t xml:space="preserve"> </w:t>
      </w:r>
      <w:r w:rsidR="00280820">
        <w:rPr>
          <w:vertAlign w:val="superscript"/>
        </w:rPr>
        <w:t>12</w:t>
      </w:r>
      <w:r w:rsidR="005C7108">
        <w:t xml:space="preserve"> </w:t>
      </w:r>
      <w:r w:rsidRPr="00AB2BF3">
        <w:t xml:space="preserve">This data suggests that the number of tonsillectomies performed in this age group is well below that expected and suggests significant under-treatment of OSA/SDB. This has been previously noted in the Joint Position Paper of the Paediatrics &amp; Child Health Division of The Royal Australasian College of Physicians </w:t>
      </w:r>
      <w:r w:rsidR="005A137A">
        <w:t xml:space="preserve">(RACP) </w:t>
      </w:r>
      <w:r w:rsidRPr="00AB2BF3">
        <w:t xml:space="preserve">and The Australian Society of Otolaryngology Head and Neck Surgery </w:t>
      </w:r>
      <w:r w:rsidR="005A137A">
        <w:t>(ASOHNS)</w:t>
      </w:r>
      <w:r w:rsidR="00BA048E">
        <w:t xml:space="preserve"> </w:t>
      </w:r>
      <w:r w:rsidRPr="00AB2BF3">
        <w:t xml:space="preserve">on </w:t>
      </w:r>
      <w:r w:rsidR="005A137A">
        <w:t>“</w:t>
      </w:r>
      <w:r w:rsidRPr="00AB2BF3">
        <w:t>Indications for Tonsillectomy and Adenotonsillectomy</w:t>
      </w:r>
      <w:r w:rsidR="005A137A">
        <w:t>”</w:t>
      </w:r>
      <w:r w:rsidRPr="00AB2BF3">
        <w:t xml:space="preserve"> in 2008</w:t>
      </w:r>
      <w:r>
        <w:t xml:space="preserve"> which indicated that</w:t>
      </w:r>
      <w:r w:rsidRPr="00AB2BF3">
        <w:t xml:space="preserve"> possibly as few as </w:t>
      </w:r>
      <w:r>
        <w:t>one</w:t>
      </w:r>
      <w:r w:rsidRPr="00AB2BF3">
        <w:t xml:space="preserve"> in </w:t>
      </w:r>
      <w:r>
        <w:t>seven</w:t>
      </w:r>
      <w:r w:rsidRPr="00AB2BF3">
        <w:t xml:space="preserve"> patients requiring </w:t>
      </w:r>
      <w:r>
        <w:t xml:space="preserve">tonsillectomy or adenotonsillectomy </w:t>
      </w:r>
      <w:r w:rsidRPr="00AB2BF3">
        <w:t>for OSA/SDB were actually receiving it</w:t>
      </w:r>
      <w:r w:rsidR="00DB280E">
        <w:t>.</w:t>
      </w:r>
      <w:r w:rsidR="005C7108" w:rsidRPr="005C7108">
        <w:rPr>
          <w:vertAlign w:val="superscript"/>
        </w:rPr>
        <w:t>1</w:t>
      </w:r>
      <w:r w:rsidR="00280820">
        <w:rPr>
          <w:vertAlign w:val="superscript"/>
        </w:rPr>
        <w:t>3</w:t>
      </w:r>
    </w:p>
    <w:p w14:paraId="0E0AE807" w14:textId="77777777" w:rsidR="00BC209F" w:rsidRPr="00AB2BF3" w:rsidRDefault="00BC209F" w:rsidP="008A086A">
      <w:r w:rsidRPr="00AB2BF3">
        <w:lastRenderedPageBreak/>
        <w:t>It was noted that even in the local area with the highest rate of MBS tonsillectomy (Glenelg- Grampians in Vic: 1.6 per 100 children under 12</w:t>
      </w:r>
      <w:r>
        <w:t xml:space="preserve"> years</w:t>
      </w:r>
      <w:r w:rsidRPr="00AB2BF3">
        <w:t xml:space="preserve">) there is likely under-treatment of OSA/SDB, </w:t>
      </w:r>
      <w:r w:rsidR="002173A6">
        <w:t xml:space="preserve">even </w:t>
      </w:r>
      <w:r w:rsidRPr="00AB2BF3">
        <w:t>if it is assumed that all of these procedures were done for OSA/SDB.</w:t>
      </w:r>
    </w:p>
    <w:p w14:paraId="5374137B" w14:textId="77777777" w:rsidR="00BC209F" w:rsidRPr="0077389C" w:rsidRDefault="00BC209F" w:rsidP="008A086A">
      <w:pPr>
        <w:rPr>
          <w:highlight w:val="yellow"/>
        </w:rPr>
      </w:pPr>
      <w:r w:rsidRPr="00AB2BF3">
        <w:t xml:space="preserve">There may be </w:t>
      </w:r>
      <w:proofErr w:type="gramStart"/>
      <w:r w:rsidRPr="00AB2BF3">
        <w:t>a number of</w:t>
      </w:r>
      <w:proofErr w:type="gramEnd"/>
      <w:r w:rsidRPr="00AB2BF3">
        <w:t xml:space="preserve"> causes for this low rate of treatment for which research would be </w:t>
      </w:r>
      <w:r w:rsidRPr="002F1AE6">
        <w:t xml:space="preserve">warranted. Given the </w:t>
      </w:r>
      <w:proofErr w:type="gramStart"/>
      <w:r w:rsidRPr="002F1AE6">
        <w:t>referral based</w:t>
      </w:r>
      <w:proofErr w:type="gramEnd"/>
      <w:r w:rsidRPr="002F1AE6">
        <w:t xml:space="preserve"> MBS system, </w:t>
      </w:r>
      <w:r w:rsidR="00583DD1">
        <w:t xml:space="preserve">under </w:t>
      </w:r>
      <w:r w:rsidRPr="002F1AE6">
        <w:t xml:space="preserve">education </w:t>
      </w:r>
      <w:r>
        <w:t xml:space="preserve">of </w:t>
      </w:r>
      <w:r w:rsidRPr="002F1AE6">
        <w:t>GPs regarding OSA/SDB as an indication for tonsillectomy</w:t>
      </w:r>
      <w:r>
        <w:t xml:space="preserve"> may</w:t>
      </w:r>
      <w:r w:rsidRPr="002F1AE6">
        <w:t xml:space="preserve"> be a possible cause of potential underutilisation for these indications.</w:t>
      </w:r>
    </w:p>
    <w:p w14:paraId="271C45B4" w14:textId="77777777" w:rsidR="00BC209F" w:rsidRPr="00D744EE" w:rsidRDefault="00BC209F" w:rsidP="00FE6728">
      <w:pPr>
        <w:pStyle w:val="Heading4"/>
      </w:pPr>
      <w:r w:rsidRPr="00D744EE">
        <w:t xml:space="preserve">Service </w:t>
      </w:r>
      <w:r w:rsidRPr="00681E75">
        <w:t>rates</w:t>
      </w:r>
      <w:r w:rsidRPr="00D744EE">
        <w:t xml:space="preserve"> over 12 years of age</w:t>
      </w:r>
    </w:p>
    <w:p w14:paraId="02AAD313" w14:textId="77777777" w:rsidR="00BC209F" w:rsidRPr="002F1AE6" w:rsidRDefault="00BC209F" w:rsidP="008A086A">
      <w:r w:rsidRPr="002F1AE6">
        <w:t>In patients over 12 years of age the rates of tonsillectomy are substantially less (0.06 per 100 people aged over 12) with the highest rates in teenagers (0.2 per 100 people aged 13</w:t>
      </w:r>
      <w:r w:rsidR="003F50B2">
        <w:t>–</w:t>
      </w:r>
      <w:r w:rsidRPr="002F1AE6">
        <w:t>19 years old. It c</w:t>
      </w:r>
      <w:r w:rsidR="002173A6">
        <w:t>an</w:t>
      </w:r>
      <w:r w:rsidRPr="002F1AE6">
        <w:t xml:space="preserve"> be assumed that unlike the under 12 years group, most of these are for recurrent infection</w:t>
      </w:r>
      <w:r w:rsidR="002173A6">
        <w:t>.</w:t>
      </w:r>
      <w:r w:rsidR="007736E8">
        <w:t xml:space="preserve"> </w:t>
      </w:r>
      <w:r w:rsidR="002173A6">
        <w:t>T</w:t>
      </w:r>
      <w:r w:rsidRPr="002F1AE6">
        <w:t xml:space="preserve">he service rate is very comparable to other similar countries (including both USA </w:t>
      </w:r>
      <w:r w:rsidR="00DB280E">
        <w:t>and</w:t>
      </w:r>
      <w:r w:rsidRPr="002F1AE6">
        <w:t xml:space="preserve"> European countries).</w:t>
      </w:r>
    </w:p>
    <w:p w14:paraId="6E703AB8" w14:textId="77777777" w:rsidR="00BC209F" w:rsidRPr="00D744EE" w:rsidRDefault="00BC209F" w:rsidP="00FE6728">
      <w:pPr>
        <w:pStyle w:val="Heading4"/>
      </w:pPr>
      <w:r w:rsidRPr="00681E75">
        <w:t>Geographical</w:t>
      </w:r>
      <w:r w:rsidRPr="00D744EE">
        <w:t xml:space="preserve"> variation</w:t>
      </w:r>
    </w:p>
    <w:p w14:paraId="6289953D" w14:textId="77777777" w:rsidR="00BC209F" w:rsidRDefault="00BC209F" w:rsidP="008A086A">
      <w:r>
        <w:t>The Committee noted the geographical variation in tonsillectomy rates, however from the data presented it was of the view that the reason for the geographical variation cannot be determined. Several possible explanations or influences on geographical variation were discussed, including:</w:t>
      </w:r>
    </w:p>
    <w:p w14:paraId="532F2165" w14:textId="77777777" w:rsidR="00BC209F" w:rsidRPr="00BC2064" w:rsidRDefault="00BC209F" w:rsidP="008A086A">
      <w:pPr>
        <w:pStyle w:val="NormalBulleted"/>
      </w:pPr>
      <w:r w:rsidRPr="00BC2064">
        <w:t xml:space="preserve">Availability of an ENT specialist and practitioners who provide </w:t>
      </w:r>
      <w:r w:rsidR="008A086A">
        <w:t>paediatric anaesthetic services</w:t>
      </w:r>
    </w:p>
    <w:p w14:paraId="52211088" w14:textId="77777777" w:rsidR="00BC209F" w:rsidRPr="003F1FC3" w:rsidRDefault="00BC209F" w:rsidP="008A086A">
      <w:pPr>
        <w:pStyle w:val="NormalBulleted"/>
      </w:pPr>
      <w:r w:rsidRPr="003F1FC3">
        <w:t>So</w:t>
      </w:r>
      <w:r w:rsidR="008A086A">
        <w:t>cioeconomic status of the areas</w:t>
      </w:r>
    </w:p>
    <w:p w14:paraId="59842060" w14:textId="77777777" w:rsidR="00BC209F" w:rsidRDefault="00BC209F" w:rsidP="008A086A">
      <w:pPr>
        <w:pStyle w:val="NormalBulleted"/>
      </w:pPr>
      <w:r w:rsidRPr="003F1FC3">
        <w:t>The possibility that some of the variation could be that clinical guidelines or recommended practice is not being consistentl</w:t>
      </w:r>
      <w:r w:rsidR="008A086A">
        <w:t>y interpreted by some providers</w:t>
      </w:r>
    </w:p>
    <w:p w14:paraId="3CDADD17" w14:textId="77777777" w:rsidR="002173A6" w:rsidRPr="003F1FC3" w:rsidRDefault="002173A6" w:rsidP="008A086A">
      <w:pPr>
        <w:pStyle w:val="NormalBulleted"/>
      </w:pPr>
      <w:r>
        <w:t>Varying patterns of referral by GPs</w:t>
      </w:r>
    </w:p>
    <w:p w14:paraId="33608982" w14:textId="77777777" w:rsidR="00BC209F" w:rsidRDefault="00BC209F" w:rsidP="008A086A">
      <w:r>
        <w:t>There was acknowledgement that there is no way to validate these explanations using the available data.</w:t>
      </w:r>
    </w:p>
    <w:p w14:paraId="19880503" w14:textId="77777777" w:rsidR="00BC209F" w:rsidRDefault="00BC209F" w:rsidP="008A086A">
      <w:r>
        <w:t xml:space="preserve">In general, the majority view of the Committee was that from the data presented, there was no strong evidence that the services were being rendered inappropriately. </w:t>
      </w:r>
    </w:p>
    <w:p w14:paraId="12351431" w14:textId="77777777" w:rsidR="00BC209F" w:rsidRPr="00D744EE" w:rsidRDefault="00BC209F" w:rsidP="00700528">
      <w:pPr>
        <w:pStyle w:val="Heading3"/>
      </w:pPr>
      <w:r w:rsidRPr="00D744EE">
        <w:t xml:space="preserve">Structure of the items </w:t>
      </w:r>
    </w:p>
    <w:p w14:paraId="195455F3" w14:textId="77777777" w:rsidR="00BC209F" w:rsidRDefault="00BC209F" w:rsidP="008A086A">
      <w:r>
        <w:t xml:space="preserve">There are currently separate items for tonsillectomies on patients under 12 years (with a lower </w:t>
      </w:r>
      <w:r w:rsidR="005A137A">
        <w:t>S</w:t>
      </w:r>
      <w:r>
        <w:t>chedule fee) and for patients over 12 years. The Committee noted that this item structure is weighted for the increased complexity of performing the service on older patients and reflects the possibility of higher complication rates in this population.</w:t>
      </w:r>
    </w:p>
    <w:p w14:paraId="5371FCF4" w14:textId="77777777" w:rsidR="00BC209F" w:rsidRPr="00D744EE" w:rsidRDefault="00BC209F" w:rsidP="00700528">
      <w:pPr>
        <w:pStyle w:val="Heading3"/>
      </w:pPr>
      <w:r w:rsidRPr="00D744EE">
        <w:t>Patient indications</w:t>
      </w:r>
    </w:p>
    <w:p w14:paraId="570206E3" w14:textId="77777777" w:rsidR="00BC209F" w:rsidRDefault="00BC209F" w:rsidP="008A086A">
      <w:r>
        <w:t xml:space="preserve">The view of the Committee was that tonsillectomy is a valuable clinical service, appropriate for funding through the MBS, when provided to patients with </w:t>
      </w:r>
      <w:proofErr w:type="gramStart"/>
      <w:r>
        <w:t>particular indications</w:t>
      </w:r>
      <w:proofErr w:type="gramEnd"/>
      <w:r>
        <w:t>. There was a majority view that the patient indications for tonsillectomy are well-known by practitioners who perform the services.</w:t>
      </w:r>
    </w:p>
    <w:p w14:paraId="03CF2209" w14:textId="77777777" w:rsidR="00BC209F" w:rsidRDefault="00BC209F" w:rsidP="008A086A">
      <w:r>
        <w:lastRenderedPageBreak/>
        <w:t xml:space="preserve">The Committee noted that the Joint Position Paper of the Paediatrics &amp; Child Health Division of </w:t>
      </w:r>
      <w:r w:rsidR="002173A6">
        <w:t>The Royal Australasian College of Physicians (</w:t>
      </w:r>
      <w:r w:rsidR="005A137A">
        <w:t>RACP</w:t>
      </w:r>
      <w:r w:rsidR="002173A6">
        <w:t>)</w:t>
      </w:r>
      <w:r w:rsidR="005A137A">
        <w:t xml:space="preserve"> </w:t>
      </w:r>
      <w:r>
        <w:t xml:space="preserve">and </w:t>
      </w:r>
      <w:r w:rsidR="002173A6">
        <w:t>The Australian Society of Otolaryngology Head and Neck Surgery (</w:t>
      </w:r>
      <w:r w:rsidR="005A137A">
        <w:t>ASOHNS</w:t>
      </w:r>
      <w:r w:rsidR="002173A6">
        <w:t>)</w:t>
      </w:r>
      <w:r>
        <w:t xml:space="preserve"> on “Indications for Tonsillectomy and Adenotonsillectomy” is a comprehensive, contemporary and locally relevant evidence based report on indications for tonsillectomy and adenotonsillectomy.</w:t>
      </w:r>
    </w:p>
    <w:p w14:paraId="3C597881" w14:textId="77777777" w:rsidR="00BC209F" w:rsidRDefault="00BC209F" w:rsidP="008A086A">
      <w:r>
        <w:t xml:space="preserve">The Committee recommends that specialists and GPs review the recommendations in this paper for use of these procedures and as an aid to decision making in children with disorders related to tonsils and adenoids, with special attention to the role of tonsils and adenoids in </w:t>
      </w:r>
      <w:r w:rsidR="005A137A">
        <w:t>SDB</w:t>
      </w:r>
      <w:r>
        <w:t>.</w:t>
      </w:r>
    </w:p>
    <w:p w14:paraId="4F70C068" w14:textId="77777777" w:rsidR="00BC209F" w:rsidRDefault="00BC209F" w:rsidP="008A086A">
      <w:r>
        <w:t>Further to this, the diagnostic criteria presented by Paradise</w:t>
      </w:r>
      <w:r w:rsidR="005C7108">
        <w:rPr>
          <w:vertAlign w:val="superscript"/>
        </w:rPr>
        <w:t>1</w:t>
      </w:r>
      <w:r w:rsidR="00401176">
        <w:rPr>
          <w:vertAlign w:val="superscript"/>
        </w:rPr>
        <w:t>4</w:t>
      </w:r>
      <w:r w:rsidR="00DB280E">
        <w:t xml:space="preserve"> </w:t>
      </w:r>
      <w:r>
        <w:t>provide a useful guide in determining significant infective events when assessing recurrent acute tonsillitis — sore throat plus at least one of the following features:</w:t>
      </w:r>
    </w:p>
    <w:p w14:paraId="339243ED" w14:textId="77777777" w:rsidR="00BC209F" w:rsidRPr="003F1FC3" w:rsidRDefault="00BC209F" w:rsidP="008A086A">
      <w:pPr>
        <w:pStyle w:val="NormalBulleted"/>
      </w:pPr>
      <w:r w:rsidRPr="003F1FC3">
        <w:t>Temperature &gt; 38.3</w:t>
      </w:r>
    </w:p>
    <w:p w14:paraId="0D44B564" w14:textId="77777777" w:rsidR="00BC209F" w:rsidRPr="003F1FC3" w:rsidRDefault="00BC209F" w:rsidP="008A086A">
      <w:pPr>
        <w:pStyle w:val="NormalBulleted"/>
      </w:pPr>
      <w:r w:rsidRPr="003F1FC3">
        <w:t>Cervical adenopathy (tender lymph nodes or lymph node size greater than 2 cm)</w:t>
      </w:r>
    </w:p>
    <w:p w14:paraId="1FEF6C16" w14:textId="77777777" w:rsidR="00BC209F" w:rsidRPr="003F1FC3" w:rsidRDefault="00DB280E" w:rsidP="008A086A">
      <w:pPr>
        <w:pStyle w:val="NormalBulleted"/>
      </w:pPr>
      <w:r>
        <w:t>T</w:t>
      </w:r>
      <w:r w:rsidR="00BC209F" w:rsidRPr="003F1FC3">
        <w:t>onsillar exudate</w:t>
      </w:r>
    </w:p>
    <w:p w14:paraId="3F1248A8" w14:textId="77777777" w:rsidR="00BC209F" w:rsidRPr="003F1FC3" w:rsidRDefault="00DB280E" w:rsidP="008A086A">
      <w:pPr>
        <w:pStyle w:val="NormalBulleted"/>
      </w:pPr>
      <w:r>
        <w:t>C</w:t>
      </w:r>
      <w:r w:rsidR="00BC209F" w:rsidRPr="003F1FC3">
        <w:t>ulture positive for group A B-haemolytic streptococcus</w:t>
      </w:r>
      <w:r>
        <w:t>.</w:t>
      </w:r>
    </w:p>
    <w:p w14:paraId="3B7A2581" w14:textId="77777777" w:rsidR="00BC209F" w:rsidRDefault="00BC209F" w:rsidP="008A086A">
      <w:r>
        <w:t>Clinicians should keep in mind that throat swabs are neither sensitive nor specific for serologically confirmed infection.</w:t>
      </w:r>
    </w:p>
    <w:p w14:paraId="57FDA2D9" w14:textId="77777777" w:rsidR="00BC209F" w:rsidRDefault="00BC209F" w:rsidP="008A086A">
      <w:r>
        <w:t xml:space="preserve">The Committee noted that the </w:t>
      </w:r>
      <w:r w:rsidR="005A137A">
        <w:t>ASOHNS</w:t>
      </w:r>
      <w:r>
        <w:t xml:space="preserve"> is in the process of developing data collection tools for the more common ENT procedures, including tonsillectomy. This data may ultimately provide useful information regarding referral patterns and indications for tonsillectomy.</w:t>
      </w:r>
    </w:p>
    <w:p w14:paraId="385D48A2" w14:textId="77777777" w:rsidR="00BC209F" w:rsidRDefault="00BC209F" w:rsidP="008A086A">
      <w:r>
        <w:t xml:space="preserve">The Committee considered whether the items should be amended to include patient indications for the service. The majority view of the Committee was that there was no strong evidence to justify amending the item descriptors to include patient indications. </w:t>
      </w:r>
    </w:p>
    <w:p w14:paraId="6DB8349B" w14:textId="77777777" w:rsidR="00BC209F" w:rsidRDefault="00BC209F" w:rsidP="008A086A">
      <w:r>
        <w:t>The majority view of the Committee was that including patient indications was not appropriate as:</w:t>
      </w:r>
    </w:p>
    <w:p w14:paraId="4EC722A2" w14:textId="77777777" w:rsidR="00BC209F" w:rsidRPr="003F1FC3" w:rsidRDefault="00BC209F" w:rsidP="008A086A">
      <w:pPr>
        <w:pStyle w:val="NormalBulleted"/>
      </w:pPr>
      <w:r w:rsidRPr="003F1FC3">
        <w:t xml:space="preserve">The list of indications would make the item descriptor </w:t>
      </w:r>
      <w:r>
        <w:t>lengthy</w:t>
      </w:r>
      <w:r w:rsidRPr="003F1FC3">
        <w:t xml:space="preserve"> and complex.</w:t>
      </w:r>
    </w:p>
    <w:p w14:paraId="4888724C" w14:textId="77777777" w:rsidR="00BC209F" w:rsidRPr="003F1FC3" w:rsidRDefault="00BC209F" w:rsidP="008A086A">
      <w:pPr>
        <w:pStyle w:val="NormalBulleted"/>
      </w:pPr>
      <w:r w:rsidRPr="003F1FC3">
        <w:t>It would unnecessarily restrict practitioners from exercising their clinical judgement</w:t>
      </w:r>
      <w:r>
        <w:t xml:space="preserve"> as it</w:t>
      </w:r>
      <w:r w:rsidRPr="003F1FC3">
        <w:t xml:space="preserve"> w</w:t>
      </w:r>
      <w:r>
        <w:t>ould</w:t>
      </w:r>
      <w:r w:rsidRPr="003F1FC3">
        <w:t xml:space="preserve"> not be possible to include all the circumstances where the procedure should be performed. There will always be exceptional circumstances where the service should be provided to a patient. If this circumstance is not listed in the descriptor,</w:t>
      </w:r>
      <w:r>
        <w:t xml:space="preserve"> then the practitioner would be</w:t>
      </w:r>
      <w:r w:rsidRPr="003F1FC3">
        <w:t xml:space="preserve"> unable to provide a service that could benefit the patient and the patient would be unable to receive </w:t>
      </w:r>
      <w:proofErr w:type="gramStart"/>
      <w:r w:rsidRPr="003F1FC3">
        <w:t>a</w:t>
      </w:r>
      <w:proofErr w:type="gramEnd"/>
      <w:r w:rsidRPr="003F1FC3">
        <w:t xml:space="preserve"> M</w:t>
      </w:r>
      <w:r>
        <w:t>BS</w:t>
      </w:r>
      <w:r w:rsidRPr="003F1FC3">
        <w:t xml:space="preserve"> rebate for the service. </w:t>
      </w:r>
    </w:p>
    <w:p w14:paraId="3595B875" w14:textId="77777777" w:rsidR="00BC209F" w:rsidRPr="003F1FC3" w:rsidRDefault="00BC209F" w:rsidP="008A086A">
      <w:pPr>
        <w:pStyle w:val="NormalBulleted"/>
      </w:pPr>
      <w:r w:rsidRPr="003F1FC3">
        <w:t>The list of indications would not address the under-utilisation for indications relating to OSA/SBD.</w:t>
      </w:r>
    </w:p>
    <w:p w14:paraId="4BD23B18" w14:textId="77777777" w:rsidR="00BC209F" w:rsidRPr="003F1FC3" w:rsidRDefault="00BC209F" w:rsidP="008A086A">
      <w:pPr>
        <w:pStyle w:val="NormalBulleted"/>
      </w:pPr>
      <w:r w:rsidRPr="003F1FC3">
        <w:t xml:space="preserve">Providing guidance on appropriate practice </w:t>
      </w:r>
      <w:proofErr w:type="gramStart"/>
      <w:r w:rsidRPr="003F1FC3">
        <w:t>was seen as</w:t>
      </w:r>
      <w:proofErr w:type="gramEnd"/>
      <w:r w:rsidRPr="003F1FC3">
        <w:t xml:space="preserve"> an education/continuing professional development matter, rather than a matter that should be addressed through MBS.</w:t>
      </w:r>
    </w:p>
    <w:p w14:paraId="5B31D259" w14:textId="77777777" w:rsidR="00BC209F" w:rsidRPr="008A086A" w:rsidRDefault="00BC209F" w:rsidP="00700528">
      <w:pPr>
        <w:pStyle w:val="Heading3"/>
      </w:pPr>
      <w:r w:rsidRPr="008A086A">
        <w:lastRenderedPageBreak/>
        <w:t xml:space="preserve">Claiming patterns, including co-claiming of other MBS services </w:t>
      </w:r>
    </w:p>
    <w:p w14:paraId="215F76E0" w14:textId="77777777" w:rsidR="00BC209F" w:rsidRDefault="00BC209F" w:rsidP="008A086A">
      <w:r>
        <w:t xml:space="preserve">The Committee was presented with data on other MBS items (including consultation and procedural services) claimed on the same day, by the same practitioner, for the same patient who underwent the tonsillectomy. </w:t>
      </w:r>
    </w:p>
    <w:p w14:paraId="66604158" w14:textId="77777777" w:rsidR="00BC209F" w:rsidRPr="008C1F1F" w:rsidRDefault="00BC209F" w:rsidP="008A086A">
      <w:r w:rsidRPr="008C1F1F">
        <w:t>The data show that tonsillectomy was the only MBS item claimed on around 40 per cent of occasions</w:t>
      </w:r>
      <w:r w:rsidR="00DB280E">
        <w:t xml:space="preserve"> (</w:t>
      </w:r>
      <w:r w:rsidR="00DB280E" w:rsidRPr="008A020E">
        <w:t>a</w:t>
      </w:r>
      <w:r w:rsidR="00DB280E" w:rsidRPr="00226A36">
        <w:t>n occasion is defined as any episode where a tonsillectomy was perf</w:t>
      </w:r>
      <w:r w:rsidR="00DB280E" w:rsidRPr="008A020E">
        <w:t>ormed</w:t>
      </w:r>
      <w:r w:rsidR="00DB280E" w:rsidRPr="00681E75">
        <w:t xml:space="preserve">). </w:t>
      </w:r>
      <w:r w:rsidRPr="008C1F1F">
        <w:t>Other commonly, co-claimed items include:</w:t>
      </w:r>
    </w:p>
    <w:p w14:paraId="15B7C23C" w14:textId="77777777" w:rsidR="00BC209F" w:rsidRPr="003F1FC3" w:rsidRDefault="008A086A" w:rsidP="008A086A">
      <w:pPr>
        <w:pStyle w:val="NormalBulleted"/>
      </w:pPr>
      <w:r w:rsidRPr="008A086A">
        <w:rPr>
          <w:b/>
        </w:rPr>
        <w:t>41632</w:t>
      </w:r>
      <w:r>
        <w:t xml:space="preserve"> – I</w:t>
      </w:r>
      <w:r w:rsidR="00BC209F" w:rsidRPr="003F1FC3">
        <w:t>nsertion of grommet</w:t>
      </w:r>
      <w:r>
        <w:t xml:space="preserve"> (</w:t>
      </w:r>
      <w:r w:rsidR="00BC209F" w:rsidRPr="003F1FC3">
        <w:t>around 21 per cent of occasions for the item for tonsil</w:t>
      </w:r>
      <w:r>
        <w:t xml:space="preserve">lectomy for under </w:t>
      </w:r>
      <w:proofErr w:type="gramStart"/>
      <w:r>
        <w:t>12 year</w:t>
      </w:r>
      <w:proofErr w:type="gramEnd"/>
      <w:r>
        <w:t xml:space="preserve"> </w:t>
      </w:r>
      <w:proofErr w:type="spellStart"/>
      <w:r>
        <w:t>olds</w:t>
      </w:r>
      <w:proofErr w:type="spellEnd"/>
      <w:r>
        <w:t>)</w:t>
      </w:r>
    </w:p>
    <w:p w14:paraId="45A3358A" w14:textId="77777777" w:rsidR="00BC209F" w:rsidRPr="003F1FC3" w:rsidRDefault="008A086A" w:rsidP="008A086A">
      <w:pPr>
        <w:pStyle w:val="NormalBulleted"/>
      </w:pPr>
      <w:r w:rsidRPr="008A086A">
        <w:rPr>
          <w:b/>
        </w:rPr>
        <w:t>41764</w:t>
      </w:r>
      <w:r>
        <w:t xml:space="preserve"> – </w:t>
      </w:r>
      <w:proofErr w:type="spellStart"/>
      <w:r>
        <w:t>N</w:t>
      </w:r>
      <w:r w:rsidR="00BC209F" w:rsidRPr="003F1FC3">
        <w:t>asendoscopic</w:t>
      </w:r>
      <w:proofErr w:type="spellEnd"/>
      <w:r w:rsidR="00BC209F" w:rsidRPr="003F1FC3">
        <w:t xml:space="preserve"> examination of the nasopharynx or larynx</w:t>
      </w:r>
      <w:r>
        <w:t xml:space="preserve"> (around 16 per cent of occasions)</w:t>
      </w:r>
    </w:p>
    <w:p w14:paraId="2149BC63" w14:textId="77777777" w:rsidR="00BC209F" w:rsidRPr="003F1FC3" w:rsidRDefault="008A086A" w:rsidP="008A086A">
      <w:pPr>
        <w:pStyle w:val="NormalBulleted"/>
      </w:pPr>
      <w:r w:rsidRPr="008A086A">
        <w:rPr>
          <w:b/>
        </w:rPr>
        <w:t>18246</w:t>
      </w:r>
      <w:r>
        <w:t xml:space="preserve"> – G</w:t>
      </w:r>
      <w:r w:rsidR="00BC209F" w:rsidRPr="003F1FC3">
        <w:t>lossopharyngeal nerve, injection of an anaesthetic agent</w:t>
      </w:r>
      <w:r>
        <w:t xml:space="preserve"> (around 12 per cent of occasions)</w:t>
      </w:r>
    </w:p>
    <w:p w14:paraId="24CCDFDC" w14:textId="77777777" w:rsidR="00BC209F" w:rsidRPr="003F1FC3" w:rsidRDefault="00BC209F" w:rsidP="008A086A">
      <w:pPr>
        <w:pStyle w:val="NormalBulleted"/>
      </w:pPr>
      <w:r w:rsidRPr="008A086A">
        <w:rPr>
          <w:b/>
        </w:rPr>
        <w:t>41761</w:t>
      </w:r>
      <w:r w:rsidR="008A086A">
        <w:t xml:space="preserve"> – D</w:t>
      </w:r>
      <w:r w:rsidRPr="003F1FC3">
        <w:t xml:space="preserve">irect examination of the </w:t>
      </w:r>
      <w:proofErr w:type="gramStart"/>
      <w:r w:rsidRPr="003F1FC3">
        <w:t>post nasal</w:t>
      </w:r>
      <w:proofErr w:type="gramEnd"/>
      <w:r w:rsidRPr="003F1FC3">
        <w:t xml:space="preserve"> space</w:t>
      </w:r>
      <w:r w:rsidR="008A086A">
        <w:t xml:space="preserve"> (</w:t>
      </w:r>
      <w:r w:rsidRPr="003F1FC3">
        <w:t>around 6 per cent of occasions</w:t>
      </w:r>
      <w:r w:rsidR="008A086A">
        <w:t>)</w:t>
      </w:r>
    </w:p>
    <w:p w14:paraId="62B4AFBF" w14:textId="77777777" w:rsidR="00BC209F" w:rsidRDefault="00BC209F" w:rsidP="008A086A">
      <w:r>
        <w:t>The Committee w</w:t>
      </w:r>
      <w:r w:rsidR="00DB280E">
        <w:t>as</w:t>
      </w:r>
      <w:r>
        <w:t xml:space="preserve"> of the view that the service of tonsillectomy should include any examination of the </w:t>
      </w:r>
      <w:proofErr w:type="gramStart"/>
      <w:r>
        <w:t>post nasal</w:t>
      </w:r>
      <w:proofErr w:type="gramEnd"/>
      <w:r>
        <w:t xml:space="preserve"> space and infiltration of local anaesthetic as part of the procedure.</w:t>
      </w:r>
    </w:p>
    <w:p w14:paraId="48C70E66" w14:textId="77777777" w:rsidR="00BC209F" w:rsidRPr="008A086A" w:rsidRDefault="006431E5" w:rsidP="00700528">
      <w:pPr>
        <w:pStyle w:val="Rec"/>
      </w:pPr>
      <w:bookmarkStart w:id="53" w:name="_Toc485723855"/>
      <w:bookmarkStart w:id="54" w:name="_Toc457053422"/>
      <w:r>
        <w:t>T</w:t>
      </w:r>
      <w:r w:rsidR="00BC209F" w:rsidRPr="008A086A">
        <w:t>onsillectomy</w:t>
      </w:r>
      <w:bookmarkEnd w:id="53"/>
      <w:r w:rsidR="00BC209F" w:rsidRPr="008A086A">
        <w:t xml:space="preserve"> </w:t>
      </w:r>
      <w:bookmarkEnd w:id="54"/>
    </w:p>
    <w:p w14:paraId="17803AFF" w14:textId="77777777" w:rsidR="00BC209F" w:rsidRPr="001C3B56" w:rsidRDefault="00BC209F" w:rsidP="00700528">
      <w:pPr>
        <w:rPr>
          <w:rFonts w:eastAsiaTheme="minorHAnsi"/>
        </w:rPr>
      </w:pPr>
      <w:r w:rsidRPr="00E41DFA">
        <w:t>The Committee recommends th</w:t>
      </w:r>
      <w:r>
        <w:t>e following in relation to the MBS items for tonsillectomy and arrest of haemorrhage:</w:t>
      </w:r>
    </w:p>
    <w:p w14:paraId="2D63F73E" w14:textId="77777777" w:rsidR="00E27461" w:rsidRPr="007736E8" w:rsidRDefault="00BC209F" w:rsidP="00681E75">
      <w:pPr>
        <w:pStyle w:val="NormalBulleted"/>
      </w:pPr>
      <w:r w:rsidRPr="003F1FC3">
        <w:t xml:space="preserve">The </w:t>
      </w:r>
      <w:r w:rsidRPr="00FE6728">
        <w:t xml:space="preserve">item descriptors for tonsillectomy should be amended to clarify that the </w:t>
      </w:r>
      <w:r w:rsidR="00E46FA3" w:rsidRPr="00FE6728">
        <w:t>item</w:t>
      </w:r>
      <w:r w:rsidRPr="007E1A59">
        <w:t xml:space="preserve"> includes examination of the </w:t>
      </w:r>
      <w:proofErr w:type="gramStart"/>
      <w:r w:rsidRPr="007E1A59">
        <w:t>post nasal</w:t>
      </w:r>
      <w:proofErr w:type="gramEnd"/>
      <w:r w:rsidRPr="007E1A59">
        <w:t xml:space="preserve"> spac</w:t>
      </w:r>
      <w:r w:rsidR="00E27461" w:rsidRPr="00A03057">
        <w:t>e</w:t>
      </w:r>
      <w:r w:rsidR="00910896" w:rsidRPr="007E27AB">
        <w:t xml:space="preserve"> and</w:t>
      </w:r>
      <w:r w:rsidRPr="00725F6C">
        <w:t xml:space="preserve"> infiltration of lo</w:t>
      </w:r>
      <w:r w:rsidRPr="00BA6D5D">
        <w:t>cal anaesthetic</w:t>
      </w:r>
      <w:r w:rsidR="00E27461" w:rsidRPr="00BA6D5D">
        <w:t>;</w:t>
      </w:r>
      <w:r w:rsidRPr="00BA6D5D">
        <w:t xml:space="preserve"> </w:t>
      </w:r>
    </w:p>
    <w:p w14:paraId="6F10DE9C" w14:textId="77777777" w:rsidR="00D12A40" w:rsidRPr="003F1FC3" w:rsidRDefault="002424EB" w:rsidP="00681E75">
      <w:pPr>
        <w:pStyle w:val="NormalBulleted"/>
      </w:pPr>
      <w:r w:rsidRPr="007736E8">
        <w:t>T</w:t>
      </w:r>
      <w:r w:rsidR="00BC209F" w:rsidRPr="007736E8">
        <w:t>hat restrictions</w:t>
      </w:r>
      <w:r w:rsidR="00BC209F" w:rsidRPr="003F1FC3">
        <w:t xml:space="preserve"> be </w:t>
      </w:r>
      <w:r>
        <w:t>introduced</w:t>
      </w:r>
      <w:r w:rsidR="00BC209F" w:rsidRPr="003F1FC3">
        <w:t xml:space="preserve"> to prevent co</w:t>
      </w:r>
      <w:r w:rsidR="002173A6">
        <w:t xml:space="preserve"> -</w:t>
      </w:r>
      <w:r w:rsidR="00E46FA3">
        <w:t xml:space="preserve"> </w:t>
      </w:r>
      <w:r w:rsidR="00BC209F" w:rsidRPr="003F1FC3">
        <w:t>claiming of tonsillectomy with item 41764.</w:t>
      </w:r>
    </w:p>
    <w:p w14:paraId="753905BF" w14:textId="77777777" w:rsidR="00BC209F" w:rsidRPr="003F1FC3" w:rsidRDefault="00BC209F" w:rsidP="006058ED">
      <w:pPr>
        <w:pStyle w:val="NormalBulleted"/>
      </w:pPr>
      <w:r w:rsidRPr="003F1FC3">
        <w:t xml:space="preserve">The age distinction for services provided to under </w:t>
      </w:r>
      <w:proofErr w:type="gramStart"/>
      <w:r w:rsidRPr="003F1FC3">
        <w:t>12 year</w:t>
      </w:r>
      <w:proofErr w:type="gramEnd"/>
      <w:r w:rsidRPr="003F1FC3">
        <w:t xml:space="preserve"> </w:t>
      </w:r>
      <w:proofErr w:type="spellStart"/>
      <w:r w:rsidRPr="003F1FC3">
        <w:t>olds</w:t>
      </w:r>
      <w:proofErr w:type="spellEnd"/>
      <w:r w:rsidRPr="003F1FC3">
        <w:t xml:space="preserve"> and over 12 year </w:t>
      </w:r>
      <w:proofErr w:type="spellStart"/>
      <w:r w:rsidRPr="003F1FC3">
        <w:t>olds</w:t>
      </w:r>
      <w:proofErr w:type="spellEnd"/>
      <w:r w:rsidRPr="003F1FC3">
        <w:t xml:space="preserve"> should be retained in the item descriptors for tonsillectomy.</w:t>
      </w:r>
    </w:p>
    <w:p w14:paraId="279E72FD" w14:textId="77777777" w:rsidR="00BC209F" w:rsidRDefault="00BC209F" w:rsidP="006058ED">
      <w:pPr>
        <w:pStyle w:val="NormalBulleted"/>
      </w:pPr>
      <w:r w:rsidRPr="003F1FC3">
        <w:t xml:space="preserve">Further work looking at the reasons for geographical variation for tonsillectomy services is warranted in the future. </w:t>
      </w:r>
    </w:p>
    <w:p w14:paraId="04AE1E78" w14:textId="77777777" w:rsidR="00EE3FA4" w:rsidRDefault="00BC209F" w:rsidP="006058ED">
      <w:pPr>
        <w:pStyle w:val="NormalBulleted"/>
        <w:rPr>
          <w:noProof/>
          <w:lang w:val="en-US"/>
        </w:rPr>
      </w:pPr>
      <w:r>
        <w:rPr>
          <w:noProof/>
          <w:lang w:val="en-US"/>
        </w:rPr>
        <w:t>No change to the item 41796 for arrest of haemorrhage (other than removal of the fee differential between GPs and specialists).</w:t>
      </w:r>
      <w:r w:rsidR="00EE3FA4">
        <w:rPr>
          <w:noProof/>
          <w:lang w:val="en-US"/>
        </w:rPr>
        <w:br w:type="page"/>
      </w:r>
    </w:p>
    <w:p w14:paraId="26D38ACE" w14:textId="77777777" w:rsidR="00BC209F" w:rsidRPr="006C228B" w:rsidRDefault="006058ED" w:rsidP="00743224">
      <w:pPr>
        <w:pStyle w:val="Caption"/>
      </w:pPr>
      <w:r w:rsidRPr="006C228B">
        <w:lastRenderedPageBreak/>
        <w:t xml:space="preserve">Table </w:t>
      </w:r>
      <w:r w:rsidR="00EE0FEF">
        <w:t>8</w:t>
      </w:r>
      <w:r w:rsidRPr="006C228B">
        <w:t>:</w:t>
      </w:r>
      <w:r w:rsidRPr="006C228B">
        <w:tab/>
      </w:r>
      <w:r w:rsidR="000C2D92" w:rsidRPr="006C228B">
        <w:t xml:space="preserve">Proposed changes to the item descriptors </w:t>
      </w:r>
    </w:p>
    <w:tbl>
      <w:tblPr>
        <w:tblStyle w:val="TableGrid"/>
        <w:tblW w:w="0" w:type="auto"/>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9 provides item number, current descriptor and proposed new descriptors for cauterisation."/>
      </w:tblPr>
      <w:tblGrid>
        <w:gridCol w:w="1051"/>
        <w:gridCol w:w="3770"/>
        <w:gridCol w:w="4097"/>
      </w:tblGrid>
      <w:tr w:rsidR="00D2488B" w:rsidRPr="00855FDA" w14:paraId="4337FED7" w14:textId="77777777" w:rsidTr="00F513A6">
        <w:trPr>
          <w:tblHeader/>
        </w:trPr>
        <w:tc>
          <w:tcPr>
            <w:tcW w:w="1063" w:type="dxa"/>
          </w:tcPr>
          <w:p w14:paraId="1C80D6EE" w14:textId="77777777" w:rsidR="00D2488B" w:rsidRPr="006058ED" w:rsidRDefault="00D2488B" w:rsidP="00EE3FA4">
            <w:pPr>
              <w:pStyle w:val="Tableheading"/>
              <w:rPr>
                <w:szCs w:val="22"/>
                <w:lang w:val="en-US"/>
              </w:rPr>
            </w:pPr>
            <w:r w:rsidRPr="006058ED">
              <w:rPr>
                <w:lang w:val="en-US"/>
              </w:rPr>
              <w:t>Item</w:t>
            </w:r>
            <w:r>
              <w:rPr>
                <w:lang w:val="en-US"/>
              </w:rPr>
              <w:t>*</w:t>
            </w:r>
          </w:p>
        </w:tc>
        <w:tc>
          <w:tcPr>
            <w:tcW w:w="3869" w:type="dxa"/>
          </w:tcPr>
          <w:p w14:paraId="15C236FD" w14:textId="77777777" w:rsidR="00D2488B" w:rsidRPr="00855FDA" w:rsidRDefault="00D2488B" w:rsidP="00EE3FA4">
            <w:pPr>
              <w:pStyle w:val="Tableheading"/>
              <w:rPr>
                <w:szCs w:val="22"/>
                <w:lang w:val="en-US"/>
              </w:rPr>
            </w:pPr>
            <w:r w:rsidRPr="002378DB">
              <w:rPr>
                <w:lang w:val="en-US"/>
              </w:rPr>
              <w:t>Current Item Descriptor</w:t>
            </w:r>
          </w:p>
        </w:tc>
        <w:tc>
          <w:tcPr>
            <w:tcW w:w="4202" w:type="dxa"/>
          </w:tcPr>
          <w:p w14:paraId="56C4492C" w14:textId="77777777" w:rsidR="00D2488B" w:rsidRPr="00855FDA" w:rsidRDefault="00D2488B" w:rsidP="00EE3FA4">
            <w:pPr>
              <w:pStyle w:val="Tableheading"/>
              <w:rPr>
                <w:szCs w:val="22"/>
                <w:lang w:val="en-US"/>
              </w:rPr>
            </w:pPr>
            <w:r w:rsidRPr="002378DB">
              <w:rPr>
                <w:lang w:val="en-US"/>
              </w:rPr>
              <w:t xml:space="preserve">Proposed </w:t>
            </w:r>
            <w:r>
              <w:rPr>
                <w:lang w:val="en-US"/>
              </w:rPr>
              <w:t>N</w:t>
            </w:r>
            <w:r w:rsidRPr="002378DB">
              <w:rPr>
                <w:lang w:val="en-US"/>
              </w:rPr>
              <w:t>ew Item Descriptor</w:t>
            </w:r>
          </w:p>
        </w:tc>
      </w:tr>
      <w:tr w:rsidR="00BC209F" w:rsidRPr="00855FDA" w14:paraId="566DBA71" w14:textId="77777777" w:rsidTr="00D2488B">
        <w:tc>
          <w:tcPr>
            <w:tcW w:w="1063" w:type="dxa"/>
          </w:tcPr>
          <w:p w14:paraId="5638607C" w14:textId="77777777" w:rsidR="00BC209F" w:rsidRPr="006058ED" w:rsidRDefault="00BC209F" w:rsidP="00EE3FA4">
            <w:pPr>
              <w:pStyle w:val="Tabletext"/>
              <w:rPr>
                <w:lang w:val="en-US"/>
              </w:rPr>
            </w:pPr>
            <w:r w:rsidRPr="006058ED">
              <w:rPr>
                <w:lang w:val="en-US"/>
              </w:rPr>
              <w:t>41788 G</w:t>
            </w:r>
            <w:r w:rsidR="00D2488B">
              <w:rPr>
                <w:lang w:val="en-US"/>
              </w:rPr>
              <w:t xml:space="preserve">, </w:t>
            </w:r>
            <w:r w:rsidRPr="006058ED">
              <w:rPr>
                <w:lang w:val="en-US"/>
              </w:rPr>
              <w:t>41789 S</w:t>
            </w:r>
          </w:p>
        </w:tc>
        <w:tc>
          <w:tcPr>
            <w:tcW w:w="3869" w:type="dxa"/>
          </w:tcPr>
          <w:p w14:paraId="4BDA61D8" w14:textId="77777777" w:rsidR="00BC209F" w:rsidRPr="00855FDA" w:rsidRDefault="00BC209F" w:rsidP="00EE3FA4">
            <w:pPr>
              <w:pStyle w:val="Tabletext"/>
              <w:rPr>
                <w:lang w:val="en-US"/>
              </w:rPr>
            </w:pPr>
            <w:r w:rsidRPr="00855FDA">
              <w:rPr>
                <w:lang w:val="en-US"/>
              </w:rPr>
              <w:t>Tonsils or tonsils and adenoids, removal of, in a person aged less than 12 years (</w:t>
            </w:r>
            <w:proofErr w:type="spellStart"/>
            <w:r w:rsidRPr="00855FDA">
              <w:rPr>
                <w:lang w:val="en-US"/>
              </w:rPr>
              <w:t>Anaes</w:t>
            </w:r>
            <w:proofErr w:type="spellEnd"/>
            <w:r w:rsidRPr="00855FDA">
              <w:rPr>
                <w:lang w:val="en-US"/>
              </w:rPr>
              <w:t xml:space="preserve">.) </w:t>
            </w:r>
          </w:p>
        </w:tc>
        <w:tc>
          <w:tcPr>
            <w:tcW w:w="4202" w:type="dxa"/>
          </w:tcPr>
          <w:p w14:paraId="13E86B6C" w14:textId="77777777" w:rsidR="00BC209F" w:rsidRPr="00855FDA" w:rsidRDefault="00BC209F" w:rsidP="00EE3FA4">
            <w:pPr>
              <w:pStyle w:val="Tabletext"/>
              <w:rPr>
                <w:lang w:val="en-US"/>
              </w:rPr>
            </w:pPr>
            <w:r w:rsidRPr="00855FDA">
              <w:rPr>
                <w:lang w:val="en-US"/>
              </w:rPr>
              <w:t xml:space="preserve">Tonsils or tonsils and adenoids, removal of, in a person aged less than 12 years, </w:t>
            </w:r>
            <w:r w:rsidRPr="003873E6">
              <w:rPr>
                <w:u w:val="single"/>
                <w:lang w:val="en-US"/>
              </w:rPr>
              <w:t>including any examination of the postnasal space</w:t>
            </w:r>
            <w:r w:rsidR="00BA7FCC">
              <w:rPr>
                <w:u w:val="single"/>
                <w:lang w:val="en-US"/>
              </w:rPr>
              <w:t xml:space="preserve"> </w:t>
            </w:r>
            <w:r w:rsidRPr="003873E6">
              <w:rPr>
                <w:u w:val="single"/>
                <w:lang w:val="en-US"/>
              </w:rPr>
              <w:t xml:space="preserve">and </w:t>
            </w:r>
            <w:r w:rsidR="001406C1">
              <w:rPr>
                <w:u w:val="single"/>
                <w:lang w:val="en-US"/>
              </w:rPr>
              <w:t xml:space="preserve">nasopharynx and </w:t>
            </w:r>
            <w:r w:rsidRPr="003873E6">
              <w:rPr>
                <w:u w:val="single"/>
                <w:lang w:val="en-US"/>
              </w:rPr>
              <w:t xml:space="preserve">infiltration of local </w:t>
            </w:r>
            <w:proofErr w:type="spellStart"/>
            <w:r w:rsidRPr="003873E6">
              <w:rPr>
                <w:u w:val="single"/>
                <w:lang w:val="en-US"/>
              </w:rPr>
              <w:t>anaesthetic</w:t>
            </w:r>
            <w:proofErr w:type="spellEnd"/>
            <w:r w:rsidRPr="003873E6">
              <w:rPr>
                <w:u w:val="single"/>
                <w:lang w:val="en-US"/>
              </w:rPr>
              <w:t>; not being a service associated with item 41764</w:t>
            </w:r>
            <w:r w:rsidRPr="00C90254">
              <w:rPr>
                <w:u w:val="single"/>
                <w:lang w:val="en-US"/>
              </w:rPr>
              <w:t xml:space="preserve"> </w:t>
            </w:r>
            <w:r w:rsidRPr="00855FDA">
              <w:rPr>
                <w:lang w:val="en-US"/>
              </w:rPr>
              <w:t>(</w:t>
            </w:r>
            <w:proofErr w:type="spellStart"/>
            <w:r w:rsidRPr="00855FDA">
              <w:rPr>
                <w:lang w:val="en-US"/>
              </w:rPr>
              <w:t>Anaes</w:t>
            </w:r>
            <w:proofErr w:type="spellEnd"/>
            <w:r w:rsidRPr="00855FDA">
              <w:rPr>
                <w:lang w:val="en-US"/>
              </w:rPr>
              <w:t>.)</w:t>
            </w:r>
            <w:r w:rsidR="007736E8">
              <w:rPr>
                <w:lang w:val="en-US"/>
              </w:rPr>
              <w:t xml:space="preserve"> </w:t>
            </w:r>
          </w:p>
        </w:tc>
      </w:tr>
      <w:tr w:rsidR="00BC209F" w:rsidRPr="00CB799E" w14:paraId="77AE137D" w14:textId="77777777" w:rsidTr="00D2488B">
        <w:tc>
          <w:tcPr>
            <w:tcW w:w="1063" w:type="dxa"/>
          </w:tcPr>
          <w:p w14:paraId="4A966155" w14:textId="77777777" w:rsidR="00BC209F" w:rsidRPr="006058ED" w:rsidRDefault="00BC209F" w:rsidP="00EE3FA4">
            <w:pPr>
              <w:pStyle w:val="Tabletext"/>
              <w:rPr>
                <w:lang w:val="en-US"/>
              </w:rPr>
            </w:pPr>
            <w:r w:rsidRPr="006058ED">
              <w:rPr>
                <w:lang w:val="en-US"/>
              </w:rPr>
              <w:t>41792 G</w:t>
            </w:r>
            <w:r w:rsidR="00D2488B">
              <w:rPr>
                <w:lang w:val="en-US"/>
              </w:rPr>
              <w:t xml:space="preserve">, </w:t>
            </w:r>
            <w:r w:rsidRPr="006058ED">
              <w:rPr>
                <w:lang w:val="en-US"/>
              </w:rPr>
              <w:t>41793 S</w:t>
            </w:r>
          </w:p>
        </w:tc>
        <w:tc>
          <w:tcPr>
            <w:tcW w:w="3869" w:type="dxa"/>
          </w:tcPr>
          <w:p w14:paraId="0620E362" w14:textId="77777777" w:rsidR="00BC209F" w:rsidRPr="000B7651" w:rsidRDefault="00BC209F" w:rsidP="00EE3FA4">
            <w:pPr>
              <w:pStyle w:val="Tabletext"/>
              <w:rPr>
                <w:lang w:val="en-US"/>
              </w:rPr>
            </w:pPr>
            <w:r w:rsidRPr="00461B19">
              <w:rPr>
                <w:lang w:val="en-US"/>
              </w:rPr>
              <w:t>Tonsils or tonsils and adenoids, removal of, in a person 12 years of age or over (</w:t>
            </w:r>
            <w:proofErr w:type="spellStart"/>
            <w:r w:rsidRPr="00461B19">
              <w:rPr>
                <w:lang w:val="en-US"/>
              </w:rPr>
              <w:t>Anaes</w:t>
            </w:r>
            <w:proofErr w:type="spellEnd"/>
            <w:r w:rsidRPr="00461B19">
              <w:rPr>
                <w:lang w:val="en-US"/>
              </w:rPr>
              <w:t>.)</w:t>
            </w:r>
          </w:p>
        </w:tc>
        <w:tc>
          <w:tcPr>
            <w:tcW w:w="4202" w:type="dxa"/>
          </w:tcPr>
          <w:p w14:paraId="36BFD07D" w14:textId="77777777" w:rsidR="00BC209F" w:rsidRPr="00855FDA" w:rsidRDefault="00BC209F" w:rsidP="00EE3FA4">
            <w:pPr>
              <w:pStyle w:val="Tabletext"/>
              <w:rPr>
                <w:rFonts w:cs="Arial"/>
                <w:color w:val="000000"/>
              </w:rPr>
            </w:pPr>
            <w:r w:rsidRPr="000C0845">
              <w:t xml:space="preserve">Tonsils or tonsils and adenoids, removal of, in a person 12 years of age or over, </w:t>
            </w:r>
            <w:r w:rsidRPr="000C0845">
              <w:rPr>
                <w:u w:val="single"/>
              </w:rPr>
              <w:t>including any examination of the postnasal space</w:t>
            </w:r>
            <w:r w:rsidR="00BA7FCC" w:rsidRPr="000C0845">
              <w:rPr>
                <w:u w:val="single"/>
              </w:rPr>
              <w:t xml:space="preserve"> </w:t>
            </w:r>
            <w:r w:rsidRPr="000C0845">
              <w:rPr>
                <w:u w:val="single"/>
              </w:rPr>
              <w:t xml:space="preserve">and </w:t>
            </w:r>
            <w:r w:rsidR="001406C1">
              <w:rPr>
                <w:u w:val="single"/>
                <w:lang w:val="en-US"/>
              </w:rPr>
              <w:t xml:space="preserve">nasopharynx and </w:t>
            </w:r>
            <w:r w:rsidRPr="000C0845">
              <w:rPr>
                <w:u w:val="single"/>
              </w:rPr>
              <w:t>infiltration of local anaesthetic; not being a service associated with item 41764</w:t>
            </w:r>
            <w:r w:rsidRPr="000C0845">
              <w:t xml:space="preserve"> (</w:t>
            </w:r>
            <w:proofErr w:type="spellStart"/>
            <w:r w:rsidRPr="000C0845">
              <w:t>Anaes</w:t>
            </w:r>
            <w:proofErr w:type="spellEnd"/>
            <w:r w:rsidRPr="000C0845">
              <w:t>.)</w:t>
            </w:r>
          </w:p>
        </w:tc>
      </w:tr>
    </w:tbl>
    <w:p w14:paraId="6C2E9892" w14:textId="77777777" w:rsidR="006058ED" w:rsidRPr="006058ED" w:rsidRDefault="006058ED" w:rsidP="00681E75">
      <w:pPr>
        <w:pStyle w:val="TableUnderlast"/>
      </w:pPr>
      <w:r w:rsidRPr="006058ED">
        <w:t xml:space="preserve">* </w:t>
      </w:r>
      <w:r w:rsidR="00910896">
        <w:t>G means serv</w:t>
      </w:r>
      <w:r w:rsidR="00E60228">
        <w:t>ice by GP.</w:t>
      </w:r>
      <w:r w:rsidR="007736E8">
        <w:t xml:space="preserve"> </w:t>
      </w:r>
      <w:r w:rsidR="00E60228">
        <w:t>S means service by s</w:t>
      </w:r>
      <w:r w:rsidR="00910896">
        <w:t>pecialist. **</w:t>
      </w:r>
      <w:r w:rsidRPr="006058ED">
        <w:t xml:space="preserve">New text </w:t>
      </w:r>
      <w:r w:rsidRPr="006058ED">
        <w:rPr>
          <w:u w:val="single"/>
        </w:rPr>
        <w:t>underlined</w:t>
      </w:r>
      <w:r w:rsidRPr="006058ED">
        <w:t>.</w:t>
      </w:r>
    </w:p>
    <w:p w14:paraId="52A0041C" w14:textId="77777777" w:rsidR="005C3B1A" w:rsidRPr="00700528" w:rsidRDefault="005C3B1A" w:rsidP="00681E75">
      <w:pPr>
        <w:pStyle w:val="Heading2"/>
      </w:pPr>
      <w:bookmarkStart w:id="55" w:name="_Toc457053423"/>
      <w:proofErr w:type="spellStart"/>
      <w:r w:rsidRPr="00FE6728">
        <w:t>Cauterisation</w:t>
      </w:r>
      <w:proofErr w:type="spellEnd"/>
      <w:r w:rsidRPr="00700528">
        <w:t xml:space="preserve"> by chemical means or diathermy of</w:t>
      </w:r>
      <w:r w:rsidR="00776CB7">
        <w:t xml:space="preserve"> septum, </w:t>
      </w:r>
      <w:proofErr w:type="spellStart"/>
      <w:proofErr w:type="gramStart"/>
      <w:r w:rsidR="00776CB7">
        <w:t>turbinates</w:t>
      </w:r>
      <w:proofErr w:type="spellEnd"/>
      <w:proofErr w:type="gramEnd"/>
      <w:r w:rsidR="00776CB7">
        <w:t xml:space="preserve"> or pharynx i</w:t>
      </w:r>
      <w:r w:rsidRPr="00700528">
        <w:t xml:space="preserve">tems </w:t>
      </w:r>
      <w:bookmarkEnd w:id="55"/>
    </w:p>
    <w:p w14:paraId="5FCA95BD" w14:textId="77777777" w:rsidR="005C3B1A" w:rsidRPr="000C2D92" w:rsidRDefault="005C3B1A" w:rsidP="00681E75">
      <w:pPr>
        <w:pStyle w:val="Heading3"/>
      </w:pPr>
      <w:r w:rsidRPr="000C2D92">
        <w:t xml:space="preserve">Items </w:t>
      </w:r>
      <w:r w:rsidRPr="00FE6728">
        <w:t>considered</w:t>
      </w:r>
      <w:r w:rsidRPr="000C2D92">
        <w:t xml:space="preserve"> in the section</w:t>
      </w:r>
    </w:p>
    <w:p w14:paraId="79DF5F41" w14:textId="77777777" w:rsidR="005C3B1A" w:rsidRDefault="005C3B1A" w:rsidP="004C1D40">
      <w:pPr>
        <w:rPr>
          <w:lang w:val="en-US" w:eastAsia="en-US"/>
        </w:rPr>
      </w:pPr>
      <w:r>
        <w:rPr>
          <w:lang w:val="en-US" w:eastAsia="en-US"/>
        </w:rPr>
        <w:t>One item is</w:t>
      </w:r>
      <w:r w:rsidRPr="003F1FC3">
        <w:rPr>
          <w:lang w:val="en-US" w:eastAsia="en-US"/>
        </w:rPr>
        <w:t xml:space="preserve"> considered in this section</w:t>
      </w:r>
      <w:r>
        <w:rPr>
          <w:lang w:val="en-US" w:eastAsia="en-US"/>
        </w:rPr>
        <w:t>:</w:t>
      </w:r>
    </w:p>
    <w:p w14:paraId="09563A86" w14:textId="77777777" w:rsidR="006058ED" w:rsidRDefault="005C3B1A" w:rsidP="00681E75">
      <w:pPr>
        <w:pStyle w:val="NormalBulleted"/>
      </w:pPr>
      <w:r w:rsidRPr="0082217D">
        <w:rPr>
          <w:b/>
        </w:rPr>
        <w:t>416</w:t>
      </w:r>
      <w:r>
        <w:rPr>
          <w:b/>
        </w:rPr>
        <w:t>74</w:t>
      </w:r>
      <w:r>
        <w:t xml:space="preserve"> </w:t>
      </w:r>
      <w:r>
        <w:rPr>
          <w:b/>
          <w:bCs/>
          <w:i/>
          <w:iCs/>
          <w:color w:val="auto"/>
        </w:rPr>
        <w:t xml:space="preserve">– </w:t>
      </w:r>
      <w:r w:rsidRPr="00FE6728">
        <w:t>C</w:t>
      </w:r>
      <w:r w:rsidR="00BC209F" w:rsidRPr="00681E75">
        <w:t>auterisation</w:t>
      </w:r>
      <w:r w:rsidR="00BC209F" w:rsidRPr="005C3B1A">
        <w:rPr>
          <w:lang w:val="en-US"/>
        </w:rPr>
        <w:t xml:space="preserve"> by chemical means or diathermy of septum, </w:t>
      </w:r>
      <w:proofErr w:type="spellStart"/>
      <w:proofErr w:type="gramStart"/>
      <w:r w:rsidR="00BC209F" w:rsidRPr="005C3B1A">
        <w:rPr>
          <w:lang w:val="en-US"/>
        </w:rPr>
        <w:t>turbinates</w:t>
      </w:r>
      <w:proofErr w:type="spellEnd"/>
      <w:proofErr w:type="gramEnd"/>
      <w:r w:rsidR="00BC209F" w:rsidRPr="005C3B1A">
        <w:rPr>
          <w:lang w:val="en-US"/>
        </w:rPr>
        <w:t xml:space="preserve"> or pharynx</w:t>
      </w:r>
      <w:r w:rsidR="00BC209F">
        <w:t>.</w:t>
      </w:r>
      <w:r w:rsidR="007736E8">
        <w:t xml:space="preserve"> </w:t>
      </w:r>
    </w:p>
    <w:p w14:paraId="4C0FEE89" w14:textId="77777777" w:rsidR="006058ED" w:rsidRPr="00422EC8" w:rsidRDefault="006058ED" w:rsidP="00422EC8">
      <w:pPr>
        <w:pStyle w:val="Rec"/>
      </w:pPr>
      <w:bookmarkStart w:id="56" w:name="_Toc457053424"/>
      <w:bookmarkStart w:id="57" w:name="_Toc485723856"/>
      <w:r w:rsidRPr="00422EC8">
        <w:t>Cauterisation</w:t>
      </w:r>
      <w:bookmarkEnd w:id="56"/>
      <w:bookmarkEnd w:id="57"/>
    </w:p>
    <w:p w14:paraId="1A3EDF07" w14:textId="77777777" w:rsidR="00EE0FEF" w:rsidRDefault="00BC209F" w:rsidP="00681E75">
      <w:r>
        <w:t xml:space="preserve">The Committee recommends that </w:t>
      </w:r>
      <w:r w:rsidR="005C3B1A">
        <w:t xml:space="preserve">a minor amendment be made to </w:t>
      </w:r>
      <w:r>
        <w:t xml:space="preserve">item 41674 to remove coverage for </w:t>
      </w:r>
      <w:r w:rsidRPr="00700528">
        <w:t xml:space="preserve">cauterisation of the pharynx as this </w:t>
      </w:r>
      <w:r w:rsidRPr="00AA632A">
        <w:t>procedure is not considered to be appropriate clinical practice.</w:t>
      </w:r>
      <w:r w:rsidR="007736E8" w:rsidRPr="00AA632A">
        <w:t xml:space="preserve"> </w:t>
      </w:r>
      <w:r w:rsidRPr="00AA632A">
        <w:t xml:space="preserve">Table </w:t>
      </w:r>
      <w:r w:rsidR="00EE0FEF" w:rsidRPr="00AA632A">
        <w:t>9</w:t>
      </w:r>
      <w:r w:rsidR="001C3B56" w:rsidRPr="00AA632A">
        <w:t xml:space="preserve"> </w:t>
      </w:r>
      <w:r w:rsidRPr="00AA632A">
        <w:t>outlines the proposed changes to the item descriptors to enact the recommendations of the Clinical Committee.</w:t>
      </w:r>
      <w:r w:rsidR="00EE0FEF">
        <w:br w:type="page"/>
      </w:r>
    </w:p>
    <w:p w14:paraId="78FEE08A" w14:textId="77777777" w:rsidR="00BC209F" w:rsidRPr="00AA632A" w:rsidRDefault="000C2D92" w:rsidP="00AA632A">
      <w:pPr>
        <w:pStyle w:val="Caption"/>
      </w:pPr>
      <w:r w:rsidRPr="00AA632A">
        <w:lastRenderedPageBreak/>
        <w:t xml:space="preserve">Table </w:t>
      </w:r>
      <w:r w:rsidR="00EE0FEF" w:rsidRPr="00AA632A">
        <w:t>9</w:t>
      </w:r>
      <w:r w:rsidRPr="00AA632A">
        <w:t>:</w:t>
      </w:r>
      <w:r w:rsidRPr="00AA632A">
        <w:tab/>
        <w:t>Proposed changes to the item descriptor</w:t>
      </w:r>
    </w:p>
    <w:tbl>
      <w:tblPr>
        <w:tblStyle w:val="TableGrid"/>
        <w:tblW w:w="0" w:type="auto"/>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9 provides cauterisation item descriptors and proposed changes to the descriptors."/>
      </w:tblPr>
      <w:tblGrid>
        <w:gridCol w:w="1048"/>
        <w:gridCol w:w="3935"/>
        <w:gridCol w:w="3935"/>
      </w:tblGrid>
      <w:tr w:rsidR="00BC209F" w:rsidRPr="00CB799E" w14:paraId="77740029" w14:textId="77777777" w:rsidTr="00776CB7">
        <w:trPr>
          <w:tblHeader/>
        </w:trPr>
        <w:tc>
          <w:tcPr>
            <w:tcW w:w="1060" w:type="dxa"/>
          </w:tcPr>
          <w:p w14:paraId="64F8F588" w14:textId="77777777" w:rsidR="00BC209F" w:rsidRPr="002378DB" w:rsidRDefault="00BC209F" w:rsidP="001C3B56">
            <w:pPr>
              <w:pStyle w:val="Tableheading"/>
              <w:rPr>
                <w:lang w:val="en-US"/>
              </w:rPr>
            </w:pPr>
            <w:r>
              <w:rPr>
                <w:lang w:val="en-US"/>
              </w:rPr>
              <w:t>Item</w:t>
            </w:r>
          </w:p>
        </w:tc>
        <w:tc>
          <w:tcPr>
            <w:tcW w:w="4037" w:type="dxa"/>
          </w:tcPr>
          <w:p w14:paraId="3DF055B9" w14:textId="77777777" w:rsidR="00BC209F" w:rsidRPr="002378DB" w:rsidRDefault="00BC209F" w:rsidP="001C3B56">
            <w:pPr>
              <w:pStyle w:val="Tableheading"/>
              <w:rPr>
                <w:lang w:val="en-US"/>
              </w:rPr>
            </w:pPr>
            <w:r w:rsidRPr="002378DB">
              <w:rPr>
                <w:lang w:val="en-US"/>
              </w:rPr>
              <w:t>Current Descriptor</w:t>
            </w:r>
          </w:p>
        </w:tc>
        <w:tc>
          <w:tcPr>
            <w:tcW w:w="4037" w:type="dxa"/>
          </w:tcPr>
          <w:p w14:paraId="48156296" w14:textId="77777777" w:rsidR="00BC209F" w:rsidRPr="002378DB" w:rsidRDefault="00BC209F" w:rsidP="001C3B56">
            <w:pPr>
              <w:pStyle w:val="Tableheading"/>
              <w:rPr>
                <w:lang w:val="en-US"/>
              </w:rPr>
            </w:pPr>
            <w:r w:rsidRPr="002378DB">
              <w:rPr>
                <w:lang w:val="en-US"/>
              </w:rPr>
              <w:t xml:space="preserve">Proposed </w:t>
            </w:r>
            <w:r>
              <w:rPr>
                <w:lang w:val="en-US"/>
              </w:rPr>
              <w:t>N</w:t>
            </w:r>
            <w:r w:rsidRPr="002378DB">
              <w:rPr>
                <w:lang w:val="en-US"/>
              </w:rPr>
              <w:t>ew Descriptor</w:t>
            </w:r>
            <w:r>
              <w:rPr>
                <w:lang w:val="en-US"/>
              </w:rPr>
              <w:t>*</w:t>
            </w:r>
          </w:p>
        </w:tc>
      </w:tr>
      <w:tr w:rsidR="00BC209F" w:rsidRPr="00CB799E" w14:paraId="61864EE9" w14:textId="77777777" w:rsidTr="00226A36">
        <w:tc>
          <w:tcPr>
            <w:tcW w:w="1060" w:type="dxa"/>
          </w:tcPr>
          <w:p w14:paraId="383725C6" w14:textId="77777777" w:rsidR="00BC209F" w:rsidRPr="000B7651" w:rsidRDefault="00BC209F" w:rsidP="002923D1">
            <w:pPr>
              <w:pStyle w:val="Tabletext"/>
              <w:rPr>
                <w:lang w:val="en-US"/>
              </w:rPr>
            </w:pPr>
            <w:r>
              <w:rPr>
                <w:lang w:val="en-US"/>
              </w:rPr>
              <w:t>41674</w:t>
            </w:r>
          </w:p>
        </w:tc>
        <w:tc>
          <w:tcPr>
            <w:tcW w:w="4037" w:type="dxa"/>
          </w:tcPr>
          <w:p w14:paraId="36B0E097" w14:textId="77777777" w:rsidR="00BC209F" w:rsidRPr="008B7E72" w:rsidRDefault="00BC209F" w:rsidP="002923D1">
            <w:pPr>
              <w:pStyle w:val="Tabletext"/>
              <w:rPr>
                <w:lang w:val="en-US"/>
              </w:rPr>
            </w:pPr>
            <w:r w:rsidRPr="00AA632A">
              <w:t>Cauterisation (other than by chemical</w:t>
            </w:r>
            <w:r w:rsidRPr="00DA5B06">
              <w:rPr>
                <w:lang w:val="en-US"/>
              </w:rPr>
              <w:t xml:space="preserve"> means) or </w:t>
            </w:r>
            <w:proofErr w:type="spellStart"/>
            <w:r w:rsidRPr="00DA5B06">
              <w:rPr>
                <w:lang w:val="en-US"/>
              </w:rPr>
              <w:t>cauterisation</w:t>
            </w:r>
            <w:proofErr w:type="spellEnd"/>
            <w:r w:rsidRPr="00DA5B06">
              <w:rPr>
                <w:lang w:val="en-US"/>
              </w:rPr>
              <w:t xml:space="preserve"> by chemical means when performed under general </w:t>
            </w:r>
            <w:proofErr w:type="spellStart"/>
            <w:r w:rsidRPr="00DA5B06">
              <w:rPr>
                <w:lang w:val="en-US"/>
              </w:rPr>
              <w:t>anaesthesia</w:t>
            </w:r>
            <w:proofErr w:type="spellEnd"/>
            <w:r w:rsidRPr="00DA5B06">
              <w:rPr>
                <w:lang w:val="en-US"/>
              </w:rPr>
              <w:t xml:space="preserve"> or diathermy of septum, </w:t>
            </w:r>
            <w:proofErr w:type="spellStart"/>
            <w:r w:rsidRPr="00DA5B06">
              <w:rPr>
                <w:lang w:val="en-US"/>
              </w:rPr>
              <w:t>turbinates</w:t>
            </w:r>
            <w:proofErr w:type="spellEnd"/>
            <w:r w:rsidRPr="00DA5B06">
              <w:rPr>
                <w:lang w:val="en-US"/>
              </w:rPr>
              <w:t xml:space="preserve"> or pharynx - 1 or more of these procedures (including any consultation on the same occasion) not being a service associated with any other operation on the nose (</w:t>
            </w:r>
            <w:proofErr w:type="spellStart"/>
            <w:r w:rsidRPr="00DA5B06">
              <w:rPr>
                <w:lang w:val="en-US"/>
              </w:rPr>
              <w:t>Anaes</w:t>
            </w:r>
            <w:proofErr w:type="spellEnd"/>
            <w:r w:rsidRPr="00DA5B06">
              <w:rPr>
                <w:lang w:val="en-US"/>
              </w:rPr>
              <w:t>.)</w:t>
            </w:r>
          </w:p>
        </w:tc>
        <w:tc>
          <w:tcPr>
            <w:tcW w:w="4037" w:type="dxa"/>
          </w:tcPr>
          <w:p w14:paraId="3AA4DB85" w14:textId="77777777" w:rsidR="00BC209F" w:rsidRPr="00683497" w:rsidRDefault="00BC209F" w:rsidP="002923D1">
            <w:pPr>
              <w:pStyle w:val="Tabletext"/>
              <w:rPr>
                <w:lang w:val="en-US"/>
              </w:rPr>
            </w:pPr>
            <w:proofErr w:type="spellStart"/>
            <w:r>
              <w:rPr>
                <w:lang w:val="en-US"/>
              </w:rPr>
              <w:t>C</w:t>
            </w:r>
            <w:r w:rsidRPr="000B7651">
              <w:rPr>
                <w:lang w:val="en-US"/>
              </w:rPr>
              <w:t>auterisation</w:t>
            </w:r>
            <w:proofErr w:type="spellEnd"/>
            <w:r w:rsidRPr="000B7651">
              <w:rPr>
                <w:lang w:val="en-US"/>
              </w:rPr>
              <w:t xml:space="preserve"> (other than by chemical means) or </w:t>
            </w:r>
            <w:proofErr w:type="spellStart"/>
            <w:r w:rsidRPr="000B7651">
              <w:rPr>
                <w:lang w:val="en-US"/>
              </w:rPr>
              <w:t>cauterisation</w:t>
            </w:r>
            <w:proofErr w:type="spellEnd"/>
            <w:r w:rsidRPr="000B7651">
              <w:rPr>
                <w:lang w:val="en-US"/>
              </w:rPr>
              <w:t xml:space="preserve"> by chemical means when performed under general </w:t>
            </w:r>
            <w:proofErr w:type="spellStart"/>
            <w:r w:rsidRPr="000B7651">
              <w:rPr>
                <w:lang w:val="en-US"/>
              </w:rPr>
              <w:t>anaesthesia</w:t>
            </w:r>
            <w:proofErr w:type="spellEnd"/>
            <w:r w:rsidRPr="000B7651">
              <w:rPr>
                <w:lang w:val="en-US"/>
              </w:rPr>
              <w:t xml:space="preserve"> or diathermy of septum, </w:t>
            </w:r>
            <w:proofErr w:type="spellStart"/>
            <w:r w:rsidRPr="000B7651">
              <w:rPr>
                <w:lang w:val="en-US"/>
              </w:rPr>
              <w:t>turbinates</w:t>
            </w:r>
            <w:proofErr w:type="spellEnd"/>
            <w:r w:rsidRPr="000B7651">
              <w:rPr>
                <w:lang w:val="en-US"/>
              </w:rPr>
              <w:t xml:space="preserve"> </w:t>
            </w:r>
            <w:r w:rsidRPr="003873E6">
              <w:rPr>
                <w:strike/>
                <w:lang w:val="en-US"/>
              </w:rPr>
              <w:t>or pharynx</w:t>
            </w:r>
            <w:r w:rsidRPr="000B7651">
              <w:rPr>
                <w:lang w:val="en-US"/>
              </w:rPr>
              <w:t xml:space="preserve"> - 1 or more of these procedures (including any consultation on the same occasion) not being a service associated with any other</w:t>
            </w:r>
            <w:r>
              <w:rPr>
                <w:lang w:val="en-US"/>
              </w:rPr>
              <w:t xml:space="preserve"> operation on the nose (</w:t>
            </w:r>
            <w:proofErr w:type="spellStart"/>
            <w:r>
              <w:rPr>
                <w:lang w:val="en-US"/>
              </w:rPr>
              <w:t>Anaes</w:t>
            </w:r>
            <w:proofErr w:type="spellEnd"/>
            <w:r>
              <w:rPr>
                <w:lang w:val="en-US"/>
              </w:rPr>
              <w:t>.)</w:t>
            </w:r>
          </w:p>
        </w:tc>
      </w:tr>
    </w:tbl>
    <w:p w14:paraId="788E396D" w14:textId="77777777" w:rsidR="004C1D40" w:rsidRDefault="006058ED" w:rsidP="00681E75">
      <w:pPr>
        <w:pStyle w:val="TableUnderlast"/>
        <w:rPr>
          <w:rFonts w:eastAsiaTheme="minorHAnsi"/>
          <w:lang w:val="en-US" w:eastAsia="en-US"/>
        </w:rPr>
      </w:pPr>
      <w:r w:rsidRPr="006058ED">
        <w:t xml:space="preserve">* New text </w:t>
      </w:r>
      <w:r w:rsidRPr="006058ED">
        <w:rPr>
          <w:u w:val="single"/>
        </w:rPr>
        <w:t>underlined</w:t>
      </w:r>
      <w:r w:rsidRPr="006058ED">
        <w:t xml:space="preserve">; text to be removed </w:t>
      </w:r>
      <w:r w:rsidRPr="006058ED">
        <w:rPr>
          <w:strike/>
        </w:rPr>
        <w:t>struck out</w:t>
      </w:r>
      <w:r w:rsidRPr="006058ED">
        <w:t>.</w:t>
      </w:r>
      <w:bookmarkStart w:id="58" w:name="_Toc457053425"/>
    </w:p>
    <w:p w14:paraId="033E0350" w14:textId="77777777" w:rsidR="00BC209F" w:rsidRPr="00700528" w:rsidRDefault="0023473B">
      <w:pPr>
        <w:pStyle w:val="Heading2"/>
      </w:pPr>
      <w:r>
        <w:t xml:space="preserve">Use of Item 41846 and </w:t>
      </w:r>
      <w:proofErr w:type="spellStart"/>
      <w:r w:rsidR="00BC209F" w:rsidRPr="00700528">
        <w:t>Stroboscopy</w:t>
      </w:r>
      <w:bookmarkEnd w:id="58"/>
      <w:proofErr w:type="spellEnd"/>
    </w:p>
    <w:p w14:paraId="7D11B926" w14:textId="77777777" w:rsidR="005C3B1A" w:rsidRPr="000C2D92" w:rsidRDefault="005C3B1A">
      <w:pPr>
        <w:pStyle w:val="Heading3"/>
      </w:pPr>
      <w:r w:rsidRPr="000C2D92">
        <w:t xml:space="preserve">Items </w:t>
      </w:r>
      <w:r w:rsidRPr="00FE6728">
        <w:t>considered</w:t>
      </w:r>
      <w:r w:rsidRPr="000C2D92">
        <w:t xml:space="preserve"> in the section</w:t>
      </w:r>
    </w:p>
    <w:p w14:paraId="2BF8E3A4" w14:textId="77777777" w:rsidR="005C3B1A" w:rsidRDefault="005C3B1A" w:rsidP="005C3B1A">
      <w:pPr>
        <w:rPr>
          <w:lang w:val="en-US" w:eastAsia="en-US"/>
        </w:rPr>
      </w:pPr>
      <w:r>
        <w:rPr>
          <w:lang w:val="en-US" w:eastAsia="en-US"/>
        </w:rPr>
        <w:t>One item is</w:t>
      </w:r>
      <w:r w:rsidRPr="003F1FC3">
        <w:rPr>
          <w:lang w:val="en-US" w:eastAsia="en-US"/>
        </w:rPr>
        <w:t xml:space="preserve"> considered in this section</w:t>
      </w:r>
      <w:r>
        <w:rPr>
          <w:lang w:val="en-US" w:eastAsia="en-US"/>
        </w:rPr>
        <w:t>:</w:t>
      </w:r>
    </w:p>
    <w:p w14:paraId="0641C64D" w14:textId="77777777" w:rsidR="005C3B1A" w:rsidRDefault="005C3B1A" w:rsidP="005C3B1A">
      <w:pPr>
        <w:pStyle w:val="NormalBulleted"/>
        <w:rPr>
          <w:lang w:val="en-US" w:eastAsia="en-US"/>
        </w:rPr>
      </w:pPr>
      <w:r w:rsidRPr="0082217D">
        <w:rPr>
          <w:b/>
        </w:rPr>
        <w:t>41</w:t>
      </w:r>
      <w:r>
        <w:rPr>
          <w:b/>
        </w:rPr>
        <w:t>846</w:t>
      </w:r>
      <w:r>
        <w:t xml:space="preserve"> </w:t>
      </w:r>
      <w:r>
        <w:rPr>
          <w:b/>
          <w:bCs/>
          <w:i/>
          <w:iCs/>
          <w:color w:val="auto"/>
        </w:rPr>
        <w:t xml:space="preserve">– </w:t>
      </w:r>
      <w:r w:rsidRPr="003873E6">
        <w:t>LARYNX, direct examination of the supraglottic, glottic and subglottic regions, not being a service associated with any other procedure on the larynx or with the administration of a general anaesthetic</w:t>
      </w:r>
    </w:p>
    <w:p w14:paraId="24612289" w14:textId="77777777" w:rsidR="00BC209F" w:rsidRPr="005C3B1A" w:rsidRDefault="00BC209F" w:rsidP="00700528">
      <w:pPr>
        <w:pStyle w:val="Heading3"/>
      </w:pPr>
      <w:r w:rsidRPr="005C3B1A">
        <w:t>Issues identified</w:t>
      </w:r>
    </w:p>
    <w:p w14:paraId="3D769BD7" w14:textId="77777777" w:rsidR="00BC209F" w:rsidRPr="003873E6" w:rsidRDefault="00BC209F" w:rsidP="00BC0C1D">
      <w:r w:rsidRPr="003873E6">
        <w:t>MBS item 41846 is one of the highest growth items in the ENT surgery specialty.</w:t>
      </w:r>
      <w:r w:rsidR="007736E8">
        <w:t xml:space="preserve"> </w:t>
      </w:r>
      <w:r w:rsidRPr="003873E6">
        <w:t>The Committee noted several issues requiring consultation including:</w:t>
      </w:r>
    </w:p>
    <w:p w14:paraId="0A45582E" w14:textId="77777777" w:rsidR="00BC209F" w:rsidRPr="00BC0C1D" w:rsidRDefault="000036E2" w:rsidP="00BC0C1D">
      <w:pPr>
        <w:pStyle w:val="NormalBulleted"/>
      </w:pPr>
      <w:r>
        <w:t>T</w:t>
      </w:r>
      <w:r w:rsidR="00BC209F" w:rsidRPr="00BC0C1D">
        <w:t xml:space="preserve">he </w:t>
      </w:r>
      <w:r>
        <w:t xml:space="preserve">supraglottic, glottis and </w:t>
      </w:r>
      <w:r w:rsidR="00BC209F" w:rsidRPr="00BC0C1D">
        <w:t xml:space="preserve">subglottic larynx </w:t>
      </w:r>
      <w:r>
        <w:t xml:space="preserve">may </w:t>
      </w:r>
      <w:r w:rsidR="00BC209F" w:rsidRPr="00BC0C1D">
        <w:t xml:space="preserve">be </w:t>
      </w:r>
      <w:r>
        <w:t>examined</w:t>
      </w:r>
      <w:r w:rsidRPr="00BC0C1D">
        <w:t xml:space="preserve"> </w:t>
      </w:r>
      <w:r w:rsidR="00BC209F" w:rsidRPr="00BC0C1D">
        <w:t>under general anaesthetic</w:t>
      </w:r>
      <w:r>
        <w:t xml:space="preserve"> or </w:t>
      </w:r>
      <w:r w:rsidR="00910896">
        <w:t xml:space="preserve">by </w:t>
      </w:r>
      <w:r>
        <w:t>flexible fibreoptic examination in the awake patient (in which case the appropriate item to claim is 41764)</w:t>
      </w:r>
    </w:p>
    <w:p w14:paraId="2154A4B8" w14:textId="77777777" w:rsidR="00BC209F" w:rsidRPr="00BC0C1D" w:rsidRDefault="000036E2" w:rsidP="00BC0C1D">
      <w:pPr>
        <w:pStyle w:val="NormalBulleted"/>
      </w:pPr>
      <w:r>
        <w:t>95 per cent of item 41846 services are performed out of hospital.</w:t>
      </w:r>
      <w:r w:rsidR="007736E8">
        <w:t xml:space="preserve"> </w:t>
      </w:r>
      <w:r>
        <w:t>This suggests that this item is being inappropriately claimed by some practitioners for flexible fibreoptic examination</w:t>
      </w:r>
    </w:p>
    <w:p w14:paraId="473FEFAD" w14:textId="77777777" w:rsidR="00BC209F" w:rsidRPr="00BC0C1D" w:rsidRDefault="008A020E" w:rsidP="00BC0C1D">
      <w:pPr>
        <w:pStyle w:val="NormalBulleted"/>
      </w:pPr>
      <w:r>
        <w:t>S</w:t>
      </w:r>
      <w:r w:rsidR="00BC209F" w:rsidRPr="00BC0C1D">
        <w:t xml:space="preserve">ignificant geographical variation </w:t>
      </w:r>
    </w:p>
    <w:p w14:paraId="7ADA889A" w14:textId="77777777" w:rsidR="00BC209F" w:rsidRPr="00BC0C1D" w:rsidRDefault="008A020E" w:rsidP="00BC0C1D">
      <w:pPr>
        <w:pStyle w:val="NormalBulleted"/>
      </w:pPr>
      <w:r>
        <w:t>T</w:t>
      </w:r>
      <w:r w:rsidR="00BC209F" w:rsidRPr="00BC0C1D">
        <w:t xml:space="preserve">he item is being claimed for the provision of </w:t>
      </w:r>
      <w:proofErr w:type="spellStart"/>
      <w:r w:rsidR="00BC209F" w:rsidRPr="00BC0C1D">
        <w:t>stroboscopy</w:t>
      </w:r>
      <w:proofErr w:type="spellEnd"/>
    </w:p>
    <w:p w14:paraId="2CB76419" w14:textId="77777777" w:rsidR="00BC209F" w:rsidRPr="005C3B1A" w:rsidRDefault="00BC209F" w:rsidP="00700528">
      <w:pPr>
        <w:pStyle w:val="Heading3"/>
      </w:pPr>
      <w:r w:rsidRPr="005C3B1A">
        <w:t>Rationale</w:t>
      </w:r>
    </w:p>
    <w:p w14:paraId="1287D925" w14:textId="77777777" w:rsidR="00BC209F" w:rsidRPr="00DB29F7" w:rsidRDefault="00BC209F" w:rsidP="009D1CB7">
      <w:pPr>
        <w:pStyle w:val="Caption"/>
        <w:tabs>
          <w:tab w:val="left" w:pos="993"/>
        </w:tabs>
      </w:pPr>
      <w:r w:rsidRPr="00DB29F7">
        <w:t xml:space="preserve">Table </w:t>
      </w:r>
      <w:r w:rsidR="00EE0FEF">
        <w:t>10</w:t>
      </w:r>
      <w:r w:rsidRPr="00DB29F7">
        <w:t>:</w:t>
      </w:r>
      <w:r w:rsidR="009D1CB7">
        <w:tab/>
      </w:r>
      <w:r w:rsidRPr="00DB29F7">
        <w:t>Key data for item 41846 (date of processing)</w:t>
      </w:r>
    </w:p>
    <w:tbl>
      <w:tblPr>
        <w:tblW w:w="9072" w:type="dxa"/>
        <w:tblInd w:w="93" w:type="dxa"/>
        <w:tblBorders>
          <w:top w:val="single" w:sz="4" w:space="0" w:color="B56012"/>
          <w:bottom w:val="single" w:sz="4" w:space="0" w:color="B56012"/>
          <w:insideH w:val="single" w:sz="4" w:space="0" w:color="B56012"/>
        </w:tblBorders>
        <w:tblLook w:val="04A0" w:firstRow="1" w:lastRow="0" w:firstColumn="1" w:lastColumn="0" w:noHBand="0" w:noVBand="1"/>
        <w:tblCaption w:val="Services and Benefits paid in last financial year, including trend"/>
        <w:tblDescription w:val="Table 10 provides an overview of services and benefis paid in 2014-15 for item 41846."/>
      </w:tblPr>
      <w:tblGrid>
        <w:gridCol w:w="1309"/>
        <w:gridCol w:w="1236"/>
        <w:gridCol w:w="1092"/>
        <w:gridCol w:w="992"/>
        <w:gridCol w:w="1102"/>
        <w:gridCol w:w="1085"/>
        <w:gridCol w:w="1019"/>
        <w:gridCol w:w="1237"/>
      </w:tblGrid>
      <w:tr w:rsidR="00BC209F" w:rsidRPr="00EE3FA4" w14:paraId="24C04317" w14:textId="77777777" w:rsidTr="00054505">
        <w:trPr>
          <w:trHeight w:val="1583"/>
        </w:trPr>
        <w:tc>
          <w:tcPr>
            <w:tcW w:w="1309" w:type="dxa"/>
            <w:shd w:val="clear" w:color="auto" w:fill="auto"/>
            <w:vAlign w:val="center"/>
            <w:hideMark/>
          </w:tcPr>
          <w:p w14:paraId="00A20D8D" w14:textId="77777777" w:rsidR="00BC209F" w:rsidRPr="00EE3FA4" w:rsidRDefault="00BC209F" w:rsidP="00EE3FA4">
            <w:pPr>
              <w:pStyle w:val="Tableheading"/>
            </w:pPr>
            <w:r w:rsidRPr="00EE3FA4">
              <w:t>Descriptor</w:t>
            </w:r>
            <w:r w:rsidR="00EE0FEF" w:rsidRPr="00EE3FA4">
              <w:t xml:space="preserve"> </w:t>
            </w:r>
            <w:r w:rsidRPr="00EE3FA4">
              <w:t>start date</w:t>
            </w:r>
          </w:p>
        </w:tc>
        <w:tc>
          <w:tcPr>
            <w:tcW w:w="1236" w:type="dxa"/>
            <w:shd w:val="clear" w:color="auto" w:fill="auto"/>
            <w:vAlign w:val="center"/>
            <w:hideMark/>
          </w:tcPr>
          <w:p w14:paraId="63EE9B09" w14:textId="77777777" w:rsidR="00BC209F" w:rsidRPr="00EE3FA4" w:rsidRDefault="00BC209F" w:rsidP="00EE3FA4">
            <w:pPr>
              <w:pStyle w:val="Tableheading"/>
            </w:pPr>
            <w:r w:rsidRPr="00EE3FA4">
              <w:t xml:space="preserve"> Total Benefits paid</w:t>
            </w:r>
            <w:r w:rsidR="00EE0FEF" w:rsidRPr="00EE3FA4">
              <w:t xml:space="preserve"> </w:t>
            </w:r>
            <w:r w:rsidRPr="00EE3FA4">
              <w:t xml:space="preserve">2014-15 </w:t>
            </w:r>
          </w:p>
        </w:tc>
        <w:tc>
          <w:tcPr>
            <w:tcW w:w="1092" w:type="dxa"/>
            <w:shd w:val="clear" w:color="auto" w:fill="auto"/>
            <w:vAlign w:val="center"/>
            <w:hideMark/>
          </w:tcPr>
          <w:p w14:paraId="53BE86AE" w14:textId="77777777" w:rsidR="00BC209F" w:rsidRPr="00EE3FA4" w:rsidRDefault="00BC209F" w:rsidP="00EE3FA4">
            <w:pPr>
              <w:pStyle w:val="Tableheading"/>
            </w:pPr>
            <w:r w:rsidRPr="00EE3FA4">
              <w:t>Number of services 2014-15</w:t>
            </w:r>
          </w:p>
        </w:tc>
        <w:tc>
          <w:tcPr>
            <w:tcW w:w="992" w:type="dxa"/>
            <w:shd w:val="clear" w:color="auto" w:fill="auto"/>
            <w:vAlign w:val="center"/>
            <w:hideMark/>
          </w:tcPr>
          <w:p w14:paraId="4F41A16B" w14:textId="77777777" w:rsidR="00BC209F" w:rsidRPr="00EE3FA4" w:rsidRDefault="00BC209F" w:rsidP="00EE3FA4">
            <w:pPr>
              <w:pStyle w:val="Tableheading"/>
            </w:pPr>
            <w:r w:rsidRPr="00EE3FA4">
              <w:t xml:space="preserve">Total </w:t>
            </w:r>
            <w:r w:rsidR="00910896" w:rsidRPr="00EE3FA4">
              <w:t>p</w:t>
            </w:r>
            <w:r w:rsidRPr="00EE3FA4">
              <w:t>atient count 2014-15</w:t>
            </w:r>
          </w:p>
        </w:tc>
        <w:tc>
          <w:tcPr>
            <w:tcW w:w="1102" w:type="dxa"/>
            <w:shd w:val="clear" w:color="auto" w:fill="auto"/>
            <w:vAlign w:val="center"/>
            <w:hideMark/>
          </w:tcPr>
          <w:p w14:paraId="23DA6867" w14:textId="77777777" w:rsidR="00BC209F" w:rsidRPr="00EE3FA4" w:rsidRDefault="00BC209F" w:rsidP="00EE3FA4">
            <w:pPr>
              <w:pStyle w:val="Tableheading"/>
            </w:pPr>
            <w:r w:rsidRPr="00EE3FA4">
              <w:t xml:space="preserve">Total provider </w:t>
            </w:r>
            <w:proofErr w:type="gramStart"/>
            <w:r w:rsidRPr="00EE3FA4">
              <w:t>count</w:t>
            </w:r>
            <w:proofErr w:type="gramEnd"/>
            <w:r w:rsidRPr="00EE3FA4">
              <w:t xml:space="preserve"> 2014-15</w:t>
            </w:r>
          </w:p>
        </w:tc>
        <w:tc>
          <w:tcPr>
            <w:tcW w:w="1085" w:type="dxa"/>
            <w:shd w:val="clear" w:color="auto" w:fill="auto"/>
            <w:vAlign w:val="center"/>
            <w:hideMark/>
          </w:tcPr>
          <w:p w14:paraId="0CE40BCA" w14:textId="77777777" w:rsidR="00BC209F" w:rsidRPr="00EE3FA4" w:rsidRDefault="00BC209F" w:rsidP="00EE3FA4">
            <w:pPr>
              <w:pStyle w:val="Tableheading"/>
            </w:pPr>
            <w:r w:rsidRPr="00EE3FA4">
              <w:t xml:space="preserve">Benefits </w:t>
            </w:r>
            <w:r w:rsidR="00910896" w:rsidRPr="00EE3FA4">
              <w:t>c</w:t>
            </w:r>
            <w:r w:rsidRPr="00EE3FA4">
              <w:t>hange (%) from 2011-12 to 2014-15</w:t>
            </w:r>
          </w:p>
        </w:tc>
        <w:tc>
          <w:tcPr>
            <w:tcW w:w="1019" w:type="dxa"/>
            <w:shd w:val="clear" w:color="auto" w:fill="auto"/>
            <w:vAlign w:val="center"/>
            <w:hideMark/>
          </w:tcPr>
          <w:p w14:paraId="23A50C17" w14:textId="77777777" w:rsidR="00BC209F" w:rsidRPr="00EE3FA4" w:rsidRDefault="00BC209F" w:rsidP="00EE3FA4">
            <w:pPr>
              <w:pStyle w:val="Tableheading"/>
            </w:pPr>
            <w:r w:rsidRPr="00EE3FA4">
              <w:t>Service</w:t>
            </w:r>
            <w:r w:rsidR="00910896" w:rsidRPr="00EE3FA4">
              <w:t>s</w:t>
            </w:r>
            <w:r w:rsidRPr="00EE3FA4">
              <w:t xml:space="preserve"> </w:t>
            </w:r>
            <w:r w:rsidR="00910896" w:rsidRPr="00EE3FA4">
              <w:t>c</w:t>
            </w:r>
            <w:r w:rsidRPr="00EE3FA4">
              <w:t>hange (%) from</w:t>
            </w:r>
            <w:r w:rsidR="00EE0FEF" w:rsidRPr="00EE3FA4">
              <w:t xml:space="preserve"> </w:t>
            </w:r>
            <w:r w:rsidRPr="00EE3FA4">
              <w:t>2011-12 to 2014-15</w:t>
            </w:r>
          </w:p>
        </w:tc>
        <w:tc>
          <w:tcPr>
            <w:tcW w:w="1237" w:type="dxa"/>
            <w:shd w:val="clear" w:color="auto" w:fill="auto"/>
            <w:vAlign w:val="center"/>
            <w:hideMark/>
          </w:tcPr>
          <w:p w14:paraId="0DCDA1AE" w14:textId="77777777" w:rsidR="00BC209F" w:rsidRPr="00EE3FA4" w:rsidRDefault="00BC209F" w:rsidP="00EE3FA4">
            <w:pPr>
              <w:pStyle w:val="Tableheading"/>
            </w:pPr>
            <w:r w:rsidRPr="00EE3FA4">
              <w:t xml:space="preserve">% </w:t>
            </w:r>
            <w:r w:rsidR="00910896" w:rsidRPr="00EE3FA4">
              <w:t>S</w:t>
            </w:r>
            <w:r w:rsidRPr="00EE3FA4">
              <w:t>ervices provided out-of-hospital 2014-15</w:t>
            </w:r>
          </w:p>
        </w:tc>
      </w:tr>
      <w:tr w:rsidR="00BC209F" w:rsidRPr="00DB29F7" w14:paraId="5D8311BF" w14:textId="77777777" w:rsidTr="009D1CB7">
        <w:trPr>
          <w:trHeight w:val="306"/>
        </w:trPr>
        <w:tc>
          <w:tcPr>
            <w:tcW w:w="1309" w:type="dxa"/>
            <w:shd w:val="clear" w:color="auto" w:fill="auto"/>
            <w:vAlign w:val="center"/>
          </w:tcPr>
          <w:p w14:paraId="7EDA89A4" w14:textId="77777777" w:rsidR="00BC209F" w:rsidRPr="00DB29F7" w:rsidRDefault="00BC209F" w:rsidP="00EE3FA4">
            <w:pPr>
              <w:pStyle w:val="Tabletext"/>
            </w:pPr>
            <w:r w:rsidRPr="00DB29F7">
              <w:t>1991*</w:t>
            </w:r>
          </w:p>
        </w:tc>
        <w:tc>
          <w:tcPr>
            <w:tcW w:w="1236" w:type="dxa"/>
            <w:shd w:val="clear" w:color="auto" w:fill="auto"/>
            <w:vAlign w:val="center"/>
          </w:tcPr>
          <w:p w14:paraId="20DF52F0" w14:textId="77777777" w:rsidR="00BC209F" w:rsidRPr="00DB29F7" w:rsidRDefault="00BC209F" w:rsidP="00EE3FA4">
            <w:pPr>
              <w:pStyle w:val="Tabletext"/>
              <w:rPr>
                <w:bCs/>
              </w:rPr>
            </w:pPr>
            <w:r w:rsidRPr="00DB29F7">
              <w:rPr>
                <w:bCs/>
              </w:rPr>
              <w:t xml:space="preserve">5,552,714 </w:t>
            </w:r>
          </w:p>
        </w:tc>
        <w:tc>
          <w:tcPr>
            <w:tcW w:w="1092" w:type="dxa"/>
            <w:shd w:val="clear" w:color="auto" w:fill="auto"/>
            <w:vAlign w:val="center"/>
          </w:tcPr>
          <w:p w14:paraId="327D8C7E" w14:textId="77777777" w:rsidR="00BC209F" w:rsidRPr="00DB29F7" w:rsidRDefault="00BC209F" w:rsidP="00EE3FA4">
            <w:pPr>
              <w:pStyle w:val="Tabletext"/>
              <w:rPr>
                <w:bCs/>
              </w:rPr>
            </w:pPr>
            <w:r w:rsidRPr="00DB29F7">
              <w:rPr>
                <w:bCs/>
              </w:rPr>
              <w:t xml:space="preserve">36,176 </w:t>
            </w:r>
          </w:p>
        </w:tc>
        <w:tc>
          <w:tcPr>
            <w:tcW w:w="992" w:type="dxa"/>
            <w:shd w:val="clear" w:color="auto" w:fill="auto"/>
            <w:vAlign w:val="center"/>
          </w:tcPr>
          <w:p w14:paraId="1583864F" w14:textId="77777777" w:rsidR="00BC209F" w:rsidRPr="00DB29F7" w:rsidRDefault="00BC209F" w:rsidP="00EE3FA4">
            <w:pPr>
              <w:pStyle w:val="Tabletext"/>
              <w:rPr>
                <w:bCs/>
              </w:rPr>
            </w:pPr>
            <w:r w:rsidRPr="00DB29F7">
              <w:rPr>
                <w:bCs/>
              </w:rPr>
              <w:t xml:space="preserve">28,453 </w:t>
            </w:r>
          </w:p>
        </w:tc>
        <w:tc>
          <w:tcPr>
            <w:tcW w:w="1102" w:type="dxa"/>
            <w:shd w:val="clear" w:color="auto" w:fill="auto"/>
            <w:vAlign w:val="center"/>
          </w:tcPr>
          <w:p w14:paraId="71C43194" w14:textId="77777777" w:rsidR="00BC209F" w:rsidRPr="00DB29F7" w:rsidRDefault="00BC209F" w:rsidP="00EE3FA4">
            <w:pPr>
              <w:pStyle w:val="Tabletext"/>
              <w:rPr>
                <w:bCs/>
              </w:rPr>
            </w:pPr>
            <w:r w:rsidRPr="00DB29F7">
              <w:rPr>
                <w:bCs/>
              </w:rPr>
              <w:t xml:space="preserve">309 </w:t>
            </w:r>
          </w:p>
        </w:tc>
        <w:tc>
          <w:tcPr>
            <w:tcW w:w="1085" w:type="dxa"/>
            <w:shd w:val="clear" w:color="auto" w:fill="auto"/>
            <w:vAlign w:val="center"/>
          </w:tcPr>
          <w:p w14:paraId="0EAEF367" w14:textId="77777777" w:rsidR="00BC209F" w:rsidRPr="00DB29F7" w:rsidRDefault="00BC209F" w:rsidP="00EE3FA4">
            <w:pPr>
              <w:pStyle w:val="Tabletext"/>
              <w:rPr>
                <w:bCs/>
              </w:rPr>
            </w:pPr>
            <w:r w:rsidRPr="00DB29F7">
              <w:rPr>
                <w:bCs/>
              </w:rPr>
              <w:t>70.8%</w:t>
            </w:r>
          </w:p>
        </w:tc>
        <w:tc>
          <w:tcPr>
            <w:tcW w:w="1019" w:type="dxa"/>
            <w:shd w:val="clear" w:color="auto" w:fill="auto"/>
            <w:vAlign w:val="center"/>
          </w:tcPr>
          <w:p w14:paraId="68BC7AFA" w14:textId="77777777" w:rsidR="00BC209F" w:rsidRPr="00DB29F7" w:rsidRDefault="00BC209F" w:rsidP="00EE3FA4">
            <w:pPr>
              <w:pStyle w:val="Tabletext"/>
              <w:rPr>
                <w:bCs/>
              </w:rPr>
            </w:pPr>
            <w:r w:rsidRPr="00DB29F7">
              <w:rPr>
                <w:bCs/>
              </w:rPr>
              <w:t>68.9%</w:t>
            </w:r>
          </w:p>
        </w:tc>
        <w:tc>
          <w:tcPr>
            <w:tcW w:w="1237" w:type="dxa"/>
            <w:shd w:val="clear" w:color="auto" w:fill="auto"/>
            <w:vAlign w:val="center"/>
          </w:tcPr>
          <w:p w14:paraId="21C6AA61" w14:textId="77777777" w:rsidR="00BC209F" w:rsidRPr="00DB29F7" w:rsidRDefault="00BC209F" w:rsidP="00EE3FA4">
            <w:pPr>
              <w:pStyle w:val="Tabletext"/>
              <w:rPr>
                <w:bCs/>
              </w:rPr>
            </w:pPr>
            <w:r w:rsidRPr="00DB29F7">
              <w:rPr>
                <w:bCs/>
              </w:rPr>
              <w:t>95.0%</w:t>
            </w:r>
          </w:p>
        </w:tc>
      </w:tr>
    </w:tbl>
    <w:p w14:paraId="084CA34F" w14:textId="77777777" w:rsidR="00BC209F" w:rsidRPr="009D1CB7" w:rsidRDefault="00BC209F" w:rsidP="00226A36">
      <w:pPr>
        <w:pStyle w:val="TableUnderlast"/>
        <w:rPr>
          <w:rFonts w:cs="Arial"/>
          <w:iCs/>
        </w:rPr>
      </w:pPr>
      <w:r w:rsidRPr="009D1CB7">
        <w:rPr>
          <w:iCs/>
        </w:rPr>
        <w:t>*</w:t>
      </w:r>
      <w:r w:rsidRPr="009D1CB7">
        <w:t xml:space="preserve"> item listed in 1974. All MBS items were renumbered in 1991. </w:t>
      </w:r>
      <w:r w:rsidRPr="00226A36">
        <w:t>Unpublished data (Department of Health)</w:t>
      </w:r>
    </w:p>
    <w:p w14:paraId="7F21B5C8" w14:textId="77777777" w:rsidR="00BC209F" w:rsidRPr="000C0845" w:rsidRDefault="00BC209F" w:rsidP="000C0845">
      <w:pPr>
        <w:pStyle w:val="Caption"/>
      </w:pPr>
      <w:r w:rsidRPr="000C0845">
        <w:lastRenderedPageBreak/>
        <w:t xml:space="preserve">Table </w:t>
      </w:r>
      <w:r w:rsidR="00EE0FEF" w:rsidRPr="000C0845">
        <w:t>11</w:t>
      </w:r>
      <w:r w:rsidR="000C0845">
        <w:t>:</w:t>
      </w:r>
      <w:r w:rsidR="00F460FA" w:rsidRPr="000C0845">
        <w:tab/>
      </w:r>
      <w:r w:rsidRPr="000C0845">
        <w:t>Number</w:t>
      </w:r>
      <w:r w:rsidRPr="00DB29F7">
        <w:t xml:space="preserve"> of services by state in 2014-15 – item 41846</w:t>
      </w:r>
    </w:p>
    <w:tbl>
      <w:tblPr>
        <w:tblW w:w="9072" w:type="dxa"/>
        <w:tblInd w:w="108" w:type="dxa"/>
        <w:tblBorders>
          <w:top w:val="single" w:sz="4" w:space="0" w:color="B56012"/>
          <w:bottom w:val="single" w:sz="4" w:space="0" w:color="B56012"/>
          <w:insideH w:val="single" w:sz="4" w:space="0" w:color="B56012"/>
        </w:tblBorders>
        <w:tblLook w:val="04A0" w:firstRow="1" w:lastRow="0" w:firstColumn="1" w:lastColumn="0" w:noHBand="0" w:noVBand="1"/>
        <w:tblDescription w:val="Table 11 provides the number of services for item 41846 in 2014-15 by jurisdiction."/>
      </w:tblPr>
      <w:tblGrid>
        <w:gridCol w:w="1050"/>
        <w:gridCol w:w="1023"/>
        <w:gridCol w:w="1023"/>
        <w:gridCol w:w="984"/>
        <w:gridCol w:w="983"/>
        <w:gridCol w:w="986"/>
        <w:gridCol w:w="989"/>
        <w:gridCol w:w="984"/>
        <w:gridCol w:w="1050"/>
      </w:tblGrid>
      <w:tr w:rsidR="00BC209F" w:rsidRPr="00DB29F7" w14:paraId="53D10FE7" w14:textId="77777777" w:rsidTr="009D1CB7">
        <w:trPr>
          <w:trHeight w:val="305"/>
          <w:tblHeader/>
        </w:trPr>
        <w:tc>
          <w:tcPr>
            <w:tcW w:w="1149" w:type="dxa"/>
            <w:shd w:val="clear" w:color="auto" w:fill="auto"/>
            <w:vAlign w:val="center"/>
            <w:hideMark/>
          </w:tcPr>
          <w:p w14:paraId="4B47C0AD" w14:textId="77777777" w:rsidR="00BC209F" w:rsidRPr="00DB29F7" w:rsidRDefault="00BC209F" w:rsidP="00EE3FA4">
            <w:pPr>
              <w:pStyle w:val="Tableheading"/>
            </w:pPr>
            <w:r w:rsidRPr="00DB29F7">
              <w:t>NSW</w:t>
            </w:r>
          </w:p>
        </w:tc>
        <w:tc>
          <w:tcPr>
            <w:tcW w:w="1150" w:type="dxa"/>
            <w:shd w:val="clear" w:color="auto" w:fill="auto"/>
            <w:vAlign w:val="center"/>
            <w:hideMark/>
          </w:tcPr>
          <w:p w14:paraId="1AB792FA" w14:textId="77777777" w:rsidR="00BC209F" w:rsidRPr="00DB29F7" w:rsidRDefault="00BC209F" w:rsidP="00EE3FA4">
            <w:pPr>
              <w:pStyle w:val="Tableheading"/>
            </w:pPr>
            <w:r w:rsidRPr="00DB29F7">
              <w:t>VIC</w:t>
            </w:r>
          </w:p>
        </w:tc>
        <w:tc>
          <w:tcPr>
            <w:tcW w:w="1150" w:type="dxa"/>
            <w:shd w:val="clear" w:color="auto" w:fill="auto"/>
            <w:vAlign w:val="center"/>
            <w:hideMark/>
          </w:tcPr>
          <w:p w14:paraId="0F8E4A67" w14:textId="77777777" w:rsidR="00BC209F" w:rsidRPr="00DB29F7" w:rsidRDefault="00BC209F" w:rsidP="00EE3FA4">
            <w:pPr>
              <w:pStyle w:val="Tableheading"/>
            </w:pPr>
            <w:r w:rsidRPr="00DB29F7">
              <w:t>QLD</w:t>
            </w:r>
          </w:p>
        </w:tc>
        <w:tc>
          <w:tcPr>
            <w:tcW w:w="1150" w:type="dxa"/>
            <w:shd w:val="clear" w:color="auto" w:fill="auto"/>
            <w:vAlign w:val="center"/>
            <w:hideMark/>
          </w:tcPr>
          <w:p w14:paraId="60C91321" w14:textId="77777777" w:rsidR="00BC209F" w:rsidRPr="00DB29F7" w:rsidRDefault="00BC209F" w:rsidP="00EE3FA4">
            <w:pPr>
              <w:pStyle w:val="Tableheading"/>
            </w:pPr>
            <w:r w:rsidRPr="00DB29F7">
              <w:t>SA</w:t>
            </w:r>
          </w:p>
        </w:tc>
        <w:tc>
          <w:tcPr>
            <w:tcW w:w="1149" w:type="dxa"/>
            <w:shd w:val="clear" w:color="auto" w:fill="auto"/>
            <w:vAlign w:val="center"/>
            <w:hideMark/>
          </w:tcPr>
          <w:p w14:paraId="1CEFBE4B" w14:textId="77777777" w:rsidR="00BC209F" w:rsidRPr="00DB29F7" w:rsidRDefault="00BC209F" w:rsidP="00EE3FA4">
            <w:pPr>
              <w:pStyle w:val="Tableheading"/>
            </w:pPr>
            <w:r w:rsidRPr="00DB29F7">
              <w:t>WA</w:t>
            </w:r>
          </w:p>
        </w:tc>
        <w:tc>
          <w:tcPr>
            <w:tcW w:w="1150" w:type="dxa"/>
            <w:shd w:val="clear" w:color="auto" w:fill="auto"/>
            <w:vAlign w:val="center"/>
            <w:hideMark/>
          </w:tcPr>
          <w:p w14:paraId="34640CE7" w14:textId="77777777" w:rsidR="00BC209F" w:rsidRPr="00DB29F7" w:rsidRDefault="00BC209F" w:rsidP="00EE3FA4">
            <w:pPr>
              <w:pStyle w:val="Tableheading"/>
            </w:pPr>
            <w:r w:rsidRPr="00DB29F7">
              <w:t>TAS</w:t>
            </w:r>
          </w:p>
        </w:tc>
        <w:tc>
          <w:tcPr>
            <w:tcW w:w="1150" w:type="dxa"/>
            <w:shd w:val="clear" w:color="auto" w:fill="auto"/>
            <w:vAlign w:val="center"/>
            <w:hideMark/>
          </w:tcPr>
          <w:p w14:paraId="7D4FC298" w14:textId="77777777" w:rsidR="00BC209F" w:rsidRPr="00DB29F7" w:rsidRDefault="00BC209F" w:rsidP="00EE3FA4">
            <w:pPr>
              <w:pStyle w:val="Tableheading"/>
            </w:pPr>
            <w:r w:rsidRPr="00DB29F7">
              <w:t>ACT</w:t>
            </w:r>
          </w:p>
        </w:tc>
        <w:tc>
          <w:tcPr>
            <w:tcW w:w="1150" w:type="dxa"/>
            <w:shd w:val="clear" w:color="auto" w:fill="auto"/>
            <w:vAlign w:val="center"/>
            <w:hideMark/>
          </w:tcPr>
          <w:p w14:paraId="77E948C3" w14:textId="77777777" w:rsidR="00BC209F" w:rsidRPr="00DB29F7" w:rsidRDefault="00BC209F" w:rsidP="00EE3FA4">
            <w:pPr>
              <w:pStyle w:val="Tableheading"/>
            </w:pPr>
            <w:r w:rsidRPr="00DB29F7">
              <w:t>NT</w:t>
            </w:r>
          </w:p>
        </w:tc>
        <w:tc>
          <w:tcPr>
            <w:tcW w:w="1150" w:type="dxa"/>
            <w:shd w:val="clear" w:color="auto" w:fill="auto"/>
            <w:vAlign w:val="center"/>
            <w:hideMark/>
          </w:tcPr>
          <w:p w14:paraId="4B99514F" w14:textId="77777777" w:rsidR="00BC209F" w:rsidRPr="00DB29F7" w:rsidRDefault="00BC209F" w:rsidP="00EE3FA4">
            <w:pPr>
              <w:pStyle w:val="Tableheading"/>
            </w:pPr>
            <w:r>
              <w:t>Total</w:t>
            </w:r>
          </w:p>
        </w:tc>
      </w:tr>
      <w:tr w:rsidR="00BC209F" w:rsidRPr="00DB29F7" w14:paraId="0DE11F53" w14:textId="77777777" w:rsidTr="009D1CB7">
        <w:trPr>
          <w:trHeight w:val="305"/>
        </w:trPr>
        <w:tc>
          <w:tcPr>
            <w:tcW w:w="1149" w:type="dxa"/>
            <w:shd w:val="clear" w:color="auto" w:fill="auto"/>
            <w:vAlign w:val="center"/>
          </w:tcPr>
          <w:p w14:paraId="165BE058" w14:textId="77777777" w:rsidR="00BC209F" w:rsidRPr="00DB29F7" w:rsidRDefault="00BC209F" w:rsidP="00EE3FA4">
            <w:pPr>
              <w:pStyle w:val="Tabletext"/>
            </w:pPr>
            <w:r w:rsidRPr="00DB29F7">
              <w:t>27,729</w:t>
            </w:r>
          </w:p>
        </w:tc>
        <w:tc>
          <w:tcPr>
            <w:tcW w:w="1150" w:type="dxa"/>
            <w:shd w:val="clear" w:color="auto" w:fill="auto"/>
            <w:vAlign w:val="center"/>
          </w:tcPr>
          <w:p w14:paraId="5DBA5820" w14:textId="77777777" w:rsidR="00BC209F" w:rsidRPr="00DB29F7" w:rsidRDefault="00BC209F" w:rsidP="00EE3FA4">
            <w:pPr>
              <w:pStyle w:val="Tabletext"/>
            </w:pPr>
            <w:r w:rsidRPr="00DB29F7">
              <w:t>1,587</w:t>
            </w:r>
          </w:p>
        </w:tc>
        <w:tc>
          <w:tcPr>
            <w:tcW w:w="1150" w:type="dxa"/>
            <w:shd w:val="clear" w:color="auto" w:fill="auto"/>
            <w:vAlign w:val="center"/>
          </w:tcPr>
          <w:p w14:paraId="50D39A64" w14:textId="77777777" w:rsidR="00BC209F" w:rsidRPr="00DB29F7" w:rsidRDefault="00BC209F" w:rsidP="00EE3FA4">
            <w:pPr>
              <w:pStyle w:val="Tabletext"/>
            </w:pPr>
            <w:r w:rsidRPr="00DB29F7">
              <w:t>4,836</w:t>
            </w:r>
          </w:p>
        </w:tc>
        <w:tc>
          <w:tcPr>
            <w:tcW w:w="1150" w:type="dxa"/>
            <w:shd w:val="clear" w:color="auto" w:fill="auto"/>
            <w:vAlign w:val="center"/>
          </w:tcPr>
          <w:p w14:paraId="60D6D534" w14:textId="77777777" w:rsidR="00BC209F" w:rsidRPr="00DB29F7" w:rsidRDefault="00BC209F" w:rsidP="00EE3FA4">
            <w:pPr>
              <w:pStyle w:val="Tabletext"/>
            </w:pPr>
            <w:r w:rsidRPr="00DB29F7">
              <w:t>996</w:t>
            </w:r>
          </w:p>
        </w:tc>
        <w:tc>
          <w:tcPr>
            <w:tcW w:w="1149" w:type="dxa"/>
            <w:shd w:val="clear" w:color="auto" w:fill="auto"/>
            <w:vAlign w:val="center"/>
          </w:tcPr>
          <w:p w14:paraId="2CBE14CB" w14:textId="77777777" w:rsidR="00BC209F" w:rsidRPr="00DB29F7" w:rsidRDefault="00BC209F" w:rsidP="00EE3FA4">
            <w:pPr>
              <w:pStyle w:val="Tabletext"/>
            </w:pPr>
            <w:r w:rsidRPr="00DB29F7">
              <w:t>311</w:t>
            </w:r>
          </w:p>
        </w:tc>
        <w:tc>
          <w:tcPr>
            <w:tcW w:w="1150" w:type="dxa"/>
            <w:shd w:val="clear" w:color="auto" w:fill="auto"/>
            <w:vAlign w:val="center"/>
          </w:tcPr>
          <w:p w14:paraId="13306E9D" w14:textId="77777777" w:rsidR="00BC209F" w:rsidRPr="00DB29F7" w:rsidRDefault="00BC209F" w:rsidP="00EE3FA4">
            <w:pPr>
              <w:pStyle w:val="Tabletext"/>
            </w:pPr>
            <w:r w:rsidRPr="00DB29F7">
              <w:t>105</w:t>
            </w:r>
          </w:p>
        </w:tc>
        <w:tc>
          <w:tcPr>
            <w:tcW w:w="1150" w:type="dxa"/>
            <w:shd w:val="clear" w:color="auto" w:fill="auto"/>
            <w:vAlign w:val="center"/>
          </w:tcPr>
          <w:p w14:paraId="44103FB9" w14:textId="77777777" w:rsidR="00BC209F" w:rsidRPr="00DB29F7" w:rsidRDefault="00BC209F" w:rsidP="00EE3FA4">
            <w:pPr>
              <w:pStyle w:val="Tabletext"/>
            </w:pPr>
            <w:r w:rsidRPr="00DB29F7">
              <w:t>477</w:t>
            </w:r>
          </w:p>
        </w:tc>
        <w:tc>
          <w:tcPr>
            <w:tcW w:w="1150" w:type="dxa"/>
            <w:shd w:val="clear" w:color="auto" w:fill="auto"/>
            <w:vAlign w:val="center"/>
          </w:tcPr>
          <w:p w14:paraId="3E696902" w14:textId="77777777" w:rsidR="00BC209F" w:rsidRPr="00DB29F7" w:rsidRDefault="00BC209F" w:rsidP="00EE3FA4">
            <w:pPr>
              <w:pStyle w:val="Tabletext"/>
            </w:pPr>
            <w:r w:rsidRPr="00DB29F7">
              <w:t>135</w:t>
            </w:r>
          </w:p>
        </w:tc>
        <w:tc>
          <w:tcPr>
            <w:tcW w:w="1150" w:type="dxa"/>
            <w:shd w:val="clear" w:color="auto" w:fill="auto"/>
            <w:vAlign w:val="center"/>
          </w:tcPr>
          <w:p w14:paraId="6CEE5288" w14:textId="77777777" w:rsidR="00BC209F" w:rsidRPr="00DB29F7" w:rsidRDefault="00BC209F" w:rsidP="00EE3FA4">
            <w:pPr>
              <w:pStyle w:val="Tabletext"/>
            </w:pPr>
            <w:r w:rsidRPr="00DB29F7">
              <w:t>36,176</w:t>
            </w:r>
          </w:p>
        </w:tc>
      </w:tr>
    </w:tbl>
    <w:p w14:paraId="107B66A2" w14:textId="77777777" w:rsidR="00BC209F" w:rsidRPr="00F460FA" w:rsidRDefault="00BC209F" w:rsidP="00226A36">
      <w:pPr>
        <w:pStyle w:val="TableUnderlast"/>
        <w:rPr>
          <w:iCs/>
        </w:rPr>
      </w:pPr>
      <w:r w:rsidRPr="00F460FA">
        <w:t>Public data (Department of Human Services website)</w:t>
      </w:r>
    </w:p>
    <w:p w14:paraId="691D0028" w14:textId="77777777" w:rsidR="00BC209F" w:rsidRPr="000C0845" w:rsidRDefault="00BC209F" w:rsidP="000C0845">
      <w:pPr>
        <w:pStyle w:val="Caption"/>
      </w:pPr>
      <w:bookmarkStart w:id="59" w:name="_Toc485720823"/>
      <w:r w:rsidRPr="000C0845">
        <w:t>Tab</w:t>
      </w:r>
      <w:r w:rsidRPr="00DB29F7">
        <w:t xml:space="preserve">le </w:t>
      </w:r>
      <w:r w:rsidR="00201595">
        <w:fldChar w:fldCharType="begin"/>
      </w:r>
      <w:r w:rsidR="00201595">
        <w:instrText xml:space="preserve"> SEQ Table \* ARABIC </w:instrText>
      </w:r>
      <w:r w:rsidR="00201595">
        <w:fldChar w:fldCharType="separate"/>
      </w:r>
      <w:r w:rsidR="00E60472">
        <w:rPr>
          <w:noProof/>
        </w:rPr>
        <w:t>6</w:t>
      </w:r>
      <w:r w:rsidR="00201595">
        <w:rPr>
          <w:noProof/>
        </w:rPr>
        <w:fldChar w:fldCharType="end"/>
      </w:r>
      <w:r w:rsidR="00EE0FEF">
        <w:t>2</w:t>
      </w:r>
      <w:r w:rsidR="000C0845">
        <w:t>:</w:t>
      </w:r>
      <w:r w:rsidR="00F460FA">
        <w:tab/>
      </w:r>
      <w:r w:rsidRPr="000C0845">
        <w:t>Number of services by financial year – item 41846</w:t>
      </w:r>
      <w:bookmarkEnd w:id="59"/>
    </w:p>
    <w:tbl>
      <w:tblPr>
        <w:tblW w:w="9072" w:type="dxa"/>
        <w:tblInd w:w="108" w:type="dxa"/>
        <w:tblBorders>
          <w:top w:val="single" w:sz="4" w:space="0" w:color="B56012"/>
          <w:bottom w:val="single" w:sz="4" w:space="0" w:color="B56012"/>
          <w:insideH w:val="single" w:sz="4" w:space="0" w:color="B56012"/>
        </w:tblBorders>
        <w:tblLayout w:type="fixed"/>
        <w:tblLook w:val="04A0" w:firstRow="1" w:lastRow="0" w:firstColumn="1" w:lastColumn="0" w:noHBand="0" w:noVBand="1"/>
        <w:tblCaption w:val="Trend for use of the MBS item over time"/>
        <w:tblDescription w:val="Table 12 provides the number of services for item 41846, by financial year, from 2004-05 to 2014-15."/>
      </w:tblPr>
      <w:tblGrid>
        <w:gridCol w:w="824"/>
        <w:gridCol w:w="825"/>
        <w:gridCol w:w="825"/>
        <w:gridCol w:w="824"/>
        <w:gridCol w:w="825"/>
        <w:gridCol w:w="825"/>
        <w:gridCol w:w="825"/>
        <w:gridCol w:w="824"/>
        <w:gridCol w:w="825"/>
        <w:gridCol w:w="825"/>
        <w:gridCol w:w="825"/>
      </w:tblGrid>
      <w:tr w:rsidR="00BC209F" w:rsidRPr="00F460FA" w14:paraId="51A8CA77" w14:textId="77777777" w:rsidTr="00F460FA">
        <w:trPr>
          <w:trHeight w:val="300"/>
        </w:trPr>
        <w:tc>
          <w:tcPr>
            <w:tcW w:w="940" w:type="dxa"/>
            <w:shd w:val="clear" w:color="auto" w:fill="auto"/>
            <w:noWrap/>
            <w:vAlign w:val="bottom"/>
            <w:hideMark/>
          </w:tcPr>
          <w:p w14:paraId="189BFE49" w14:textId="77777777" w:rsidR="00BC209F" w:rsidRPr="00F460FA" w:rsidRDefault="00BC209F" w:rsidP="00EE3FA4">
            <w:pPr>
              <w:pStyle w:val="Tableheading"/>
            </w:pPr>
            <w:r w:rsidRPr="00F460FA">
              <w:t xml:space="preserve">2004-05 </w:t>
            </w:r>
          </w:p>
        </w:tc>
        <w:tc>
          <w:tcPr>
            <w:tcW w:w="941" w:type="dxa"/>
            <w:shd w:val="clear" w:color="auto" w:fill="auto"/>
            <w:noWrap/>
            <w:vAlign w:val="bottom"/>
            <w:hideMark/>
          </w:tcPr>
          <w:p w14:paraId="337704BF" w14:textId="77777777" w:rsidR="00BC209F" w:rsidRPr="00F460FA" w:rsidRDefault="00BC209F" w:rsidP="00EE3FA4">
            <w:pPr>
              <w:pStyle w:val="Tableheading"/>
            </w:pPr>
            <w:r w:rsidRPr="00F460FA">
              <w:t>2005-06</w:t>
            </w:r>
          </w:p>
        </w:tc>
        <w:tc>
          <w:tcPr>
            <w:tcW w:w="941" w:type="dxa"/>
            <w:shd w:val="clear" w:color="auto" w:fill="auto"/>
            <w:noWrap/>
            <w:vAlign w:val="bottom"/>
            <w:hideMark/>
          </w:tcPr>
          <w:p w14:paraId="77FDDF23" w14:textId="77777777" w:rsidR="00BC209F" w:rsidRPr="00F460FA" w:rsidRDefault="00BC209F" w:rsidP="00EE3FA4">
            <w:pPr>
              <w:pStyle w:val="Tableheading"/>
            </w:pPr>
            <w:r w:rsidRPr="00F460FA">
              <w:t xml:space="preserve">2006-07 </w:t>
            </w:r>
          </w:p>
        </w:tc>
        <w:tc>
          <w:tcPr>
            <w:tcW w:w="940" w:type="dxa"/>
            <w:shd w:val="clear" w:color="auto" w:fill="auto"/>
            <w:noWrap/>
            <w:vAlign w:val="bottom"/>
            <w:hideMark/>
          </w:tcPr>
          <w:p w14:paraId="6166340E" w14:textId="77777777" w:rsidR="00BC209F" w:rsidRPr="00F460FA" w:rsidRDefault="00BC209F" w:rsidP="00EE3FA4">
            <w:pPr>
              <w:pStyle w:val="Tableheading"/>
            </w:pPr>
            <w:r w:rsidRPr="00F460FA">
              <w:t xml:space="preserve">2007-08 </w:t>
            </w:r>
          </w:p>
        </w:tc>
        <w:tc>
          <w:tcPr>
            <w:tcW w:w="941" w:type="dxa"/>
            <w:shd w:val="clear" w:color="auto" w:fill="auto"/>
            <w:noWrap/>
            <w:vAlign w:val="bottom"/>
            <w:hideMark/>
          </w:tcPr>
          <w:p w14:paraId="28E7DE1F" w14:textId="77777777" w:rsidR="00BC209F" w:rsidRPr="00F460FA" w:rsidRDefault="00BC209F" w:rsidP="00EE3FA4">
            <w:pPr>
              <w:pStyle w:val="Tableheading"/>
            </w:pPr>
            <w:r w:rsidRPr="00F460FA">
              <w:t>2008-09</w:t>
            </w:r>
          </w:p>
        </w:tc>
        <w:tc>
          <w:tcPr>
            <w:tcW w:w="941" w:type="dxa"/>
            <w:shd w:val="clear" w:color="auto" w:fill="auto"/>
            <w:noWrap/>
            <w:vAlign w:val="bottom"/>
            <w:hideMark/>
          </w:tcPr>
          <w:p w14:paraId="6241075A" w14:textId="77777777" w:rsidR="00BC209F" w:rsidRPr="00F460FA" w:rsidRDefault="00BC209F" w:rsidP="00EE3FA4">
            <w:pPr>
              <w:pStyle w:val="Tableheading"/>
            </w:pPr>
            <w:r w:rsidRPr="00F460FA">
              <w:t xml:space="preserve">2009-10 </w:t>
            </w:r>
          </w:p>
        </w:tc>
        <w:tc>
          <w:tcPr>
            <w:tcW w:w="941" w:type="dxa"/>
            <w:shd w:val="clear" w:color="auto" w:fill="auto"/>
            <w:noWrap/>
            <w:vAlign w:val="bottom"/>
            <w:hideMark/>
          </w:tcPr>
          <w:p w14:paraId="73C3FB75" w14:textId="77777777" w:rsidR="00BC209F" w:rsidRPr="00F460FA" w:rsidRDefault="00BC209F" w:rsidP="00EE3FA4">
            <w:pPr>
              <w:pStyle w:val="Tableheading"/>
            </w:pPr>
            <w:r w:rsidRPr="00F460FA">
              <w:t xml:space="preserve">2010-11 </w:t>
            </w:r>
          </w:p>
        </w:tc>
        <w:tc>
          <w:tcPr>
            <w:tcW w:w="940" w:type="dxa"/>
            <w:shd w:val="clear" w:color="auto" w:fill="auto"/>
            <w:noWrap/>
            <w:vAlign w:val="bottom"/>
            <w:hideMark/>
          </w:tcPr>
          <w:p w14:paraId="4092A9B2" w14:textId="77777777" w:rsidR="00BC209F" w:rsidRPr="00F460FA" w:rsidRDefault="00BC209F" w:rsidP="00EE3FA4">
            <w:pPr>
              <w:pStyle w:val="Tableheading"/>
            </w:pPr>
            <w:r w:rsidRPr="00F460FA">
              <w:t>2011-12</w:t>
            </w:r>
          </w:p>
        </w:tc>
        <w:tc>
          <w:tcPr>
            <w:tcW w:w="941" w:type="dxa"/>
            <w:shd w:val="clear" w:color="auto" w:fill="auto"/>
            <w:noWrap/>
            <w:vAlign w:val="bottom"/>
            <w:hideMark/>
          </w:tcPr>
          <w:p w14:paraId="5584E49C" w14:textId="77777777" w:rsidR="00BC209F" w:rsidRPr="00F460FA" w:rsidRDefault="00BC209F" w:rsidP="00EE3FA4">
            <w:pPr>
              <w:pStyle w:val="Tableheading"/>
            </w:pPr>
            <w:r w:rsidRPr="00F460FA">
              <w:t xml:space="preserve">2012-13 </w:t>
            </w:r>
          </w:p>
        </w:tc>
        <w:tc>
          <w:tcPr>
            <w:tcW w:w="941" w:type="dxa"/>
            <w:shd w:val="clear" w:color="auto" w:fill="auto"/>
            <w:noWrap/>
            <w:vAlign w:val="bottom"/>
            <w:hideMark/>
          </w:tcPr>
          <w:p w14:paraId="6643116E" w14:textId="77777777" w:rsidR="00BC209F" w:rsidRPr="00F460FA" w:rsidRDefault="00BC209F" w:rsidP="00EE3FA4">
            <w:pPr>
              <w:pStyle w:val="Tableheading"/>
            </w:pPr>
            <w:r w:rsidRPr="00F460FA">
              <w:t xml:space="preserve">2013-14 </w:t>
            </w:r>
          </w:p>
        </w:tc>
        <w:tc>
          <w:tcPr>
            <w:tcW w:w="941" w:type="dxa"/>
            <w:shd w:val="clear" w:color="auto" w:fill="auto"/>
            <w:noWrap/>
            <w:vAlign w:val="bottom"/>
            <w:hideMark/>
          </w:tcPr>
          <w:p w14:paraId="3600A438" w14:textId="77777777" w:rsidR="00BC209F" w:rsidRPr="00F460FA" w:rsidRDefault="00BC209F" w:rsidP="00EE3FA4">
            <w:pPr>
              <w:pStyle w:val="Tableheading"/>
            </w:pPr>
            <w:r w:rsidRPr="00F460FA">
              <w:t>2014-15</w:t>
            </w:r>
          </w:p>
        </w:tc>
      </w:tr>
      <w:tr w:rsidR="00BC209F" w:rsidRPr="00DB29F7" w14:paraId="014CC4F4" w14:textId="77777777" w:rsidTr="00F460FA">
        <w:trPr>
          <w:trHeight w:val="330"/>
        </w:trPr>
        <w:tc>
          <w:tcPr>
            <w:tcW w:w="940" w:type="dxa"/>
            <w:shd w:val="clear" w:color="000000" w:fill="FAFBFE"/>
            <w:noWrap/>
            <w:vAlign w:val="center"/>
          </w:tcPr>
          <w:p w14:paraId="536C1411" w14:textId="77777777" w:rsidR="00BC209F" w:rsidRPr="00DB29F7" w:rsidRDefault="00BC209F" w:rsidP="00EE3FA4">
            <w:pPr>
              <w:pStyle w:val="Tabletext"/>
            </w:pPr>
            <w:r w:rsidRPr="00DB29F7">
              <w:t>7,731</w:t>
            </w:r>
          </w:p>
        </w:tc>
        <w:tc>
          <w:tcPr>
            <w:tcW w:w="941" w:type="dxa"/>
            <w:shd w:val="clear" w:color="000000" w:fill="FAFBFE"/>
            <w:noWrap/>
            <w:vAlign w:val="center"/>
          </w:tcPr>
          <w:p w14:paraId="744AAC09" w14:textId="77777777" w:rsidR="00BC209F" w:rsidRPr="00DB29F7" w:rsidRDefault="00BC209F" w:rsidP="00EE3FA4">
            <w:pPr>
              <w:pStyle w:val="Tabletext"/>
            </w:pPr>
            <w:r w:rsidRPr="00DB29F7">
              <w:t>8,308</w:t>
            </w:r>
          </w:p>
        </w:tc>
        <w:tc>
          <w:tcPr>
            <w:tcW w:w="941" w:type="dxa"/>
            <w:shd w:val="clear" w:color="000000" w:fill="FAFBFE"/>
            <w:noWrap/>
            <w:vAlign w:val="center"/>
          </w:tcPr>
          <w:p w14:paraId="6FB6C9A1" w14:textId="77777777" w:rsidR="00BC209F" w:rsidRPr="00DB29F7" w:rsidRDefault="00BC209F" w:rsidP="00EE3FA4">
            <w:pPr>
              <w:pStyle w:val="Tabletext"/>
            </w:pPr>
            <w:r w:rsidRPr="00DB29F7">
              <w:t>8,914</w:t>
            </w:r>
          </w:p>
        </w:tc>
        <w:tc>
          <w:tcPr>
            <w:tcW w:w="940" w:type="dxa"/>
            <w:shd w:val="clear" w:color="000000" w:fill="FAFBFE"/>
            <w:noWrap/>
            <w:vAlign w:val="center"/>
          </w:tcPr>
          <w:p w14:paraId="52622923" w14:textId="77777777" w:rsidR="00BC209F" w:rsidRPr="00DB29F7" w:rsidRDefault="00BC209F" w:rsidP="00EE3FA4">
            <w:pPr>
              <w:pStyle w:val="Tabletext"/>
            </w:pPr>
            <w:r w:rsidRPr="00DB29F7">
              <w:t>8,945</w:t>
            </w:r>
          </w:p>
        </w:tc>
        <w:tc>
          <w:tcPr>
            <w:tcW w:w="941" w:type="dxa"/>
            <w:shd w:val="clear" w:color="000000" w:fill="FAFBFE"/>
            <w:noWrap/>
            <w:vAlign w:val="center"/>
          </w:tcPr>
          <w:p w14:paraId="1AD1031A" w14:textId="77777777" w:rsidR="00BC209F" w:rsidRPr="00DB29F7" w:rsidRDefault="00BC209F" w:rsidP="00EE3FA4">
            <w:pPr>
              <w:pStyle w:val="Tabletext"/>
            </w:pPr>
            <w:r w:rsidRPr="00DB29F7">
              <w:t>11,662</w:t>
            </w:r>
          </w:p>
        </w:tc>
        <w:tc>
          <w:tcPr>
            <w:tcW w:w="941" w:type="dxa"/>
            <w:shd w:val="clear" w:color="000000" w:fill="FAFBFE"/>
            <w:noWrap/>
            <w:vAlign w:val="center"/>
          </w:tcPr>
          <w:p w14:paraId="5F70B8B0" w14:textId="77777777" w:rsidR="00BC209F" w:rsidRPr="00DB29F7" w:rsidRDefault="00BC209F" w:rsidP="00EE3FA4">
            <w:pPr>
              <w:pStyle w:val="Tabletext"/>
            </w:pPr>
            <w:r w:rsidRPr="00DB29F7">
              <w:t>14,102</w:t>
            </w:r>
          </w:p>
        </w:tc>
        <w:tc>
          <w:tcPr>
            <w:tcW w:w="941" w:type="dxa"/>
            <w:shd w:val="clear" w:color="000000" w:fill="FAFBFE"/>
            <w:noWrap/>
            <w:vAlign w:val="center"/>
          </w:tcPr>
          <w:p w14:paraId="026A1347" w14:textId="77777777" w:rsidR="00BC209F" w:rsidRPr="00DB29F7" w:rsidRDefault="00BC209F" w:rsidP="00EE3FA4">
            <w:pPr>
              <w:pStyle w:val="Tabletext"/>
            </w:pPr>
            <w:r w:rsidRPr="00DB29F7">
              <w:t>17,594</w:t>
            </w:r>
          </w:p>
        </w:tc>
        <w:tc>
          <w:tcPr>
            <w:tcW w:w="940" w:type="dxa"/>
            <w:shd w:val="clear" w:color="000000" w:fill="FAFBFE"/>
            <w:noWrap/>
            <w:vAlign w:val="center"/>
          </w:tcPr>
          <w:p w14:paraId="3A724E61" w14:textId="77777777" w:rsidR="00BC209F" w:rsidRPr="00DB29F7" w:rsidRDefault="00BC209F" w:rsidP="00EE3FA4">
            <w:pPr>
              <w:pStyle w:val="Tabletext"/>
            </w:pPr>
            <w:r w:rsidRPr="00DB29F7">
              <w:t>21,418</w:t>
            </w:r>
          </w:p>
        </w:tc>
        <w:tc>
          <w:tcPr>
            <w:tcW w:w="941" w:type="dxa"/>
            <w:shd w:val="clear" w:color="000000" w:fill="FAFBFE"/>
            <w:noWrap/>
            <w:vAlign w:val="center"/>
          </w:tcPr>
          <w:p w14:paraId="4E35B2EF" w14:textId="77777777" w:rsidR="00BC209F" w:rsidRPr="00DB29F7" w:rsidRDefault="00BC209F" w:rsidP="00EE3FA4">
            <w:pPr>
              <w:pStyle w:val="Tabletext"/>
            </w:pPr>
            <w:r w:rsidRPr="00DB29F7">
              <w:t>28,479</w:t>
            </w:r>
          </w:p>
        </w:tc>
        <w:tc>
          <w:tcPr>
            <w:tcW w:w="941" w:type="dxa"/>
            <w:shd w:val="clear" w:color="000000" w:fill="FAFBFE"/>
            <w:noWrap/>
            <w:vAlign w:val="center"/>
          </w:tcPr>
          <w:p w14:paraId="7D1E678B" w14:textId="77777777" w:rsidR="00BC209F" w:rsidRPr="00DB29F7" w:rsidRDefault="00BC209F" w:rsidP="00EE3FA4">
            <w:pPr>
              <w:pStyle w:val="Tabletext"/>
            </w:pPr>
            <w:r w:rsidRPr="00DB29F7">
              <w:t>33,148</w:t>
            </w:r>
          </w:p>
        </w:tc>
        <w:tc>
          <w:tcPr>
            <w:tcW w:w="941" w:type="dxa"/>
            <w:shd w:val="clear" w:color="000000" w:fill="FAFBFE"/>
            <w:noWrap/>
            <w:vAlign w:val="center"/>
          </w:tcPr>
          <w:p w14:paraId="12772ED8" w14:textId="77777777" w:rsidR="00BC209F" w:rsidRPr="00DB29F7" w:rsidRDefault="00BC209F" w:rsidP="00EE3FA4">
            <w:pPr>
              <w:pStyle w:val="Tabletext"/>
            </w:pPr>
            <w:r w:rsidRPr="00DB29F7">
              <w:t>36,176</w:t>
            </w:r>
          </w:p>
        </w:tc>
      </w:tr>
    </w:tbl>
    <w:p w14:paraId="792C65C1" w14:textId="77777777" w:rsidR="00BC209F" w:rsidRPr="00BC0C1D" w:rsidRDefault="00BC209F" w:rsidP="001C3B56">
      <w:pPr>
        <w:pStyle w:val="TableUnderlast"/>
        <w:rPr>
          <w:iCs/>
        </w:rPr>
      </w:pPr>
      <w:r w:rsidRPr="00BC0C1D">
        <w:t>Public data (Department of Human Services website)</w:t>
      </w:r>
    </w:p>
    <w:p w14:paraId="3748A842" w14:textId="77777777" w:rsidR="00BC209F" w:rsidRPr="003873E6" w:rsidRDefault="00BC209F" w:rsidP="00BC0C1D">
      <w:r w:rsidRPr="003873E6">
        <w:t xml:space="preserve">The Committee was of the view that this procedure is no longer part of contemporary clinical practice. More than 95 per cent of services claimed under this item were for out-of-hospital services, and five per cent of services </w:t>
      </w:r>
      <w:r w:rsidR="00910896">
        <w:t xml:space="preserve">were </w:t>
      </w:r>
      <w:r w:rsidRPr="003873E6">
        <w:t>provided in-hospital.</w:t>
      </w:r>
    </w:p>
    <w:p w14:paraId="796BB6D4" w14:textId="77777777" w:rsidR="00BC209F" w:rsidRPr="003873E6" w:rsidRDefault="00BC209F" w:rsidP="00BC0C1D">
      <w:r w:rsidRPr="003873E6">
        <w:t xml:space="preserve">Where the service is performed under general anaesthetic as an in-hospital service, the Committee is of the opinion that this service has been superseded by </w:t>
      </w:r>
      <w:proofErr w:type="spellStart"/>
      <w:r w:rsidRPr="003873E6">
        <w:t>microlaryngoscopy</w:t>
      </w:r>
      <w:proofErr w:type="spellEnd"/>
      <w:r w:rsidRPr="003873E6">
        <w:t xml:space="preserve"> procedures (covered under items 41855 to 41867). Where the service is provided on an out-of-hospital service basis, the view of the Committee is that MBS direct examination has been superseded with the use of endoscopes and these examinations are covered under MBS item 41764.</w:t>
      </w:r>
    </w:p>
    <w:p w14:paraId="3451CE77" w14:textId="77777777" w:rsidR="00BC209F" w:rsidRPr="003873E6" w:rsidRDefault="00BC209F" w:rsidP="00BC0C1D">
      <w:r w:rsidRPr="003873E6">
        <w:t xml:space="preserve">The Committee noted that some members were aware of practitioners claiming this item for providing </w:t>
      </w:r>
      <w:proofErr w:type="spellStart"/>
      <w:r w:rsidRPr="003873E6">
        <w:t>stroboscopy</w:t>
      </w:r>
      <w:proofErr w:type="spellEnd"/>
      <w:r w:rsidRPr="003873E6">
        <w:t xml:space="preserve">. </w:t>
      </w:r>
      <w:proofErr w:type="spellStart"/>
      <w:r w:rsidR="0023473B">
        <w:t>Stroboscopy</w:t>
      </w:r>
      <w:proofErr w:type="spellEnd"/>
      <w:r w:rsidR="007736E8">
        <w:t xml:space="preserve"> </w:t>
      </w:r>
      <w:r w:rsidR="0023473B">
        <w:t xml:space="preserve">is not specifically funded under the MBS and it appears that some practitioners are using item 41846 to subsidise this service. </w:t>
      </w:r>
      <w:r w:rsidRPr="003873E6">
        <w:t xml:space="preserve">The Committee was of the view that </w:t>
      </w:r>
      <w:r w:rsidR="0023473B">
        <w:t xml:space="preserve">if </w:t>
      </w:r>
      <w:r w:rsidRPr="003873E6">
        <w:t xml:space="preserve">the service of </w:t>
      </w:r>
      <w:proofErr w:type="spellStart"/>
      <w:r w:rsidRPr="003873E6">
        <w:t>stroboscopy</w:t>
      </w:r>
      <w:proofErr w:type="spellEnd"/>
      <w:r w:rsidRPr="003873E6">
        <w:t xml:space="preserve"> </w:t>
      </w:r>
      <w:r w:rsidR="0023473B">
        <w:t xml:space="preserve">is to be MBS rebated this </w:t>
      </w:r>
      <w:r w:rsidRPr="003873E6">
        <w:t>would be best provided for under a new item.</w:t>
      </w:r>
    </w:p>
    <w:p w14:paraId="416A70FD" w14:textId="77777777" w:rsidR="00BC209F" w:rsidRPr="005C3B1A" w:rsidRDefault="00BC209F" w:rsidP="00700528">
      <w:pPr>
        <w:pStyle w:val="Heading3"/>
      </w:pPr>
      <w:r w:rsidRPr="005C3B1A">
        <w:t>Public Consultation 1 December 2015 to 8 February 2016</w:t>
      </w:r>
    </w:p>
    <w:p w14:paraId="2B7D77DF" w14:textId="77777777" w:rsidR="00BC209F" w:rsidRPr="009D1CB7" w:rsidRDefault="009045D8" w:rsidP="00FE6728">
      <w:r>
        <w:t xml:space="preserve">The specific services available under Item 41846 are no longer a necessary part of contemporary practice and for this reason the Committee </w:t>
      </w:r>
      <w:r w:rsidR="00E754D9">
        <w:t>identified the item as obsolete</w:t>
      </w:r>
      <w:r>
        <w:t>.</w:t>
      </w:r>
      <w:r w:rsidR="007736E8">
        <w:t xml:space="preserve"> </w:t>
      </w:r>
      <w:r w:rsidR="00BC209F" w:rsidRPr="00226A36">
        <w:t xml:space="preserve">The Committee noted that some practitioners may be claiming the item when performing </w:t>
      </w:r>
      <w:proofErr w:type="spellStart"/>
      <w:r w:rsidR="00BC209F" w:rsidRPr="00226A36">
        <w:t>stroboscopy</w:t>
      </w:r>
      <w:proofErr w:type="spellEnd"/>
      <w:r w:rsidR="00BC209F" w:rsidRPr="00226A36">
        <w:t xml:space="preserve"> but</w:t>
      </w:r>
      <w:r>
        <w:t xml:space="preserve"> nevertheless</w:t>
      </w:r>
      <w:r w:rsidR="007736E8">
        <w:t xml:space="preserve"> </w:t>
      </w:r>
      <w:r w:rsidR="00BC209F" w:rsidRPr="00226A36">
        <w:t>recommended that the item be removed.</w:t>
      </w:r>
      <w:r w:rsidR="007736E8">
        <w:t xml:space="preserve"> </w:t>
      </w:r>
      <w:r w:rsidR="00BC209F" w:rsidRPr="00226A36">
        <w:t>However, the Committee agreed to seek the views of stakeholders during the public consultation.</w:t>
      </w:r>
    </w:p>
    <w:p w14:paraId="076C7750" w14:textId="77777777" w:rsidR="00BC209F" w:rsidRDefault="00BC209F" w:rsidP="00FE6728">
      <w:r>
        <w:t>The public consultation was conducted between 1 December 2015 and 8 February 2016.</w:t>
      </w:r>
      <w:r w:rsidR="007736E8">
        <w:t xml:space="preserve"> </w:t>
      </w:r>
    </w:p>
    <w:p w14:paraId="6729EE9C" w14:textId="77777777" w:rsidR="00BC209F" w:rsidRDefault="00BC209F" w:rsidP="007E1A59">
      <w:r>
        <w:t xml:space="preserve">Responses from the </w:t>
      </w:r>
      <w:r w:rsidRPr="00E363F8">
        <w:t>Laryngology Society of Australasia</w:t>
      </w:r>
      <w:r w:rsidR="00815C8F">
        <w:t xml:space="preserve"> (LSA)</w:t>
      </w:r>
      <w:r w:rsidRPr="00E363F8">
        <w:t>, the</w:t>
      </w:r>
      <w:r w:rsidR="00BA7FCC">
        <w:t xml:space="preserve"> </w:t>
      </w:r>
      <w:r w:rsidR="00815C8F">
        <w:t>ASOHNS</w:t>
      </w:r>
      <w:r w:rsidRPr="00E363F8">
        <w:t xml:space="preserve"> and Speech Pathology Australia </w:t>
      </w:r>
      <w:r>
        <w:t>advised that item</w:t>
      </w:r>
      <w:r w:rsidRPr="00E363F8">
        <w:t xml:space="preserve"> 41846 is commonly used for </w:t>
      </w:r>
      <w:proofErr w:type="spellStart"/>
      <w:r w:rsidRPr="00E363F8">
        <w:t>stroboscopy</w:t>
      </w:r>
      <w:proofErr w:type="spellEnd"/>
      <w:r w:rsidRPr="00E363F8">
        <w:t xml:space="preserve">, </w:t>
      </w:r>
      <w:r>
        <w:t xml:space="preserve">as </w:t>
      </w:r>
      <w:r w:rsidRPr="00E363F8">
        <w:t xml:space="preserve">there is no suitable alternative </w:t>
      </w:r>
      <w:r>
        <w:t>MBS</w:t>
      </w:r>
      <w:r w:rsidRPr="00E363F8">
        <w:t xml:space="preserve"> </w:t>
      </w:r>
      <w:r w:rsidR="009045D8">
        <w:t xml:space="preserve">item </w:t>
      </w:r>
      <w:r w:rsidRPr="00E363F8">
        <w:t>for this service.</w:t>
      </w:r>
      <w:r w:rsidR="007736E8">
        <w:t xml:space="preserve"> </w:t>
      </w:r>
      <w:r>
        <w:t>The stakeholders provided e</w:t>
      </w:r>
      <w:r w:rsidRPr="00E363F8">
        <w:t xml:space="preserve">vidence to support use of </w:t>
      </w:r>
      <w:proofErr w:type="spellStart"/>
      <w:r w:rsidRPr="00E363F8">
        <w:t>s</w:t>
      </w:r>
      <w:r>
        <w:t>troboscopy</w:t>
      </w:r>
      <w:proofErr w:type="spellEnd"/>
      <w:r>
        <w:t xml:space="preserve"> in clinical practice, </w:t>
      </w:r>
      <w:r w:rsidRPr="00E363F8">
        <w:t xml:space="preserve">with the view being that </w:t>
      </w:r>
      <w:proofErr w:type="spellStart"/>
      <w:r w:rsidRPr="00E363F8">
        <w:t>stroboscopy</w:t>
      </w:r>
      <w:proofErr w:type="spellEnd"/>
      <w:r w:rsidRPr="00E363F8">
        <w:t xml:space="preserve"> </w:t>
      </w:r>
      <w:r w:rsidRPr="00422EC8">
        <w:t xml:space="preserve">is accepted worldwide as the gold standard method of </w:t>
      </w:r>
      <w:r w:rsidR="009045D8" w:rsidRPr="00422EC8">
        <w:t>assessing</w:t>
      </w:r>
      <w:r w:rsidRPr="00422EC8">
        <w:t xml:space="preserve"> the function of the larynx</w:t>
      </w:r>
      <w:r w:rsidR="00E754D9" w:rsidRPr="00422EC8">
        <w:t>.</w:t>
      </w:r>
      <w:r w:rsidRPr="00422EC8">
        <w:t xml:space="preserve"> </w:t>
      </w:r>
      <w:r w:rsidR="009045D8">
        <w:t>Alt</w:t>
      </w:r>
      <w:r w:rsidRPr="00E363F8">
        <w:t xml:space="preserve">ernative procedures </w:t>
      </w:r>
      <w:proofErr w:type="gramStart"/>
      <w:r w:rsidRPr="00E363F8">
        <w:t>were seen as</w:t>
      </w:r>
      <w:proofErr w:type="gramEnd"/>
      <w:r w:rsidRPr="00E363F8">
        <w:t xml:space="preserve"> inadequate, as they increased the harm to patients by requiring them to be operated on in a surgical theatre under general anaesthetic.</w:t>
      </w:r>
      <w:r w:rsidR="00E754D9">
        <w:t xml:space="preserve"> </w:t>
      </w:r>
      <w:r w:rsidR="009045D8">
        <w:t>I</w:t>
      </w:r>
      <w:r>
        <w:t>t was argued that r</w:t>
      </w:r>
      <w:r w:rsidRPr="00E363F8">
        <w:t xml:space="preserve">emoving </w:t>
      </w:r>
      <w:r>
        <w:t xml:space="preserve">item </w:t>
      </w:r>
      <w:r w:rsidRPr="00E363F8">
        <w:t>41846 would increase surgical admission numbers, putting a significant cost and time burden on patients and the health system.</w:t>
      </w:r>
    </w:p>
    <w:p w14:paraId="4EB3B980" w14:textId="77777777" w:rsidR="00BC209F" w:rsidRPr="00E363F8" w:rsidRDefault="00BC209F" w:rsidP="00A03057">
      <w:r>
        <w:lastRenderedPageBreak/>
        <w:t>The stakeholders advised that t</w:t>
      </w:r>
      <w:r w:rsidRPr="00E363F8">
        <w:t>he limited use of th</w:t>
      </w:r>
      <w:r>
        <w:t>e</w:t>
      </w:r>
      <w:r w:rsidRPr="00E363F8">
        <w:t xml:space="preserve"> item to certain geographical locations </w:t>
      </w:r>
      <w:r>
        <w:t>could be</w:t>
      </w:r>
      <w:r w:rsidRPr="00E363F8">
        <w:t xml:space="preserve"> explained by the sophisticated</w:t>
      </w:r>
      <w:r>
        <w:t xml:space="preserve"> nature of the procedure and the</w:t>
      </w:r>
      <w:r w:rsidRPr="00E363F8">
        <w:t xml:space="preserve"> necessit</w:t>
      </w:r>
      <w:r>
        <w:t xml:space="preserve">y for expensive, </w:t>
      </w:r>
      <w:r w:rsidRPr="00E363F8">
        <w:t xml:space="preserve">specialised equipment that most generalist ENT </w:t>
      </w:r>
      <w:r w:rsidR="008A020E">
        <w:t>s</w:t>
      </w:r>
      <w:r w:rsidRPr="00E363F8">
        <w:t xml:space="preserve">pecialist practices </w:t>
      </w:r>
      <w:r>
        <w:t>do not have access to</w:t>
      </w:r>
      <w:r w:rsidRPr="00E363F8">
        <w:t>.</w:t>
      </w:r>
    </w:p>
    <w:p w14:paraId="5FE053BE" w14:textId="77777777" w:rsidR="00BC209F" w:rsidRDefault="00BC209F" w:rsidP="007E27AB">
      <w:r w:rsidRPr="003873E6">
        <w:t xml:space="preserve">The Committee was aware of the practice of some clinicians of claiming item 41846 for </w:t>
      </w:r>
      <w:proofErr w:type="spellStart"/>
      <w:r w:rsidRPr="003873E6">
        <w:t>stroboscopy</w:t>
      </w:r>
      <w:proofErr w:type="spellEnd"/>
      <w:r w:rsidRPr="003873E6">
        <w:t xml:space="preserve">; however, the clinical committee clearly indicated that </w:t>
      </w:r>
      <w:proofErr w:type="spellStart"/>
      <w:r w:rsidRPr="003873E6">
        <w:t>stroboscopy</w:t>
      </w:r>
      <w:proofErr w:type="spellEnd"/>
      <w:r w:rsidRPr="003873E6">
        <w:t xml:space="preserve"> should not be billed under item 41846 and should be considered for a separate service. </w:t>
      </w:r>
    </w:p>
    <w:p w14:paraId="3BF97D9C" w14:textId="77777777" w:rsidR="00BC209F" w:rsidRDefault="00BC209F" w:rsidP="00725F6C">
      <w:r>
        <w:t>Following consideration of the response from stakeholders, the Committee</w:t>
      </w:r>
      <w:r w:rsidR="007736E8">
        <w:t xml:space="preserve"> </w:t>
      </w:r>
      <w:r w:rsidR="006835A7">
        <w:t>commissioned</w:t>
      </w:r>
      <w:r w:rsidR="007736E8">
        <w:t xml:space="preserve"> </w:t>
      </w:r>
      <w:r w:rsidRPr="003873E6">
        <w:t xml:space="preserve">an evidence review of </w:t>
      </w:r>
      <w:proofErr w:type="spellStart"/>
      <w:r w:rsidRPr="003873E6">
        <w:t>stroboscopy</w:t>
      </w:r>
      <w:proofErr w:type="spellEnd"/>
      <w:r w:rsidRPr="003873E6">
        <w:t xml:space="preserve"> with a view to considering </w:t>
      </w:r>
      <w:r w:rsidR="006835A7">
        <w:t>the merits of introducing a</w:t>
      </w:r>
      <w:r w:rsidRPr="003873E6">
        <w:t xml:space="preserve"> separate item for the service</w:t>
      </w:r>
      <w:r>
        <w:t>.</w:t>
      </w:r>
    </w:p>
    <w:p w14:paraId="6D549E7D" w14:textId="77777777" w:rsidR="00BC209F" w:rsidRPr="005C3B1A" w:rsidRDefault="00BC209F" w:rsidP="00700528">
      <w:pPr>
        <w:pStyle w:val="Heading3"/>
      </w:pPr>
      <w:bookmarkStart w:id="60" w:name="_Toc452990612"/>
      <w:r w:rsidRPr="005C3B1A">
        <w:t>Evidence Review</w:t>
      </w:r>
      <w:bookmarkEnd w:id="60"/>
    </w:p>
    <w:p w14:paraId="625112ED" w14:textId="77777777" w:rsidR="00BC209F" w:rsidRPr="009D1CB7" w:rsidRDefault="00BC209F" w:rsidP="00FE6728">
      <w:r w:rsidRPr="003873E6">
        <w:t xml:space="preserve">A rapid review of available literature was conducted in response to </w:t>
      </w:r>
      <w:r>
        <w:t>the following</w:t>
      </w:r>
      <w:r w:rsidRPr="003873E6">
        <w:t xml:space="preserve"> questions</w:t>
      </w:r>
      <w:r w:rsidR="00E754D9">
        <w:t>:</w:t>
      </w:r>
    </w:p>
    <w:p w14:paraId="5B4FEF21" w14:textId="77777777" w:rsidR="009D1CB7" w:rsidRDefault="009D1CB7" w:rsidP="00822601">
      <w:pPr>
        <w:ind w:left="567" w:hanging="567"/>
      </w:pPr>
      <w:r>
        <w:t>Q1.</w:t>
      </w:r>
      <w:r>
        <w:tab/>
      </w:r>
      <w:r w:rsidR="00BC209F" w:rsidRPr="003873E6">
        <w:t xml:space="preserve">What is </w:t>
      </w:r>
      <w:proofErr w:type="spellStart"/>
      <w:r w:rsidR="00BC209F" w:rsidRPr="003873E6">
        <w:t>stroboscopy</w:t>
      </w:r>
      <w:proofErr w:type="spellEnd"/>
      <w:r w:rsidR="00BC209F">
        <w:t xml:space="preserve"> and how is it performed?</w:t>
      </w:r>
      <w:r w:rsidR="007736E8">
        <w:t xml:space="preserve"> </w:t>
      </w:r>
      <w:r w:rsidR="00BC209F" w:rsidRPr="003873E6">
        <w:t>What equipment is used?</w:t>
      </w:r>
      <w:r w:rsidR="007736E8">
        <w:t xml:space="preserve"> </w:t>
      </w:r>
      <w:r w:rsidR="00BC209F">
        <w:t>H</w:t>
      </w:r>
      <w:r w:rsidR="00BC209F" w:rsidRPr="003873E6">
        <w:t>ow much time does the procedure take?</w:t>
      </w:r>
    </w:p>
    <w:p w14:paraId="2495A772" w14:textId="77777777" w:rsidR="009D1CB7" w:rsidRDefault="009D1CB7" w:rsidP="00822601">
      <w:pPr>
        <w:ind w:left="567" w:hanging="567"/>
      </w:pPr>
      <w:r>
        <w:t>Q2.</w:t>
      </w:r>
      <w:r>
        <w:tab/>
      </w:r>
      <w:r w:rsidR="00BC209F" w:rsidRPr="003873E6">
        <w:t>For what clinical indications is</w:t>
      </w:r>
      <w:r w:rsidR="007736E8">
        <w:t xml:space="preserve"> </w:t>
      </w:r>
      <w:proofErr w:type="spellStart"/>
      <w:r w:rsidR="00BC209F" w:rsidRPr="003873E6">
        <w:t>stroboscopy</w:t>
      </w:r>
      <w:proofErr w:type="spellEnd"/>
      <w:r w:rsidR="00BC209F" w:rsidRPr="003873E6">
        <w:t xml:space="preserve"> used in Australia?</w:t>
      </w:r>
      <w:r w:rsidR="007736E8">
        <w:t xml:space="preserve"> </w:t>
      </w:r>
      <w:r w:rsidR="00BC209F" w:rsidRPr="003873E6">
        <w:t>Are other services regularly provided prior to, in conjunction with or as follow-up to the procedure?</w:t>
      </w:r>
      <w:r w:rsidR="007736E8">
        <w:t xml:space="preserve"> </w:t>
      </w:r>
      <w:r w:rsidR="00BC209F" w:rsidRPr="003873E6">
        <w:t>Is the test confined to occupational heal</w:t>
      </w:r>
      <w:r w:rsidR="003F50B2">
        <w:t>th settings (such as actors, singers</w:t>
      </w:r>
      <w:r w:rsidR="00BC209F" w:rsidRPr="003873E6">
        <w:t>) or is it also used for other patients or other pathologies</w:t>
      </w:r>
      <w:r w:rsidR="00F61AEB">
        <w:t>?</w:t>
      </w:r>
    </w:p>
    <w:p w14:paraId="1C458DD1" w14:textId="77777777" w:rsidR="009D1CB7" w:rsidRDefault="009D1CB7" w:rsidP="00822601">
      <w:pPr>
        <w:ind w:left="567" w:hanging="567"/>
      </w:pPr>
      <w:r>
        <w:t>Q3.</w:t>
      </w:r>
      <w:r>
        <w:tab/>
      </w:r>
      <w:r w:rsidR="00BC209F" w:rsidRPr="003873E6">
        <w:t xml:space="preserve">Who performs </w:t>
      </w:r>
      <w:proofErr w:type="spellStart"/>
      <w:r w:rsidR="00BC209F" w:rsidRPr="003873E6">
        <w:t>stroboscopy</w:t>
      </w:r>
      <w:proofErr w:type="spellEnd"/>
      <w:r w:rsidR="00BC209F" w:rsidRPr="003873E6">
        <w:t>?</w:t>
      </w:r>
      <w:r w:rsidR="007736E8">
        <w:t xml:space="preserve"> </w:t>
      </w:r>
      <w:r w:rsidR="00BC209F" w:rsidRPr="003873E6">
        <w:t xml:space="preserve">What is the role of a speech pathologist versus </w:t>
      </w:r>
      <w:r w:rsidR="00922C21" w:rsidRPr="003873E6">
        <w:t>an</w:t>
      </w:r>
      <w:r w:rsidR="00BC209F" w:rsidRPr="003873E6">
        <w:t xml:space="preserve"> ENT surgeon?</w:t>
      </w:r>
    </w:p>
    <w:p w14:paraId="335E56C1" w14:textId="77777777" w:rsidR="00BC209F" w:rsidRPr="009D1CB7" w:rsidRDefault="009D1CB7" w:rsidP="00822601">
      <w:pPr>
        <w:ind w:left="567" w:hanging="567"/>
      </w:pPr>
      <w:r>
        <w:t>Q4.</w:t>
      </w:r>
      <w:r>
        <w:tab/>
      </w:r>
      <w:r w:rsidR="00BC209F" w:rsidRPr="003873E6">
        <w:t xml:space="preserve">What is the evidence that </w:t>
      </w:r>
      <w:proofErr w:type="spellStart"/>
      <w:r w:rsidR="00BC209F" w:rsidRPr="003873E6">
        <w:t>stroboscopy</w:t>
      </w:r>
      <w:proofErr w:type="spellEnd"/>
      <w:r w:rsidR="00BC209F" w:rsidRPr="003873E6">
        <w:t xml:space="preserve"> has clinical utility in the diagnosis and management of vocal disorders</w:t>
      </w:r>
      <w:r w:rsidR="00BC209F">
        <w:t>?</w:t>
      </w:r>
      <w:r w:rsidR="007736E8">
        <w:t xml:space="preserve"> </w:t>
      </w:r>
      <w:r w:rsidR="00BC209F" w:rsidRPr="003873E6">
        <w:t xml:space="preserve">What is the comparator? How are vocal disorders assessed without </w:t>
      </w:r>
      <w:proofErr w:type="spellStart"/>
      <w:r w:rsidR="00BC209F" w:rsidRPr="003873E6">
        <w:t>stroboscopy</w:t>
      </w:r>
      <w:proofErr w:type="spellEnd"/>
      <w:r w:rsidR="00BC209F" w:rsidRPr="003873E6">
        <w:t>?</w:t>
      </w:r>
      <w:r w:rsidR="007736E8">
        <w:t xml:space="preserve"> </w:t>
      </w:r>
      <w:r w:rsidR="00BC209F" w:rsidRPr="003873E6">
        <w:t xml:space="preserve">Is </w:t>
      </w:r>
      <w:proofErr w:type="spellStart"/>
      <w:r w:rsidR="00BC209F" w:rsidRPr="003873E6">
        <w:t>stroboscopy</w:t>
      </w:r>
      <w:proofErr w:type="spellEnd"/>
      <w:r w:rsidR="00BC209F" w:rsidRPr="003873E6">
        <w:t xml:space="preserve"> equivalent to</w:t>
      </w:r>
      <w:r w:rsidR="00F61AEB">
        <w:t xml:space="preserve"> </w:t>
      </w:r>
      <w:r w:rsidR="00BC209F" w:rsidRPr="003873E6">
        <w:t>(</w:t>
      </w:r>
      <w:r w:rsidR="00FA24DF">
        <w:t xml:space="preserve">or better than) </w:t>
      </w:r>
      <w:r w:rsidR="00BC209F" w:rsidRPr="003873E6">
        <w:t>other</w:t>
      </w:r>
      <w:r w:rsidR="007736E8">
        <w:t xml:space="preserve"> </w:t>
      </w:r>
      <w:r w:rsidR="00BC209F" w:rsidRPr="003873E6">
        <w:t>methods of diagnosing</w:t>
      </w:r>
      <w:r w:rsidR="007736E8">
        <w:t xml:space="preserve"> </w:t>
      </w:r>
      <w:r w:rsidR="00BC209F" w:rsidRPr="003873E6">
        <w:t>vocal disorders?</w:t>
      </w:r>
      <w:r w:rsidR="007736E8">
        <w:t xml:space="preserve"> </w:t>
      </w:r>
      <w:r w:rsidR="00BC209F" w:rsidRPr="003873E6">
        <w:t xml:space="preserve">Does use of </w:t>
      </w:r>
      <w:proofErr w:type="spellStart"/>
      <w:r w:rsidR="00BC209F" w:rsidRPr="003873E6">
        <w:t>stroboscopy</w:t>
      </w:r>
      <w:proofErr w:type="spellEnd"/>
      <w:r w:rsidR="00BC209F" w:rsidRPr="003873E6">
        <w:t xml:space="preserve"> change management and/or improve outcomes for patients with vocal disorders?</w:t>
      </w:r>
    </w:p>
    <w:p w14:paraId="4532FD0F" w14:textId="77777777" w:rsidR="00BC209F" w:rsidRPr="003873E6" w:rsidRDefault="00BC209F" w:rsidP="009D1CB7">
      <w:pPr>
        <w:rPr>
          <w:bCs/>
        </w:rPr>
      </w:pPr>
      <w:r>
        <w:rPr>
          <w:bCs/>
        </w:rPr>
        <w:t>A copy of the evidence review is at Appendix C.</w:t>
      </w:r>
      <w:r w:rsidR="007736E8">
        <w:rPr>
          <w:bCs/>
        </w:rPr>
        <w:t xml:space="preserve"> </w:t>
      </w:r>
      <w:r>
        <w:rPr>
          <w:bCs/>
        </w:rPr>
        <w:t xml:space="preserve">The key </w:t>
      </w:r>
      <w:r w:rsidRPr="003873E6">
        <w:rPr>
          <w:bCs/>
        </w:rPr>
        <w:t xml:space="preserve">findings are summarised below. </w:t>
      </w:r>
    </w:p>
    <w:p w14:paraId="50230536" w14:textId="77777777" w:rsidR="00BC209F" w:rsidRDefault="00BC209F" w:rsidP="005C3B1A">
      <w:pPr>
        <w:pStyle w:val="Heading4"/>
      </w:pPr>
      <w:r>
        <w:t>Evidence Review Findings</w:t>
      </w:r>
    </w:p>
    <w:p w14:paraId="6A8BBD82" w14:textId="77777777" w:rsidR="00BC209F" w:rsidRPr="001C3B56" w:rsidRDefault="00BC209F" w:rsidP="009D1CB7">
      <w:r w:rsidRPr="001C3B56">
        <w:t xml:space="preserve">Does the use of </w:t>
      </w:r>
      <w:proofErr w:type="spellStart"/>
      <w:r w:rsidRPr="001C3B56">
        <w:t>stroboscopy</w:t>
      </w:r>
      <w:proofErr w:type="spellEnd"/>
      <w:r w:rsidRPr="001C3B56">
        <w:t xml:space="preserve"> improve diagnostic accuracy and management of people presenting with vocal disorders?</w:t>
      </w:r>
    </w:p>
    <w:p w14:paraId="0DF21CB7" w14:textId="77777777" w:rsidR="00BC209F" w:rsidRPr="003873E6" w:rsidRDefault="00BC209F" w:rsidP="009D1CB7">
      <w:pPr>
        <w:pStyle w:val="NormalBulleted"/>
      </w:pPr>
      <w:r w:rsidRPr="003873E6">
        <w:t xml:space="preserve">Laryngeal endoscopy with </w:t>
      </w:r>
      <w:proofErr w:type="spellStart"/>
      <w:r w:rsidRPr="003873E6">
        <w:t>stroboscopy</w:t>
      </w:r>
      <w:proofErr w:type="spellEnd"/>
      <w:r w:rsidRPr="003873E6">
        <w:t xml:space="preserve"> is the gold standard in the assessment of dysphonia and has no significant adverse effects.</w:t>
      </w:r>
    </w:p>
    <w:p w14:paraId="1C444EF5" w14:textId="77777777" w:rsidR="00BC209F" w:rsidRPr="003873E6" w:rsidRDefault="006835A7" w:rsidP="009D1CB7">
      <w:pPr>
        <w:pStyle w:val="NormalBulleted"/>
      </w:pPr>
      <w:proofErr w:type="spellStart"/>
      <w:r>
        <w:rPr>
          <w:bCs/>
        </w:rPr>
        <w:t>S</w:t>
      </w:r>
      <w:r w:rsidR="00BC209F" w:rsidRPr="003873E6">
        <w:rPr>
          <w:bCs/>
        </w:rPr>
        <w:t>troboscopy</w:t>
      </w:r>
      <w:proofErr w:type="spellEnd"/>
      <w:r w:rsidR="00BC209F" w:rsidRPr="003873E6">
        <w:rPr>
          <w:bCs/>
        </w:rPr>
        <w:t xml:space="preserve"> is a useful diagnostic tool for evaluating</w:t>
      </w:r>
      <w:r w:rsidR="00BC209F" w:rsidRPr="003873E6">
        <w:t xml:space="preserve"> functional dysphonia, vocal fold paralysis</w:t>
      </w:r>
      <w:r w:rsidR="00BC209F" w:rsidRPr="003873E6">
        <w:rPr>
          <w:bCs/>
        </w:rPr>
        <w:t xml:space="preserve">, </w:t>
      </w:r>
      <w:r w:rsidR="00BC209F" w:rsidRPr="003873E6">
        <w:t>vocal fold paresis, benign vocal fold lesions (polyps, cysts, nodules) and non-specific dysphonia.</w:t>
      </w:r>
      <w:r w:rsidR="00BC209F" w:rsidRPr="003873E6">
        <w:rPr>
          <w:vertAlign w:val="superscript"/>
        </w:rPr>
        <w:t xml:space="preserve"> </w:t>
      </w:r>
      <w:r w:rsidR="00BC209F" w:rsidRPr="003873E6">
        <w:t xml:space="preserve">However, </w:t>
      </w:r>
      <w:r>
        <w:t xml:space="preserve">the report </w:t>
      </w:r>
      <w:r w:rsidR="00BC209F" w:rsidRPr="003873E6">
        <w:t xml:space="preserve">noted that </w:t>
      </w:r>
      <w:r w:rsidR="00BC209F" w:rsidRPr="003873E6">
        <w:rPr>
          <w:bCs/>
        </w:rPr>
        <w:t>the supporting evidence varied significantly.</w:t>
      </w:r>
      <w:r w:rsidR="00BC209F" w:rsidRPr="003873E6">
        <w:rPr>
          <w:noProof/>
          <w:vertAlign w:val="superscript"/>
        </w:rPr>
        <w:t xml:space="preserve"> </w:t>
      </w:r>
    </w:p>
    <w:p w14:paraId="0395C282" w14:textId="77777777" w:rsidR="00BC209F" w:rsidRPr="003873E6" w:rsidRDefault="00BC209F" w:rsidP="009D1CB7">
      <w:pPr>
        <w:pStyle w:val="NormalBulleted"/>
        <w:rPr>
          <w:bCs/>
        </w:rPr>
      </w:pPr>
      <w:r w:rsidRPr="003873E6">
        <w:t xml:space="preserve">Evidence suggested that diagnostic accuracy improved when </w:t>
      </w:r>
      <w:proofErr w:type="spellStart"/>
      <w:r w:rsidRPr="003873E6">
        <w:t>stroboscopy</w:t>
      </w:r>
      <w:proofErr w:type="spellEnd"/>
      <w:r w:rsidRPr="003873E6">
        <w:t xml:space="preserve"> is interpreted by more experienced clinicians but further research in this area is required</w:t>
      </w:r>
      <w:r w:rsidRPr="003873E6">
        <w:rPr>
          <w:bCs/>
        </w:rPr>
        <w:t>.</w:t>
      </w:r>
    </w:p>
    <w:p w14:paraId="23539CDE" w14:textId="77777777" w:rsidR="00BC209F" w:rsidRPr="003873E6" w:rsidRDefault="00BC209F" w:rsidP="009D1CB7">
      <w:pPr>
        <w:pStyle w:val="NormalBulleted"/>
      </w:pPr>
      <w:proofErr w:type="spellStart"/>
      <w:r>
        <w:lastRenderedPageBreak/>
        <w:t>S</w:t>
      </w:r>
      <w:r w:rsidRPr="003873E6">
        <w:t>troboscopy</w:t>
      </w:r>
      <w:proofErr w:type="spellEnd"/>
      <w:r w:rsidRPr="003873E6">
        <w:t xml:space="preserve"> has some limitations. To synchronize the strobe light to the fundamental frequency, vocal fold vibration must be relatively periodic.</w:t>
      </w:r>
      <w:r w:rsidR="007736E8">
        <w:t xml:space="preserve"> </w:t>
      </w:r>
      <w:r w:rsidRPr="003873E6">
        <w:t>It is not possible to assess intra-cycle variation and it does not record the onset and offset of phonation.</w:t>
      </w:r>
      <w:r w:rsidR="00F61AEB" w:rsidRPr="003873E6" w:rsidDel="00F61AEB">
        <w:t xml:space="preserve"> </w:t>
      </w:r>
    </w:p>
    <w:p w14:paraId="59B5A77F" w14:textId="77777777" w:rsidR="00BC209F" w:rsidRPr="003873E6" w:rsidRDefault="00BC209F" w:rsidP="009D1CB7">
      <w:pPr>
        <w:pStyle w:val="NormalBulleted"/>
      </w:pPr>
      <w:proofErr w:type="gramStart"/>
      <w:r w:rsidRPr="003873E6">
        <w:t>The majority of</w:t>
      </w:r>
      <w:proofErr w:type="gramEnd"/>
      <w:r w:rsidRPr="003873E6">
        <w:t xml:space="preserve"> studies noted that in 10 – 47</w:t>
      </w:r>
      <w:r w:rsidR="00815C8F">
        <w:t xml:space="preserve"> per cent</w:t>
      </w:r>
      <w:r w:rsidRPr="003873E6">
        <w:t xml:space="preserve"> of cases use of </w:t>
      </w:r>
      <w:proofErr w:type="spellStart"/>
      <w:r w:rsidRPr="003873E6">
        <w:t>stroboscopy</w:t>
      </w:r>
      <w:proofErr w:type="spellEnd"/>
      <w:r w:rsidRPr="003873E6">
        <w:t xml:space="preserve"> alters the diagnosis and treatment outcomes for the patient.</w:t>
      </w:r>
      <w:r w:rsidR="007736E8">
        <w:t xml:space="preserve"> </w:t>
      </w:r>
      <w:r w:rsidRPr="003873E6">
        <w:t>This is influenced by type of lesion and type of prior investigation.</w:t>
      </w:r>
    </w:p>
    <w:p w14:paraId="28E78B7B" w14:textId="77777777" w:rsidR="00BC209F" w:rsidRPr="003873E6" w:rsidRDefault="00BC209F" w:rsidP="009D1CB7">
      <w:pPr>
        <w:pStyle w:val="NormalBulleted"/>
      </w:pPr>
      <w:proofErr w:type="spellStart"/>
      <w:r>
        <w:t>S</w:t>
      </w:r>
      <w:r w:rsidRPr="003873E6">
        <w:t>troboscopy</w:t>
      </w:r>
      <w:proofErr w:type="spellEnd"/>
      <w:r w:rsidRPr="003873E6">
        <w:t xml:space="preserve"> is widely available, cost-effective and is relatively less time and equipment intensive than alternative modalities.</w:t>
      </w:r>
      <w:r w:rsidR="007736E8">
        <w:t xml:space="preserve"> </w:t>
      </w:r>
    </w:p>
    <w:p w14:paraId="55DEA714" w14:textId="77777777" w:rsidR="00BC209F" w:rsidRDefault="00BC209F" w:rsidP="00681E75">
      <w:r w:rsidRPr="003873E6">
        <w:t xml:space="preserve">The </w:t>
      </w:r>
      <w:r w:rsidR="00F61AEB">
        <w:t xml:space="preserve">Committee </w:t>
      </w:r>
      <w:r w:rsidRPr="003873E6">
        <w:t xml:space="preserve">accepted that the rapid evidence </w:t>
      </w:r>
      <w:proofErr w:type="gramStart"/>
      <w:r w:rsidRPr="003873E6">
        <w:t>review</w:t>
      </w:r>
      <w:proofErr w:type="gramEnd"/>
      <w:r w:rsidRPr="003873E6">
        <w:t xml:space="preserve"> properly summarised the current evidence and answered the research questions. </w:t>
      </w:r>
    </w:p>
    <w:p w14:paraId="59BC8959" w14:textId="77777777" w:rsidR="00BC209F" w:rsidRPr="005C3B1A" w:rsidRDefault="006835A7" w:rsidP="00700528">
      <w:pPr>
        <w:pStyle w:val="Heading3"/>
      </w:pPr>
      <w:r>
        <w:t>Further Evidence</w:t>
      </w:r>
    </w:p>
    <w:p w14:paraId="30EE086E" w14:textId="77777777" w:rsidR="00BC209F" w:rsidRDefault="00BC209F" w:rsidP="009D1CB7">
      <w:r>
        <w:t xml:space="preserve">The </w:t>
      </w:r>
      <w:r w:rsidR="00815C8F">
        <w:t>LSA</w:t>
      </w:r>
      <w:r>
        <w:t xml:space="preserve"> canvassed </w:t>
      </w:r>
      <w:proofErr w:type="gramStart"/>
      <w:r>
        <w:t>a number of</w:t>
      </w:r>
      <w:proofErr w:type="gramEnd"/>
      <w:r>
        <w:t xml:space="preserve"> voice clinics in order to provide an estimate of the time required for a </w:t>
      </w:r>
      <w:proofErr w:type="spellStart"/>
      <w:r>
        <w:t>stroboscopy</w:t>
      </w:r>
      <w:proofErr w:type="spellEnd"/>
      <w:r>
        <w:t xml:space="preserve"> procedure. ‘The procedure itself takes from 20</w:t>
      </w:r>
      <w:r w:rsidR="003F50B2">
        <w:t>–</w:t>
      </w:r>
      <w:r>
        <w:t xml:space="preserve">40 minutes depending on the patient’s </w:t>
      </w:r>
      <w:proofErr w:type="gramStart"/>
      <w:r>
        <w:t>presentation</w:t>
      </w:r>
      <w:proofErr w:type="gramEnd"/>
      <w:r>
        <w:t xml:space="preserve"> but an additional 10 minutes is typically needed for frame-by-frame analysis, interpretation and reporting of results specifically related to the stroboscopic parameters.</w:t>
      </w:r>
      <w:r w:rsidR="007736E8">
        <w:t xml:space="preserve"> </w:t>
      </w:r>
      <w:r>
        <w:t>Patients undergoing a diagnostic voice analysis may undergo further assessment of acoustic and aerodynamic parameters (for example, phonatory threshold pressures, subglottal pressures and mean flow rate) so an additional 30 minutes may be required.’</w:t>
      </w:r>
      <w:r w:rsidR="005C7108">
        <w:rPr>
          <w:vertAlign w:val="superscript"/>
        </w:rPr>
        <w:t>1</w:t>
      </w:r>
      <w:r w:rsidR="00CF497B">
        <w:rPr>
          <w:vertAlign w:val="superscript"/>
        </w:rPr>
        <w:t>5</w:t>
      </w:r>
      <w:r>
        <w:t xml:space="preserve"> In addition, the equipment is significantly more expensive with a stroboscopic unit costing between $50,000 to $100,000.</w:t>
      </w:r>
      <w:r w:rsidR="007736E8">
        <w:t xml:space="preserve"> </w:t>
      </w:r>
    </w:p>
    <w:p w14:paraId="36C6296C" w14:textId="77777777" w:rsidR="00BC209F" w:rsidRPr="003873E6" w:rsidRDefault="00BC209F" w:rsidP="00E754D9">
      <w:r>
        <w:t xml:space="preserve">Only a small number of laryngologists perform </w:t>
      </w:r>
      <w:proofErr w:type="spellStart"/>
      <w:r>
        <w:t>stroboscopies</w:t>
      </w:r>
      <w:proofErr w:type="spellEnd"/>
      <w:r>
        <w:t xml:space="preserve"> and the total number of stroboscopic examinations performed is roughly estimated at around 5,000 per annum.</w:t>
      </w:r>
      <w:r w:rsidR="007736E8">
        <w:t xml:space="preserve"> </w:t>
      </w:r>
    </w:p>
    <w:p w14:paraId="6B2FD652" w14:textId="77777777" w:rsidR="00BC209F" w:rsidRDefault="00BC209F" w:rsidP="009D1CB7">
      <w:r>
        <w:t xml:space="preserve">It was noted that </w:t>
      </w:r>
      <w:proofErr w:type="spellStart"/>
      <w:r>
        <w:t>stroboscopy</w:t>
      </w:r>
      <w:proofErr w:type="spellEnd"/>
      <w:r>
        <w:t xml:space="preserve"> was especially relevant to patients who use their voice for occupational purposes.</w:t>
      </w:r>
      <w:r w:rsidR="007736E8">
        <w:t xml:space="preserve"> </w:t>
      </w:r>
      <w:r>
        <w:t xml:space="preserve">Services are not </w:t>
      </w:r>
      <w:proofErr w:type="spellStart"/>
      <w:r>
        <w:t>rebateable</w:t>
      </w:r>
      <w:proofErr w:type="spellEnd"/>
      <w:r>
        <w:t xml:space="preserve"> under the MBS if they are provided to a patient who requires treatment </w:t>
      </w:r>
      <w:proofErr w:type="gramStart"/>
      <w:r>
        <w:t>as a result of</w:t>
      </w:r>
      <w:proofErr w:type="gramEnd"/>
      <w:r>
        <w:t xml:space="preserve"> their occupation.</w:t>
      </w:r>
      <w:r w:rsidR="007736E8">
        <w:t xml:space="preserve"> </w:t>
      </w:r>
      <w:r>
        <w:t xml:space="preserve">However, it was noted that most patients receiving </w:t>
      </w:r>
      <w:proofErr w:type="spellStart"/>
      <w:r>
        <w:t>stroboscopy</w:t>
      </w:r>
      <w:proofErr w:type="spellEnd"/>
      <w:r>
        <w:t xml:space="preserve"> have a pathology that may impact on their ability to work without being directly associated with their occupation.</w:t>
      </w:r>
    </w:p>
    <w:p w14:paraId="253DE993" w14:textId="77777777" w:rsidR="00BC209F" w:rsidRDefault="009D1CB7" w:rsidP="00700528">
      <w:pPr>
        <w:pStyle w:val="Rec"/>
      </w:pPr>
      <w:bookmarkStart w:id="61" w:name="_Toc457053426"/>
      <w:bookmarkStart w:id="62" w:name="_Toc485723857"/>
      <w:r>
        <w:t xml:space="preserve">New item for </w:t>
      </w:r>
      <w:proofErr w:type="spellStart"/>
      <w:r w:rsidR="005C3B1A">
        <w:t>Stroboscopy</w:t>
      </w:r>
      <w:bookmarkEnd w:id="61"/>
      <w:bookmarkEnd w:id="62"/>
      <w:proofErr w:type="spellEnd"/>
    </w:p>
    <w:p w14:paraId="53366187" w14:textId="77777777" w:rsidR="006835A7" w:rsidRPr="003873E6" w:rsidRDefault="00BC209F" w:rsidP="00E754D9">
      <w:r>
        <w:t xml:space="preserve">Following consideration of the stakeholder feedback and </w:t>
      </w:r>
      <w:r w:rsidR="006835A7">
        <w:t xml:space="preserve">the evidence </w:t>
      </w:r>
      <w:r>
        <w:t xml:space="preserve">review findings the Chair of the Committee </w:t>
      </w:r>
      <w:r w:rsidR="006835A7">
        <w:t xml:space="preserve">suggests </w:t>
      </w:r>
      <w:r w:rsidR="00E754D9">
        <w:t>that a new item</w:t>
      </w:r>
      <w:r>
        <w:t xml:space="preserve"> f</w:t>
      </w:r>
      <w:r w:rsidR="005C3B1A">
        <w:t xml:space="preserve">or </w:t>
      </w:r>
      <w:proofErr w:type="spellStart"/>
      <w:r w:rsidR="005C3B1A">
        <w:t>stroboscopy</w:t>
      </w:r>
      <w:proofErr w:type="spellEnd"/>
      <w:r w:rsidR="005C3B1A">
        <w:t xml:space="preserve"> </w:t>
      </w:r>
      <w:r w:rsidR="006835A7">
        <w:t xml:space="preserve">should be considered </w:t>
      </w:r>
      <w:r w:rsidR="005C3B1A">
        <w:t xml:space="preserve">on the basis </w:t>
      </w:r>
      <w:r w:rsidR="006835A7">
        <w:t>of the evidence review that supports its clinical utility and the</w:t>
      </w:r>
      <w:r w:rsidR="005C3B1A">
        <w:t xml:space="preserve"> </w:t>
      </w:r>
      <w:r>
        <w:t xml:space="preserve">expert advice suggesting that </w:t>
      </w:r>
      <w:proofErr w:type="spellStart"/>
      <w:r>
        <w:t>stroboscopy</w:t>
      </w:r>
      <w:proofErr w:type="spellEnd"/>
      <w:r w:rsidR="006431E5">
        <w:t xml:space="preserve"> </w:t>
      </w:r>
      <w:r>
        <w:t>is significantly more time consuming than standard flexible endoscopy.</w:t>
      </w:r>
      <w:r w:rsidR="007736E8">
        <w:t xml:space="preserve"> </w:t>
      </w:r>
    </w:p>
    <w:p w14:paraId="68484990" w14:textId="77777777" w:rsidR="00EE0FEF" w:rsidRDefault="00BC209F" w:rsidP="009D1CB7">
      <w:r>
        <w:t>This may warrant an MBS fee that is equivalent to item 41846 which is being used to claim the service at present.</w:t>
      </w:r>
      <w:r w:rsidR="007736E8">
        <w:t xml:space="preserve"> </w:t>
      </w:r>
      <w:r>
        <w:t>This fee is yet to be finalised.</w:t>
      </w:r>
      <w:r w:rsidR="00EE0FEF">
        <w:br w:type="page"/>
      </w:r>
    </w:p>
    <w:p w14:paraId="383B0B21" w14:textId="77777777" w:rsidR="00BC209F" w:rsidRPr="00AA632A" w:rsidRDefault="00FB5721" w:rsidP="00AA632A">
      <w:pPr>
        <w:pBdr>
          <w:top w:val="single" w:sz="4" w:space="1" w:color="984806"/>
        </w:pBdr>
        <w:rPr>
          <w:b/>
        </w:rPr>
      </w:pPr>
      <w:r w:rsidRPr="00AA632A">
        <w:rPr>
          <w:b/>
        </w:rPr>
        <w:lastRenderedPageBreak/>
        <w:t xml:space="preserve">Proposed Item Descriptor </w:t>
      </w:r>
    </w:p>
    <w:p w14:paraId="4C26C775" w14:textId="77777777" w:rsidR="00FB5721" w:rsidRDefault="00FB5721" w:rsidP="00FB5721">
      <w:r>
        <w:t xml:space="preserve">(New text is </w:t>
      </w:r>
      <w:r>
        <w:rPr>
          <w:u w:val="single"/>
        </w:rPr>
        <w:t>underlined.)</w:t>
      </w:r>
    </w:p>
    <w:p w14:paraId="06BE9E83" w14:textId="77777777" w:rsidR="00FB5721" w:rsidRPr="00C11C81" w:rsidRDefault="00FB5721" w:rsidP="00FB5721">
      <w:pPr>
        <w:rPr>
          <w:rFonts w:eastAsiaTheme="minorHAnsi"/>
          <w:szCs w:val="22"/>
          <w:lang w:val="en-US" w:eastAsia="en-US"/>
        </w:rPr>
      </w:pPr>
      <w:r w:rsidRPr="00FB5721">
        <w:rPr>
          <w:u w:val="single"/>
          <w:lang w:val="en-US"/>
        </w:rPr>
        <w:t xml:space="preserve">Examination of glottal cycles and vibratory characteristics of the vocal folds using </w:t>
      </w:r>
      <w:proofErr w:type="spellStart"/>
      <w:r w:rsidRPr="00FB5721">
        <w:rPr>
          <w:u w:val="single"/>
          <w:lang w:val="en-US"/>
        </w:rPr>
        <w:t>stroboscopy</w:t>
      </w:r>
      <w:proofErr w:type="spellEnd"/>
      <w:r w:rsidRPr="00FB5721">
        <w:rPr>
          <w:u w:val="single"/>
          <w:lang w:val="en-US"/>
        </w:rPr>
        <w:t>, for confirmation of diagnosis, or for treatment effectiveness where there is failure to progress or respond as expected for</w:t>
      </w:r>
      <w:r w:rsidRPr="00C11C81">
        <w:rPr>
          <w:lang w:val="en-US"/>
        </w:rPr>
        <w:t>:</w:t>
      </w:r>
    </w:p>
    <w:p w14:paraId="59D3B43F" w14:textId="77777777" w:rsidR="00FB5721" w:rsidRPr="00FB5721" w:rsidRDefault="00FB5721" w:rsidP="00FB5721">
      <w:pPr>
        <w:pStyle w:val="NormalBulleted"/>
        <w:rPr>
          <w:color w:val="auto"/>
          <w:u w:val="single"/>
        </w:rPr>
      </w:pPr>
      <w:proofErr w:type="gramStart"/>
      <w:r w:rsidRPr="00FB5721">
        <w:rPr>
          <w:color w:val="auto"/>
          <w:u w:val="single"/>
        </w:rPr>
        <w:t>dysphonia;</w:t>
      </w:r>
      <w:proofErr w:type="gramEnd"/>
      <w:r w:rsidRPr="00FB5721">
        <w:rPr>
          <w:color w:val="auto"/>
          <w:u w:val="single"/>
        </w:rPr>
        <w:t xml:space="preserve"> </w:t>
      </w:r>
    </w:p>
    <w:p w14:paraId="29B6B89E" w14:textId="77777777" w:rsidR="00FB5721" w:rsidRPr="00FB5721" w:rsidRDefault="00FB5721" w:rsidP="00FB5721">
      <w:pPr>
        <w:pStyle w:val="NormalBulleted"/>
        <w:rPr>
          <w:color w:val="auto"/>
          <w:u w:val="single"/>
        </w:rPr>
      </w:pPr>
      <w:r w:rsidRPr="00FB5721">
        <w:rPr>
          <w:color w:val="auto"/>
          <w:u w:val="single"/>
        </w:rPr>
        <w:t xml:space="preserve">vocal fold polyps and </w:t>
      </w:r>
      <w:proofErr w:type="gramStart"/>
      <w:r w:rsidRPr="00FB5721">
        <w:rPr>
          <w:color w:val="auto"/>
          <w:u w:val="single"/>
        </w:rPr>
        <w:t>cysts;</w:t>
      </w:r>
      <w:proofErr w:type="gramEnd"/>
      <w:r w:rsidRPr="00FB5721">
        <w:rPr>
          <w:color w:val="auto"/>
          <w:u w:val="single"/>
        </w:rPr>
        <w:t xml:space="preserve"> </w:t>
      </w:r>
    </w:p>
    <w:p w14:paraId="61D5562B" w14:textId="77777777" w:rsidR="00FB5721" w:rsidRPr="00FB5721" w:rsidRDefault="00FB5721" w:rsidP="00FB5721">
      <w:pPr>
        <w:pStyle w:val="NormalBulleted"/>
        <w:rPr>
          <w:color w:val="auto"/>
          <w:u w:val="single"/>
        </w:rPr>
      </w:pPr>
      <w:r w:rsidRPr="00FB5721">
        <w:rPr>
          <w:color w:val="auto"/>
          <w:u w:val="single"/>
        </w:rPr>
        <w:t xml:space="preserve">vocal fold </w:t>
      </w:r>
      <w:proofErr w:type="gramStart"/>
      <w:r w:rsidRPr="00FB5721">
        <w:rPr>
          <w:color w:val="auto"/>
          <w:u w:val="single"/>
        </w:rPr>
        <w:t>paralysis;</w:t>
      </w:r>
      <w:proofErr w:type="gramEnd"/>
    </w:p>
    <w:p w14:paraId="5057A87B" w14:textId="77777777" w:rsidR="00FB5721" w:rsidRPr="00FB5721" w:rsidRDefault="00FB5721" w:rsidP="00FB5721">
      <w:pPr>
        <w:pStyle w:val="NormalBulleted"/>
        <w:rPr>
          <w:color w:val="auto"/>
          <w:u w:val="single"/>
        </w:rPr>
      </w:pPr>
      <w:r w:rsidRPr="00FB5721">
        <w:rPr>
          <w:color w:val="auto"/>
          <w:u w:val="single"/>
        </w:rPr>
        <w:t xml:space="preserve">laryngeal </w:t>
      </w:r>
      <w:proofErr w:type="gramStart"/>
      <w:r w:rsidRPr="00FB5721">
        <w:rPr>
          <w:color w:val="auto"/>
          <w:u w:val="single"/>
        </w:rPr>
        <w:t>dysplasia;</w:t>
      </w:r>
      <w:proofErr w:type="gramEnd"/>
      <w:r w:rsidRPr="00FB5721">
        <w:rPr>
          <w:color w:val="auto"/>
          <w:u w:val="single"/>
        </w:rPr>
        <w:t xml:space="preserve"> </w:t>
      </w:r>
    </w:p>
    <w:p w14:paraId="4DE74FFF" w14:textId="77777777" w:rsidR="00FB5721" w:rsidRPr="00FB5721" w:rsidRDefault="00FB5721" w:rsidP="00FB5721">
      <w:pPr>
        <w:pStyle w:val="NormalBulleted"/>
        <w:rPr>
          <w:color w:val="auto"/>
          <w:u w:val="single"/>
        </w:rPr>
      </w:pPr>
      <w:r w:rsidRPr="00FB5721">
        <w:rPr>
          <w:color w:val="auto"/>
          <w:u w:val="single"/>
        </w:rPr>
        <w:t xml:space="preserve">glottic </w:t>
      </w:r>
      <w:proofErr w:type="gramStart"/>
      <w:r w:rsidRPr="00FB5721">
        <w:rPr>
          <w:color w:val="auto"/>
          <w:u w:val="single"/>
        </w:rPr>
        <w:t>carcinoma;</w:t>
      </w:r>
      <w:proofErr w:type="gramEnd"/>
    </w:p>
    <w:p w14:paraId="3DF4D742" w14:textId="77777777" w:rsidR="00FB5721" w:rsidRPr="00FB5721" w:rsidRDefault="00FB5721" w:rsidP="00FB5721">
      <w:pPr>
        <w:rPr>
          <w:u w:val="single"/>
          <w:lang w:val="en-US"/>
        </w:rPr>
      </w:pPr>
      <w:r w:rsidRPr="00FB5721">
        <w:rPr>
          <w:u w:val="single"/>
          <w:lang w:val="en-US"/>
        </w:rPr>
        <w:t xml:space="preserve">not being a service associated with the administration of a general </w:t>
      </w:r>
      <w:proofErr w:type="spellStart"/>
      <w:r w:rsidRPr="00FB5721">
        <w:rPr>
          <w:u w:val="single"/>
          <w:lang w:val="en-US"/>
        </w:rPr>
        <w:t>anaesthetic</w:t>
      </w:r>
      <w:proofErr w:type="spellEnd"/>
      <w:r w:rsidRPr="00FB5721">
        <w:rPr>
          <w:u w:val="single"/>
          <w:lang w:val="en-US"/>
        </w:rPr>
        <w:t>; and not being a service to which item 41764 applies.</w:t>
      </w:r>
    </w:p>
    <w:p w14:paraId="74F2CED9" w14:textId="77777777" w:rsidR="00C80D9C" w:rsidRDefault="00FB5721" w:rsidP="00C80D9C">
      <w:r w:rsidRPr="00AA632A">
        <w:rPr>
          <w:b/>
        </w:rPr>
        <w:t>Fee</w:t>
      </w:r>
      <w:r w:rsidRPr="00AA632A">
        <w:t>:</w:t>
      </w:r>
      <w:r w:rsidRPr="00815C8F">
        <w:rPr>
          <w:rFonts w:cs="Arial"/>
          <w:i/>
          <w:lang w:val="en-US"/>
        </w:rPr>
        <w:t xml:space="preserve"> $185.60</w:t>
      </w:r>
      <w:r w:rsidR="00C80D9C">
        <w:rPr>
          <w:rFonts w:cs="Arial"/>
          <w:i/>
          <w:lang w:val="en-US"/>
        </w:rPr>
        <w:t xml:space="preserve"> </w:t>
      </w:r>
      <w:r w:rsidR="00C80D9C" w:rsidRPr="00AA632A">
        <w:rPr>
          <w:b/>
        </w:rPr>
        <w:t>Benefit</w:t>
      </w:r>
      <w:r w:rsidR="00C80D9C" w:rsidRPr="00AA632A">
        <w:t>:</w:t>
      </w:r>
      <w:r w:rsidR="00C80D9C" w:rsidRPr="00815C8F">
        <w:rPr>
          <w:rFonts w:cs="Arial"/>
          <w:i/>
          <w:lang w:val="en-US"/>
        </w:rPr>
        <w:t xml:space="preserve"> 75% = $139.20</w:t>
      </w:r>
      <w:r w:rsidR="00C80D9C">
        <w:rPr>
          <w:rFonts w:cs="Arial"/>
          <w:i/>
          <w:lang w:val="en-US"/>
        </w:rPr>
        <w:t xml:space="preserve">; </w:t>
      </w:r>
      <w:r w:rsidR="00C80D9C" w:rsidRPr="00815C8F">
        <w:rPr>
          <w:rFonts w:cs="Arial"/>
          <w:i/>
          <w:lang w:val="en-US"/>
        </w:rPr>
        <w:t>85% = $157.80</w:t>
      </w:r>
    </w:p>
    <w:p w14:paraId="21F64CCD" w14:textId="77777777" w:rsidR="00825109" w:rsidRDefault="00825109" w:rsidP="00681E75">
      <w:pPr>
        <w:pStyle w:val="TableUnderlast"/>
        <w:rPr>
          <w:rFonts w:eastAsiaTheme="minorHAnsi"/>
          <w:lang w:val="en-US" w:eastAsia="en-US"/>
        </w:rPr>
      </w:pPr>
      <w:r>
        <w:br w:type="page"/>
      </w:r>
    </w:p>
    <w:p w14:paraId="00ED1298" w14:textId="77777777" w:rsidR="00BC209F" w:rsidRPr="00825109" w:rsidRDefault="00BC209F" w:rsidP="00700528">
      <w:pPr>
        <w:pStyle w:val="Heading1"/>
      </w:pPr>
      <w:bookmarkStart w:id="63" w:name="_Toc457053427"/>
      <w:bookmarkStart w:id="64" w:name="_Toc485723858"/>
      <w:r w:rsidRPr="00825109">
        <w:lastRenderedPageBreak/>
        <w:t>MBS items which require no change</w:t>
      </w:r>
      <w:bookmarkEnd w:id="63"/>
      <w:bookmarkEnd w:id="64"/>
    </w:p>
    <w:p w14:paraId="21EEF496" w14:textId="77777777" w:rsidR="00BC209F" w:rsidRPr="00825109" w:rsidRDefault="00BC209F" w:rsidP="00512756">
      <w:pPr>
        <w:pStyle w:val="Heading2"/>
      </w:pPr>
      <w:r w:rsidRPr="00825109">
        <w:t>I</w:t>
      </w:r>
      <w:r w:rsidR="00825109" w:rsidRPr="00825109">
        <w:t>tems considered in this section</w:t>
      </w:r>
    </w:p>
    <w:p w14:paraId="6729EE24" w14:textId="77777777" w:rsidR="00BC209F" w:rsidRDefault="00825109" w:rsidP="00BC209F">
      <w:r>
        <w:t xml:space="preserve">Four </w:t>
      </w:r>
      <w:r w:rsidR="00444E4F">
        <w:t xml:space="preserve">low volume </w:t>
      </w:r>
      <w:r>
        <w:t xml:space="preserve">items are considered in this section. </w:t>
      </w:r>
      <w:r w:rsidR="00BC209F">
        <w:t xml:space="preserve">The data relating to these items </w:t>
      </w:r>
      <w:r w:rsidR="007023CD">
        <w:t xml:space="preserve">are </w:t>
      </w:r>
      <w:r w:rsidR="00BC209F">
        <w:t xml:space="preserve">at Appendix D. </w:t>
      </w:r>
    </w:p>
    <w:p w14:paraId="4EA1C3A4" w14:textId="77777777" w:rsidR="00825109" w:rsidRPr="00825109" w:rsidRDefault="00825109" w:rsidP="00512756">
      <w:pPr>
        <w:pStyle w:val="NormalBulleted"/>
      </w:pPr>
      <w:r w:rsidRPr="00825109">
        <w:rPr>
          <w:b/>
          <w:noProof/>
          <w:lang w:val="en-US"/>
        </w:rPr>
        <w:t>41590</w:t>
      </w:r>
      <w:r>
        <w:rPr>
          <w:noProof/>
          <w:lang w:val="en-US"/>
        </w:rPr>
        <w:t xml:space="preserve"> – </w:t>
      </w:r>
      <w:r w:rsidRPr="00825109">
        <w:rPr>
          <w:noProof/>
          <w:lang w:val="en-US"/>
        </w:rPr>
        <w:t xml:space="preserve">Endolymphatic </w:t>
      </w:r>
      <w:r w:rsidRPr="00512756">
        <w:t>sac</w:t>
      </w:r>
      <w:r w:rsidRPr="00825109">
        <w:rPr>
          <w:noProof/>
          <w:lang w:val="en-US"/>
        </w:rPr>
        <w:t>, transmastoid decompression with or without drainage of (Anaes.) (Assist.)</w:t>
      </w:r>
    </w:p>
    <w:p w14:paraId="2EDB4398" w14:textId="77777777" w:rsidR="00825109" w:rsidRPr="00825109" w:rsidRDefault="00825109" w:rsidP="00512756">
      <w:pPr>
        <w:pStyle w:val="NormalBulleted"/>
        <w:rPr>
          <w:noProof/>
          <w:lang w:val="en-US"/>
        </w:rPr>
      </w:pPr>
      <w:r w:rsidRPr="00825109">
        <w:rPr>
          <w:b/>
          <w:noProof/>
          <w:lang w:val="en-US"/>
        </w:rPr>
        <w:t>41614</w:t>
      </w:r>
      <w:r>
        <w:rPr>
          <w:noProof/>
          <w:lang w:val="en-US"/>
        </w:rPr>
        <w:t xml:space="preserve"> – </w:t>
      </w:r>
      <w:r w:rsidRPr="00512756">
        <w:t>Round</w:t>
      </w:r>
      <w:r w:rsidRPr="00825109">
        <w:rPr>
          <w:noProof/>
          <w:lang w:val="en-US"/>
        </w:rPr>
        <w:t xml:space="preserve"> window surgery including repair of cochleotomy (Anaes.) (Assist.)</w:t>
      </w:r>
    </w:p>
    <w:p w14:paraId="2CBCEFF8" w14:textId="77777777" w:rsidR="00825109" w:rsidRPr="00825109" w:rsidRDefault="00825109" w:rsidP="00512756">
      <w:pPr>
        <w:pStyle w:val="NormalBulleted"/>
      </w:pPr>
      <w:r w:rsidRPr="00825109">
        <w:rPr>
          <w:b/>
          <w:noProof/>
          <w:lang w:val="en-US"/>
        </w:rPr>
        <w:t>41615</w:t>
      </w:r>
      <w:r>
        <w:rPr>
          <w:noProof/>
          <w:lang w:val="en-US"/>
        </w:rPr>
        <w:t xml:space="preserve"> – </w:t>
      </w:r>
      <w:r w:rsidRPr="00825109">
        <w:rPr>
          <w:noProof/>
          <w:lang w:val="en-US"/>
        </w:rPr>
        <w:t>Oval window surgery, including repair of fistula, not being a service associated with a service to which any other item in this Group applies (Anaes.) (Assist.)</w:t>
      </w:r>
    </w:p>
    <w:p w14:paraId="674EB716" w14:textId="77777777" w:rsidR="00825109" w:rsidRPr="00825109" w:rsidRDefault="00825109" w:rsidP="00512756">
      <w:pPr>
        <w:pStyle w:val="NormalBulleted"/>
        <w:rPr>
          <w:noProof/>
          <w:lang w:val="en-US"/>
        </w:rPr>
      </w:pPr>
      <w:r w:rsidRPr="00825109">
        <w:rPr>
          <w:b/>
          <w:noProof/>
          <w:lang w:val="en-US"/>
        </w:rPr>
        <w:t>41779</w:t>
      </w:r>
      <w:r>
        <w:rPr>
          <w:noProof/>
          <w:lang w:val="en-US"/>
        </w:rPr>
        <w:t xml:space="preserve"> – </w:t>
      </w:r>
      <w:r w:rsidRPr="00512756">
        <w:t>Partial</w:t>
      </w:r>
      <w:r w:rsidRPr="00825109">
        <w:rPr>
          <w:noProof/>
          <w:lang w:val="en-US"/>
        </w:rPr>
        <w:t xml:space="preserve"> pharyngectomy via pharyngotomy (Anaes.) (Assist.)</w:t>
      </w:r>
    </w:p>
    <w:p w14:paraId="51D2B775" w14:textId="77777777" w:rsidR="00BC209F" w:rsidRPr="00825109" w:rsidRDefault="00825109" w:rsidP="00512756">
      <w:pPr>
        <w:pStyle w:val="Heading2"/>
      </w:pPr>
      <w:r>
        <w:t>Issues identified and</w:t>
      </w:r>
      <w:r w:rsidR="00BC209F" w:rsidRPr="00825109">
        <w:t xml:space="preserve"> rationale </w:t>
      </w:r>
    </w:p>
    <w:p w14:paraId="1BD4F5FF" w14:textId="77777777" w:rsidR="00BC209F" w:rsidRPr="00F819AE" w:rsidRDefault="00BC209F" w:rsidP="00512756">
      <w:pPr>
        <w:pStyle w:val="Heading3"/>
      </w:pPr>
      <w:r>
        <w:t xml:space="preserve">Item 41590 </w:t>
      </w:r>
      <w:r w:rsidR="00825109">
        <w:t xml:space="preserve">– </w:t>
      </w:r>
      <w:r w:rsidRPr="003873E6">
        <w:t xml:space="preserve">Endolymphatic sac, </w:t>
      </w:r>
      <w:proofErr w:type="spellStart"/>
      <w:r w:rsidRPr="003873E6">
        <w:t>transmastoid</w:t>
      </w:r>
      <w:proofErr w:type="spellEnd"/>
      <w:r w:rsidRPr="003873E6">
        <w:t xml:space="preserve"> decompression with or without drainage</w:t>
      </w:r>
    </w:p>
    <w:p w14:paraId="53EE0017" w14:textId="77777777" w:rsidR="00BC209F" w:rsidRPr="00B64642" w:rsidRDefault="00BC209F" w:rsidP="00825109">
      <w:r>
        <w:t>The Committee</w:t>
      </w:r>
      <w:r w:rsidRPr="00B64642">
        <w:t xml:space="preserve"> noted that </w:t>
      </w:r>
      <w:r>
        <w:t>item 41590 is</w:t>
      </w:r>
      <w:r w:rsidRPr="00B64642">
        <w:t xml:space="preserve"> not a common procedure but</w:t>
      </w:r>
      <w:r>
        <w:t xml:space="preserve"> agreed that</w:t>
      </w:r>
      <w:r w:rsidRPr="00B64642">
        <w:t xml:space="preserve"> it </w:t>
      </w:r>
      <w:r>
        <w:t>i</w:t>
      </w:r>
      <w:r w:rsidRPr="00B64642">
        <w:t xml:space="preserve">s not obsolete. </w:t>
      </w:r>
      <w:proofErr w:type="gramStart"/>
      <w:r>
        <w:t>A</w:t>
      </w:r>
      <w:r w:rsidRPr="00B64642">
        <w:t xml:space="preserve"> </w:t>
      </w:r>
      <w:r>
        <w:t>number</w:t>
      </w:r>
      <w:r w:rsidRPr="00B64642">
        <w:t xml:space="preserve"> of</w:t>
      </w:r>
      <w:proofErr w:type="gramEnd"/>
      <w:r w:rsidRPr="00B64642">
        <w:t xml:space="preserve"> otologists </w:t>
      </w:r>
      <w:r>
        <w:t>consulted by a member of the Committee advise</w:t>
      </w:r>
      <w:r w:rsidRPr="00B64642">
        <w:t xml:space="preserve"> that the procedure</w:t>
      </w:r>
      <w:r>
        <w:t xml:space="preserve"> has</w:t>
      </w:r>
      <w:r w:rsidRPr="00B64642">
        <w:t xml:space="preserve"> largely </w:t>
      </w:r>
      <w:r>
        <w:t xml:space="preserve">been </w:t>
      </w:r>
      <w:r w:rsidRPr="00B64642">
        <w:t>superseded by medical management (intratympanic gentamicin)</w:t>
      </w:r>
      <w:r>
        <w:t>.</w:t>
      </w:r>
      <w:r w:rsidR="007736E8">
        <w:t xml:space="preserve"> </w:t>
      </w:r>
      <w:r>
        <w:t>H</w:t>
      </w:r>
      <w:r w:rsidRPr="00B64642">
        <w:t>owever</w:t>
      </w:r>
      <w:r w:rsidR="007023CD">
        <w:t>,</w:t>
      </w:r>
      <w:r w:rsidRPr="00B64642">
        <w:t xml:space="preserve"> it remains an option for younger patient</w:t>
      </w:r>
      <w:r>
        <w:t>s</w:t>
      </w:r>
      <w:r w:rsidRPr="00B64642">
        <w:t xml:space="preserve"> with good residual hearing as intratympanic gentamicin carries risk of hearing loss as do most of the other destructive treatments. </w:t>
      </w:r>
    </w:p>
    <w:p w14:paraId="6C8664FE" w14:textId="77777777" w:rsidR="00BC209F" w:rsidRPr="00F819AE" w:rsidRDefault="00BC209F" w:rsidP="00512756">
      <w:pPr>
        <w:pStyle w:val="Heading3"/>
      </w:pPr>
      <w:r>
        <w:rPr>
          <w:noProof/>
        </w:rPr>
        <w:t xml:space="preserve">Item 41614 </w:t>
      </w:r>
      <w:r w:rsidR="00825109">
        <w:t xml:space="preserve">– </w:t>
      </w:r>
      <w:r w:rsidRPr="003873E6">
        <w:rPr>
          <w:noProof/>
        </w:rPr>
        <w:t>Round window surgery including repair of cochleotomy</w:t>
      </w:r>
    </w:p>
    <w:p w14:paraId="7ADD6107" w14:textId="77777777" w:rsidR="00BC209F" w:rsidRDefault="00BC209F" w:rsidP="00825109">
      <w:r>
        <w:t>The Committee</w:t>
      </w:r>
      <w:r w:rsidRPr="00B64642">
        <w:t xml:space="preserve"> </w:t>
      </w:r>
      <w:r>
        <w:t>agreed</w:t>
      </w:r>
      <w:r w:rsidRPr="00B64642">
        <w:t xml:space="preserve"> that there </w:t>
      </w:r>
      <w:r>
        <w:t xml:space="preserve">is </w:t>
      </w:r>
      <w:r w:rsidRPr="00B64642">
        <w:t xml:space="preserve">a clinical role for </w:t>
      </w:r>
      <w:r>
        <w:t>the procedure described in item 41614</w:t>
      </w:r>
      <w:r w:rsidRPr="00B64642">
        <w:t>, although it is rare. For example</w:t>
      </w:r>
      <w:r w:rsidR="007023CD">
        <w:t>,</w:t>
      </w:r>
      <w:r>
        <w:t xml:space="preserve"> this service is used for repair of </w:t>
      </w:r>
      <w:r w:rsidRPr="00B64642">
        <w:t>endolymphatic fluid leaks and perilymph fluid leaks caused by trauma.</w:t>
      </w:r>
      <w:r w:rsidRPr="003F1FC3">
        <w:t xml:space="preserve"> </w:t>
      </w:r>
    </w:p>
    <w:p w14:paraId="19E03405" w14:textId="77777777" w:rsidR="00BC209F" w:rsidRPr="00F819AE" w:rsidRDefault="00BC209F" w:rsidP="00512756">
      <w:pPr>
        <w:pStyle w:val="Heading3"/>
      </w:pPr>
      <w:r>
        <w:rPr>
          <w:noProof/>
        </w:rPr>
        <w:t xml:space="preserve">Item 41615 </w:t>
      </w:r>
      <w:r w:rsidR="00825109">
        <w:t xml:space="preserve">– </w:t>
      </w:r>
      <w:r>
        <w:rPr>
          <w:noProof/>
        </w:rPr>
        <w:t>Oval</w:t>
      </w:r>
      <w:r w:rsidRPr="003F1FC3">
        <w:rPr>
          <w:noProof/>
        </w:rPr>
        <w:t xml:space="preserve"> window surgery</w:t>
      </w:r>
      <w:r>
        <w:rPr>
          <w:noProof/>
        </w:rPr>
        <w:t xml:space="preserve"> including repair of fistula</w:t>
      </w:r>
      <w:r w:rsidRPr="00F819AE" w:rsidDel="00EA592B">
        <w:t xml:space="preserve"> </w:t>
      </w:r>
    </w:p>
    <w:p w14:paraId="49385BA3" w14:textId="77777777" w:rsidR="00BC209F" w:rsidRDefault="00BC209F" w:rsidP="00825109">
      <w:r>
        <w:t>The Committee</w:t>
      </w:r>
      <w:r w:rsidRPr="00B64642">
        <w:t xml:space="preserve"> noted that </w:t>
      </w:r>
      <w:r>
        <w:t>there is a clinical role for the procedure described in item 41615</w:t>
      </w:r>
      <w:r w:rsidRPr="00B64642">
        <w:t>, for example</w:t>
      </w:r>
      <w:r w:rsidR="004C6CE6">
        <w:t>,</w:t>
      </w:r>
      <w:r w:rsidRPr="00B64642">
        <w:t xml:space="preserve"> as an alternative to stapes surgery and to repair traumatic damage. </w:t>
      </w:r>
    </w:p>
    <w:p w14:paraId="1220626C" w14:textId="77777777" w:rsidR="00BC209F" w:rsidRPr="003873E6" w:rsidRDefault="00BC209F" w:rsidP="00512756">
      <w:pPr>
        <w:pStyle w:val="Heading3"/>
        <w:rPr>
          <w:noProof/>
        </w:rPr>
      </w:pPr>
      <w:r w:rsidRPr="003873E6">
        <w:rPr>
          <w:noProof/>
        </w:rPr>
        <w:t xml:space="preserve">Item 41779 </w:t>
      </w:r>
      <w:r w:rsidR="00825109">
        <w:t xml:space="preserve">– </w:t>
      </w:r>
      <w:r w:rsidRPr="003873E6">
        <w:rPr>
          <w:noProof/>
        </w:rPr>
        <w:t xml:space="preserve">Partial pharyngectomy via pharyngotomy </w:t>
      </w:r>
    </w:p>
    <w:p w14:paraId="7F6C736A" w14:textId="77777777" w:rsidR="00BC209F" w:rsidRDefault="00BC209F" w:rsidP="00825109">
      <w:r w:rsidRPr="001C3B56">
        <w:t>T</w:t>
      </w:r>
      <w:r w:rsidRPr="003873E6">
        <w:t>he Committee noted that item 41779 is not a common procedure (1 service in 2014</w:t>
      </w:r>
      <w:r w:rsidR="003F50B2">
        <w:t>–</w:t>
      </w:r>
      <w:r w:rsidRPr="003873E6">
        <w:t>15, with around 40 services over the past five years). The procedure is related to tumour surgery and the number of services is likely to fluctuate each year.</w:t>
      </w:r>
      <w:r w:rsidR="007736E8">
        <w:t xml:space="preserve"> </w:t>
      </w:r>
      <w:r w:rsidRPr="003873E6">
        <w:t xml:space="preserve">Although robotic and laser surgery may be used in most cases, there will be the occasional tumour (usually tongue base or pharyngeal wall) that requires an open approach. The item may also be used for salvage surgery after previous radiation therapy. The </w:t>
      </w:r>
      <w:r w:rsidR="004C6CE6">
        <w:t>Co</w:t>
      </w:r>
      <w:r w:rsidRPr="003873E6">
        <w:t>mmittee agreed that this item should be retained in the MBS.</w:t>
      </w:r>
    </w:p>
    <w:p w14:paraId="7E94B3D2" w14:textId="77777777" w:rsidR="00BC209F" w:rsidRDefault="00CB7378" w:rsidP="001766C6">
      <w:pPr>
        <w:pStyle w:val="Rec"/>
      </w:pPr>
      <w:bookmarkStart w:id="65" w:name="_Toc485723859"/>
      <w:r>
        <w:t>Items requiring no change</w:t>
      </w:r>
      <w:bookmarkEnd w:id="65"/>
    </w:p>
    <w:p w14:paraId="29C38B7B" w14:textId="77777777" w:rsidR="00BC209F" w:rsidRDefault="00BC209F" w:rsidP="00825109">
      <w:r>
        <w:t>The Committee recommended no changes to items 41590, 41614</w:t>
      </w:r>
      <w:r w:rsidR="00957FDF">
        <w:t xml:space="preserve">, </w:t>
      </w:r>
      <w:r>
        <w:t xml:space="preserve">41615, 41779 and 41796. </w:t>
      </w:r>
    </w:p>
    <w:p w14:paraId="4DCAC1D4" w14:textId="77777777" w:rsidR="00BC209F" w:rsidRDefault="00BC209F" w:rsidP="00700528">
      <w:pPr>
        <w:pStyle w:val="Heading1"/>
      </w:pPr>
      <w:bookmarkStart w:id="66" w:name="_Toc457053429"/>
      <w:bookmarkStart w:id="67" w:name="_Toc485723860"/>
      <w:r w:rsidRPr="003F1FC3">
        <w:lastRenderedPageBreak/>
        <w:t xml:space="preserve">MBS Item Group </w:t>
      </w:r>
      <w:r>
        <w:t>2</w:t>
      </w:r>
      <w:r w:rsidRPr="003F1FC3">
        <w:t xml:space="preserve"> </w:t>
      </w:r>
      <w:r>
        <w:t>–</w:t>
      </w:r>
      <w:r w:rsidRPr="003F1FC3">
        <w:t xml:space="preserve"> </w:t>
      </w:r>
      <w:r>
        <w:t>Obsolete Items</w:t>
      </w:r>
      <w:bookmarkEnd w:id="66"/>
      <w:bookmarkEnd w:id="67"/>
    </w:p>
    <w:p w14:paraId="767ABB2D" w14:textId="77777777" w:rsidR="00BC209F" w:rsidRDefault="00BC209F" w:rsidP="00681E75">
      <w:pPr>
        <w:pStyle w:val="Heading2"/>
      </w:pPr>
      <w:r>
        <w:t>Outcome of public consultation 1 December 2015 to 8 February 2016</w:t>
      </w:r>
    </w:p>
    <w:p w14:paraId="5D6BB365" w14:textId="77777777" w:rsidR="00BC209F" w:rsidRPr="00722DF9" w:rsidRDefault="00BC209F" w:rsidP="00681E75">
      <w:r w:rsidRPr="00BC2064">
        <w:t xml:space="preserve">After a review of the items assigned to the Committee and the associated MBS data, the Committee </w:t>
      </w:r>
      <w:r>
        <w:t>advised that</w:t>
      </w:r>
      <w:r w:rsidRPr="00BC2064">
        <w:t xml:space="preserve"> nine MBS items have no </w:t>
      </w:r>
      <w:r>
        <w:t>role</w:t>
      </w:r>
      <w:r w:rsidRPr="00BC2064">
        <w:t xml:space="preserve"> in contemporary </w:t>
      </w:r>
      <w:r>
        <w:t xml:space="preserve">clinical </w:t>
      </w:r>
      <w:r w:rsidRPr="00BC2064">
        <w:t xml:space="preserve">practice as </w:t>
      </w:r>
      <w:r>
        <w:t>they have been</w:t>
      </w:r>
      <w:r w:rsidRPr="00BC2064">
        <w:t xml:space="preserve"> </w:t>
      </w:r>
      <w:r>
        <w:t>replaced by more modern alternatives currently available on the MBS.</w:t>
      </w:r>
    </w:p>
    <w:p w14:paraId="07CE01E3" w14:textId="77777777" w:rsidR="00722DF9" w:rsidRDefault="00BC209F" w:rsidP="00681E75">
      <w:r>
        <w:t>These recommendations were the subject of public consultation between 1 December 2015 and 8 February 2016.</w:t>
      </w:r>
      <w:r w:rsidR="007736E8">
        <w:t xml:space="preserve"> </w:t>
      </w:r>
    </w:p>
    <w:p w14:paraId="052B0CED" w14:textId="77777777" w:rsidR="00175E49" w:rsidRDefault="00175E49" w:rsidP="00226A36">
      <w:pPr>
        <w:pStyle w:val="Rec"/>
      </w:pPr>
      <w:bookmarkStart w:id="68" w:name="_Toc485723861"/>
      <w:r>
        <w:t>Obsolete items</w:t>
      </w:r>
      <w:bookmarkEnd w:id="68"/>
    </w:p>
    <w:p w14:paraId="5F9BA10F" w14:textId="77777777" w:rsidR="00BC209F" w:rsidRDefault="00BC209F" w:rsidP="00722DF9">
      <w:r>
        <w:t>Following consideration of the response from stakeholders, the Committee and the Taskforce agreed that the following items be removed from the MBS from 1 July 2016.</w:t>
      </w:r>
      <w:r w:rsidR="007736E8">
        <w:t xml:space="preserve"> </w:t>
      </w:r>
    </w:p>
    <w:p w14:paraId="707EA8CB" w14:textId="77777777" w:rsidR="00BC209F" w:rsidRPr="003F1FC3" w:rsidRDefault="00722DF9" w:rsidP="00681E75">
      <w:pPr>
        <w:pStyle w:val="NormalBulleted"/>
      </w:pPr>
      <w:r w:rsidRPr="00722DF9">
        <w:rPr>
          <w:b/>
        </w:rPr>
        <w:t>11321</w:t>
      </w:r>
      <w:r>
        <w:t xml:space="preserve"> – G</w:t>
      </w:r>
      <w:r w:rsidR="00BC209F" w:rsidRPr="003F1FC3">
        <w:t>lycerol induced cochlear function changes, assessed by a minimum of 4 air conduction and speech discrimination tests (</w:t>
      </w:r>
      <w:proofErr w:type="spellStart"/>
      <w:r w:rsidR="00BC209F" w:rsidRPr="003F1FC3">
        <w:t>Klockoff's</w:t>
      </w:r>
      <w:proofErr w:type="spellEnd"/>
      <w:r w:rsidR="00BC209F" w:rsidRPr="003F1FC3">
        <w:t xml:space="preserve"> tests) </w:t>
      </w:r>
    </w:p>
    <w:p w14:paraId="461E669C" w14:textId="77777777" w:rsidR="00BC209F" w:rsidRPr="003F1FC3" w:rsidRDefault="00722DF9" w:rsidP="00681E75">
      <w:pPr>
        <w:pStyle w:val="NormalBulleted"/>
      </w:pPr>
      <w:r w:rsidRPr="00722DF9">
        <w:rPr>
          <w:b/>
        </w:rPr>
        <w:t>18246</w:t>
      </w:r>
      <w:r>
        <w:t xml:space="preserve"> – </w:t>
      </w:r>
      <w:r w:rsidRPr="00FE6728">
        <w:t>G</w:t>
      </w:r>
      <w:r w:rsidR="00BC209F" w:rsidRPr="00FE6728">
        <w:t>lossopharyngeal</w:t>
      </w:r>
      <w:r w:rsidR="00BC209F" w:rsidRPr="003F1FC3">
        <w:t xml:space="preserve"> nerve, injection of an anaesthetic agent </w:t>
      </w:r>
    </w:p>
    <w:p w14:paraId="17535A0C" w14:textId="77777777" w:rsidR="00BC209F" w:rsidRPr="003F1FC3" w:rsidRDefault="00722DF9" w:rsidP="00681E75">
      <w:pPr>
        <w:pStyle w:val="NormalBulleted"/>
      </w:pPr>
      <w:r w:rsidRPr="00722DF9">
        <w:rPr>
          <w:b/>
        </w:rPr>
        <w:t>41680</w:t>
      </w:r>
      <w:r>
        <w:t xml:space="preserve"> – </w:t>
      </w:r>
      <w:r w:rsidRPr="00FE6728">
        <w:t>C</w:t>
      </w:r>
      <w:r w:rsidR="00BC209F" w:rsidRPr="00FE6728">
        <w:t>ryotherapy</w:t>
      </w:r>
      <w:r w:rsidR="00BC209F" w:rsidRPr="003F1FC3">
        <w:t xml:space="preserve"> to nose in the treatment of nasal haemorrhage </w:t>
      </w:r>
    </w:p>
    <w:p w14:paraId="73B23CFF" w14:textId="77777777" w:rsidR="00BC209F" w:rsidRPr="003F1FC3" w:rsidRDefault="00722DF9" w:rsidP="00681E75">
      <w:pPr>
        <w:pStyle w:val="NormalBulleted"/>
      </w:pPr>
      <w:r w:rsidRPr="00722DF9">
        <w:rPr>
          <w:b/>
        </w:rPr>
        <w:t>41695</w:t>
      </w:r>
      <w:r>
        <w:t xml:space="preserve"> – </w:t>
      </w:r>
      <w:r w:rsidRPr="00FE6728">
        <w:t>T</w:t>
      </w:r>
      <w:r w:rsidR="00BC209F" w:rsidRPr="00FE6728">
        <w:t>urbinates</w:t>
      </w:r>
      <w:r w:rsidR="00BC209F" w:rsidRPr="003F1FC3">
        <w:t xml:space="preserve">, cryotherapy to </w:t>
      </w:r>
    </w:p>
    <w:p w14:paraId="17DAFD26" w14:textId="77777777" w:rsidR="00BC209F" w:rsidRPr="003F1FC3" w:rsidRDefault="00722DF9" w:rsidP="00681E75">
      <w:pPr>
        <w:pStyle w:val="NormalBulleted"/>
      </w:pPr>
      <w:r w:rsidRPr="00722DF9">
        <w:rPr>
          <w:b/>
        </w:rPr>
        <w:t>41758</w:t>
      </w:r>
      <w:r>
        <w:t xml:space="preserve"> – D</w:t>
      </w:r>
      <w:r w:rsidR="00BC209F" w:rsidRPr="003F1FC3">
        <w:t xml:space="preserve">ivision of pharyngeal adhesions </w:t>
      </w:r>
    </w:p>
    <w:p w14:paraId="472E4DAE" w14:textId="77777777" w:rsidR="00BC209F" w:rsidRPr="003F1FC3" w:rsidRDefault="00722DF9" w:rsidP="00681E75">
      <w:pPr>
        <w:pStyle w:val="NormalBulleted"/>
      </w:pPr>
      <w:r w:rsidRPr="00722DF9">
        <w:rPr>
          <w:b/>
        </w:rPr>
        <w:t>41761</w:t>
      </w:r>
      <w:r>
        <w:t xml:space="preserve"> – P</w:t>
      </w:r>
      <w:r w:rsidR="00BC209F" w:rsidRPr="003F1FC3">
        <w:t xml:space="preserve">ostnasal </w:t>
      </w:r>
      <w:r w:rsidR="00BC209F" w:rsidRPr="00FE6728">
        <w:t>space</w:t>
      </w:r>
      <w:r w:rsidR="00BC209F" w:rsidRPr="003F1FC3">
        <w:t xml:space="preserve">, direct examination of, with or without biopsy </w:t>
      </w:r>
    </w:p>
    <w:p w14:paraId="5666F2DD" w14:textId="77777777" w:rsidR="00BC209F" w:rsidRPr="003F1FC3" w:rsidRDefault="00722DF9" w:rsidP="00681E75">
      <w:pPr>
        <w:pStyle w:val="NormalBulleted"/>
      </w:pPr>
      <w:r w:rsidRPr="00722DF9">
        <w:rPr>
          <w:b/>
        </w:rPr>
        <w:t>41849</w:t>
      </w:r>
      <w:r>
        <w:t xml:space="preserve"> – L</w:t>
      </w:r>
      <w:r w:rsidR="00BC209F" w:rsidRPr="003F1FC3">
        <w:t xml:space="preserve">arynx, </w:t>
      </w:r>
      <w:r w:rsidR="00BC209F" w:rsidRPr="00FE6728">
        <w:t>direct</w:t>
      </w:r>
      <w:r w:rsidR="00BC209F" w:rsidRPr="003F1FC3">
        <w:t xml:space="preserve"> examination of, with biopsy </w:t>
      </w:r>
    </w:p>
    <w:p w14:paraId="467FDC48" w14:textId="77777777" w:rsidR="00BC209F" w:rsidRPr="003F1FC3" w:rsidRDefault="00722DF9" w:rsidP="00681E75">
      <w:pPr>
        <w:pStyle w:val="NormalBulleted"/>
      </w:pPr>
      <w:r w:rsidRPr="00722DF9">
        <w:rPr>
          <w:b/>
        </w:rPr>
        <w:t>41852</w:t>
      </w:r>
      <w:r>
        <w:t xml:space="preserve"> – L</w:t>
      </w:r>
      <w:r w:rsidR="00BC209F" w:rsidRPr="003F1FC3">
        <w:t xml:space="preserve">arynx, direct examination of, with removal of tumour </w:t>
      </w:r>
    </w:p>
    <w:p w14:paraId="32328163" w14:textId="77777777" w:rsidR="004361D0" w:rsidRPr="001C3B56" w:rsidRDefault="00BC209F" w:rsidP="00722DF9">
      <w:pPr>
        <w:rPr>
          <w:bCs/>
        </w:rPr>
      </w:pPr>
      <w:r>
        <w:t xml:space="preserve">However, both the Committee and Taskforce agreed that feedback on the use of </w:t>
      </w:r>
      <w:proofErr w:type="spellStart"/>
      <w:r>
        <w:t>stroboscopy</w:t>
      </w:r>
      <w:proofErr w:type="spellEnd"/>
      <w:r>
        <w:t xml:space="preserve"> under item 41846 warranted a review of the evidence base with a view to considering whether item 41846 should </w:t>
      </w:r>
      <w:r w:rsidR="002D2F20">
        <w:t xml:space="preserve">be </w:t>
      </w:r>
      <w:r>
        <w:t xml:space="preserve">revised to only apply to </w:t>
      </w:r>
      <w:proofErr w:type="spellStart"/>
      <w:r>
        <w:t>stroboscopy</w:t>
      </w:r>
      <w:proofErr w:type="spellEnd"/>
      <w:r>
        <w:t xml:space="preserve">, whether another existing item adequately describes the service or whether a new item is required. This item is for </w:t>
      </w:r>
      <w:r w:rsidRPr="00422EC8">
        <w:t xml:space="preserve">‘larynx, direct examination of the supraglottic, glottic and subglottic </w:t>
      </w:r>
      <w:proofErr w:type="gramStart"/>
      <w:r w:rsidRPr="00422EC8">
        <w:t>regions’</w:t>
      </w:r>
      <w:proofErr w:type="gramEnd"/>
      <w:r w:rsidRPr="00422EC8">
        <w:t>.</w:t>
      </w:r>
      <w:r w:rsidR="007736E8" w:rsidRPr="00422EC8">
        <w:t xml:space="preserve"> </w:t>
      </w:r>
      <w:r w:rsidRPr="00422EC8">
        <w:t xml:space="preserve">Following consideration of the evidence review and expert advice it is proposed to remove item 41846 and introduce a new item specifically for </w:t>
      </w:r>
      <w:proofErr w:type="spellStart"/>
      <w:r w:rsidRPr="00422EC8">
        <w:t>stroboscopy</w:t>
      </w:r>
      <w:proofErr w:type="spellEnd"/>
      <w:r w:rsidRPr="00422EC8">
        <w:t>.</w:t>
      </w:r>
      <w:r w:rsidR="007736E8" w:rsidRPr="00422EC8">
        <w:t xml:space="preserve"> </w:t>
      </w:r>
      <w:r w:rsidRPr="00422EC8">
        <w:t xml:space="preserve">Further discussion of these deliberations is at section </w:t>
      </w:r>
      <w:r w:rsidR="00825109" w:rsidRPr="00422EC8">
        <w:t>4.</w:t>
      </w:r>
      <w:r w:rsidRPr="00422EC8">
        <w:t>5</w:t>
      </w:r>
      <w:r w:rsidRPr="001C3B56">
        <w:rPr>
          <w:bCs/>
        </w:rPr>
        <w:t>.</w:t>
      </w:r>
      <w:r w:rsidR="007736E8" w:rsidRPr="001C3B56">
        <w:rPr>
          <w:bCs/>
        </w:rPr>
        <w:t xml:space="preserve"> </w:t>
      </w:r>
      <w:r w:rsidR="004361D0" w:rsidRPr="001C3B56">
        <w:rPr>
          <w:bCs/>
        </w:rPr>
        <w:br w:type="page"/>
      </w:r>
    </w:p>
    <w:p w14:paraId="569A7487" w14:textId="77777777" w:rsidR="00BC209F" w:rsidRPr="00825109" w:rsidRDefault="00BC209F" w:rsidP="00700528">
      <w:pPr>
        <w:pStyle w:val="Heading1"/>
      </w:pPr>
      <w:bookmarkStart w:id="69" w:name="_Toc457053430"/>
      <w:bookmarkStart w:id="70" w:name="_Toc485723862"/>
      <w:r w:rsidRPr="00825109">
        <w:lastRenderedPageBreak/>
        <w:t xml:space="preserve">MBS Item Group 3 </w:t>
      </w:r>
      <w:r w:rsidR="00A32201">
        <w:t xml:space="preserve">– </w:t>
      </w:r>
      <w:r w:rsidRPr="00825109">
        <w:t>Generic issues</w:t>
      </w:r>
      <w:bookmarkEnd w:id="69"/>
      <w:bookmarkEnd w:id="70"/>
      <w:r w:rsidRPr="00825109">
        <w:t xml:space="preserve"> </w:t>
      </w:r>
    </w:p>
    <w:p w14:paraId="7E753668" w14:textId="77777777" w:rsidR="00BC209F" w:rsidRPr="00BC2064" w:rsidRDefault="00BC209F" w:rsidP="00722DF9">
      <w:pPr>
        <w:rPr>
          <w:rFonts w:eastAsiaTheme="minorHAnsi"/>
        </w:rPr>
      </w:pPr>
      <w:r>
        <w:rPr>
          <w:rFonts w:eastAsiaTheme="minorHAnsi"/>
          <w:lang w:val="en-US" w:eastAsia="en-US"/>
        </w:rPr>
        <w:t xml:space="preserve">The Committee identified </w:t>
      </w:r>
      <w:proofErr w:type="gramStart"/>
      <w:r>
        <w:rPr>
          <w:rFonts w:eastAsiaTheme="minorHAnsi"/>
          <w:lang w:val="en-US" w:eastAsia="en-US"/>
        </w:rPr>
        <w:t>a number of</w:t>
      </w:r>
      <w:proofErr w:type="gramEnd"/>
      <w:r>
        <w:rPr>
          <w:rFonts w:eastAsiaTheme="minorHAnsi"/>
          <w:lang w:val="en-US" w:eastAsia="en-US"/>
        </w:rPr>
        <w:t xml:space="preserve"> issues which were not specific to ENT Surgery.</w:t>
      </w:r>
      <w:r w:rsidR="007736E8">
        <w:rPr>
          <w:rFonts w:eastAsiaTheme="minorHAnsi"/>
          <w:lang w:val="en-US" w:eastAsia="en-US"/>
        </w:rPr>
        <w:t xml:space="preserve"> </w:t>
      </w:r>
      <w:r>
        <w:rPr>
          <w:rFonts w:eastAsiaTheme="minorHAnsi"/>
          <w:lang w:val="en-US" w:eastAsia="en-US"/>
        </w:rPr>
        <w:t>These issues are being considered by the Taskforce.</w:t>
      </w:r>
    </w:p>
    <w:p w14:paraId="71B52C0A" w14:textId="77777777" w:rsidR="00BC209F" w:rsidRPr="00700528" w:rsidRDefault="00BC209F" w:rsidP="00681E75">
      <w:pPr>
        <w:pStyle w:val="Heading2"/>
      </w:pPr>
      <w:bookmarkStart w:id="71" w:name="_Toc457053431"/>
      <w:r w:rsidRPr="00700528">
        <w:t>Differential fees for the same service provided by</w:t>
      </w:r>
      <w:r w:rsidR="004C6CE6">
        <w:t xml:space="preserve"> </w:t>
      </w:r>
      <w:r w:rsidRPr="00700528">
        <w:t>GP or specialist (G &amp; S items)</w:t>
      </w:r>
      <w:bookmarkEnd w:id="71"/>
    </w:p>
    <w:p w14:paraId="4E676A00" w14:textId="77777777" w:rsidR="00BC209F" w:rsidRPr="003F1FC3" w:rsidRDefault="00BC209F" w:rsidP="00722DF9">
      <w:pPr>
        <w:rPr>
          <w:lang w:val="en-US" w:eastAsia="en-US"/>
        </w:rPr>
      </w:pPr>
      <w:r w:rsidRPr="003F1FC3">
        <w:rPr>
          <w:lang w:val="en-US" w:eastAsia="en-US"/>
        </w:rPr>
        <w:t xml:space="preserve">The Committee noted that there are several items in ENT which provided a differential rebate for services provided by GPs and specialists. The existence of items which distinguish between services provided by GPs and specialists are a historical artefact of the MBS, resulting from when the Schedule was based on the most common fee for the service. </w:t>
      </w:r>
    </w:p>
    <w:p w14:paraId="705A7144" w14:textId="77777777" w:rsidR="00BC209F" w:rsidRPr="003F1FC3" w:rsidRDefault="00BC209F" w:rsidP="00722DF9">
      <w:pPr>
        <w:rPr>
          <w:lang w:val="en-US" w:eastAsia="en-US"/>
        </w:rPr>
      </w:pPr>
      <w:r w:rsidRPr="003F1FC3">
        <w:rPr>
          <w:lang w:val="en-US" w:eastAsia="en-US"/>
        </w:rPr>
        <w:t xml:space="preserve">The Committee supports the removal of the fee differential between GPs and specialists performing the same service. </w:t>
      </w:r>
    </w:p>
    <w:p w14:paraId="58B833CA" w14:textId="77777777" w:rsidR="00BC209F" w:rsidRPr="00700528" w:rsidRDefault="00BC209F" w:rsidP="006508BC">
      <w:pPr>
        <w:pStyle w:val="Heading2"/>
      </w:pPr>
      <w:bookmarkStart w:id="72" w:name="_Toc457053432"/>
      <w:r w:rsidRPr="00700528">
        <w:t>Audit and feedback, and early engagement on potential claiming issues</w:t>
      </w:r>
      <w:bookmarkEnd w:id="72"/>
    </w:p>
    <w:p w14:paraId="2DA7B06A" w14:textId="77777777" w:rsidR="00BC209F" w:rsidRPr="003F1FC3" w:rsidRDefault="00BC209F" w:rsidP="00722DF9">
      <w:pPr>
        <w:rPr>
          <w:lang w:val="en-US" w:eastAsia="en-US"/>
        </w:rPr>
      </w:pPr>
      <w:r w:rsidRPr="003F1FC3">
        <w:rPr>
          <w:lang w:val="en-US" w:eastAsia="en-US"/>
        </w:rPr>
        <w:t xml:space="preserve">The Committee noted the importance of practitioners being provided with the feedback tools to monitor and reflect on their own practice and billing. </w:t>
      </w:r>
      <w:r>
        <w:rPr>
          <w:lang w:val="en-US" w:eastAsia="en-US"/>
        </w:rPr>
        <w:t>M</w:t>
      </w:r>
      <w:r w:rsidRPr="003F1FC3">
        <w:rPr>
          <w:lang w:val="en-US" w:eastAsia="en-US"/>
        </w:rPr>
        <w:t xml:space="preserve">embers </w:t>
      </w:r>
      <w:r>
        <w:rPr>
          <w:lang w:val="en-US" w:eastAsia="en-US"/>
        </w:rPr>
        <w:t>agreed that</w:t>
      </w:r>
      <w:r w:rsidRPr="003F1FC3">
        <w:rPr>
          <w:lang w:val="en-US" w:eastAsia="en-US"/>
        </w:rPr>
        <w:t xml:space="preserve"> interquartile activity reports relating to how their M</w:t>
      </w:r>
      <w:r>
        <w:rPr>
          <w:lang w:val="en-US" w:eastAsia="en-US"/>
        </w:rPr>
        <w:t xml:space="preserve">BS </w:t>
      </w:r>
      <w:r w:rsidRPr="003F1FC3">
        <w:rPr>
          <w:lang w:val="en-US" w:eastAsia="en-US"/>
        </w:rPr>
        <w:t xml:space="preserve">billing compared to their peers was a useful audit and feedback tool. The members agreed that such reporting may play an important role in moderating outlier </w:t>
      </w:r>
      <w:proofErr w:type="spellStart"/>
      <w:r w:rsidRPr="003F1FC3">
        <w:rPr>
          <w:lang w:val="en-US" w:eastAsia="en-US"/>
        </w:rPr>
        <w:t>behaviour</w:t>
      </w:r>
      <w:proofErr w:type="spellEnd"/>
      <w:r w:rsidRPr="003F1FC3">
        <w:rPr>
          <w:lang w:val="en-US" w:eastAsia="en-US"/>
        </w:rPr>
        <w:t>.</w:t>
      </w:r>
      <w:r w:rsidR="007736E8">
        <w:rPr>
          <w:lang w:val="en-US" w:eastAsia="en-US"/>
        </w:rPr>
        <w:t xml:space="preserve"> </w:t>
      </w:r>
      <w:r w:rsidR="002D2F20">
        <w:rPr>
          <w:lang w:val="en-US" w:eastAsia="en-US"/>
        </w:rPr>
        <w:t>In the past, t</w:t>
      </w:r>
      <w:r w:rsidRPr="003F1FC3">
        <w:rPr>
          <w:lang w:val="en-US" w:eastAsia="en-US"/>
        </w:rPr>
        <w:t xml:space="preserve">hese reports </w:t>
      </w:r>
      <w:r w:rsidR="002D2F20">
        <w:rPr>
          <w:lang w:val="en-US" w:eastAsia="en-US"/>
        </w:rPr>
        <w:t>were</w:t>
      </w:r>
      <w:r w:rsidRPr="003F1FC3">
        <w:rPr>
          <w:lang w:val="en-US" w:eastAsia="en-US"/>
        </w:rPr>
        <w:t xml:space="preserve"> produced by Medicare </w:t>
      </w:r>
      <w:r>
        <w:rPr>
          <w:lang w:val="en-US" w:eastAsia="en-US"/>
        </w:rPr>
        <w:t>Australia (now Department of Human Services (DHS))</w:t>
      </w:r>
      <w:r w:rsidR="00090478">
        <w:rPr>
          <w:lang w:val="en-US" w:eastAsia="en-US"/>
        </w:rPr>
        <w:t xml:space="preserve">, </w:t>
      </w:r>
      <w:r w:rsidRPr="003F1FC3">
        <w:rPr>
          <w:lang w:val="en-US" w:eastAsia="en-US"/>
        </w:rPr>
        <w:t xml:space="preserve">however the members did not believe the reports are still available. </w:t>
      </w:r>
    </w:p>
    <w:p w14:paraId="152798CB" w14:textId="77777777" w:rsidR="00BC209F" w:rsidRPr="00700528" w:rsidRDefault="00BC209F" w:rsidP="006508BC">
      <w:pPr>
        <w:pStyle w:val="Heading2"/>
      </w:pPr>
      <w:bookmarkStart w:id="73" w:name="_Toc457053433"/>
      <w:r w:rsidRPr="00700528">
        <w:t>Aftercare</w:t>
      </w:r>
      <w:bookmarkEnd w:id="73"/>
    </w:p>
    <w:p w14:paraId="2B1D65C2" w14:textId="77777777" w:rsidR="00BC209F" w:rsidRPr="003F1FC3" w:rsidRDefault="00BC209F" w:rsidP="00722DF9">
      <w:pPr>
        <w:rPr>
          <w:lang w:val="en-US" w:eastAsia="en-US"/>
        </w:rPr>
      </w:pPr>
      <w:r w:rsidRPr="003F1FC3">
        <w:rPr>
          <w:lang w:val="en-US" w:eastAsia="en-US"/>
        </w:rPr>
        <w:t xml:space="preserve">The Committee noted that the MBS currently provides guidance to practitioners about aftercare, however there is anecdotal evidence that practitioners are taking inconsistent approaches to interpretation of these rules which has cost implications for patients and for supporting appropriate use of the MBS. </w:t>
      </w:r>
    </w:p>
    <w:p w14:paraId="21D59E4B" w14:textId="77777777" w:rsidR="00BC209F" w:rsidRPr="003F1FC3" w:rsidRDefault="00BC209F" w:rsidP="00722DF9">
      <w:pPr>
        <w:rPr>
          <w:lang w:val="en-US" w:eastAsia="en-US"/>
        </w:rPr>
      </w:pPr>
      <w:r w:rsidRPr="003F1FC3">
        <w:rPr>
          <w:lang w:val="en-US" w:eastAsia="en-US"/>
        </w:rPr>
        <w:t>The Committee recommends a broader review of aftercare and the associated rules applying across the MBS. This may be beneficial in supporting consistent practice across all practitioners, encouraging appropriate use of MBS items and to ensure that patients are not receiving differential rebates depending on the M</w:t>
      </w:r>
      <w:r w:rsidR="002D2F20">
        <w:rPr>
          <w:lang w:val="en-US" w:eastAsia="en-US"/>
        </w:rPr>
        <w:t>BS</w:t>
      </w:r>
      <w:r w:rsidR="00E60228">
        <w:rPr>
          <w:lang w:val="en-US" w:eastAsia="en-US"/>
        </w:rPr>
        <w:t xml:space="preserve"> </w:t>
      </w:r>
      <w:r w:rsidRPr="003F1FC3">
        <w:rPr>
          <w:lang w:val="en-US" w:eastAsia="en-US"/>
        </w:rPr>
        <w:t xml:space="preserve">billing </w:t>
      </w:r>
      <w:proofErr w:type="spellStart"/>
      <w:r w:rsidRPr="003F1FC3">
        <w:rPr>
          <w:lang w:val="en-US" w:eastAsia="en-US"/>
        </w:rPr>
        <w:t>behaviour</w:t>
      </w:r>
      <w:proofErr w:type="spellEnd"/>
      <w:r w:rsidRPr="003F1FC3">
        <w:rPr>
          <w:lang w:val="en-US" w:eastAsia="en-US"/>
        </w:rPr>
        <w:t xml:space="preserve"> of the individual practitioner. </w:t>
      </w:r>
    </w:p>
    <w:p w14:paraId="1B265C6B" w14:textId="77777777" w:rsidR="00BC209F" w:rsidRPr="00700528" w:rsidRDefault="00BC209F" w:rsidP="006508BC">
      <w:pPr>
        <w:pStyle w:val="Heading2"/>
      </w:pPr>
      <w:bookmarkStart w:id="74" w:name="_Toc457053434"/>
      <w:r w:rsidRPr="00700528">
        <w:t>Item descriptors and co-claiming of MBS services</w:t>
      </w:r>
      <w:bookmarkEnd w:id="74"/>
      <w:r w:rsidRPr="00700528">
        <w:t xml:space="preserve"> </w:t>
      </w:r>
    </w:p>
    <w:p w14:paraId="29B43F0D" w14:textId="77777777" w:rsidR="00BC209F" w:rsidRPr="003F1FC3" w:rsidRDefault="00BC209F" w:rsidP="00722DF9">
      <w:pPr>
        <w:rPr>
          <w:lang w:val="en-US" w:eastAsia="en-US"/>
        </w:rPr>
      </w:pPr>
      <w:r w:rsidRPr="003F1FC3">
        <w:rPr>
          <w:lang w:val="en-US" w:eastAsia="en-US"/>
        </w:rPr>
        <w:t>The Committee is generally supportive of the principle that item descriptors should describe the complete medical services where possible. The Committee noted that there are inconsistent billing practices across providers of the same services, which ultimately means that patients undergoing the same types of procedures receiving different level of rebate from M</w:t>
      </w:r>
      <w:r w:rsidR="002D2F20">
        <w:rPr>
          <w:lang w:val="en-US" w:eastAsia="en-US"/>
        </w:rPr>
        <w:t>BS</w:t>
      </w:r>
      <w:r w:rsidRPr="003F1FC3">
        <w:rPr>
          <w:lang w:val="en-US" w:eastAsia="en-US"/>
        </w:rPr>
        <w:t>.</w:t>
      </w:r>
    </w:p>
    <w:p w14:paraId="02E3A8D2" w14:textId="77777777" w:rsidR="00BC209F" w:rsidRPr="003F1FC3" w:rsidRDefault="00BC209F" w:rsidP="00722DF9">
      <w:pPr>
        <w:rPr>
          <w:lang w:val="en-US" w:eastAsia="en-US"/>
        </w:rPr>
      </w:pPr>
      <w:r w:rsidRPr="003F1FC3">
        <w:rPr>
          <w:lang w:val="en-US" w:eastAsia="en-US"/>
        </w:rPr>
        <w:t>The Committee noted the importance of being provided with clear guidance on how item descriptors are constructed.</w:t>
      </w:r>
      <w:r w:rsidR="007736E8">
        <w:rPr>
          <w:lang w:val="en-US" w:eastAsia="en-US"/>
        </w:rPr>
        <w:t xml:space="preserve"> </w:t>
      </w:r>
      <w:r w:rsidRPr="003F1FC3">
        <w:rPr>
          <w:lang w:val="en-US" w:eastAsia="en-US"/>
        </w:rPr>
        <w:t xml:space="preserve">This is particularly important for consideration of procedural items. </w:t>
      </w:r>
    </w:p>
    <w:p w14:paraId="72D0449F" w14:textId="77777777" w:rsidR="00BC209F" w:rsidRPr="00DC77AE" w:rsidRDefault="00BC209F" w:rsidP="00722DF9">
      <w:pPr>
        <w:rPr>
          <w:rFonts w:cs="Arial"/>
        </w:rPr>
      </w:pPr>
      <w:r w:rsidRPr="003F1FC3">
        <w:rPr>
          <w:lang w:val="en-US" w:eastAsia="en-US"/>
        </w:rPr>
        <w:lastRenderedPageBreak/>
        <w:t>The Committee is generally supportive of limiting co-claiming of subsequent consultation services on the same day</w:t>
      </w:r>
      <w:r w:rsidRPr="00DC77AE">
        <w:rPr>
          <w:rFonts w:cs="Arial"/>
        </w:rPr>
        <w:t xml:space="preserve"> as a complex procedure. </w:t>
      </w:r>
    </w:p>
    <w:p w14:paraId="3AE57AC8" w14:textId="77777777" w:rsidR="00BC209F" w:rsidRPr="00700528" w:rsidRDefault="00BC209F" w:rsidP="006508BC">
      <w:pPr>
        <w:pStyle w:val="Heading2"/>
      </w:pPr>
      <w:bookmarkStart w:id="75" w:name="_Toc457053435"/>
      <w:r w:rsidRPr="00700528">
        <w:t>Inconsistency in referral from private providers to public services</w:t>
      </w:r>
      <w:bookmarkEnd w:id="75"/>
      <w:r w:rsidRPr="00700528">
        <w:t xml:space="preserve"> </w:t>
      </w:r>
    </w:p>
    <w:p w14:paraId="10A40E2B" w14:textId="77777777" w:rsidR="00BC209F" w:rsidRPr="003F1FC3" w:rsidRDefault="00BC209F" w:rsidP="00722DF9">
      <w:pPr>
        <w:rPr>
          <w:lang w:val="en-US" w:eastAsia="en-US"/>
        </w:rPr>
      </w:pPr>
      <w:r w:rsidRPr="003F1FC3">
        <w:rPr>
          <w:lang w:val="en-US" w:eastAsia="en-US"/>
        </w:rPr>
        <w:t xml:space="preserve">During the discussions on the priority reviews, the Committee discussed the inconsistency across some </w:t>
      </w:r>
      <w:r>
        <w:rPr>
          <w:lang w:val="en-US" w:eastAsia="en-US"/>
        </w:rPr>
        <w:t>s</w:t>
      </w:r>
      <w:r w:rsidRPr="003F1FC3">
        <w:rPr>
          <w:lang w:val="en-US" w:eastAsia="en-US"/>
        </w:rPr>
        <w:t>tates</w:t>
      </w:r>
      <w:r>
        <w:rPr>
          <w:lang w:val="en-US" w:eastAsia="en-US"/>
        </w:rPr>
        <w:t xml:space="preserve"> and territories</w:t>
      </w:r>
      <w:r w:rsidRPr="003F1FC3">
        <w:rPr>
          <w:lang w:val="en-US" w:eastAsia="en-US"/>
        </w:rPr>
        <w:t xml:space="preserve"> of the ability of private practitioners to refer patients to public ENT services.</w:t>
      </w:r>
      <w:r w:rsidR="007736E8">
        <w:rPr>
          <w:lang w:val="en-US" w:eastAsia="en-US"/>
        </w:rPr>
        <w:t xml:space="preserve"> </w:t>
      </w:r>
      <w:r w:rsidRPr="003F1FC3">
        <w:rPr>
          <w:lang w:val="en-US" w:eastAsia="en-US"/>
        </w:rPr>
        <w:t xml:space="preserve">The Committee noted that this could mean that a patient has a consultation in the private system, and then another in the public system. </w:t>
      </w:r>
    </w:p>
    <w:p w14:paraId="00C0545A" w14:textId="77777777" w:rsidR="00BC209F" w:rsidRDefault="00BC209F" w:rsidP="00722DF9">
      <w:r w:rsidRPr="003F1FC3">
        <w:rPr>
          <w:lang w:val="en-US" w:eastAsia="en-US"/>
        </w:rPr>
        <w:t xml:space="preserve">It was noted that this practice could impact on </w:t>
      </w:r>
      <w:r w:rsidR="00090478">
        <w:rPr>
          <w:lang w:val="en-US" w:eastAsia="en-US"/>
        </w:rPr>
        <w:t xml:space="preserve">a </w:t>
      </w:r>
      <w:r w:rsidRPr="003F1FC3">
        <w:rPr>
          <w:lang w:val="en-US" w:eastAsia="en-US"/>
        </w:rPr>
        <w:t>patient</w:t>
      </w:r>
      <w:r w:rsidR="00090478">
        <w:rPr>
          <w:lang w:val="en-US" w:eastAsia="en-US"/>
        </w:rPr>
        <w:t>’</w:t>
      </w:r>
      <w:r w:rsidRPr="003F1FC3">
        <w:rPr>
          <w:lang w:val="en-US" w:eastAsia="en-US"/>
        </w:rPr>
        <w:t>s ability to access services in a timely manner (as some patients would have to wait for a consultation with a public provider when the patient has already</w:t>
      </w:r>
      <w:r>
        <w:t xml:space="preserve"> been assessed as suitable for intervention).</w:t>
      </w:r>
    </w:p>
    <w:p w14:paraId="6D70B42B" w14:textId="77777777" w:rsidR="00BC209F" w:rsidRPr="00700528" w:rsidRDefault="00BC209F" w:rsidP="006508BC">
      <w:pPr>
        <w:pStyle w:val="Heading2"/>
      </w:pPr>
      <w:bookmarkStart w:id="76" w:name="_Toc457053436"/>
      <w:r w:rsidRPr="00700528">
        <w:t>Patient indications in item descriptors</w:t>
      </w:r>
      <w:bookmarkEnd w:id="76"/>
    </w:p>
    <w:p w14:paraId="17BCCDA9" w14:textId="77777777" w:rsidR="00BC209F" w:rsidRPr="003F1FC3" w:rsidRDefault="00BC209F" w:rsidP="00722DF9">
      <w:pPr>
        <w:rPr>
          <w:lang w:val="en-US" w:eastAsia="en-US"/>
        </w:rPr>
      </w:pPr>
      <w:r w:rsidRPr="003F1FC3">
        <w:rPr>
          <w:lang w:val="en-US" w:eastAsia="en-US"/>
        </w:rPr>
        <w:t xml:space="preserve">The priority reviews of tonsillectomy, adenoidectomy and grommet insertion highlight the important threshold issue when considering whether the inclusion of patient indications in item descriptors is appropriate. </w:t>
      </w:r>
    </w:p>
    <w:p w14:paraId="412A8AF6" w14:textId="77777777" w:rsidR="00BC209F" w:rsidRPr="003F1FC3" w:rsidRDefault="00BC209F" w:rsidP="00722DF9">
      <w:pPr>
        <w:rPr>
          <w:lang w:val="en-US" w:eastAsia="en-US"/>
        </w:rPr>
      </w:pPr>
      <w:r w:rsidRPr="003F1FC3">
        <w:rPr>
          <w:lang w:val="en-US" w:eastAsia="en-US"/>
        </w:rPr>
        <w:t xml:space="preserve">The Committee were of the view that including patient indications in the item descriptors without strong evidence of inappropriate service provision may have unintended consequences for patient access to services. </w:t>
      </w:r>
    </w:p>
    <w:p w14:paraId="1821CC8C" w14:textId="77777777" w:rsidR="00BC209F" w:rsidRPr="003F1FC3" w:rsidRDefault="00BC209F" w:rsidP="00722DF9">
      <w:pPr>
        <w:rPr>
          <w:lang w:val="en-US" w:eastAsia="en-US"/>
        </w:rPr>
      </w:pPr>
      <w:r w:rsidRPr="003F1FC3">
        <w:rPr>
          <w:lang w:val="en-US" w:eastAsia="en-US"/>
        </w:rPr>
        <w:t xml:space="preserve">It was noted that it will be not always to be possible to include all the possible patient indications in the item descriptor, and there may be patients that fall outside the indications listed in the descriptor where the practitioners’ clinical judgment determines that the patient would benefit from the service. In this situation, the patient would be unable to receive </w:t>
      </w:r>
      <w:proofErr w:type="gramStart"/>
      <w:r w:rsidRPr="003F1FC3">
        <w:rPr>
          <w:lang w:val="en-US" w:eastAsia="en-US"/>
        </w:rPr>
        <w:t>a</w:t>
      </w:r>
      <w:proofErr w:type="gramEnd"/>
      <w:r w:rsidRPr="003F1FC3">
        <w:rPr>
          <w:lang w:val="en-US" w:eastAsia="en-US"/>
        </w:rPr>
        <w:t xml:space="preserve"> M</w:t>
      </w:r>
      <w:r>
        <w:rPr>
          <w:lang w:val="en-US" w:eastAsia="en-US"/>
        </w:rPr>
        <w:t>BS</w:t>
      </w:r>
      <w:r w:rsidRPr="003F1FC3">
        <w:rPr>
          <w:lang w:val="en-US" w:eastAsia="en-US"/>
        </w:rPr>
        <w:t xml:space="preserve"> rebate for the service. The absence of </w:t>
      </w:r>
      <w:proofErr w:type="gramStart"/>
      <w:r w:rsidRPr="003F1FC3">
        <w:rPr>
          <w:lang w:val="en-US" w:eastAsia="en-US"/>
        </w:rPr>
        <w:t>a</w:t>
      </w:r>
      <w:proofErr w:type="gramEnd"/>
      <w:r w:rsidRPr="003F1FC3">
        <w:rPr>
          <w:lang w:val="en-US" w:eastAsia="en-US"/>
        </w:rPr>
        <w:t xml:space="preserve"> M</w:t>
      </w:r>
      <w:r>
        <w:rPr>
          <w:lang w:val="en-US" w:eastAsia="en-US"/>
        </w:rPr>
        <w:t>BS</w:t>
      </w:r>
      <w:r w:rsidRPr="003F1FC3">
        <w:rPr>
          <w:lang w:val="en-US" w:eastAsia="en-US"/>
        </w:rPr>
        <w:t xml:space="preserve"> rebate for the service may also mean that the patient is unable to claim for the accommodation/consumables costs associated with the procedure from their private health insurer.</w:t>
      </w:r>
    </w:p>
    <w:p w14:paraId="63B0CDC8" w14:textId="77777777" w:rsidR="00BC209F" w:rsidRPr="003F1FC3" w:rsidRDefault="00BC209F" w:rsidP="00722DF9">
      <w:pPr>
        <w:rPr>
          <w:lang w:val="en-US" w:eastAsia="en-US"/>
        </w:rPr>
      </w:pPr>
      <w:r w:rsidRPr="003F1FC3">
        <w:rPr>
          <w:lang w:val="en-US" w:eastAsia="en-US"/>
        </w:rPr>
        <w:t>The Committee discussed scenarios which could be used to address exceptional circumstances, including the role of pre-</w:t>
      </w:r>
      <w:proofErr w:type="spellStart"/>
      <w:r w:rsidRPr="003F1FC3">
        <w:rPr>
          <w:lang w:val="en-US" w:eastAsia="en-US"/>
        </w:rPr>
        <w:t>authorisation</w:t>
      </w:r>
      <w:proofErr w:type="spellEnd"/>
      <w:r w:rsidRPr="003F1FC3">
        <w:rPr>
          <w:lang w:val="en-US" w:eastAsia="en-US"/>
        </w:rPr>
        <w:t xml:space="preserve"> processes. The </w:t>
      </w:r>
      <w:proofErr w:type="gramStart"/>
      <w:r w:rsidRPr="003F1FC3">
        <w:rPr>
          <w:lang w:val="en-US" w:eastAsia="en-US"/>
        </w:rPr>
        <w:t>general consensus</w:t>
      </w:r>
      <w:proofErr w:type="gramEnd"/>
      <w:r w:rsidRPr="003F1FC3">
        <w:rPr>
          <w:lang w:val="en-US" w:eastAsia="en-US"/>
        </w:rPr>
        <w:t xml:space="preserve"> was that a pre-</w:t>
      </w:r>
      <w:proofErr w:type="spellStart"/>
      <w:r w:rsidRPr="003F1FC3">
        <w:rPr>
          <w:lang w:val="en-US" w:eastAsia="en-US"/>
        </w:rPr>
        <w:t>authorisation</w:t>
      </w:r>
      <w:proofErr w:type="spellEnd"/>
      <w:r w:rsidRPr="003F1FC3">
        <w:rPr>
          <w:lang w:val="en-US" w:eastAsia="en-US"/>
        </w:rPr>
        <w:t xml:space="preserve"> process (similar to that used by the Pharmaceutical Benefits Scheme) may lead to delays to patients receiving treatment or intervention and may be costly to administer.</w:t>
      </w:r>
    </w:p>
    <w:p w14:paraId="10D350F8" w14:textId="77777777" w:rsidR="00BC209F" w:rsidRDefault="006431E5" w:rsidP="00700528">
      <w:pPr>
        <w:pStyle w:val="Rec"/>
      </w:pPr>
      <w:bookmarkStart w:id="77" w:name="_Toc456564866"/>
      <w:bookmarkStart w:id="78" w:name="_Toc456564995"/>
      <w:bookmarkStart w:id="79" w:name="_Toc456564867"/>
      <w:bookmarkStart w:id="80" w:name="_Toc456564996"/>
      <w:bookmarkStart w:id="81" w:name="_Toc456564868"/>
      <w:bookmarkStart w:id="82" w:name="_Toc456564997"/>
      <w:bookmarkStart w:id="83" w:name="_Toc456564869"/>
      <w:bookmarkStart w:id="84" w:name="_Toc456564998"/>
      <w:bookmarkStart w:id="85" w:name="_Toc456564870"/>
      <w:bookmarkStart w:id="86" w:name="_Toc456564999"/>
      <w:bookmarkStart w:id="87" w:name="_Toc456564871"/>
      <w:bookmarkStart w:id="88" w:name="_Toc456565000"/>
      <w:bookmarkStart w:id="89" w:name="_Toc456564872"/>
      <w:bookmarkStart w:id="90" w:name="_Toc456565001"/>
      <w:bookmarkStart w:id="91" w:name="_Therapeutic_Procedures_to"/>
      <w:bookmarkStart w:id="92" w:name="_Toc457053437"/>
      <w:bookmarkStart w:id="93" w:name="_Toc485723863"/>
      <w:bookmarkStart w:id="94" w:name="_Toc45656500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Generic Issues</w:t>
      </w:r>
      <w:bookmarkEnd w:id="92"/>
      <w:bookmarkEnd w:id="93"/>
    </w:p>
    <w:p w14:paraId="15D5EF5F" w14:textId="77777777" w:rsidR="00BC209F" w:rsidRDefault="00BC209F" w:rsidP="00722DF9">
      <w:pPr>
        <w:rPr>
          <w:lang w:val="en-US" w:eastAsia="en-US"/>
        </w:rPr>
      </w:pPr>
      <w:r w:rsidRPr="00FA6542">
        <w:rPr>
          <w:lang w:val="en-US" w:eastAsia="en-US"/>
        </w:rPr>
        <w:t xml:space="preserve">The Committee </w:t>
      </w:r>
      <w:r>
        <w:rPr>
          <w:lang w:val="en-US" w:eastAsia="en-US"/>
        </w:rPr>
        <w:t>made the following recommendations regarding the generic issues discussed.</w:t>
      </w:r>
    </w:p>
    <w:p w14:paraId="4B4CC89B" w14:textId="77777777" w:rsidR="00BC209F" w:rsidRPr="00FA6542" w:rsidRDefault="00BC209F" w:rsidP="00722DF9">
      <w:pPr>
        <w:pStyle w:val="NormalBulleted"/>
        <w:rPr>
          <w:lang w:val="en-US" w:eastAsia="en-US"/>
        </w:rPr>
      </w:pPr>
      <w:r>
        <w:rPr>
          <w:lang w:val="en-US" w:eastAsia="en-US"/>
        </w:rPr>
        <w:t>That</w:t>
      </w:r>
      <w:r w:rsidRPr="00FA6542">
        <w:rPr>
          <w:lang w:val="en-US" w:eastAsia="en-US"/>
        </w:rPr>
        <w:t xml:space="preserve"> DHS provide more activity reporting to individual practitioners in ways which would allow individual to compare their practice to those of their peers. </w:t>
      </w:r>
    </w:p>
    <w:p w14:paraId="5BB8CBE2" w14:textId="77777777" w:rsidR="00BC209F" w:rsidRPr="00FA6542" w:rsidRDefault="00BC209F" w:rsidP="00722DF9">
      <w:pPr>
        <w:pStyle w:val="NormalBulleted"/>
      </w:pPr>
      <w:r w:rsidRPr="00CC2212">
        <w:rPr>
          <w:lang w:val="en-US" w:eastAsia="en-US"/>
        </w:rPr>
        <w:t>That the Department of Health meet with professional specialist societies and other professional bodies regularly to discuss claiming patterns, including co-claiming</w:t>
      </w:r>
      <w:r>
        <w:rPr>
          <w:lang w:val="en-US" w:eastAsia="en-US"/>
        </w:rPr>
        <w:t>,</w:t>
      </w:r>
      <w:r w:rsidRPr="00CC2212">
        <w:rPr>
          <w:lang w:val="en-US" w:eastAsia="en-US"/>
        </w:rPr>
        <w:t xml:space="preserve"> </w:t>
      </w:r>
      <w:proofErr w:type="gramStart"/>
      <w:r w:rsidRPr="00CC2212">
        <w:rPr>
          <w:lang w:val="en-US" w:eastAsia="en-US"/>
        </w:rPr>
        <w:t>in order to</w:t>
      </w:r>
      <w:proofErr w:type="gramEnd"/>
      <w:r w:rsidRPr="00CC2212">
        <w:rPr>
          <w:lang w:val="en-US" w:eastAsia="en-US"/>
        </w:rPr>
        <w:t xml:space="preserve"> identify any issues relating to potential inappropriate claiming or use of item</w:t>
      </w:r>
      <w:r>
        <w:rPr>
          <w:lang w:val="en-US" w:eastAsia="en-US"/>
        </w:rPr>
        <w:t>.</w:t>
      </w:r>
      <w:r w:rsidR="007736E8">
        <w:rPr>
          <w:lang w:val="en-US" w:eastAsia="en-US"/>
        </w:rPr>
        <w:t xml:space="preserve"> </w:t>
      </w:r>
      <w:r>
        <w:rPr>
          <w:lang w:val="en-US" w:eastAsia="en-US"/>
        </w:rPr>
        <w:t>This would provide an opportunity for</w:t>
      </w:r>
      <w:r w:rsidRPr="00CC2212">
        <w:rPr>
          <w:lang w:val="en-US" w:eastAsia="en-US"/>
        </w:rPr>
        <w:t xml:space="preserve"> those </w:t>
      </w:r>
      <w:proofErr w:type="spellStart"/>
      <w:r w:rsidRPr="00CC2212">
        <w:rPr>
          <w:lang w:val="en-US" w:eastAsia="en-US"/>
        </w:rPr>
        <w:t>organisations</w:t>
      </w:r>
      <w:proofErr w:type="spellEnd"/>
      <w:r w:rsidRPr="00CC2212">
        <w:rPr>
          <w:lang w:val="en-US" w:eastAsia="en-US"/>
        </w:rPr>
        <w:t xml:space="preserve"> </w:t>
      </w:r>
      <w:r>
        <w:rPr>
          <w:lang w:val="en-US" w:eastAsia="en-US"/>
        </w:rPr>
        <w:t>to</w:t>
      </w:r>
      <w:r w:rsidRPr="00CC2212">
        <w:rPr>
          <w:lang w:val="en-US" w:eastAsia="en-US"/>
        </w:rPr>
        <w:t xml:space="preserve"> </w:t>
      </w:r>
      <w:r>
        <w:rPr>
          <w:lang w:val="en-US" w:eastAsia="en-US"/>
        </w:rPr>
        <w:t>advise</w:t>
      </w:r>
      <w:r w:rsidRPr="00CC2212">
        <w:rPr>
          <w:lang w:val="en-US" w:eastAsia="en-US"/>
        </w:rPr>
        <w:t xml:space="preserve"> on changes in clinical practice which may explain claiming variations</w:t>
      </w:r>
      <w:r>
        <w:rPr>
          <w:lang w:val="en-US" w:eastAsia="en-US"/>
        </w:rPr>
        <w:t xml:space="preserve"> and would allow </w:t>
      </w:r>
      <w:r w:rsidRPr="00FA6542">
        <w:t>any issues to be addressed early.</w:t>
      </w:r>
    </w:p>
    <w:p w14:paraId="5B727451" w14:textId="77777777" w:rsidR="00316D32" w:rsidRPr="00681E75" w:rsidRDefault="00BC209F" w:rsidP="00D43AD4">
      <w:pPr>
        <w:pStyle w:val="NormalBulleted"/>
      </w:pPr>
      <w:r w:rsidRPr="007E55D8">
        <w:rPr>
          <w:lang w:val="en-US" w:eastAsia="en-US"/>
        </w:rPr>
        <w:lastRenderedPageBreak/>
        <w:t xml:space="preserve">The </w:t>
      </w:r>
      <w:r w:rsidRPr="00434F16">
        <w:rPr>
          <w:lang w:val="en-US" w:eastAsia="en-US"/>
        </w:rPr>
        <w:t>Taskforce conduct a broader review of aftercare and the associated rules applying across the MBS</w:t>
      </w:r>
      <w:r w:rsidRPr="00D43AD4">
        <w:rPr>
          <w:lang w:val="en-US" w:eastAsia="en-US"/>
        </w:rPr>
        <w:t xml:space="preserve"> to support consistent practice across all practitioners, to encourage appropriate use of MBS items and to ensure that patients are not receiving differential rebates depending on the MBS billing </w:t>
      </w:r>
      <w:proofErr w:type="spellStart"/>
      <w:r w:rsidRPr="00D43AD4">
        <w:rPr>
          <w:lang w:val="en-US" w:eastAsia="en-US"/>
        </w:rPr>
        <w:t>behaviour</w:t>
      </w:r>
      <w:proofErr w:type="spellEnd"/>
      <w:r w:rsidRPr="00D43AD4">
        <w:rPr>
          <w:lang w:val="en-US" w:eastAsia="en-US"/>
        </w:rPr>
        <w:t xml:space="preserve"> of the individual practitioner.</w:t>
      </w:r>
      <w:r w:rsidR="007736E8">
        <w:rPr>
          <w:lang w:val="en-US" w:eastAsia="en-US"/>
        </w:rPr>
        <w:t xml:space="preserve"> </w:t>
      </w:r>
      <w:r>
        <w:t>T</w:t>
      </w:r>
      <w:r w:rsidRPr="00FA6542">
        <w:t xml:space="preserve">he </w:t>
      </w:r>
      <w:r w:rsidR="00434F16">
        <w:t>Committee</w:t>
      </w:r>
      <w:r w:rsidRPr="00FA6542">
        <w:t xml:space="preserve"> consider</w:t>
      </w:r>
      <w:r w:rsidR="00434F16">
        <w:t>ed</w:t>
      </w:r>
      <w:r w:rsidRPr="00FA6542">
        <w:t xml:space="preserve"> the implications of including </w:t>
      </w:r>
      <w:r w:rsidR="00434F16">
        <w:t>clinical</w:t>
      </w:r>
      <w:r w:rsidR="00434F16" w:rsidRPr="00FA6542">
        <w:t xml:space="preserve"> </w:t>
      </w:r>
      <w:r w:rsidRPr="00FA6542">
        <w:t xml:space="preserve">indications in item descriptors </w:t>
      </w:r>
      <w:r w:rsidR="00434F16">
        <w:t xml:space="preserve">with respect to adenoidectomy, </w:t>
      </w:r>
      <w:proofErr w:type="gramStart"/>
      <w:r w:rsidR="00434F16">
        <w:t>tonsillectomy</w:t>
      </w:r>
      <w:proofErr w:type="gramEnd"/>
      <w:r w:rsidR="00434F16">
        <w:t xml:space="preserve"> and myringotomies. However, concluded that the inclusion of indications in the descriptor was unnecessary and unlikely to be helpful. </w:t>
      </w:r>
      <w:bookmarkEnd w:id="94"/>
      <w:r w:rsidR="00316D32">
        <w:br w:type="page"/>
      </w:r>
    </w:p>
    <w:p w14:paraId="50E531C0" w14:textId="77777777" w:rsidR="00885AEE" w:rsidRPr="009200D8" w:rsidRDefault="00BC209F" w:rsidP="00700528">
      <w:pPr>
        <w:pStyle w:val="Heading1"/>
      </w:pPr>
      <w:bookmarkStart w:id="95" w:name="_Toc457053438"/>
      <w:bookmarkStart w:id="96" w:name="_Toc485723864"/>
      <w:r>
        <w:lastRenderedPageBreak/>
        <w:t xml:space="preserve">Recommendations </w:t>
      </w:r>
      <w:r w:rsidR="007F178F" w:rsidRPr="009200D8">
        <w:t>Impact Statement</w:t>
      </w:r>
      <w:bookmarkEnd w:id="95"/>
      <w:bookmarkEnd w:id="96"/>
    </w:p>
    <w:p w14:paraId="03B262ED" w14:textId="77777777" w:rsidR="00BC209F" w:rsidRPr="00BC209F" w:rsidRDefault="00BC209F" w:rsidP="00681E75">
      <w:r w:rsidRPr="00BC209F">
        <w:t>The recommendations relating to adenoi</w:t>
      </w:r>
      <w:r w:rsidR="00F460FA">
        <w:t xml:space="preserve">dectomy, insertion of grommets </w:t>
      </w:r>
      <w:r w:rsidRPr="00BC209F">
        <w:t>and tonsillectomy will ensure that patients have access to MBS services that reflect modern clinical practices.</w:t>
      </w:r>
      <w:r w:rsidR="007736E8">
        <w:t xml:space="preserve"> </w:t>
      </w:r>
      <w:r w:rsidRPr="00BC209F">
        <w:t>They also update the MBS items to capture the current scope of the procedure being performed.</w:t>
      </w:r>
      <w:r w:rsidR="007736E8">
        <w:t xml:space="preserve"> </w:t>
      </w:r>
      <w:r w:rsidRPr="00BC209F">
        <w:t xml:space="preserve">The removal of MBS items which are </w:t>
      </w:r>
      <w:proofErr w:type="gramStart"/>
      <w:r w:rsidRPr="00BC209F">
        <w:t>out dated</w:t>
      </w:r>
      <w:proofErr w:type="gramEnd"/>
      <w:r w:rsidRPr="00BC209F">
        <w:t xml:space="preserve"> and no longer reflect modern clinical practice will encourage practitioners to provide services that are recognised by the relevant profession as reflecting current clinical practice.</w:t>
      </w:r>
      <w:r w:rsidR="007736E8">
        <w:t xml:space="preserve"> </w:t>
      </w:r>
      <w:r w:rsidRPr="00BC209F">
        <w:t>Practitioners will also benefit from the consolidation of some services which should minimise confusion when billing MBS items.</w:t>
      </w:r>
    </w:p>
    <w:p w14:paraId="6D89DF35" w14:textId="77777777" w:rsidR="00BC209F" w:rsidRPr="00BC209F" w:rsidRDefault="00BC209F" w:rsidP="00681E75">
      <w:pPr>
        <w:pStyle w:val="Heading2"/>
      </w:pPr>
      <w:bookmarkStart w:id="97" w:name="_Toc442344235"/>
      <w:r w:rsidRPr="00BC209F">
        <w:t>Targeted Consultation</w:t>
      </w:r>
      <w:bookmarkEnd w:id="97"/>
    </w:p>
    <w:p w14:paraId="5D44EE89" w14:textId="77777777" w:rsidR="00BC209F" w:rsidRPr="00BC209F" w:rsidRDefault="00BC209F" w:rsidP="00681E75">
      <w:pPr>
        <w:rPr>
          <w:lang w:val="en-US"/>
        </w:rPr>
      </w:pPr>
      <w:r w:rsidRPr="00BC209F">
        <w:t>The following medical colleges, craft groups, peak bodies, and consumer groups have been identified for targeted consultation:</w:t>
      </w:r>
    </w:p>
    <w:p w14:paraId="387FE865" w14:textId="77777777" w:rsidR="00BC209F" w:rsidRPr="00FE6728" w:rsidRDefault="00BC209F" w:rsidP="00FE6728">
      <w:pPr>
        <w:pStyle w:val="NormalBulleted"/>
      </w:pPr>
      <w:r w:rsidRPr="00BC209F">
        <w:t xml:space="preserve">Audiology </w:t>
      </w:r>
      <w:r w:rsidRPr="00FE6728">
        <w:t>Australia</w:t>
      </w:r>
    </w:p>
    <w:p w14:paraId="1E033061" w14:textId="77777777" w:rsidR="00BC209F" w:rsidRPr="007E1A59" w:rsidRDefault="00BC209F" w:rsidP="00FE6728">
      <w:pPr>
        <w:pStyle w:val="NormalBulleted"/>
      </w:pPr>
      <w:r w:rsidRPr="007E1A59">
        <w:t>Australian College of Audiology</w:t>
      </w:r>
    </w:p>
    <w:p w14:paraId="7B63A9DD" w14:textId="77777777" w:rsidR="00BC209F" w:rsidRPr="007E27AB" w:rsidRDefault="00BC209F" w:rsidP="007E1A59">
      <w:pPr>
        <w:pStyle w:val="NormalBulleted"/>
      </w:pPr>
      <w:r w:rsidRPr="00A03057">
        <w:t>Australian College of Rural and</w:t>
      </w:r>
      <w:r w:rsidRPr="007E27AB">
        <w:t xml:space="preserve"> Remote Medicine</w:t>
      </w:r>
    </w:p>
    <w:p w14:paraId="39787F11" w14:textId="77777777" w:rsidR="00BC209F" w:rsidRPr="00BA6D5D" w:rsidRDefault="00BC209F" w:rsidP="00A03057">
      <w:pPr>
        <w:pStyle w:val="NormalBulleted"/>
      </w:pPr>
      <w:r w:rsidRPr="00725F6C">
        <w:t>Laryngology Society of Austral</w:t>
      </w:r>
      <w:r w:rsidR="007645CD" w:rsidRPr="00BA6D5D">
        <w:t>asia</w:t>
      </w:r>
    </w:p>
    <w:p w14:paraId="5EAF8BB6" w14:textId="77777777" w:rsidR="00BC209F" w:rsidRPr="00BA6D5D" w:rsidRDefault="00BC209F" w:rsidP="007E27AB">
      <w:pPr>
        <w:pStyle w:val="NormalBulleted"/>
      </w:pPr>
      <w:r w:rsidRPr="00BA6D5D">
        <w:t>Australian Medical Association</w:t>
      </w:r>
    </w:p>
    <w:p w14:paraId="0F8FAB79" w14:textId="77777777" w:rsidR="00BC209F" w:rsidRPr="007736E8" w:rsidRDefault="00BC209F" w:rsidP="00725F6C">
      <w:pPr>
        <w:pStyle w:val="NormalBulleted"/>
      </w:pPr>
      <w:r w:rsidRPr="007736E8">
        <w:t>Australian Society of Otolaryngology Head &amp; Neck Surgery</w:t>
      </w:r>
    </w:p>
    <w:p w14:paraId="15B1F915" w14:textId="77777777" w:rsidR="00BC209F" w:rsidRPr="007736E8" w:rsidRDefault="00BC209F" w:rsidP="00BA6D5D">
      <w:pPr>
        <w:pStyle w:val="NormalBulleted"/>
      </w:pPr>
      <w:r w:rsidRPr="007736E8">
        <w:t>Consumer Health Forum of Australia</w:t>
      </w:r>
    </w:p>
    <w:p w14:paraId="67AD4FFA" w14:textId="77777777" w:rsidR="00BC209F" w:rsidRPr="007736E8" w:rsidRDefault="00BC209F" w:rsidP="00BA6D5D">
      <w:pPr>
        <w:pStyle w:val="NormalBulleted"/>
      </w:pPr>
      <w:r w:rsidRPr="007736E8">
        <w:t>Royal Australasian College of Physicians</w:t>
      </w:r>
    </w:p>
    <w:p w14:paraId="7EE2103E" w14:textId="77777777" w:rsidR="00BC209F" w:rsidRPr="007736E8" w:rsidRDefault="00BC209F" w:rsidP="00BA6D5D">
      <w:pPr>
        <w:pStyle w:val="NormalBulleted"/>
      </w:pPr>
      <w:r w:rsidRPr="007736E8">
        <w:t>Royal Australasian College of Surgeons</w:t>
      </w:r>
    </w:p>
    <w:p w14:paraId="41962657" w14:textId="77777777" w:rsidR="00BC209F" w:rsidRPr="00422EC8" w:rsidRDefault="00BC209F" w:rsidP="007736E8">
      <w:pPr>
        <w:pStyle w:val="NormalBulleted"/>
      </w:pPr>
      <w:r w:rsidRPr="00422EC8">
        <w:t>Royal Australian College of General Practitioners</w:t>
      </w:r>
    </w:p>
    <w:p w14:paraId="3849AF59" w14:textId="77777777" w:rsidR="00BC209F" w:rsidRPr="00681E75" w:rsidRDefault="00BC209F" w:rsidP="007736E8">
      <w:pPr>
        <w:pStyle w:val="NormalBulleted"/>
      </w:pPr>
      <w:r w:rsidRPr="00681E75">
        <w:t>Rural Doctors Association of Australia</w:t>
      </w:r>
    </w:p>
    <w:p w14:paraId="7DD8B7B4" w14:textId="77777777" w:rsidR="00A66B73" w:rsidRPr="00FE6728" w:rsidRDefault="00BC209F" w:rsidP="00681E75">
      <w:pPr>
        <w:pStyle w:val="NormalBulleted"/>
      </w:pPr>
      <w:r w:rsidRPr="00FE6728">
        <w:t>Speech Pathology</w:t>
      </w:r>
      <w:r w:rsidRPr="00BC209F">
        <w:t xml:space="preserve"> Australia</w:t>
      </w:r>
      <w:r w:rsidR="00A66B73" w:rsidRPr="00984BFF">
        <w:br w:type="page"/>
      </w:r>
    </w:p>
    <w:p w14:paraId="7E0C7471" w14:textId="77777777" w:rsidR="00686517" w:rsidRPr="009200D8" w:rsidRDefault="00A66B73" w:rsidP="00700528">
      <w:pPr>
        <w:pStyle w:val="Heading1"/>
      </w:pPr>
      <w:bookmarkStart w:id="98" w:name="_Toc457053439"/>
      <w:bookmarkStart w:id="99" w:name="_Toc485723865"/>
      <w:r w:rsidRPr="009200D8">
        <w:lastRenderedPageBreak/>
        <w:t>References</w:t>
      </w:r>
      <w:bookmarkEnd w:id="98"/>
      <w:bookmarkEnd w:id="99"/>
    </w:p>
    <w:p w14:paraId="3EDBFD39" w14:textId="77777777" w:rsidR="00B964DD" w:rsidRDefault="00B964DD" w:rsidP="00226A36">
      <w:r w:rsidRPr="00226A36">
        <w:t>This contains references to sources and materials referenced in this report.</w:t>
      </w:r>
    </w:p>
    <w:p w14:paraId="188E5C62" w14:textId="77777777" w:rsidR="00255C90" w:rsidRPr="002E1611" w:rsidRDefault="00255C90" w:rsidP="002E1611">
      <w:pPr>
        <w:pStyle w:val="References"/>
      </w:pPr>
      <w:r w:rsidRPr="000C0845">
        <w:rPr>
          <w:rStyle w:val="EndnoteReference"/>
        </w:rPr>
        <w:t>1</w:t>
      </w:r>
      <w:r w:rsidRPr="00C11C81">
        <w:t xml:space="preserve"> </w:t>
      </w:r>
      <w:r w:rsidRPr="00C11C81">
        <w:tab/>
      </w:r>
      <w:proofErr w:type="spellStart"/>
      <w:r w:rsidR="004361D0" w:rsidRPr="00422EC8">
        <w:t>Elshaug</w:t>
      </w:r>
      <w:proofErr w:type="spellEnd"/>
      <w:r w:rsidR="004361D0" w:rsidRPr="00422EC8">
        <w:t xml:space="preserve"> A, et al (2012). Over 150 potentially low-value health care practices: an Australian study. </w:t>
      </w:r>
      <w:r w:rsidR="004361D0" w:rsidRPr="00422EC8">
        <w:rPr>
          <w:i/>
        </w:rPr>
        <w:t>Medical Journal of Australia</w:t>
      </w:r>
      <w:r w:rsidR="004361D0" w:rsidRPr="00F513A6">
        <w:t>,</w:t>
      </w:r>
      <w:r w:rsidR="004361D0" w:rsidRPr="00422EC8">
        <w:t xml:space="preserve"> 197 (10): 556-560.</w:t>
      </w:r>
      <w:r w:rsidRPr="002E1611">
        <w:t xml:space="preserve"> </w:t>
      </w:r>
    </w:p>
    <w:p w14:paraId="287AEBED" w14:textId="77777777" w:rsidR="004361D0" w:rsidRPr="00C11C81" w:rsidRDefault="00255C90" w:rsidP="002E1611">
      <w:pPr>
        <w:pStyle w:val="References"/>
      </w:pPr>
      <w:r w:rsidRPr="000C0845">
        <w:rPr>
          <w:rStyle w:val="EndnoteReference"/>
        </w:rPr>
        <w:t>2</w:t>
      </w:r>
      <w:r w:rsidR="004361D0" w:rsidRPr="00C11C81">
        <w:t xml:space="preserve"> </w:t>
      </w:r>
      <w:r w:rsidR="004361D0" w:rsidRPr="00C11C81">
        <w:tab/>
      </w:r>
      <w:r w:rsidR="004361D0" w:rsidRPr="001F71EE">
        <w:t>National Institute for Health and Care Excellence</w:t>
      </w:r>
      <w:r w:rsidR="004361D0">
        <w:t>,</w:t>
      </w:r>
      <w:r w:rsidR="004361D0" w:rsidRPr="00C11C81">
        <w:t xml:space="preserve"> Surgical management of otitis media with effusion in children</w:t>
      </w:r>
      <w:r w:rsidR="004361D0">
        <w:t>: NICE guidelines</w:t>
      </w:r>
      <w:r w:rsidR="007736E8">
        <w:t xml:space="preserve"> </w:t>
      </w:r>
      <w:r w:rsidR="004361D0">
        <w:t>60. London: NIHCE; 2008.</w:t>
      </w:r>
      <w:r w:rsidR="007736E8">
        <w:t xml:space="preserve"> </w:t>
      </w:r>
    </w:p>
    <w:p w14:paraId="0EB9B226" w14:textId="77777777" w:rsidR="004361D0" w:rsidRPr="002E1611" w:rsidRDefault="00255C90" w:rsidP="002E1611">
      <w:pPr>
        <w:pStyle w:val="References"/>
      </w:pPr>
      <w:r w:rsidRPr="000C0845">
        <w:rPr>
          <w:rStyle w:val="EndnoteReference"/>
        </w:rPr>
        <w:t>3</w:t>
      </w:r>
      <w:r w:rsidR="004361D0" w:rsidRPr="00C11C81">
        <w:tab/>
        <w:t>Kay DJ</w:t>
      </w:r>
      <w:r w:rsidR="004361D0">
        <w:t xml:space="preserve">, et al (2001). </w:t>
      </w:r>
      <w:r w:rsidR="004361D0" w:rsidRPr="00C11C81">
        <w:t>Meta-analysis of tympanostomy tube sequelae</w:t>
      </w:r>
      <w:r w:rsidR="004361D0">
        <w:t>,</w:t>
      </w:r>
      <w:r w:rsidR="004361D0" w:rsidRPr="00C11C81">
        <w:t xml:space="preserve"> </w:t>
      </w:r>
      <w:r w:rsidR="004361D0" w:rsidRPr="00C11C81">
        <w:rPr>
          <w:i/>
        </w:rPr>
        <w:t>Otolaryngology - Head and Neck Surgery;</w:t>
      </w:r>
      <w:r w:rsidR="004361D0" w:rsidRPr="002E1611">
        <w:t>124: 374–80.</w:t>
      </w:r>
    </w:p>
    <w:p w14:paraId="04F4277C" w14:textId="77777777" w:rsidR="00B97414" w:rsidRPr="002E1611" w:rsidRDefault="00255C90" w:rsidP="00B97414">
      <w:pPr>
        <w:pStyle w:val="References"/>
      </w:pPr>
      <w:r w:rsidRPr="000C0845">
        <w:rPr>
          <w:rStyle w:val="EndnoteReference"/>
        </w:rPr>
        <w:t>4</w:t>
      </w:r>
      <w:r w:rsidR="004361D0" w:rsidRPr="00C11C81">
        <w:t xml:space="preserve"> </w:t>
      </w:r>
      <w:r w:rsidR="004361D0" w:rsidRPr="00C11C81">
        <w:tab/>
      </w:r>
      <w:proofErr w:type="spellStart"/>
      <w:r w:rsidR="00B97414" w:rsidRPr="00C11C81">
        <w:t>Kadhim</w:t>
      </w:r>
      <w:proofErr w:type="spellEnd"/>
      <w:r w:rsidR="00B97414" w:rsidRPr="00C11C81">
        <w:t xml:space="preserve"> A</w:t>
      </w:r>
      <w:r w:rsidR="00B97414">
        <w:t>,</w:t>
      </w:r>
      <w:r w:rsidR="00B97414" w:rsidRPr="00C11C81">
        <w:t xml:space="preserve"> et al</w:t>
      </w:r>
      <w:r w:rsidR="00B97414">
        <w:t xml:space="preserve"> (</w:t>
      </w:r>
      <w:r w:rsidR="00B97414" w:rsidRPr="00C11C81">
        <w:t>2007</w:t>
      </w:r>
      <w:r w:rsidR="00B97414">
        <w:t>)</w:t>
      </w:r>
      <w:r w:rsidR="00B97414" w:rsidRPr="00C11C81">
        <w:t xml:space="preserve">. Adenoidectomy for middle ear effusion: a study of 50,000 children over 24 years. </w:t>
      </w:r>
      <w:r w:rsidR="00B97414" w:rsidRPr="00C11C81">
        <w:rPr>
          <w:i/>
        </w:rPr>
        <w:t>Laryngoscope</w:t>
      </w:r>
      <w:r w:rsidR="00B97414" w:rsidRPr="002E1611">
        <w:t>, Mar; 117(3): 427-33.</w:t>
      </w:r>
    </w:p>
    <w:p w14:paraId="259B850F" w14:textId="77777777" w:rsidR="00B97414" w:rsidRPr="00C11C81" w:rsidRDefault="00B97414" w:rsidP="00B97414">
      <w:pPr>
        <w:pStyle w:val="References"/>
        <w:ind w:firstLine="0"/>
      </w:pPr>
      <w:r w:rsidRPr="00C11C81">
        <w:t>Boston M</w:t>
      </w:r>
      <w:r>
        <w:t>,</w:t>
      </w:r>
      <w:r w:rsidRPr="00C11C81">
        <w:t xml:space="preserve"> et al</w:t>
      </w:r>
      <w:r>
        <w:t xml:space="preserve"> (</w:t>
      </w:r>
      <w:r w:rsidRPr="00C11C81">
        <w:t>2003</w:t>
      </w:r>
      <w:r>
        <w:t>)</w:t>
      </w:r>
      <w:r w:rsidRPr="00C11C81">
        <w:t xml:space="preserve">. Incidence of and risk factors for additional tympanostomy tube insertion in children. Arch </w:t>
      </w:r>
      <w:proofErr w:type="spellStart"/>
      <w:r w:rsidRPr="00C11C81">
        <w:t>Otolaryngol</w:t>
      </w:r>
      <w:proofErr w:type="spellEnd"/>
      <w:r w:rsidRPr="00C11C81">
        <w:t xml:space="preserve"> Head Neck Surgery</w:t>
      </w:r>
      <w:r>
        <w:t>, 129(3): 293-296.</w:t>
      </w:r>
    </w:p>
    <w:p w14:paraId="5A4C4F17" w14:textId="77777777" w:rsidR="00B97414" w:rsidRPr="002E1611" w:rsidRDefault="00B97414" w:rsidP="00B97414">
      <w:pPr>
        <w:pStyle w:val="References"/>
        <w:ind w:firstLine="0"/>
      </w:pPr>
      <w:r w:rsidRPr="002E1611">
        <w:t xml:space="preserve">Paradise JL, et al (1990). Efficacy of adenoidectomy for recurrent otitis media in children previously treated with tympanostomy tube placement. Results of parallel randomised and nonrandomised trials. </w:t>
      </w:r>
      <w:r w:rsidRPr="002E1611">
        <w:rPr>
          <w:i/>
        </w:rPr>
        <w:t>JAMA</w:t>
      </w:r>
      <w:r w:rsidRPr="002E1611">
        <w:t>, Apr 18; 263(15): 2066-73.</w:t>
      </w:r>
    </w:p>
    <w:p w14:paraId="3C82F980" w14:textId="77777777" w:rsidR="00B97414" w:rsidRPr="00C11C81" w:rsidRDefault="00B97414" w:rsidP="00B97414">
      <w:pPr>
        <w:pStyle w:val="References"/>
        <w:ind w:firstLine="0"/>
      </w:pPr>
      <w:r w:rsidRPr="00C11C81">
        <w:t>Maw AR</w:t>
      </w:r>
      <w:r>
        <w:t>, et al (</w:t>
      </w:r>
      <w:r w:rsidRPr="00C11C81">
        <w:t>1983</w:t>
      </w:r>
      <w:r>
        <w:t>)</w:t>
      </w:r>
      <w:r w:rsidRPr="00C11C81">
        <w:t xml:space="preserve">. Chronic otitis media with effusion and adenotonsillectomy: prospective randomised controlled study. </w:t>
      </w:r>
      <w:r>
        <w:t xml:space="preserve">Int J </w:t>
      </w:r>
      <w:proofErr w:type="spellStart"/>
      <w:r>
        <w:t>Pediatr</w:t>
      </w:r>
      <w:proofErr w:type="spellEnd"/>
      <w:r>
        <w:t xml:space="preserve"> </w:t>
      </w:r>
      <w:proofErr w:type="spellStart"/>
      <w:r>
        <w:t>Otorhinolaryngol</w:t>
      </w:r>
      <w:proofErr w:type="spellEnd"/>
      <w:r>
        <w:t>, Dec; 6(3): 239-46.</w:t>
      </w:r>
    </w:p>
    <w:p w14:paraId="07AA7CAB" w14:textId="77777777" w:rsidR="004361D0" w:rsidRPr="00C11C81" w:rsidRDefault="00255C90" w:rsidP="00B97414">
      <w:pPr>
        <w:pStyle w:val="References"/>
      </w:pPr>
      <w:r w:rsidRPr="000C0845">
        <w:rPr>
          <w:rStyle w:val="EndnoteReference"/>
        </w:rPr>
        <w:t>5</w:t>
      </w:r>
      <w:r w:rsidR="004361D0" w:rsidRPr="00C11C81">
        <w:tab/>
      </w:r>
      <w:r w:rsidR="00B97414">
        <w:t xml:space="preserve">MRC </w:t>
      </w:r>
      <w:r w:rsidR="00B97414" w:rsidRPr="00C11C81">
        <w:t xml:space="preserve">Multicentre Otitis Media Study Group </w:t>
      </w:r>
      <w:r w:rsidR="00B97414">
        <w:t>(</w:t>
      </w:r>
      <w:r w:rsidR="00B97414" w:rsidRPr="00C11C81">
        <w:t>2012</w:t>
      </w:r>
      <w:r w:rsidR="00B97414">
        <w:t>)</w:t>
      </w:r>
      <w:r w:rsidR="00B97414" w:rsidRPr="00C11C81">
        <w:t xml:space="preserve">. Adjuvant adenoidectomy in persistent bilateral otitis media with effusion: hearing and revision surgery outcomes through 2 years in the TARGET randomised trial. </w:t>
      </w:r>
      <w:r w:rsidR="00B97414" w:rsidRPr="00C11C81">
        <w:rPr>
          <w:i/>
          <w:iCs/>
        </w:rPr>
        <w:t xml:space="preserve">Clinical Otolaryngology, </w:t>
      </w:r>
      <w:r w:rsidR="00B97414" w:rsidRPr="002E1611">
        <w:t xml:space="preserve">37(2):107-16. </w:t>
      </w:r>
      <w:proofErr w:type="spellStart"/>
      <w:r w:rsidR="00B97414" w:rsidRPr="002E1611">
        <w:t>doi</w:t>
      </w:r>
      <w:proofErr w:type="spellEnd"/>
      <w:r w:rsidR="00B97414" w:rsidRPr="002E1611">
        <w:t>: 10.1111/j.1749-4486.</w:t>
      </w:r>
      <w:proofErr w:type="gramStart"/>
      <w:r w:rsidR="00B97414" w:rsidRPr="002E1611">
        <w:t>2012.02469.x</w:t>
      </w:r>
      <w:proofErr w:type="gramEnd"/>
    </w:p>
    <w:p w14:paraId="327D6571" w14:textId="77777777" w:rsidR="004361D0" w:rsidRPr="00C11C81" w:rsidRDefault="00255C90" w:rsidP="005663D5">
      <w:pPr>
        <w:pStyle w:val="References"/>
      </w:pPr>
      <w:r w:rsidRPr="000C0845">
        <w:rPr>
          <w:rStyle w:val="EndnoteReference"/>
        </w:rPr>
        <w:t>6</w:t>
      </w:r>
      <w:r w:rsidR="007736E8">
        <w:t xml:space="preserve"> </w:t>
      </w:r>
      <w:r w:rsidR="005C7108">
        <w:tab/>
      </w:r>
      <w:r w:rsidR="00EC09DB" w:rsidRPr="00C11C81">
        <w:rPr>
          <w:lang w:val="en"/>
        </w:rPr>
        <w:t xml:space="preserve">Rosenfeld </w:t>
      </w:r>
      <w:r w:rsidR="00EC09DB">
        <w:rPr>
          <w:lang w:val="en"/>
        </w:rPr>
        <w:t xml:space="preserve">RM, </w:t>
      </w:r>
      <w:r w:rsidR="00EC09DB" w:rsidRPr="00C11C81">
        <w:rPr>
          <w:lang w:val="en"/>
        </w:rPr>
        <w:t>et al</w:t>
      </w:r>
      <w:r w:rsidR="00EC09DB">
        <w:rPr>
          <w:lang w:val="en"/>
        </w:rPr>
        <w:t xml:space="preserve"> (2013)</w:t>
      </w:r>
      <w:r w:rsidR="00EC09DB" w:rsidRPr="00C11C81">
        <w:rPr>
          <w:lang w:val="en"/>
        </w:rPr>
        <w:t>. Clinical Practice Guideline</w:t>
      </w:r>
      <w:r w:rsidR="00EC09DB">
        <w:rPr>
          <w:lang w:val="en"/>
        </w:rPr>
        <w:t>:</w:t>
      </w:r>
      <w:r w:rsidR="00EC09DB" w:rsidRPr="00C11C81">
        <w:rPr>
          <w:lang w:val="en"/>
        </w:rPr>
        <w:t xml:space="preserve"> </w:t>
      </w:r>
      <w:r w:rsidR="00EC09DB" w:rsidRPr="005663D5">
        <w:t>Tympanostomy</w:t>
      </w:r>
      <w:r w:rsidR="00EC09DB" w:rsidRPr="00C11C81">
        <w:rPr>
          <w:lang w:val="en"/>
        </w:rPr>
        <w:t xml:space="preserve"> Tubes in Children. </w:t>
      </w:r>
      <w:r w:rsidR="00EC09DB" w:rsidRPr="00C11C81">
        <w:rPr>
          <w:i/>
          <w:lang w:val="en"/>
        </w:rPr>
        <w:t>Otolaryngology Head Neck Surgery</w:t>
      </w:r>
      <w:r w:rsidR="00EC09DB" w:rsidRPr="00C11C81">
        <w:rPr>
          <w:rFonts w:eastAsia="MS Mincho"/>
          <w:i/>
          <w:lang w:val="en"/>
        </w:rPr>
        <w:t xml:space="preserve">, </w:t>
      </w:r>
      <w:r w:rsidR="00EC09DB" w:rsidRPr="002E1611">
        <w:rPr>
          <w:rFonts w:eastAsia="MS Mincho"/>
        </w:rPr>
        <w:t xml:space="preserve">149: S1-S35. </w:t>
      </w:r>
      <w:proofErr w:type="gramStart"/>
      <w:r w:rsidR="00EC09DB" w:rsidRPr="002E1611">
        <w:rPr>
          <w:rFonts w:eastAsiaTheme="majorEastAsia"/>
        </w:rPr>
        <w:t>.</w:t>
      </w:r>
      <w:proofErr w:type="spellStart"/>
      <w:r w:rsidR="00EC09DB" w:rsidRPr="002E1611">
        <w:t>doi</w:t>
      </w:r>
      <w:proofErr w:type="spellEnd"/>
      <w:proofErr w:type="gramEnd"/>
      <w:r w:rsidR="00EC09DB" w:rsidRPr="002E1611">
        <w:t>: 10.1177/0194599813487302.</w:t>
      </w:r>
      <w:r w:rsidR="00EC09DB">
        <w:t xml:space="preserve"> </w:t>
      </w:r>
    </w:p>
    <w:p w14:paraId="0FA9782B" w14:textId="77777777" w:rsidR="004361D0" w:rsidRPr="002E1611" w:rsidRDefault="00255C90" w:rsidP="005663D5">
      <w:pPr>
        <w:pStyle w:val="References"/>
      </w:pPr>
      <w:r w:rsidRPr="000C0845">
        <w:rPr>
          <w:rStyle w:val="EndnoteReference"/>
        </w:rPr>
        <w:t>7</w:t>
      </w:r>
      <w:r w:rsidR="004361D0" w:rsidRPr="00C11C81">
        <w:t xml:space="preserve"> </w:t>
      </w:r>
      <w:r w:rsidR="004361D0" w:rsidRPr="00C11C81">
        <w:tab/>
      </w:r>
      <w:r w:rsidR="00D37CC5" w:rsidRPr="00D37CC5">
        <w:t>National Institute for Health and Care Excellence. 2008. Otitis media with effusion in under 12s: surgery. NICE Guidelines CG60. Available at https://www.nice.org.uk/guidance/cg60</w:t>
      </w:r>
      <w:r w:rsidR="00EC09DB" w:rsidRPr="002E1611">
        <w:t xml:space="preserve"> </w:t>
      </w:r>
    </w:p>
    <w:p w14:paraId="7373D479" w14:textId="77777777" w:rsidR="004361D0" w:rsidRPr="00C11C81" w:rsidRDefault="00255C90" w:rsidP="002E1611">
      <w:pPr>
        <w:pStyle w:val="References"/>
      </w:pPr>
      <w:r w:rsidRPr="000C0845">
        <w:rPr>
          <w:rStyle w:val="EndnoteReference"/>
        </w:rPr>
        <w:t>8</w:t>
      </w:r>
      <w:r w:rsidR="004361D0" w:rsidRPr="00C11C81">
        <w:tab/>
      </w:r>
      <w:r w:rsidR="00D37CC5" w:rsidRPr="00C11C81">
        <w:t>McDonald S,</w:t>
      </w:r>
      <w:r w:rsidR="00D37CC5">
        <w:t xml:space="preserve"> et al (2008). </w:t>
      </w:r>
      <w:r w:rsidR="00D37CC5" w:rsidRPr="00C11C81">
        <w:t xml:space="preserve">Grommets (ventilation tubes) for recurrent acute otitis media in children. </w:t>
      </w:r>
      <w:r w:rsidR="00D37CC5" w:rsidRPr="00C11C81">
        <w:rPr>
          <w:i/>
          <w:iCs/>
        </w:rPr>
        <w:t>Cochrane Database of Systematic Reviews</w:t>
      </w:r>
      <w:r w:rsidR="00D37CC5" w:rsidRPr="002E1611">
        <w:t>, (4): CD004741.</w:t>
      </w:r>
      <w:r w:rsidR="007736E8">
        <w:t xml:space="preserve"> </w:t>
      </w:r>
    </w:p>
    <w:p w14:paraId="3DAB1168" w14:textId="77777777" w:rsidR="004361D0" w:rsidRPr="002E1611" w:rsidRDefault="00255C90" w:rsidP="002E1611">
      <w:pPr>
        <w:pStyle w:val="References"/>
      </w:pPr>
      <w:r w:rsidRPr="000C0845">
        <w:rPr>
          <w:rStyle w:val="EndnoteReference"/>
        </w:rPr>
        <w:t>9</w:t>
      </w:r>
      <w:r w:rsidR="004361D0" w:rsidRPr="00C11C81">
        <w:tab/>
      </w:r>
      <w:r w:rsidR="00D37CC5" w:rsidRPr="007467D5">
        <w:t xml:space="preserve">Australian Commission on Safety and Quality in Health Care (2015). </w:t>
      </w:r>
      <w:hyperlink r:id="rId8" w:history="1">
        <w:r w:rsidR="00D37CC5" w:rsidRPr="007467D5">
          <w:rPr>
            <w:rStyle w:val="Hyperlink"/>
            <w:i/>
          </w:rPr>
          <w:t>Australian Atlas of Healthcare Variation</w:t>
        </w:r>
      </w:hyperlink>
      <w:r w:rsidR="00D37CC5" w:rsidRPr="007467D5">
        <w:t>. Sydney. ACSQHC.</w:t>
      </w:r>
      <w:r w:rsidR="00D37CC5" w:rsidRPr="002E1611">
        <w:t xml:space="preserve"> </w:t>
      </w:r>
      <w:r w:rsidR="00D37CC5">
        <w:t xml:space="preserve"> </w:t>
      </w:r>
    </w:p>
    <w:p w14:paraId="66C7888A" w14:textId="77777777" w:rsidR="004361D0" w:rsidRPr="00C11C81" w:rsidRDefault="00255C90" w:rsidP="002E1611">
      <w:pPr>
        <w:pStyle w:val="References"/>
      </w:pPr>
      <w:r w:rsidRPr="000C0845">
        <w:rPr>
          <w:rStyle w:val="EndnoteReference"/>
        </w:rPr>
        <w:t>10</w:t>
      </w:r>
      <w:r w:rsidR="004361D0" w:rsidRPr="00C11C81">
        <w:tab/>
      </w:r>
      <w:r w:rsidR="007467D5" w:rsidRPr="00C11C81">
        <w:t xml:space="preserve">Appleby </w:t>
      </w:r>
      <w:r w:rsidR="007467D5">
        <w:t xml:space="preserve">J, </w:t>
      </w:r>
      <w:r w:rsidR="007467D5" w:rsidRPr="00C11C81">
        <w:t>et al</w:t>
      </w:r>
      <w:r w:rsidR="007467D5">
        <w:t xml:space="preserve"> (</w:t>
      </w:r>
      <w:r w:rsidR="007467D5" w:rsidRPr="00C11C81">
        <w:t>2011</w:t>
      </w:r>
      <w:r w:rsidR="007467D5">
        <w:t>)</w:t>
      </w:r>
      <w:r w:rsidR="007467D5" w:rsidRPr="00C11C81">
        <w:t xml:space="preserve">. </w:t>
      </w:r>
      <w:hyperlink r:id="rId9" w:history="1">
        <w:r w:rsidR="007467D5" w:rsidRPr="005663D5">
          <w:rPr>
            <w:rStyle w:val="Hyperlink"/>
          </w:rPr>
          <w:t>Variations in health care: The good, the bad and the inexplicable.</w:t>
        </w:r>
      </w:hyperlink>
      <w:r w:rsidR="007467D5" w:rsidRPr="005663D5">
        <w:t xml:space="preserve"> The King’s Fund.</w:t>
      </w:r>
      <w:r w:rsidR="007467D5" w:rsidRPr="002E1611">
        <w:t xml:space="preserve"> </w:t>
      </w:r>
    </w:p>
    <w:p w14:paraId="0FCDF419" w14:textId="77777777" w:rsidR="004361D0" w:rsidRPr="002E1611" w:rsidRDefault="00255C90" w:rsidP="005663D5">
      <w:pPr>
        <w:pStyle w:val="References"/>
      </w:pPr>
      <w:r w:rsidRPr="000C0845">
        <w:rPr>
          <w:rStyle w:val="EndnoteReference"/>
        </w:rPr>
        <w:t>11</w:t>
      </w:r>
      <w:r w:rsidR="004361D0" w:rsidRPr="00C11C81">
        <w:t xml:space="preserve"> </w:t>
      </w:r>
      <w:r w:rsidR="004361D0" w:rsidRPr="00C11C81">
        <w:tab/>
      </w:r>
      <w:r w:rsidR="00AF2FE1" w:rsidRPr="00AF2FE1">
        <w:t xml:space="preserve">Duckett, S., </w:t>
      </w:r>
      <w:proofErr w:type="spellStart"/>
      <w:r w:rsidR="00AF2FE1" w:rsidRPr="00AF2FE1">
        <w:t>Breadon</w:t>
      </w:r>
      <w:proofErr w:type="spellEnd"/>
      <w:r w:rsidR="00AF2FE1" w:rsidRPr="00AF2FE1">
        <w:t>, P &amp; Romanes, D. 2015. Identifying and acting on potentially inappropriate care. Medical Journal of Australia, 203, 4, 183. doi:10.5694/mja15.00025</w:t>
      </w:r>
    </w:p>
    <w:p w14:paraId="6B1A0E03" w14:textId="77777777" w:rsidR="004361D0" w:rsidRPr="00C11C81" w:rsidRDefault="00255C90" w:rsidP="002E1611">
      <w:pPr>
        <w:pStyle w:val="References"/>
      </w:pPr>
      <w:r w:rsidRPr="000C0845">
        <w:rPr>
          <w:rStyle w:val="EndnoteReference"/>
        </w:rPr>
        <w:t>12</w:t>
      </w:r>
      <w:r w:rsidR="004361D0" w:rsidRPr="00C11C81">
        <w:t xml:space="preserve"> </w:t>
      </w:r>
      <w:r w:rsidR="004361D0" w:rsidRPr="00C11C81">
        <w:tab/>
      </w:r>
      <w:r w:rsidR="00280820" w:rsidRPr="00C11C81">
        <w:t>MBS data 2014-15. Unpublished data (Department of Health).</w:t>
      </w:r>
      <w:r w:rsidR="007736E8">
        <w:t xml:space="preserve"> </w:t>
      </w:r>
    </w:p>
    <w:p w14:paraId="61988C5D" w14:textId="77777777" w:rsidR="004361D0" w:rsidRPr="00C11C81" w:rsidRDefault="00255C90" w:rsidP="002E1611">
      <w:pPr>
        <w:pStyle w:val="References"/>
      </w:pPr>
      <w:r w:rsidRPr="000C0845">
        <w:rPr>
          <w:rStyle w:val="EndnoteReference"/>
        </w:rPr>
        <w:t>13</w:t>
      </w:r>
      <w:r w:rsidR="004361D0" w:rsidRPr="00C11C81">
        <w:tab/>
      </w:r>
      <w:r w:rsidR="00280820" w:rsidRPr="00C11C81">
        <w:t xml:space="preserve">Joint Position Paper of the Paediatrics &amp; Child Health Division of The Royal Australasian College of Physicians and The Australian Society of Otolaryngology Head and Neck Surgery on </w:t>
      </w:r>
      <w:hyperlink r:id="rId10" w:history="1">
        <w:r w:rsidR="00280820" w:rsidRPr="005663D5">
          <w:rPr>
            <w:rStyle w:val="Hyperlink"/>
          </w:rPr>
          <w:t>Indications for Tonsillectomy and Adenotonsillectomy</w:t>
        </w:r>
      </w:hyperlink>
      <w:r w:rsidR="00280820" w:rsidRPr="005663D5">
        <w:t xml:space="preserve"> [PDF] (2008).</w:t>
      </w:r>
    </w:p>
    <w:p w14:paraId="344DAE9E" w14:textId="77777777" w:rsidR="004361D0" w:rsidRPr="002E1611" w:rsidRDefault="00255C90" w:rsidP="002E1611">
      <w:pPr>
        <w:pStyle w:val="References"/>
      </w:pPr>
      <w:r w:rsidRPr="000C0845">
        <w:rPr>
          <w:rStyle w:val="EndnoteReference"/>
        </w:rPr>
        <w:t>14</w:t>
      </w:r>
      <w:r w:rsidR="004361D0" w:rsidRPr="00C11C81">
        <w:tab/>
      </w:r>
      <w:r w:rsidR="00401176" w:rsidRPr="00C11C81">
        <w:rPr>
          <w:lang w:val="en"/>
        </w:rPr>
        <w:t>Baugh</w:t>
      </w:r>
      <w:r w:rsidR="00401176">
        <w:rPr>
          <w:lang w:val="en"/>
        </w:rPr>
        <w:t xml:space="preserve"> RF,</w:t>
      </w:r>
      <w:r w:rsidR="00401176" w:rsidRPr="00C11C81">
        <w:rPr>
          <w:lang w:val="en"/>
        </w:rPr>
        <w:t xml:space="preserve"> et al</w:t>
      </w:r>
      <w:r w:rsidR="00401176">
        <w:rPr>
          <w:lang w:val="en"/>
        </w:rPr>
        <w:t xml:space="preserve"> (2011)</w:t>
      </w:r>
      <w:r w:rsidR="00401176" w:rsidRPr="00C11C81">
        <w:rPr>
          <w:lang w:val="en"/>
        </w:rPr>
        <w:t xml:space="preserve">. Clinical Practice Guideline. Tonsillectomy in Children. </w:t>
      </w:r>
      <w:r w:rsidR="00401176" w:rsidRPr="00C11C81">
        <w:rPr>
          <w:i/>
          <w:lang w:val="en"/>
        </w:rPr>
        <w:t>Otolaryngology Head Neck Surgery,</w:t>
      </w:r>
      <w:r w:rsidR="00401176">
        <w:rPr>
          <w:i/>
          <w:lang w:val="en"/>
        </w:rPr>
        <w:t xml:space="preserve"> </w:t>
      </w:r>
      <w:r w:rsidR="00401176" w:rsidRPr="002E1611">
        <w:t>Jan; 144 (1 Suppl): S1-30</w:t>
      </w:r>
      <w:r w:rsidR="00401176">
        <w:rPr>
          <w:i/>
          <w:lang w:val="en"/>
        </w:rPr>
        <w:t>.</w:t>
      </w:r>
    </w:p>
    <w:p w14:paraId="2330AD48" w14:textId="77777777" w:rsidR="00B964DD" w:rsidRPr="00255C90" w:rsidRDefault="00255C90" w:rsidP="00CF497B">
      <w:pPr>
        <w:pStyle w:val="References"/>
      </w:pPr>
      <w:r w:rsidRPr="000C0845">
        <w:rPr>
          <w:rStyle w:val="EndnoteReference"/>
        </w:rPr>
        <w:t>15</w:t>
      </w:r>
      <w:r w:rsidR="004361D0" w:rsidRPr="00C11C81">
        <w:t xml:space="preserve"> </w:t>
      </w:r>
      <w:r w:rsidR="004361D0" w:rsidRPr="00C11C81">
        <w:tab/>
      </w:r>
      <w:r w:rsidR="00CF497B" w:rsidRPr="00255C90">
        <w:t>Laryngology Society of Australia (May 2016)</w:t>
      </w:r>
      <w:r w:rsidR="00CF497B">
        <w:t>.</w:t>
      </w:r>
      <w:r w:rsidRPr="00255C90">
        <w:t xml:space="preserve"> </w:t>
      </w:r>
    </w:p>
    <w:p w14:paraId="1D745A61" w14:textId="77777777" w:rsidR="00255C90" w:rsidRDefault="00255C90" w:rsidP="00226A36">
      <w:pPr>
        <w:rPr>
          <w:rFonts w:cs="Arial"/>
        </w:rPr>
        <w:sectPr w:rsidR="00255C90" w:rsidSect="00703DC7">
          <w:footerReference w:type="default" r:id="rId11"/>
          <w:endnotePr>
            <w:numFmt w:val="decimal"/>
          </w:endnotePr>
          <w:pgSz w:w="11906" w:h="16838" w:code="9"/>
          <w:pgMar w:top="1021" w:right="1440" w:bottom="1021" w:left="1440" w:header="567" w:footer="170" w:gutter="0"/>
          <w:paperSrc w:first="2" w:other="2"/>
          <w:pgNumType w:start="1"/>
          <w:cols w:space="720"/>
          <w:docGrid w:linePitch="326"/>
        </w:sectPr>
      </w:pPr>
    </w:p>
    <w:p w14:paraId="13BC100F" w14:textId="77777777" w:rsidR="00DD112E" w:rsidRPr="00DD112E" w:rsidRDefault="00DD112E" w:rsidP="006A406F">
      <w:pPr>
        <w:pStyle w:val="Heading1"/>
        <w:numPr>
          <w:ilvl w:val="0"/>
          <w:numId w:val="46"/>
        </w:numPr>
      </w:pPr>
      <w:bookmarkStart w:id="100" w:name="_Toc456565026"/>
      <w:bookmarkStart w:id="101" w:name="_Toc457053440"/>
      <w:bookmarkStart w:id="102" w:name="_Toc485723866"/>
      <w:r w:rsidRPr="00FE6728">
        <w:lastRenderedPageBreak/>
        <w:t>Acronyms</w:t>
      </w:r>
      <w:r w:rsidRPr="00DD112E">
        <w:t xml:space="preserve"> and Abbreviations</w:t>
      </w:r>
      <w:bookmarkEnd w:id="100"/>
      <w:bookmarkEnd w:id="101"/>
      <w:bookmarkEnd w:id="102"/>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cronyms used in the text and their meaning."/>
      </w:tblPr>
      <w:tblGrid>
        <w:gridCol w:w="1985"/>
        <w:gridCol w:w="7041"/>
      </w:tblGrid>
      <w:tr w:rsidR="004361D0" w:rsidRPr="00B639F7" w14:paraId="1BD44768" w14:textId="77777777" w:rsidTr="006A406F">
        <w:trPr>
          <w:tblHeader/>
        </w:trPr>
        <w:tc>
          <w:tcPr>
            <w:tcW w:w="2019" w:type="dxa"/>
          </w:tcPr>
          <w:p w14:paraId="30C0DA9B" w14:textId="77777777" w:rsidR="004361D0" w:rsidRPr="006A406F" w:rsidRDefault="004361D0" w:rsidP="001C3B56">
            <w:pPr>
              <w:pStyle w:val="Tableheading"/>
            </w:pPr>
            <w:r w:rsidRPr="006A406F">
              <w:t>Term</w:t>
            </w:r>
          </w:p>
        </w:tc>
        <w:tc>
          <w:tcPr>
            <w:tcW w:w="7223" w:type="dxa"/>
          </w:tcPr>
          <w:p w14:paraId="718F26E6" w14:textId="77777777" w:rsidR="004361D0" w:rsidRPr="006A406F" w:rsidRDefault="004361D0" w:rsidP="001C3B56">
            <w:pPr>
              <w:pStyle w:val="Tableheading"/>
            </w:pPr>
            <w:r w:rsidRPr="006A406F">
              <w:t>Description</w:t>
            </w:r>
          </w:p>
        </w:tc>
      </w:tr>
      <w:tr w:rsidR="00DD112E" w:rsidRPr="00DD112E" w14:paraId="058D76BF" w14:textId="77777777" w:rsidTr="00DD112E">
        <w:tc>
          <w:tcPr>
            <w:tcW w:w="2019" w:type="dxa"/>
          </w:tcPr>
          <w:p w14:paraId="39C43261" w14:textId="77777777" w:rsidR="00DD112E" w:rsidRPr="00DD112E" w:rsidRDefault="00DD112E" w:rsidP="006A406F">
            <w:pPr>
              <w:pStyle w:val="Tabletext"/>
            </w:pPr>
            <w:r w:rsidRPr="00DD112E">
              <w:t>MBS</w:t>
            </w:r>
          </w:p>
        </w:tc>
        <w:tc>
          <w:tcPr>
            <w:tcW w:w="7223" w:type="dxa"/>
          </w:tcPr>
          <w:p w14:paraId="36CD85A9" w14:textId="77777777" w:rsidR="00DD112E" w:rsidRPr="00DD112E" w:rsidRDefault="00DD112E" w:rsidP="006A406F">
            <w:pPr>
              <w:pStyle w:val="Tabletext"/>
            </w:pPr>
            <w:r w:rsidRPr="00DD112E">
              <w:t>Medicare Benefits Schedule</w:t>
            </w:r>
          </w:p>
        </w:tc>
      </w:tr>
      <w:tr w:rsidR="00DD112E" w:rsidRPr="00DD112E" w14:paraId="0E343E80" w14:textId="77777777" w:rsidTr="00DD112E">
        <w:tc>
          <w:tcPr>
            <w:tcW w:w="2019" w:type="dxa"/>
          </w:tcPr>
          <w:p w14:paraId="1F112267" w14:textId="77777777" w:rsidR="00DD112E" w:rsidRPr="00DD112E" w:rsidRDefault="00DD112E" w:rsidP="006A406F">
            <w:pPr>
              <w:pStyle w:val="Tabletext"/>
            </w:pPr>
            <w:r w:rsidRPr="00DD112E">
              <w:t>ENT</w:t>
            </w:r>
          </w:p>
        </w:tc>
        <w:tc>
          <w:tcPr>
            <w:tcW w:w="7223" w:type="dxa"/>
          </w:tcPr>
          <w:p w14:paraId="6F6198EA" w14:textId="77777777" w:rsidR="00DD112E" w:rsidRPr="00DD112E" w:rsidRDefault="00DD112E" w:rsidP="006A406F">
            <w:pPr>
              <w:pStyle w:val="Tabletext"/>
            </w:pPr>
            <w:r w:rsidRPr="00DD112E">
              <w:t xml:space="preserve">Ear, </w:t>
            </w:r>
            <w:proofErr w:type="gramStart"/>
            <w:r w:rsidRPr="00DD112E">
              <w:t>nose</w:t>
            </w:r>
            <w:proofErr w:type="gramEnd"/>
            <w:r w:rsidRPr="00DD112E">
              <w:t xml:space="preserve"> and throat</w:t>
            </w:r>
          </w:p>
        </w:tc>
      </w:tr>
      <w:tr w:rsidR="00DD112E" w:rsidRPr="00DD112E" w14:paraId="7E460CA8" w14:textId="77777777" w:rsidTr="00DD112E">
        <w:tc>
          <w:tcPr>
            <w:tcW w:w="2019" w:type="dxa"/>
          </w:tcPr>
          <w:p w14:paraId="054E60C9" w14:textId="77777777" w:rsidR="00DD112E" w:rsidRPr="00DD112E" w:rsidRDefault="00DD112E" w:rsidP="006A406F">
            <w:pPr>
              <w:pStyle w:val="Tabletext"/>
            </w:pPr>
            <w:r w:rsidRPr="00DD112E">
              <w:t>ACS</w:t>
            </w:r>
            <w:r w:rsidR="00AF1B8A">
              <w:t>Q</w:t>
            </w:r>
            <w:r w:rsidRPr="00DD112E">
              <w:t>HC</w:t>
            </w:r>
          </w:p>
        </w:tc>
        <w:tc>
          <w:tcPr>
            <w:tcW w:w="7223" w:type="dxa"/>
          </w:tcPr>
          <w:p w14:paraId="2AE3BFE9" w14:textId="77777777" w:rsidR="00DD112E" w:rsidRPr="00DD112E" w:rsidRDefault="00DD112E" w:rsidP="006A406F">
            <w:pPr>
              <w:pStyle w:val="Tabletext"/>
            </w:pPr>
            <w:r w:rsidRPr="00DD112E">
              <w:t xml:space="preserve">The Australian Commission on Safety </w:t>
            </w:r>
            <w:r w:rsidR="00A85C44">
              <w:t xml:space="preserve">and Quality </w:t>
            </w:r>
            <w:r w:rsidRPr="00DD112E">
              <w:t>in Health Care</w:t>
            </w:r>
          </w:p>
        </w:tc>
      </w:tr>
      <w:tr w:rsidR="00DD112E" w:rsidRPr="00DD112E" w14:paraId="5AE0B86E" w14:textId="77777777" w:rsidTr="00DD112E">
        <w:tc>
          <w:tcPr>
            <w:tcW w:w="2019" w:type="dxa"/>
          </w:tcPr>
          <w:p w14:paraId="60608004" w14:textId="77777777" w:rsidR="00DD112E" w:rsidRPr="00DD112E" w:rsidRDefault="00DD112E" w:rsidP="006A406F">
            <w:pPr>
              <w:pStyle w:val="Tabletext"/>
            </w:pPr>
            <w:r w:rsidRPr="00DD112E">
              <w:t>NICE</w:t>
            </w:r>
          </w:p>
        </w:tc>
        <w:tc>
          <w:tcPr>
            <w:tcW w:w="7223" w:type="dxa"/>
          </w:tcPr>
          <w:p w14:paraId="711C0460" w14:textId="77777777" w:rsidR="00DD112E" w:rsidRPr="00DD112E" w:rsidRDefault="00DD112E" w:rsidP="006A406F">
            <w:pPr>
              <w:pStyle w:val="Tabletext"/>
            </w:pPr>
            <w:r w:rsidRPr="00DD112E">
              <w:t>National Institute for Health and Care Excellence (UK)</w:t>
            </w:r>
          </w:p>
        </w:tc>
      </w:tr>
      <w:tr w:rsidR="00AF1B8A" w:rsidRPr="00DD112E" w14:paraId="11B5BFFE" w14:textId="77777777" w:rsidTr="00DD112E">
        <w:tc>
          <w:tcPr>
            <w:tcW w:w="2019" w:type="dxa"/>
          </w:tcPr>
          <w:p w14:paraId="7A1040FA" w14:textId="77777777" w:rsidR="00AF1B8A" w:rsidRDefault="00AF1B8A" w:rsidP="006A406F">
            <w:pPr>
              <w:pStyle w:val="Tabletext"/>
            </w:pPr>
            <w:r>
              <w:t>OSA</w:t>
            </w:r>
          </w:p>
        </w:tc>
        <w:tc>
          <w:tcPr>
            <w:tcW w:w="7223" w:type="dxa"/>
          </w:tcPr>
          <w:p w14:paraId="5C99C209" w14:textId="77777777" w:rsidR="00AF1B8A" w:rsidRDefault="00AF1B8A" w:rsidP="006A406F">
            <w:pPr>
              <w:pStyle w:val="Tabletext"/>
            </w:pPr>
            <w:r>
              <w:t>Obstructive sleep apnoea</w:t>
            </w:r>
          </w:p>
        </w:tc>
      </w:tr>
      <w:tr w:rsidR="00AF1B8A" w:rsidRPr="00DD112E" w14:paraId="5B2A703E" w14:textId="77777777" w:rsidTr="00DD112E">
        <w:tc>
          <w:tcPr>
            <w:tcW w:w="2019" w:type="dxa"/>
          </w:tcPr>
          <w:p w14:paraId="04933C42" w14:textId="77777777" w:rsidR="00AF1B8A" w:rsidRPr="00DD112E" w:rsidRDefault="00AF1B8A" w:rsidP="006A406F">
            <w:pPr>
              <w:pStyle w:val="Tabletext"/>
            </w:pPr>
            <w:r>
              <w:t>SDB</w:t>
            </w:r>
          </w:p>
        </w:tc>
        <w:tc>
          <w:tcPr>
            <w:tcW w:w="7223" w:type="dxa"/>
          </w:tcPr>
          <w:p w14:paraId="1F7B604F" w14:textId="77777777" w:rsidR="00AF1B8A" w:rsidRPr="00DD112E" w:rsidRDefault="00AF1B8A" w:rsidP="006A406F">
            <w:pPr>
              <w:pStyle w:val="Tabletext"/>
            </w:pPr>
            <w:r>
              <w:t>Sleep disordered breathing</w:t>
            </w:r>
          </w:p>
        </w:tc>
      </w:tr>
      <w:tr w:rsidR="009D5D85" w:rsidRPr="00DD112E" w14:paraId="6B30D6E7" w14:textId="77777777" w:rsidTr="00DD112E">
        <w:tc>
          <w:tcPr>
            <w:tcW w:w="2019" w:type="dxa"/>
          </w:tcPr>
          <w:p w14:paraId="0620E78C" w14:textId="77777777" w:rsidR="009D5D85" w:rsidRDefault="009D5D85" w:rsidP="006A406F">
            <w:pPr>
              <w:pStyle w:val="Tabletext"/>
            </w:pPr>
            <w:r>
              <w:t>OME</w:t>
            </w:r>
          </w:p>
        </w:tc>
        <w:tc>
          <w:tcPr>
            <w:tcW w:w="7223" w:type="dxa"/>
          </w:tcPr>
          <w:p w14:paraId="375FA45A" w14:textId="77777777" w:rsidR="009D5D85" w:rsidRDefault="009D5D85" w:rsidP="006A406F">
            <w:pPr>
              <w:pStyle w:val="Tabletext"/>
            </w:pPr>
            <w:r>
              <w:t>Otitis media with effusion</w:t>
            </w:r>
          </w:p>
        </w:tc>
      </w:tr>
    </w:tbl>
    <w:p w14:paraId="4BB13D53" w14:textId="77777777" w:rsidR="00DD112E" w:rsidRPr="00DD112E" w:rsidRDefault="00DD112E" w:rsidP="00FE6728">
      <w:pPr>
        <w:pStyle w:val="Heading1"/>
      </w:pPr>
      <w:bookmarkStart w:id="103" w:name="_Toc456565027"/>
      <w:r>
        <w:br w:type="page"/>
      </w:r>
      <w:bookmarkStart w:id="104" w:name="_Toc457053441"/>
      <w:bookmarkStart w:id="105" w:name="_Toc485723867"/>
      <w:r w:rsidRPr="00DD112E">
        <w:lastRenderedPageBreak/>
        <w:t>Glossary</w:t>
      </w:r>
      <w:bookmarkEnd w:id="103"/>
      <w:bookmarkEnd w:id="104"/>
      <w:bookmarkEnd w:id="105"/>
    </w:p>
    <w:tbl>
      <w:tblPr>
        <w:tblStyle w:val="TableGrid3"/>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erms used in the text and their meaning."/>
      </w:tblPr>
      <w:tblGrid>
        <w:gridCol w:w="2205"/>
        <w:gridCol w:w="6821"/>
      </w:tblGrid>
      <w:tr w:rsidR="0083384B" w:rsidRPr="0083384B" w14:paraId="76A47CDE" w14:textId="77777777" w:rsidTr="00681E75">
        <w:trPr>
          <w:tblHeader/>
        </w:trPr>
        <w:tc>
          <w:tcPr>
            <w:tcW w:w="2235" w:type="dxa"/>
          </w:tcPr>
          <w:p w14:paraId="698A7816" w14:textId="77777777" w:rsidR="0083384B" w:rsidRPr="00AA3568" w:rsidRDefault="0083384B" w:rsidP="00AA3568">
            <w:pPr>
              <w:pStyle w:val="Tableheading"/>
            </w:pPr>
            <w:r w:rsidRPr="00AA3568">
              <w:t>Term</w:t>
            </w:r>
          </w:p>
        </w:tc>
        <w:tc>
          <w:tcPr>
            <w:tcW w:w="7007" w:type="dxa"/>
          </w:tcPr>
          <w:p w14:paraId="002DC328" w14:textId="77777777" w:rsidR="0083384B" w:rsidRPr="00AA3568" w:rsidRDefault="0083384B" w:rsidP="00AA3568">
            <w:pPr>
              <w:pStyle w:val="Tableheading"/>
            </w:pPr>
            <w:r w:rsidRPr="00AA3568">
              <w:t>Description</w:t>
            </w:r>
          </w:p>
        </w:tc>
      </w:tr>
      <w:tr w:rsidR="00DD112E" w:rsidRPr="00DD112E" w14:paraId="22F09EF6" w14:textId="77777777" w:rsidTr="00DD112E">
        <w:tc>
          <w:tcPr>
            <w:tcW w:w="2235" w:type="dxa"/>
          </w:tcPr>
          <w:p w14:paraId="1F57385A" w14:textId="77777777" w:rsidR="00DD112E" w:rsidRPr="006A406F" w:rsidRDefault="00DD112E" w:rsidP="006A406F">
            <w:pPr>
              <w:pStyle w:val="Tableheading"/>
            </w:pPr>
            <w:r w:rsidRPr="006A406F">
              <w:t>Department, The</w:t>
            </w:r>
          </w:p>
        </w:tc>
        <w:tc>
          <w:tcPr>
            <w:tcW w:w="7007" w:type="dxa"/>
          </w:tcPr>
          <w:p w14:paraId="7019A58A" w14:textId="77777777" w:rsidR="00DD112E" w:rsidRPr="006A406F" w:rsidRDefault="00DD112E" w:rsidP="006A406F">
            <w:pPr>
              <w:pStyle w:val="Tabletext"/>
            </w:pPr>
            <w:r w:rsidRPr="006A406F">
              <w:t>Australian Government Department of Health</w:t>
            </w:r>
          </w:p>
        </w:tc>
      </w:tr>
      <w:tr w:rsidR="00DD112E" w:rsidRPr="00DD112E" w14:paraId="294CCB0D" w14:textId="77777777" w:rsidTr="00DD112E">
        <w:tc>
          <w:tcPr>
            <w:tcW w:w="2235" w:type="dxa"/>
          </w:tcPr>
          <w:p w14:paraId="040F18B7" w14:textId="77777777" w:rsidR="00DD112E" w:rsidRPr="006A406F" w:rsidRDefault="00DD112E" w:rsidP="006A406F">
            <w:pPr>
              <w:pStyle w:val="Tableheading"/>
            </w:pPr>
            <w:r w:rsidRPr="006A406F">
              <w:t>DHS</w:t>
            </w:r>
          </w:p>
        </w:tc>
        <w:tc>
          <w:tcPr>
            <w:tcW w:w="7007" w:type="dxa"/>
          </w:tcPr>
          <w:p w14:paraId="5233D3AF" w14:textId="77777777" w:rsidR="00DD112E" w:rsidRPr="006A406F" w:rsidRDefault="00DD112E" w:rsidP="006A406F">
            <w:pPr>
              <w:pStyle w:val="Tabletext"/>
            </w:pPr>
            <w:r w:rsidRPr="006A406F">
              <w:t>Australian Government Department of Human Services</w:t>
            </w:r>
          </w:p>
        </w:tc>
      </w:tr>
      <w:tr w:rsidR="00DD112E" w:rsidRPr="00DD112E" w14:paraId="0FDB3CB1" w14:textId="77777777" w:rsidTr="00DD112E">
        <w:tc>
          <w:tcPr>
            <w:tcW w:w="2235" w:type="dxa"/>
          </w:tcPr>
          <w:p w14:paraId="02166979" w14:textId="77777777" w:rsidR="00DD112E" w:rsidRPr="006A406F" w:rsidRDefault="00DD112E" w:rsidP="006A406F">
            <w:pPr>
              <w:pStyle w:val="Tableheading"/>
            </w:pPr>
            <w:r w:rsidRPr="006A406F">
              <w:t>GP</w:t>
            </w:r>
          </w:p>
        </w:tc>
        <w:tc>
          <w:tcPr>
            <w:tcW w:w="7007" w:type="dxa"/>
          </w:tcPr>
          <w:p w14:paraId="30D8FFD4" w14:textId="77777777" w:rsidR="00DD112E" w:rsidRPr="006A406F" w:rsidRDefault="00DD112E" w:rsidP="006A406F">
            <w:pPr>
              <w:pStyle w:val="Tabletext"/>
            </w:pPr>
            <w:r w:rsidRPr="006A406F">
              <w:t>General practitioner</w:t>
            </w:r>
          </w:p>
        </w:tc>
      </w:tr>
      <w:tr w:rsidR="00DD112E" w:rsidRPr="00DD112E" w14:paraId="5748FB52" w14:textId="77777777" w:rsidTr="00DD112E">
        <w:tc>
          <w:tcPr>
            <w:tcW w:w="2235" w:type="dxa"/>
          </w:tcPr>
          <w:p w14:paraId="68B40028" w14:textId="77777777" w:rsidR="00DD112E" w:rsidRPr="006A406F" w:rsidRDefault="00DD112E" w:rsidP="006A406F">
            <w:pPr>
              <w:pStyle w:val="Tableheading"/>
            </w:pPr>
            <w:r w:rsidRPr="006A406F">
              <w:rPr>
                <w:rFonts w:eastAsiaTheme="minorHAnsi" w:cstheme="minorBidi"/>
                <w:lang w:eastAsia="en-US"/>
              </w:rPr>
              <w:t>High-value care</w:t>
            </w:r>
          </w:p>
        </w:tc>
        <w:tc>
          <w:tcPr>
            <w:tcW w:w="7007" w:type="dxa"/>
          </w:tcPr>
          <w:p w14:paraId="5C76DEAA" w14:textId="77777777" w:rsidR="00DD112E" w:rsidRPr="006A406F" w:rsidRDefault="00DD112E" w:rsidP="006A406F">
            <w:pPr>
              <w:pStyle w:val="Tabletext"/>
            </w:pPr>
            <w:r w:rsidRPr="006A406F">
              <w:t>Services of proven efficacy reflecting current best medical practice, or for which the potential benefit to consumers exceeds the risk and costs</w:t>
            </w:r>
            <w:r w:rsidRPr="006A406F">
              <w:rPr>
                <w:rFonts w:eastAsiaTheme="minorHAnsi"/>
              </w:rPr>
              <w:t>.</w:t>
            </w:r>
          </w:p>
        </w:tc>
      </w:tr>
      <w:tr w:rsidR="00DD112E" w:rsidRPr="00DD112E" w14:paraId="3E8FD841" w14:textId="77777777" w:rsidTr="00DD112E">
        <w:tc>
          <w:tcPr>
            <w:tcW w:w="2235" w:type="dxa"/>
          </w:tcPr>
          <w:p w14:paraId="25DE5148" w14:textId="77777777" w:rsidR="00DD112E" w:rsidRPr="006A406F" w:rsidRDefault="00DD112E" w:rsidP="006A406F">
            <w:pPr>
              <w:pStyle w:val="Tableheading"/>
            </w:pPr>
            <w:r w:rsidRPr="006A406F">
              <w:rPr>
                <w:rFonts w:eastAsiaTheme="minorHAnsi" w:cstheme="minorBidi"/>
                <w:lang w:eastAsia="en-US"/>
              </w:rPr>
              <w:t>Inappropriate use / misuse</w:t>
            </w:r>
          </w:p>
        </w:tc>
        <w:tc>
          <w:tcPr>
            <w:tcW w:w="7007" w:type="dxa"/>
          </w:tcPr>
          <w:p w14:paraId="5CE0FE7D" w14:textId="77777777" w:rsidR="00DD112E" w:rsidRPr="00DD112E" w:rsidRDefault="00DD112E" w:rsidP="006A406F">
            <w:pPr>
              <w:pStyle w:val="Tabletext"/>
              <w:rPr>
                <w:color w:val="000000" w:themeColor="text1"/>
                <w:shd w:val="clear" w:color="auto" w:fill="FFFFFF"/>
              </w:rPr>
            </w:pPr>
            <w:r w:rsidRPr="00DD112E">
              <w:rPr>
                <w:rFonts w:eastAsiaTheme="minorHAnsi"/>
                <w:lang w:eastAsia="en-US"/>
              </w:rPr>
              <w:t xml:space="preserve">The use of MBS services for purposes other than those intended. This includes behaviours ranging from failing to adhere to </w:t>
            </w:r>
            <w:proofErr w:type="gramStart"/>
            <w:r w:rsidRPr="00DD112E">
              <w:rPr>
                <w:rFonts w:eastAsiaTheme="minorHAnsi"/>
                <w:lang w:eastAsia="en-US"/>
              </w:rPr>
              <w:t>particular item</w:t>
            </w:r>
            <w:proofErr w:type="gramEnd"/>
            <w:r w:rsidRPr="00DD112E">
              <w:rPr>
                <w:rFonts w:eastAsiaTheme="minorHAnsi"/>
                <w:lang w:eastAsia="en-US"/>
              </w:rPr>
              <w:t xml:space="preserve"> descriptors or rules, through to deliberate fraud.</w:t>
            </w:r>
          </w:p>
        </w:tc>
      </w:tr>
      <w:tr w:rsidR="00DD112E" w:rsidRPr="00DD112E" w14:paraId="2419FBBE" w14:textId="77777777" w:rsidTr="00DD112E">
        <w:tc>
          <w:tcPr>
            <w:tcW w:w="2235" w:type="dxa"/>
          </w:tcPr>
          <w:p w14:paraId="2F67FD19" w14:textId="77777777" w:rsidR="00DD112E" w:rsidRPr="006A406F" w:rsidRDefault="00DD112E" w:rsidP="006A406F">
            <w:pPr>
              <w:pStyle w:val="Tableheading"/>
            </w:pPr>
            <w:r w:rsidRPr="006A406F">
              <w:rPr>
                <w:rFonts w:eastAsiaTheme="minorHAnsi" w:cstheme="minorBidi"/>
                <w:lang w:eastAsia="en-US"/>
              </w:rPr>
              <w:t>Low-value care</w:t>
            </w:r>
          </w:p>
        </w:tc>
        <w:tc>
          <w:tcPr>
            <w:tcW w:w="7007" w:type="dxa"/>
          </w:tcPr>
          <w:p w14:paraId="4365667F" w14:textId="77777777" w:rsidR="00DD112E" w:rsidRPr="006A406F" w:rsidRDefault="00DD112E" w:rsidP="006A406F">
            <w:pPr>
              <w:pStyle w:val="Tabletext"/>
            </w:pPr>
            <w:r w:rsidRPr="006A406F">
              <w:t>Use of an intervention which evidence suggests confers no or very little benefit on patients, or that the risk of harm exceeds the likely benefit, or, more broadly, that the added costs of the intervention do not provide proportional added benefits.</w:t>
            </w:r>
          </w:p>
        </w:tc>
      </w:tr>
      <w:tr w:rsidR="00DD112E" w:rsidRPr="00DD112E" w14:paraId="57056B51" w14:textId="77777777" w:rsidTr="00DD112E">
        <w:tc>
          <w:tcPr>
            <w:tcW w:w="2235" w:type="dxa"/>
          </w:tcPr>
          <w:p w14:paraId="13DB6731" w14:textId="77777777" w:rsidR="00DD112E" w:rsidRPr="006A406F" w:rsidRDefault="00DD112E" w:rsidP="006A406F">
            <w:pPr>
              <w:pStyle w:val="Tableheading"/>
            </w:pPr>
            <w:r w:rsidRPr="006A406F">
              <w:t>MBS item</w:t>
            </w:r>
          </w:p>
        </w:tc>
        <w:tc>
          <w:tcPr>
            <w:tcW w:w="7007" w:type="dxa"/>
          </w:tcPr>
          <w:p w14:paraId="63127AFF" w14:textId="77777777" w:rsidR="00DD112E" w:rsidRPr="006A406F" w:rsidRDefault="00DD112E" w:rsidP="006A406F">
            <w:pPr>
              <w:pStyle w:val="Tabletext"/>
            </w:pPr>
            <w:r w:rsidRPr="006A406F">
              <w:t>An administrative object listed in the MBS and used for the purposes of claiming and paying Medicare benefits, comprising an item number, service descriptor and supporting information, Schedule fee and Medicare benefits.</w:t>
            </w:r>
          </w:p>
        </w:tc>
      </w:tr>
      <w:tr w:rsidR="00DD112E" w:rsidRPr="00DD112E" w14:paraId="25F26FE9" w14:textId="77777777" w:rsidTr="00DD112E">
        <w:tc>
          <w:tcPr>
            <w:tcW w:w="2235" w:type="dxa"/>
          </w:tcPr>
          <w:p w14:paraId="05F2E4BC" w14:textId="77777777" w:rsidR="00DD112E" w:rsidRPr="006A406F" w:rsidRDefault="00DD112E" w:rsidP="006A406F">
            <w:pPr>
              <w:pStyle w:val="Tableheading"/>
            </w:pPr>
            <w:r w:rsidRPr="006A406F">
              <w:t>MBS service</w:t>
            </w:r>
          </w:p>
        </w:tc>
        <w:tc>
          <w:tcPr>
            <w:tcW w:w="7007" w:type="dxa"/>
          </w:tcPr>
          <w:p w14:paraId="523DBFC3" w14:textId="77777777" w:rsidR="00DD112E" w:rsidRPr="006A406F" w:rsidRDefault="00DD112E" w:rsidP="006A406F">
            <w:pPr>
              <w:pStyle w:val="Tabletext"/>
            </w:pPr>
            <w:r w:rsidRPr="006A406F">
              <w:t>The actual medical consultation, procedure, test to which the MBS item refers.</w:t>
            </w:r>
          </w:p>
        </w:tc>
      </w:tr>
      <w:tr w:rsidR="00DD112E" w:rsidRPr="00DD112E" w14:paraId="284F5863" w14:textId="77777777" w:rsidTr="00DD112E">
        <w:tc>
          <w:tcPr>
            <w:tcW w:w="2235" w:type="dxa"/>
          </w:tcPr>
          <w:p w14:paraId="60BC0FD7" w14:textId="77777777" w:rsidR="00DD112E" w:rsidRPr="006A406F" w:rsidRDefault="00DD112E" w:rsidP="006A406F">
            <w:pPr>
              <w:pStyle w:val="Tableheading"/>
            </w:pPr>
            <w:r w:rsidRPr="006A406F">
              <w:rPr>
                <w:rFonts w:eastAsiaTheme="minorHAnsi" w:cstheme="minorBidi"/>
                <w:lang w:eastAsia="en-US"/>
              </w:rPr>
              <w:t>MSAC</w:t>
            </w:r>
          </w:p>
        </w:tc>
        <w:tc>
          <w:tcPr>
            <w:tcW w:w="7007" w:type="dxa"/>
          </w:tcPr>
          <w:p w14:paraId="29B88EE9" w14:textId="77777777" w:rsidR="00DD112E" w:rsidRPr="00DD112E" w:rsidRDefault="00DD112E" w:rsidP="006A406F">
            <w:pPr>
              <w:pStyle w:val="Tabletext"/>
            </w:pPr>
            <w:r w:rsidRPr="00DD112E">
              <w:rPr>
                <w:rFonts w:eastAsiaTheme="minorHAnsi"/>
                <w:lang w:eastAsia="en-US"/>
              </w:rPr>
              <w:t>Medical Services Advisory Committee</w:t>
            </w:r>
          </w:p>
        </w:tc>
      </w:tr>
      <w:tr w:rsidR="00DD112E" w:rsidRPr="00DD112E" w14:paraId="713E9A07" w14:textId="77777777" w:rsidTr="00DD112E">
        <w:tc>
          <w:tcPr>
            <w:tcW w:w="2235" w:type="dxa"/>
          </w:tcPr>
          <w:p w14:paraId="06FE9C58" w14:textId="77777777" w:rsidR="00DD112E" w:rsidRPr="006A406F" w:rsidRDefault="00DD112E" w:rsidP="006A406F">
            <w:pPr>
              <w:pStyle w:val="Tableheading"/>
            </w:pPr>
            <w:r w:rsidRPr="006A406F">
              <w:t>Multiple operation rule</w:t>
            </w:r>
          </w:p>
        </w:tc>
        <w:tc>
          <w:tcPr>
            <w:tcW w:w="7007" w:type="dxa"/>
          </w:tcPr>
          <w:p w14:paraId="70C08F4B" w14:textId="77777777" w:rsidR="00DD112E" w:rsidRPr="006A406F" w:rsidRDefault="00DD112E" w:rsidP="006A406F">
            <w:pPr>
              <w:pStyle w:val="Tabletext"/>
            </w:pPr>
            <w:r w:rsidRPr="006A406F">
              <w:t>A rule governing the amount of Medicare benefit payable for multiple operations performed on a patient on the one occasion. In general, the fees for two or more operations are calculated by the following rule:</w:t>
            </w:r>
          </w:p>
          <w:p w14:paraId="26461A59" w14:textId="77777777" w:rsidR="00DD112E" w:rsidRPr="006A406F" w:rsidRDefault="00DD112E" w:rsidP="004F2209">
            <w:pPr>
              <w:pStyle w:val="Tabletext"/>
              <w:numPr>
                <w:ilvl w:val="0"/>
                <w:numId w:val="65"/>
              </w:numPr>
            </w:pPr>
            <w:r w:rsidRPr="006A406F">
              <w:t>100% for the item with the greatest Schedule fee</w:t>
            </w:r>
          </w:p>
          <w:p w14:paraId="6A6D8399" w14:textId="77777777" w:rsidR="00DD112E" w:rsidRPr="006A406F" w:rsidRDefault="00DD112E" w:rsidP="004F2209">
            <w:pPr>
              <w:pStyle w:val="Tabletext"/>
              <w:numPr>
                <w:ilvl w:val="0"/>
                <w:numId w:val="65"/>
              </w:numPr>
            </w:pPr>
            <w:r w:rsidRPr="006A406F">
              <w:t>plus 50% for the item with the next greatest Schedule fee</w:t>
            </w:r>
          </w:p>
          <w:p w14:paraId="065E786D" w14:textId="77777777" w:rsidR="00DD112E" w:rsidRPr="00226A36" w:rsidRDefault="00DD112E" w:rsidP="004F2209">
            <w:pPr>
              <w:pStyle w:val="Tabletext"/>
              <w:numPr>
                <w:ilvl w:val="0"/>
                <w:numId w:val="65"/>
              </w:numPr>
              <w:rPr>
                <w:rFonts w:cs="Arial"/>
                <w:color w:val="000000" w:themeColor="text1"/>
              </w:rPr>
            </w:pPr>
            <w:r w:rsidRPr="006A406F">
              <w:t>plus 25% for each other item.</w:t>
            </w:r>
          </w:p>
        </w:tc>
      </w:tr>
      <w:tr w:rsidR="00DD112E" w:rsidRPr="00DD112E" w14:paraId="6AE0C5E9" w14:textId="77777777" w:rsidTr="00DD112E">
        <w:tc>
          <w:tcPr>
            <w:tcW w:w="2235" w:type="dxa"/>
          </w:tcPr>
          <w:p w14:paraId="09A7F3BC" w14:textId="77777777" w:rsidR="00DD112E" w:rsidRPr="006A406F" w:rsidRDefault="00DD112E" w:rsidP="006A406F">
            <w:pPr>
              <w:pStyle w:val="Tableheading"/>
            </w:pPr>
            <w:r w:rsidRPr="006A406F">
              <w:t>Multiple services rules (diagnostic imaging)</w:t>
            </w:r>
          </w:p>
        </w:tc>
        <w:tc>
          <w:tcPr>
            <w:tcW w:w="7007" w:type="dxa"/>
          </w:tcPr>
          <w:p w14:paraId="0B3E2A13" w14:textId="77777777" w:rsidR="00DD112E" w:rsidRPr="006A406F" w:rsidRDefault="00DD112E" w:rsidP="006A406F">
            <w:pPr>
              <w:pStyle w:val="Tabletext"/>
            </w:pPr>
            <w:r w:rsidRPr="006A406F">
              <w:t>A set of rules governing the amount of Medicare benefit payable for multiple diagnostic imaging services provided to a patient at the same attendance (same day). See MBS Explanatory Note DIJ for more information.</w:t>
            </w:r>
          </w:p>
        </w:tc>
      </w:tr>
      <w:tr w:rsidR="00DD112E" w:rsidRPr="00DD112E" w14:paraId="3F138474" w14:textId="77777777" w:rsidTr="00DD112E">
        <w:tc>
          <w:tcPr>
            <w:tcW w:w="2235" w:type="dxa"/>
          </w:tcPr>
          <w:p w14:paraId="4C155F86" w14:textId="77777777" w:rsidR="00DD112E" w:rsidRPr="006A406F" w:rsidRDefault="00DD112E" w:rsidP="006A406F">
            <w:pPr>
              <w:pStyle w:val="Tableheading"/>
            </w:pPr>
            <w:r w:rsidRPr="006A406F">
              <w:rPr>
                <w:rFonts w:eastAsiaTheme="minorHAnsi" w:cstheme="minorBidi"/>
                <w:lang w:eastAsia="en-US"/>
              </w:rPr>
              <w:t>Obsolete services</w:t>
            </w:r>
          </w:p>
        </w:tc>
        <w:tc>
          <w:tcPr>
            <w:tcW w:w="7007" w:type="dxa"/>
          </w:tcPr>
          <w:p w14:paraId="6AFE7676" w14:textId="77777777" w:rsidR="00DD112E" w:rsidRPr="006A406F" w:rsidRDefault="00DD112E" w:rsidP="006A406F">
            <w:pPr>
              <w:pStyle w:val="Tabletext"/>
            </w:pPr>
            <w:r w:rsidRPr="006A406F">
              <w:t>Services that should no longer be performed as they do not represent current clinical best practice and have been superseded by superior tests or procedures.</w:t>
            </w:r>
          </w:p>
        </w:tc>
      </w:tr>
      <w:tr w:rsidR="00DD112E" w:rsidRPr="00DD112E" w14:paraId="7A5305C8" w14:textId="77777777" w:rsidTr="00DD112E">
        <w:tc>
          <w:tcPr>
            <w:tcW w:w="2235" w:type="dxa"/>
          </w:tcPr>
          <w:p w14:paraId="6ACD2C15" w14:textId="77777777" w:rsidR="00DD112E" w:rsidRPr="006A406F" w:rsidRDefault="00DD112E" w:rsidP="006A406F">
            <w:pPr>
              <w:pStyle w:val="Tableheading"/>
            </w:pPr>
            <w:r w:rsidRPr="006A406F">
              <w:t>Pathology episode coning</w:t>
            </w:r>
          </w:p>
        </w:tc>
        <w:tc>
          <w:tcPr>
            <w:tcW w:w="7007" w:type="dxa"/>
          </w:tcPr>
          <w:p w14:paraId="5C210894" w14:textId="77777777" w:rsidR="00DD112E" w:rsidRPr="00DD112E" w:rsidRDefault="00DD112E" w:rsidP="006A406F">
            <w:pPr>
              <w:pStyle w:val="Tabletext"/>
            </w:pPr>
            <w:r w:rsidRPr="00DD112E">
              <w:t xml:space="preserve">An arrangement governing the amount of Medicare benefit payable for multiple pathology services performed in a single patient episode. When more than three pathology services are requested by a </w:t>
            </w:r>
            <w:r w:rsidR="007645CD">
              <w:t>GP</w:t>
            </w:r>
            <w:r w:rsidRPr="00DD112E">
              <w:t xml:space="preserve"> in a patient episode, the benefits payable are equivalent to the sum of the benefits for the three items with the highest Schedule fees.</w:t>
            </w:r>
          </w:p>
        </w:tc>
      </w:tr>
      <w:tr w:rsidR="00DD112E" w:rsidRPr="00DD112E" w14:paraId="16007D64" w14:textId="77777777" w:rsidTr="00DD112E">
        <w:tc>
          <w:tcPr>
            <w:tcW w:w="2235" w:type="dxa"/>
          </w:tcPr>
          <w:p w14:paraId="5E11B8B3" w14:textId="77777777" w:rsidR="00DD112E" w:rsidRPr="006A406F" w:rsidRDefault="00DD112E" w:rsidP="006A406F">
            <w:pPr>
              <w:pStyle w:val="Tableheading"/>
            </w:pPr>
            <w:r w:rsidRPr="006A406F">
              <w:t>PBS</w:t>
            </w:r>
          </w:p>
        </w:tc>
        <w:tc>
          <w:tcPr>
            <w:tcW w:w="7007" w:type="dxa"/>
          </w:tcPr>
          <w:p w14:paraId="68E78C5B" w14:textId="77777777" w:rsidR="00DD112E" w:rsidRPr="00DD112E" w:rsidRDefault="00DD112E" w:rsidP="006A406F">
            <w:pPr>
              <w:pStyle w:val="Tabletext"/>
            </w:pPr>
            <w:r w:rsidRPr="00DD112E">
              <w:t>Pharmaceutical Benefits Scheme</w:t>
            </w:r>
          </w:p>
        </w:tc>
      </w:tr>
      <w:tr w:rsidR="00DD112E" w:rsidRPr="00DD112E" w14:paraId="5D613AD7" w14:textId="77777777" w:rsidTr="00DD112E">
        <w:tc>
          <w:tcPr>
            <w:tcW w:w="2235" w:type="dxa"/>
          </w:tcPr>
          <w:p w14:paraId="2BD7223F" w14:textId="77777777" w:rsidR="00DD112E" w:rsidRPr="006A406F" w:rsidRDefault="00DD112E" w:rsidP="006A406F">
            <w:pPr>
              <w:pStyle w:val="Tableheading"/>
            </w:pPr>
            <w:r w:rsidRPr="006A406F">
              <w:rPr>
                <w:rFonts w:eastAsiaTheme="minorHAnsi" w:cstheme="minorBidi"/>
                <w:lang w:eastAsia="en-US"/>
              </w:rPr>
              <w:t>PHCAG</w:t>
            </w:r>
          </w:p>
        </w:tc>
        <w:tc>
          <w:tcPr>
            <w:tcW w:w="7007" w:type="dxa"/>
          </w:tcPr>
          <w:p w14:paraId="77499836" w14:textId="77777777" w:rsidR="00DD112E" w:rsidRPr="00DD112E" w:rsidRDefault="00DD112E" w:rsidP="006A406F">
            <w:pPr>
              <w:pStyle w:val="Tabletext"/>
            </w:pPr>
            <w:r w:rsidRPr="00DD112E">
              <w:rPr>
                <w:rFonts w:eastAsiaTheme="minorHAnsi"/>
                <w:lang w:eastAsia="en-US"/>
              </w:rPr>
              <w:t>Primary Health Care Advisory Group</w:t>
            </w:r>
          </w:p>
        </w:tc>
      </w:tr>
    </w:tbl>
    <w:p w14:paraId="761B213E" w14:textId="77777777" w:rsidR="00DD112E" w:rsidRPr="00F819AE" w:rsidRDefault="00DD112E" w:rsidP="00681E75"/>
    <w:p w14:paraId="09D7513F" w14:textId="77777777" w:rsidR="00B964DD" w:rsidRPr="00F819AE" w:rsidRDefault="00B964DD" w:rsidP="00F85147">
      <w:pPr>
        <w:pStyle w:val="AppendixStyle1"/>
        <w:sectPr w:rsidR="00B964DD" w:rsidRPr="00F819AE" w:rsidSect="00151F01">
          <w:endnotePr>
            <w:numFmt w:val="decimal"/>
          </w:endnotePr>
          <w:pgSz w:w="11906" w:h="16838" w:code="9"/>
          <w:pgMar w:top="1440" w:right="1440" w:bottom="1276" w:left="1440" w:header="720" w:footer="720" w:gutter="0"/>
          <w:paperSrc w:first="2" w:other="2"/>
          <w:cols w:space="720"/>
          <w:docGrid w:linePitch="326"/>
        </w:sectPr>
      </w:pPr>
    </w:p>
    <w:p w14:paraId="24548BF8" w14:textId="77777777" w:rsidR="00F85147" w:rsidRPr="00F85147" w:rsidRDefault="00F85147" w:rsidP="001815E3">
      <w:pPr>
        <w:pStyle w:val="AppendixStyle1"/>
      </w:pPr>
      <w:bookmarkStart w:id="106" w:name="_Toc457053442"/>
      <w:bookmarkStart w:id="107" w:name="_Toc485723868"/>
      <w:r w:rsidRPr="00F85147">
        <w:lastRenderedPageBreak/>
        <w:t>MBS items, Descriptors and Explanatory Notes</w:t>
      </w:r>
      <w:bookmarkEnd w:id="106"/>
      <w:bookmarkEnd w:id="107"/>
    </w:p>
    <w:p w14:paraId="5A8A77C4" w14:textId="77777777" w:rsidR="00F85147" w:rsidRDefault="00F85147" w:rsidP="006508BC">
      <w:pPr>
        <w:pStyle w:val="Heading2a"/>
      </w:pPr>
      <w:r w:rsidRPr="00893447">
        <w:t>Otolaryngology- Diagnostic Procedure 11300-11306</w:t>
      </w:r>
    </w:p>
    <w:p w14:paraId="0D218FC5" w14:textId="77777777" w:rsidR="00FE6728" w:rsidRPr="00893447" w:rsidRDefault="00FE6728" w:rsidP="008211BE">
      <w:pPr>
        <w:pStyle w:val="Caption"/>
      </w:pPr>
      <w:r>
        <w:t>Table A1:</w:t>
      </w:r>
      <w:r>
        <w:tab/>
      </w:r>
      <w:r w:rsidR="0078241B" w:rsidRPr="0078241B">
        <w:t xml:space="preserve">MBS items </w:t>
      </w:r>
      <w:proofErr w:type="gramStart"/>
      <w:r w:rsidR="0078241B">
        <w:t>s</w:t>
      </w:r>
      <w:r w:rsidRPr="00FE6728">
        <w:t>ub</w:t>
      </w:r>
      <w:r w:rsidR="00247BEF">
        <w:t xml:space="preserve"> </w:t>
      </w:r>
      <w:r w:rsidRPr="00FE6728">
        <w:t>group</w:t>
      </w:r>
      <w:proofErr w:type="gramEnd"/>
      <w:r w:rsidRPr="00FE6728">
        <w:t xml:space="preserve"> 3 – </w:t>
      </w:r>
      <w:r w:rsidR="0078241B">
        <w:t>o</w:t>
      </w:r>
      <w:r w:rsidRPr="00FE6728">
        <w:t>tolaryngology</w:t>
      </w:r>
    </w:p>
    <w:tbl>
      <w:tblPr>
        <w:tblW w:w="9240"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A1 lists Subgroup 3 – otolaryngology item numbers and descriptors considered by the Committee."/>
      </w:tblPr>
      <w:tblGrid>
        <w:gridCol w:w="993"/>
        <w:gridCol w:w="5277"/>
        <w:gridCol w:w="1530"/>
        <w:gridCol w:w="1440"/>
      </w:tblGrid>
      <w:tr w:rsidR="008211BE" w:rsidRPr="00893447" w14:paraId="64D32A92" w14:textId="77777777" w:rsidTr="008211BE">
        <w:tc>
          <w:tcPr>
            <w:tcW w:w="993" w:type="dxa"/>
            <w:shd w:val="clear" w:color="auto" w:fill="auto"/>
          </w:tcPr>
          <w:p w14:paraId="5B952BD1" w14:textId="77777777" w:rsidR="008211BE" w:rsidRPr="00893447" w:rsidRDefault="008211BE" w:rsidP="00EE3FA4">
            <w:pPr>
              <w:pStyle w:val="Tableheading"/>
            </w:pPr>
            <w:r>
              <w:t>Item</w:t>
            </w:r>
          </w:p>
        </w:tc>
        <w:tc>
          <w:tcPr>
            <w:tcW w:w="5277" w:type="dxa"/>
            <w:shd w:val="clear" w:color="auto" w:fill="auto"/>
          </w:tcPr>
          <w:p w14:paraId="04BED40F" w14:textId="77777777" w:rsidR="008211BE" w:rsidRPr="00681E75" w:rsidRDefault="008211BE" w:rsidP="00EE3FA4">
            <w:pPr>
              <w:pStyle w:val="Tableheading"/>
            </w:pPr>
            <w:r w:rsidRPr="00681E75">
              <w:t>Descript</w:t>
            </w:r>
            <w:r w:rsidR="007E1A59">
              <w:t>or</w:t>
            </w:r>
          </w:p>
        </w:tc>
        <w:tc>
          <w:tcPr>
            <w:tcW w:w="1530" w:type="dxa"/>
          </w:tcPr>
          <w:p w14:paraId="27DA02D7" w14:textId="77777777" w:rsidR="008211BE" w:rsidRPr="008211BE" w:rsidDel="00FE6728" w:rsidRDefault="008211BE" w:rsidP="00EE3FA4">
            <w:pPr>
              <w:pStyle w:val="Tableheading"/>
            </w:pPr>
            <w:r>
              <w:t>Fee</w:t>
            </w:r>
          </w:p>
        </w:tc>
        <w:tc>
          <w:tcPr>
            <w:tcW w:w="1440" w:type="dxa"/>
          </w:tcPr>
          <w:p w14:paraId="71ABBF34" w14:textId="77777777" w:rsidR="008211BE" w:rsidRPr="008211BE" w:rsidDel="00FE6728" w:rsidRDefault="008211BE" w:rsidP="00EE3FA4">
            <w:pPr>
              <w:pStyle w:val="Tableheading"/>
            </w:pPr>
            <w:r>
              <w:t>Benefit</w:t>
            </w:r>
          </w:p>
        </w:tc>
      </w:tr>
      <w:tr w:rsidR="008211BE" w:rsidRPr="00EE3FA4" w14:paraId="6C40F89E" w14:textId="77777777" w:rsidTr="008211BE">
        <w:tc>
          <w:tcPr>
            <w:tcW w:w="993" w:type="dxa"/>
            <w:shd w:val="clear" w:color="auto" w:fill="auto"/>
          </w:tcPr>
          <w:p w14:paraId="14150679" w14:textId="77777777" w:rsidR="008211BE" w:rsidRPr="00EE3FA4" w:rsidRDefault="008211BE" w:rsidP="00EE3FA4">
            <w:pPr>
              <w:pStyle w:val="Tabletext"/>
              <w:rPr>
                <w:b/>
              </w:rPr>
            </w:pPr>
            <w:r w:rsidRPr="00EE3FA4">
              <w:rPr>
                <w:b/>
              </w:rPr>
              <w:t>11300</w:t>
            </w:r>
          </w:p>
        </w:tc>
        <w:tc>
          <w:tcPr>
            <w:tcW w:w="5277" w:type="dxa"/>
            <w:shd w:val="clear" w:color="auto" w:fill="auto"/>
          </w:tcPr>
          <w:p w14:paraId="05A604DC" w14:textId="77777777" w:rsidR="008211BE" w:rsidRPr="00EE3FA4" w:rsidRDefault="008211BE" w:rsidP="00EE3FA4">
            <w:pPr>
              <w:pStyle w:val="Tabletext"/>
            </w:pPr>
            <w:r w:rsidRPr="00EE3FA4">
              <w:t>BRAIN stem evoked response audiometry (</w:t>
            </w:r>
            <w:proofErr w:type="spellStart"/>
            <w:r w:rsidRPr="00EE3FA4">
              <w:t>Anaes</w:t>
            </w:r>
            <w:proofErr w:type="spellEnd"/>
            <w:r w:rsidRPr="00EE3FA4">
              <w:t>.) (See para D1.9 of explanatory notes to this Category)</w:t>
            </w:r>
          </w:p>
        </w:tc>
        <w:tc>
          <w:tcPr>
            <w:tcW w:w="1530" w:type="dxa"/>
          </w:tcPr>
          <w:p w14:paraId="4D15288A" w14:textId="77777777" w:rsidR="008211BE" w:rsidRPr="00EE3FA4" w:rsidRDefault="008211BE" w:rsidP="00EE3FA4">
            <w:pPr>
              <w:pStyle w:val="Tabletext"/>
            </w:pPr>
            <w:r w:rsidRPr="00EE3FA4">
              <w:t>$192.45</w:t>
            </w:r>
          </w:p>
        </w:tc>
        <w:tc>
          <w:tcPr>
            <w:tcW w:w="1440" w:type="dxa"/>
          </w:tcPr>
          <w:p w14:paraId="3FC10DF3" w14:textId="77777777" w:rsidR="008211BE" w:rsidRPr="00EE3FA4" w:rsidRDefault="008211BE" w:rsidP="00EE3FA4">
            <w:pPr>
              <w:pStyle w:val="Tabletext"/>
            </w:pPr>
            <w:r w:rsidRPr="00EE3FA4">
              <w:t>75% = $144.35; 85% = $163.60</w:t>
            </w:r>
          </w:p>
        </w:tc>
      </w:tr>
      <w:tr w:rsidR="008211BE" w:rsidRPr="00EE3FA4" w14:paraId="066D43E0" w14:textId="77777777" w:rsidTr="008211BE">
        <w:tc>
          <w:tcPr>
            <w:tcW w:w="993" w:type="dxa"/>
            <w:shd w:val="clear" w:color="auto" w:fill="auto"/>
          </w:tcPr>
          <w:p w14:paraId="138EC155" w14:textId="77777777" w:rsidR="008211BE" w:rsidRPr="00EE3FA4" w:rsidRDefault="008211BE" w:rsidP="00EE3FA4">
            <w:pPr>
              <w:pStyle w:val="Tabletext"/>
              <w:rPr>
                <w:b/>
              </w:rPr>
            </w:pPr>
            <w:r w:rsidRPr="00EE3FA4">
              <w:rPr>
                <w:b/>
              </w:rPr>
              <w:t>11303</w:t>
            </w:r>
          </w:p>
        </w:tc>
        <w:tc>
          <w:tcPr>
            <w:tcW w:w="5277" w:type="dxa"/>
            <w:shd w:val="clear" w:color="auto" w:fill="auto"/>
          </w:tcPr>
          <w:p w14:paraId="669B9E23" w14:textId="77777777" w:rsidR="008211BE" w:rsidRPr="00EE3FA4" w:rsidRDefault="008211BE" w:rsidP="00EE3FA4">
            <w:pPr>
              <w:pStyle w:val="Tabletext"/>
            </w:pPr>
            <w:r w:rsidRPr="00EE3FA4">
              <w:t xml:space="preserve">ELECTROCOCHLEOGRAPHY, </w:t>
            </w:r>
            <w:proofErr w:type="spellStart"/>
            <w:r w:rsidRPr="00EE3FA4">
              <w:t>extratympanic</w:t>
            </w:r>
            <w:proofErr w:type="spellEnd"/>
            <w:r w:rsidRPr="00EE3FA4">
              <w:t xml:space="preserve"> method, 1 or both ears</w:t>
            </w:r>
          </w:p>
        </w:tc>
        <w:tc>
          <w:tcPr>
            <w:tcW w:w="1530" w:type="dxa"/>
          </w:tcPr>
          <w:p w14:paraId="7B0E90C2" w14:textId="77777777" w:rsidR="008211BE" w:rsidRPr="00EE3FA4" w:rsidRDefault="008211BE" w:rsidP="00EE3FA4">
            <w:pPr>
              <w:pStyle w:val="Tabletext"/>
            </w:pPr>
            <w:r w:rsidRPr="00EE3FA4">
              <w:t>$192.45</w:t>
            </w:r>
          </w:p>
        </w:tc>
        <w:tc>
          <w:tcPr>
            <w:tcW w:w="1440" w:type="dxa"/>
          </w:tcPr>
          <w:p w14:paraId="78D45FD4" w14:textId="77777777" w:rsidR="008211BE" w:rsidRPr="00EE3FA4" w:rsidRDefault="008211BE" w:rsidP="00EE3FA4">
            <w:pPr>
              <w:pStyle w:val="Tabletext"/>
            </w:pPr>
            <w:r w:rsidRPr="00EE3FA4">
              <w:t>75% = $144.35; 85% = $163.60</w:t>
            </w:r>
          </w:p>
        </w:tc>
      </w:tr>
      <w:tr w:rsidR="008211BE" w:rsidRPr="00EE3FA4" w14:paraId="7F169FA4" w14:textId="77777777" w:rsidTr="008211BE">
        <w:tc>
          <w:tcPr>
            <w:tcW w:w="993" w:type="dxa"/>
            <w:shd w:val="clear" w:color="auto" w:fill="auto"/>
          </w:tcPr>
          <w:p w14:paraId="28D1A598" w14:textId="77777777" w:rsidR="008211BE" w:rsidRPr="00EE3FA4" w:rsidRDefault="008211BE" w:rsidP="00EE3FA4">
            <w:pPr>
              <w:pStyle w:val="Tabletext"/>
              <w:rPr>
                <w:b/>
              </w:rPr>
            </w:pPr>
            <w:r w:rsidRPr="00EE3FA4">
              <w:rPr>
                <w:b/>
              </w:rPr>
              <w:t>11304</w:t>
            </w:r>
          </w:p>
        </w:tc>
        <w:tc>
          <w:tcPr>
            <w:tcW w:w="5277" w:type="dxa"/>
            <w:shd w:val="clear" w:color="auto" w:fill="auto"/>
          </w:tcPr>
          <w:p w14:paraId="0DCA7B0F" w14:textId="77777777" w:rsidR="008211BE" w:rsidRPr="00EE3FA4" w:rsidRDefault="008211BE" w:rsidP="00EE3FA4">
            <w:pPr>
              <w:pStyle w:val="Tabletext"/>
            </w:pPr>
            <w:r w:rsidRPr="00EE3FA4">
              <w:t xml:space="preserve">ELECTROCOCHLEOGRAPHY, </w:t>
            </w:r>
            <w:proofErr w:type="spellStart"/>
            <w:r w:rsidRPr="00EE3FA4">
              <w:t>transtympanic</w:t>
            </w:r>
            <w:proofErr w:type="spellEnd"/>
            <w:r w:rsidRPr="00EE3FA4">
              <w:t xml:space="preserve"> membrane insertion technique, 1 or both ears (See para D1.10 of explanatory notes to this Category) </w:t>
            </w:r>
          </w:p>
        </w:tc>
        <w:tc>
          <w:tcPr>
            <w:tcW w:w="1530" w:type="dxa"/>
          </w:tcPr>
          <w:p w14:paraId="2BDFA2D3" w14:textId="77777777" w:rsidR="008211BE" w:rsidRPr="00EE3FA4" w:rsidRDefault="008211BE" w:rsidP="00EE3FA4">
            <w:pPr>
              <w:pStyle w:val="Tabletext"/>
            </w:pPr>
            <w:r w:rsidRPr="00EE3FA4">
              <w:t>$316.95</w:t>
            </w:r>
          </w:p>
        </w:tc>
        <w:tc>
          <w:tcPr>
            <w:tcW w:w="1440" w:type="dxa"/>
          </w:tcPr>
          <w:p w14:paraId="3D765138" w14:textId="77777777" w:rsidR="008211BE" w:rsidRPr="00EE3FA4" w:rsidRDefault="008211BE" w:rsidP="00EE3FA4">
            <w:pPr>
              <w:pStyle w:val="Tabletext"/>
            </w:pPr>
            <w:r w:rsidRPr="00EE3FA4">
              <w:t>75% = $237.75; 85% = $269.45</w:t>
            </w:r>
          </w:p>
        </w:tc>
      </w:tr>
      <w:tr w:rsidR="008211BE" w:rsidRPr="00EE3FA4" w14:paraId="667CB3EC" w14:textId="77777777" w:rsidTr="008211BE">
        <w:tc>
          <w:tcPr>
            <w:tcW w:w="993" w:type="dxa"/>
            <w:shd w:val="clear" w:color="auto" w:fill="auto"/>
          </w:tcPr>
          <w:p w14:paraId="21F74FAA" w14:textId="77777777" w:rsidR="008211BE" w:rsidRPr="00EE3FA4" w:rsidRDefault="008211BE" w:rsidP="00EE3FA4">
            <w:pPr>
              <w:pStyle w:val="Tabletext"/>
              <w:rPr>
                <w:b/>
              </w:rPr>
            </w:pPr>
            <w:r w:rsidRPr="00EE3FA4">
              <w:rPr>
                <w:b/>
              </w:rPr>
              <w:t>11306</w:t>
            </w:r>
          </w:p>
        </w:tc>
        <w:tc>
          <w:tcPr>
            <w:tcW w:w="5277" w:type="dxa"/>
            <w:shd w:val="clear" w:color="auto" w:fill="auto"/>
          </w:tcPr>
          <w:p w14:paraId="27B7F49E" w14:textId="77777777" w:rsidR="008211BE" w:rsidRPr="00EE3FA4" w:rsidRDefault="008211BE" w:rsidP="00EE3FA4">
            <w:pPr>
              <w:pStyle w:val="Tabletext"/>
            </w:pPr>
            <w:r w:rsidRPr="00EE3FA4">
              <w:t>Nondeterminate AUDIOMETRY (See para D1.11 of explanatory notes to this Category)</w:t>
            </w:r>
          </w:p>
        </w:tc>
        <w:tc>
          <w:tcPr>
            <w:tcW w:w="1530" w:type="dxa"/>
          </w:tcPr>
          <w:p w14:paraId="57300C4A" w14:textId="77777777" w:rsidR="008211BE" w:rsidRPr="00EE3FA4" w:rsidRDefault="008211BE" w:rsidP="00EE3FA4">
            <w:pPr>
              <w:pStyle w:val="Tabletext"/>
            </w:pPr>
            <w:r w:rsidRPr="00EE3FA4">
              <w:t>$21.90</w:t>
            </w:r>
          </w:p>
        </w:tc>
        <w:tc>
          <w:tcPr>
            <w:tcW w:w="1440" w:type="dxa"/>
          </w:tcPr>
          <w:p w14:paraId="69546A3E" w14:textId="77777777" w:rsidR="008211BE" w:rsidRPr="00EE3FA4" w:rsidRDefault="008211BE" w:rsidP="00EE3FA4">
            <w:pPr>
              <w:pStyle w:val="Tabletext"/>
            </w:pPr>
            <w:r w:rsidRPr="00EE3FA4">
              <w:t>75% = $16.45; 85% = $18.65</w:t>
            </w:r>
          </w:p>
        </w:tc>
      </w:tr>
    </w:tbl>
    <w:p w14:paraId="590F580C" w14:textId="77777777" w:rsidR="00F85147" w:rsidRDefault="00C572FF" w:rsidP="00700528">
      <w:pPr>
        <w:pStyle w:val="Heading3"/>
      </w:pPr>
      <w:bookmarkStart w:id="108" w:name="_Toc428477599"/>
      <w:r>
        <w:t xml:space="preserve">Explanatory note </w:t>
      </w:r>
      <w:r w:rsidR="00F85147">
        <w:t>D.1.9.</w:t>
      </w:r>
      <w:r w:rsidR="007736E8">
        <w:t xml:space="preserve"> </w:t>
      </w:r>
      <w:r w:rsidR="00F85147">
        <w:t xml:space="preserve">Brain Stem Evoked Response Audiometry </w:t>
      </w:r>
      <w:r w:rsidR="003F50B2">
        <w:t>–</w:t>
      </w:r>
      <w:r w:rsidR="00F85147">
        <w:t xml:space="preserve"> (Item 11300)</w:t>
      </w:r>
      <w:bookmarkEnd w:id="108"/>
    </w:p>
    <w:p w14:paraId="3CB1B31B" w14:textId="77777777" w:rsidR="00F85147" w:rsidRPr="00D9020E" w:rsidRDefault="00F85147" w:rsidP="00893447">
      <w:r>
        <w:t>Item 11300 can be claimed for the programming of a cochlear speech processor.</w:t>
      </w:r>
    </w:p>
    <w:p w14:paraId="0830D81F" w14:textId="77777777" w:rsidR="00F85147" w:rsidRDefault="00C572FF" w:rsidP="00700528">
      <w:pPr>
        <w:pStyle w:val="Heading3"/>
      </w:pPr>
      <w:bookmarkStart w:id="109" w:name="_Toc428477600"/>
      <w:r>
        <w:t xml:space="preserve">Explanatory note </w:t>
      </w:r>
      <w:r w:rsidR="00F85147">
        <w:t>D.1.10.</w:t>
      </w:r>
      <w:r w:rsidR="007736E8">
        <w:t xml:space="preserve"> </w:t>
      </w:r>
      <w:r w:rsidR="00F85147">
        <w:t xml:space="preserve">Electrocochleography </w:t>
      </w:r>
      <w:r w:rsidR="003F50B2">
        <w:t>–</w:t>
      </w:r>
      <w:r w:rsidR="00F85147">
        <w:t xml:space="preserve"> (Item 11304)</w:t>
      </w:r>
      <w:bookmarkEnd w:id="109"/>
    </w:p>
    <w:p w14:paraId="54DFD169" w14:textId="77777777" w:rsidR="00F85147" w:rsidRPr="0085796D" w:rsidRDefault="00F85147" w:rsidP="00893447">
      <w:r w:rsidRPr="0085796D">
        <w:t>Item 11304 refers to electrocochleography with insertion of electrodes through the tympanic membrane.</w:t>
      </w:r>
    </w:p>
    <w:p w14:paraId="2971932B" w14:textId="77777777" w:rsidR="00F85147" w:rsidRDefault="00C572FF" w:rsidP="00700528">
      <w:pPr>
        <w:pStyle w:val="Heading3"/>
      </w:pPr>
      <w:bookmarkStart w:id="110" w:name="_Toc428477601"/>
      <w:r>
        <w:t xml:space="preserve">Explanatory note </w:t>
      </w:r>
      <w:r w:rsidR="00F85147">
        <w:t>D.1.11.</w:t>
      </w:r>
      <w:r w:rsidR="007736E8">
        <w:t xml:space="preserve"> </w:t>
      </w:r>
      <w:r w:rsidR="00F85147">
        <w:t xml:space="preserve">Non-determinate Audiometry </w:t>
      </w:r>
      <w:r w:rsidR="003F50B2">
        <w:t>–</w:t>
      </w:r>
      <w:r w:rsidR="00F85147">
        <w:t xml:space="preserve"> (Item 11306)</w:t>
      </w:r>
      <w:bookmarkEnd w:id="110"/>
    </w:p>
    <w:p w14:paraId="0527B34A" w14:textId="77777777" w:rsidR="00893447" w:rsidRDefault="00F85147" w:rsidP="00422EC8">
      <w:r>
        <w:t>This refers to screening audiometry covering those services, one or more, referred to in Items 11309</w:t>
      </w:r>
      <w:r>
        <w:noBreakHyphen/>
        <w:t>11321 when not performed under the conditions set out in paragraph D1.13.</w:t>
      </w:r>
      <w:r w:rsidR="00893447">
        <w:br w:type="page"/>
      </w:r>
    </w:p>
    <w:p w14:paraId="5F15C91D" w14:textId="77777777" w:rsidR="00F85147" w:rsidRPr="00E00D18" w:rsidRDefault="00F85147" w:rsidP="006508BC">
      <w:pPr>
        <w:pStyle w:val="Heading2a"/>
      </w:pPr>
      <w:r w:rsidRPr="00E00D18">
        <w:lastRenderedPageBreak/>
        <w:t>Audiology</w:t>
      </w:r>
      <w:r>
        <w:t>- Diagnostic Procedure 11309-11339</w:t>
      </w:r>
    </w:p>
    <w:p w14:paraId="61D15651" w14:textId="77777777" w:rsidR="00F85147" w:rsidRDefault="00C572FF" w:rsidP="008211BE">
      <w:pPr>
        <w:pStyle w:val="Heading3"/>
      </w:pPr>
      <w:bookmarkStart w:id="111" w:name="_Toc428477602"/>
      <w:r>
        <w:t xml:space="preserve">Explanatory note </w:t>
      </w:r>
      <w:r w:rsidR="00F85147">
        <w:t>D.1.12.</w:t>
      </w:r>
      <w:r w:rsidR="007736E8">
        <w:t xml:space="preserve"> </w:t>
      </w:r>
      <w:r w:rsidR="00F85147">
        <w:t xml:space="preserve">Audiology Services </w:t>
      </w:r>
      <w:r w:rsidR="003F50B2">
        <w:t>–</w:t>
      </w:r>
      <w:r w:rsidR="00F85147">
        <w:t xml:space="preserve"> (Items 11309 to 11321)</w:t>
      </w:r>
      <w:bookmarkEnd w:id="111"/>
    </w:p>
    <w:p w14:paraId="36E95A23" w14:textId="77777777" w:rsidR="00F85147" w:rsidRDefault="00F85147" w:rsidP="00893447">
      <w:r>
        <w:t xml:space="preserve">A medical service specified in Items 11309 to 11321 shall be taken to be a medical service for the purposes of payment of benefits if, and only if, it is rendered: </w:t>
      </w:r>
    </w:p>
    <w:p w14:paraId="3133BC18" w14:textId="77777777" w:rsidR="00893447" w:rsidRDefault="00ED05F4" w:rsidP="00ED05F4">
      <w:pPr>
        <w:pStyle w:val="NormalBulleteda"/>
        <w:tabs>
          <w:tab w:val="clear" w:pos="454"/>
        </w:tabs>
      </w:pPr>
      <w:r>
        <w:t>(a)</w:t>
      </w:r>
      <w:r>
        <w:tab/>
      </w:r>
      <w:r w:rsidR="00F85147">
        <w:t xml:space="preserve">in conditions that allow the establishment of determinate </w:t>
      </w:r>
      <w:proofErr w:type="gramStart"/>
      <w:r w:rsidR="00F85147">
        <w:t>thresholds;</w:t>
      </w:r>
      <w:proofErr w:type="gramEnd"/>
      <w:r w:rsidR="00F85147">
        <w:t xml:space="preserve"> </w:t>
      </w:r>
    </w:p>
    <w:p w14:paraId="28C3B438" w14:textId="77777777" w:rsidR="00893447" w:rsidRDefault="00ED05F4" w:rsidP="00ED05F4">
      <w:pPr>
        <w:pStyle w:val="NormalBulleteda"/>
      </w:pPr>
      <w:r>
        <w:t>(b)</w:t>
      </w:r>
      <w:r>
        <w:tab/>
      </w:r>
      <w:r w:rsidR="00F85147">
        <w:t xml:space="preserve">in a sound attenuated environment with background noise conditions that comply with Australian Standard AS/NZS 1269.3-2005; and </w:t>
      </w:r>
    </w:p>
    <w:p w14:paraId="76E59777" w14:textId="77777777" w:rsidR="00F85147" w:rsidRDefault="00ED05F4" w:rsidP="00ED05F4">
      <w:pPr>
        <w:pStyle w:val="NormalBulleteda"/>
      </w:pPr>
      <w:r>
        <w:t>(c)</w:t>
      </w:r>
      <w:r>
        <w:tab/>
      </w:r>
      <w:r w:rsidR="00893447">
        <w:t>u</w:t>
      </w:r>
      <w:r w:rsidR="00F85147">
        <w:t>sing calibrated equipment that complies with Australian Standard AS IEC 60645.1-22002, AS IEC 60645.2-2002 and AS IEC 60645.3-2002.</w:t>
      </w:r>
    </w:p>
    <w:p w14:paraId="60F0A93D" w14:textId="77777777" w:rsidR="00F85147" w:rsidRDefault="00C572FF" w:rsidP="00700528">
      <w:pPr>
        <w:pStyle w:val="Heading3"/>
      </w:pPr>
      <w:bookmarkStart w:id="112" w:name="_Toc428477603"/>
      <w:r>
        <w:t xml:space="preserve">Explanatory note </w:t>
      </w:r>
      <w:r w:rsidR="00F85147">
        <w:t>D.1.13.</w:t>
      </w:r>
      <w:r w:rsidR="007736E8">
        <w:t xml:space="preserve"> </w:t>
      </w:r>
      <w:r w:rsidR="00F85147">
        <w:t xml:space="preserve">Oto-Acoustic Emission Audiometry </w:t>
      </w:r>
      <w:r w:rsidR="003F50B2">
        <w:t>–</w:t>
      </w:r>
      <w:r w:rsidR="00F85147">
        <w:t xml:space="preserve"> (Item 11332)</w:t>
      </w:r>
      <w:bookmarkEnd w:id="112"/>
    </w:p>
    <w:p w14:paraId="0B99707D" w14:textId="77777777" w:rsidR="00F85147" w:rsidRDefault="00F85147" w:rsidP="00893447">
      <w:r>
        <w:t>Medicare benefits are not payable under Item 11332 for routine screening of infants. The equipment used to provide this service must be capable of displaying the recorded emission and not just a pass/fail indicator.</w:t>
      </w:r>
    </w:p>
    <w:p w14:paraId="187D3165" w14:textId="77777777" w:rsidR="0078241B" w:rsidRDefault="0078241B" w:rsidP="0078241B">
      <w:pPr>
        <w:pStyle w:val="Caption"/>
      </w:pPr>
      <w:r>
        <w:t>Table A2: MBS items</w:t>
      </w:r>
      <w:r w:rsidR="00C80D9C">
        <w:t xml:space="preserve"> </w:t>
      </w:r>
      <w:proofErr w:type="gramStart"/>
      <w:r w:rsidR="00C80D9C">
        <w:t>sub group</w:t>
      </w:r>
      <w:proofErr w:type="gramEnd"/>
      <w:r w:rsidR="00C80D9C">
        <w:t xml:space="preserve"> 3</w:t>
      </w:r>
      <w:r>
        <w:t xml:space="preserve"> – audiology</w:t>
      </w:r>
    </w:p>
    <w:tbl>
      <w:tblPr>
        <w:tblW w:w="8970"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A2 lists audiology item numbers and descriptors considered by the Committee."/>
      </w:tblPr>
      <w:tblGrid>
        <w:gridCol w:w="911"/>
        <w:gridCol w:w="5089"/>
        <w:gridCol w:w="1440"/>
        <w:gridCol w:w="1530"/>
      </w:tblGrid>
      <w:tr w:rsidR="008211BE" w:rsidRPr="0006241C" w14:paraId="67D4CF0C" w14:textId="77777777" w:rsidTr="008211BE">
        <w:trPr>
          <w:cantSplit/>
          <w:tblHeader/>
        </w:trPr>
        <w:tc>
          <w:tcPr>
            <w:tcW w:w="911" w:type="dxa"/>
            <w:shd w:val="clear" w:color="auto" w:fill="auto"/>
          </w:tcPr>
          <w:p w14:paraId="15DCBC32" w14:textId="77777777" w:rsidR="008211BE" w:rsidRPr="0006241C" w:rsidRDefault="008211BE" w:rsidP="00142254">
            <w:pPr>
              <w:pStyle w:val="Tableheading"/>
            </w:pPr>
            <w:r>
              <w:t>Item</w:t>
            </w:r>
          </w:p>
        </w:tc>
        <w:tc>
          <w:tcPr>
            <w:tcW w:w="5089" w:type="dxa"/>
            <w:shd w:val="clear" w:color="auto" w:fill="auto"/>
          </w:tcPr>
          <w:p w14:paraId="502C8F19" w14:textId="77777777" w:rsidR="008211BE" w:rsidRPr="0006241C" w:rsidRDefault="007E1A59" w:rsidP="00142254">
            <w:pPr>
              <w:pStyle w:val="Tableheading"/>
            </w:pPr>
            <w:r>
              <w:t>Descriptor</w:t>
            </w:r>
          </w:p>
        </w:tc>
        <w:tc>
          <w:tcPr>
            <w:tcW w:w="1440" w:type="dxa"/>
          </w:tcPr>
          <w:p w14:paraId="587A901E" w14:textId="77777777" w:rsidR="008211BE" w:rsidRPr="0006241C" w:rsidRDefault="008211BE" w:rsidP="00142254">
            <w:pPr>
              <w:pStyle w:val="Tableheading"/>
            </w:pPr>
            <w:r>
              <w:t>Fee</w:t>
            </w:r>
          </w:p>
        </w:tc>
        <w:tc>
          <w:tcPr>
            <w:tcW w:w="1530" w:type="dxa"/>
          </w:tcPr>
          <w:p w14:paraId="70F7A729" w14:textId="77777777" w:rsidR="008211BE" w:rsidRPr="0006241C" w:rsidRDefault="008211BE" w:rsidP="00142254">
            <w:pPr>
              <w:pStyle w:val="Tableheading"/>
            </w:pPr>
            <w:r>
              <w:t>Benefit</w:t>
            </w:r>
          </w:p>
        </w:tc>
      </w:tr>
      <w:tr w:rsidR="008211BE" w:rsidRPr="00407D02" w14:paraId="213A26D5" w14:textId="77777777" w:rsidTr="008211BE">
        <w:trPr>
          <w:cantSplit/>
        </w:trPr>
        <w:tc>
          <w:tcPr>
            <w:tcW w:w="911" w:type="dxa"/>
            <w:shd w:val="clear" w:color="auto" w:fill="auto"/>
          </w:tcPr>
          <w:p w14:paraId="6A17E2A3" w14:textId="77777777" w:rsidR="008211BE" w:rsidRPr="00B639F7" w:rsidRDefault="008211BE" w:rsidP="00B639F7">
            <w:pPr>
              <w:pStyle w:val="Tabletext"/>
              <w:rPr>
                <w:b/>
              </w:rPr>
            </w:pPr>
            <w:r w:rsidRPr="00B639F7">
              <w:rPr>
                <w:b/>
              </w:rPr>
              <w:t>11309</w:t>
            </w:r>
          </w:p>
        </w:tc>
        <w:tc>
          <w:tcPr>
            <w:tcW w:w="5089" w:type="dxa"/>
            <w:shd w:val="clear" w:color="auto" w:fill="auto"/>
          </w:tcPr>
          <w:p w14:paraId="315E7AE8" w14:textId="77777777" w:rsidR="008211BE" w:rsidRPr="00407D02" w:rsidRDefault="008211BE" w:rsidP="00321AF3">
            <w:pPr>
              <w:pStyle w:val="Tabletext"/>
            </w:pPr>
            <w:r w:rsidRPr="006A406F">
              <w:t xml:space="preserve">AUDIOGRAM, air conduction </w:t>
            </w:r>
          </w:p>
        </w:tc>
        <w:tc>
          <w:tcPr>
            <w:tcW w:w="1440" w:type="dxa"/>
          </w:tcPr>
          <w:p w14:paraId="109DDB25" w14:textId="77777777" w:rsidR="008211BE" w:rsidRPr="00407D02" w:rsidRDefault="008211BE" w:rsidP="00B639F7">
            <w:pPr>
              <w:pStyle w:val="Tabletext"/>
              <w:rPr>
                <w:color w:val="000000"/>
              </w:rPr>
            </w:pPr>
            <w:r w:rsidRPr="00407D02">
              <w:t>$26.30</w:t>
            </w:r>
          </w:p>
        </w:tc>
        <w:tc>
          <w:tcPr>
            <w:tcW w:w="1530" w:type="dxa"/>
          </w:tcPr>
          <w:p w14:paraId="12ECCB26" w14:textId="77777777" w:rsidR="008211BE" w:rsidRPr="00407D02" w:rsidRDefault="008211BE" w:rsidP="00B639F7">
            <w:pPr>
              <w:pStyle w:val="Tabletext"/>
              <w:rPr>
                <w:color w:val="000000"/>
              </w:rPr>
            </w:pPr>
            <w:r w:rsidRPr="00407D02">
              <w:t>75% = $19.75</w:t>
            </w:r>
            <w:r>
              <w:t xml:space="preserve">; </w:t>
            </w:r>
            <w:r w:rsidRPr="00407D02">
              <w:t>85% = $22.40</w:t>
            </w:r>
          </w:p>
        </w:tc>
      </w:tr>
      <w:tr w:rsidR="008211BE" w:rsidRPr="00407D02" w14:paraId="615F0E38" w14:textId="77777777" w:rsidTr="008211BE">
        <w:trPr>
          <w:cantSplit/>
        </w:trPr>
        <w:tc>
          <w:tcPr>
            <w:tcW w:w="911" w:type="dxa"/>
            <w:shd w:val="clear" w:color="auto" w:fill="auto"/>
          </w:tcPr>
          <w:p w14:paraId="4EF06B6E" w14:textId="77777777" w:rsidR="008211BE" w:rsidRPr="00B639F7" w:rsidRDefault="008211BE" w:rsidP="00B639F7">
            <w:pPr>
              <w:pStyle w:val="Tabletext"/>
              <w:rPr>
                <w:b/>
              </w:rPr>
            </w:pPr>
            <w:r w:rsidRPr="00B639F7">
              <w:rPr>
                <w:b/>
              </w:rPr>
              <w:t>11312</w:t>
            </w:r>
          </w:p>
        </w:tc>
        <w:tc>
          <w:tcPr>
            <w:tcW w:w="5089" w:type="dxa"/>
            <w:shd w:val="clear" w:color="auto" w:fill="auto"/>
          </w:tcPr>
          <w:p w14:paraId="785641AF" w14:textId="77777777" w:rsidR="008211BE" w:rsidRPr="00407D02" w:rsidRDefault="008211BE" w:rsidP="00321AF3">
            <w:pPr>
              <w:pStyle w:val="Tabletext"/>
            </w:pPr>
            <w:r w:rsidRPr="006A406F">
              <w:t xml:space="preserve">AUDIOGRAM, air and bone conduction or air conduction and speech discrimination </w:t>
            </w:r>
          </w:p>
        </w:tc>
        <w:tc>
          <w:tcPr>
            <w:tcW w:w="1440" w:type="dxa"/>
          </w:tcPr>
          <w:p w14:paraId="2022D7E7" w14:textId="77777777" w:rsidR="008211BE" w:rsidRPr="00407D02" w:rsidRDefault="008211BE" w:rsidP="00B639F7">
            <w:pPr>
              <w:pStyle w:val="Tabletext"/>
              <w:rPr>
                <w:color w:val="000000"/>
              </w:rPr>
            </w:pPr>
            <w:r w:rsidRPr="00407D02">
              <w:t>$37.15</w:t>
            </w:r>
          </w:p>
        </w:tc>
        <w:tc>
          <w:tcPr>
            <w:tcW w:w="1530" w:type="dxa"/>
          </w:tcPr>
          <w:p w14:paraId="73C1802C" w14:textId="77777777" w:rsidR="008211BE" w:rsidRPr="00407D02" w:rsidRDefault="008211BE" w:rsidP="00B639F7">
            <w:pPr>
              <w:pStyle w:val="Tabletext"/>
              <w:rPr>
                <w:color w:val="000000"/>
              </w:rPr>
            </w:pPr>
            <w:r w:rsidRPr="00407D02">
              <w:t>75% = $27.90</w:t>
            </w:r>
            <w:r w:rsidR="0078241B">
              <w:t xml:space="preserve">; </w:t>
            </w:r>
            <w:r w:rsidR="0078241B" w:rsidRPr="00407D02">
              <w:t>85% = $31.60</w:t>
            </w:r>
          </w:p>
        </w:tc>
      </w:tr>
      <w:tr w:rsidR="008211BE" w:rsidRPr="00407D02" w14:paraId="68E9859F" w14:textId="77777777" w:rsidTr="008211BE">
        <w:trPr>
          <w:cantSplit/>
        </w:trPr>
        <w:tc>
          <w:tcPr>
            <w:tcW w:w="911" w:type="dxa"/>
            <w:shd w:val="clear" w:color="auto" w:fill="auto"/>
          </w:tcPr>
          <w:p w14:paraId="16B16C76" w14:textId="77777777" w:rsidR="008211BE" w:rsidRPr="00B639F7" w:rsidRDefault="008211BE" w:rsidP="00B639F7">
            <w:pPr>
              <w:pStyle w:val="Tabletext"/>
              <w:rPr>
                <w:b/>
              </w:rPr>
            </w:pPr>
            <w:r w:rsidRPr="00B639F7">
              <w:rPr>
                <w:b/>
              </w:rPr>
              <w:t>11315</w:t>
            </w:r>
          </w:p>
        </w:tc>
        <w:tc>
          <w:tcPr>
            <w:tcW w:w="5089" w:type="dxa"/>
            <w:shd w:val="clear" w:color="auto" w:fill="auto"/>
          </w:tcPr>
          <w:p w14:paraId="2F9AB6D9" w14:textId="77777777" w:rsidR="008211BE" w:rsidRPr="00407D02" w:rsidRDefault="008211BE" w:rsidP="00321AF3">
            <w:pPr>
              <w:pStyle w:val="Tabletext"/>
            </w:pPr>
            <w:r w:rsidRPr="006A406F">
              <w:t xml:space="preserve">AUDIOGRAM, air and bone conduction and speech </w:t>
            </w:r>
          </w:p>
        </w:tc>
        <w:tc>
          <w:tcPr>
            <w:tcW w:w="1440" w:type="dxa"/>
          </w:tcPr>
          <w:p w14:paraId="5D655D59" w14:textId="77777777" w:rsidR="008211BE" w:rsidRPr="00407D02" w:rsidRDefault="008211BE" w:rsidP="00B639F7">
            <w:pPr>
              <w:pStyle w:val="Tabletext"/>
              <w:rPr>
                <w:color w:val="000000"/>
              </w:rPr>
            </w:pPr>
            <w:r w:rsidRPr="00407D02">
              <w:t>$49.20</w:t>
            </w:r>
          </w:p>
        </w:tc>
        <w:tc>
          <w:tcPr>
            <w:tcW w:w="1530" w:type="dxa"/>
          </w:tcPr>
          <w:p w14:paraId="14BB1A38" w14:textId="77777777" w:rsidR="008211BE" w:rsidRPr="00407D02" w:rsidRDefault="008211BE" w:rsidP="00B639F7">
            <w:pPr>
              <w:pStyle w:val="Tabletext"/>
              <w:rPr>
                <w:color w:val="000000"/>
              </w:rPr>
            </w:pPr>
            <w:r w:rsidRPr="00407D02">
              <w:t>75% = $36.90</w:t>
            </w:r>
            <w:r w:rsidR="0078241B">
              <w:t xml:space="preserve">; </w:t>
            </w:r>
            <w:r w:rsidR="0078241B" w:rsidRPr="00407D02">
              <w:t>85% = $41.85</w:t>
            </w:r>
          </w:p>
        </w:tc>
      </w:tr>
      <w:tr w:rsidR="008211BE" w:rsidRPr="00407D02" w14:paraId="272421A9" w14:textId="77777777" w:rsidTr="008211BE">
        <w:trPr>
          <w:cantSplit/>
        </w:trPr>
        <w:tc>
          <w:tcPr>
            <w:tcW w:w="911" w:type="dxa"/>
            <w:shd w:val="clear" w:color="auto" w:fill="auto"/>
          </w:tcPr>
          <w:p w14:paraId="61B81634" w14:textId="77777777" w:rsidR="008211BE" w:rsidRPr="00B639F7" w:rsidRDefault="008211BE" w:rsidP="00B639F7">
            <w:pPr>
              <w:pStyle w:val="Tabletext"/>
              <w:rPr>
                <w:b/>
              </w:rPr>
            </w:pPr>
            <w:r w:rsidRPr="00B639F7">
              <w:rPr>
                <w:b/>
              </w:rPr>
              <w:t>11318</w:t>
            </w:r>
          </w:p>
        </w:tc>
        <w:tc>
          <w:tcPr>
            <w:tcW w:w="5089" w:type="dxa"/>
            <w:shd w:val="clear" w:color="auto" w:fill="auto"/>
          </w:tcPr>
          <w:p w14:paraId="6E38A2E1" w14:textId="77777777" w:rsidR="008211BE" w:rsidRPr="00407D02" w:rsidRDefault="008211BE" w:rsidP="00321AF3">
            <w:pPr>
              <w:pStyle w:val="Tabletext"/>
            </w:pPr>
            <w:r w:rsidRPr="006A406F">
              <w:t xml:space="preserve">AUDIOGRAM, air and bone conduction and speech, with other Cochlear tests </w:t>
            </w:r>
          </w:p>
        </w:tc>
        <w:tc>
          <w:tcPr>
            <w:tcW w:w="1440" w:type="dxa"/>
          </w:tcPr>
          <w:p w14:paraId="0DCD715A" w14:textId="77777777" w:rsidR="008211BE" w:rsidRPr="00407D02" w:rsidRDefault="008211BE" w:rsidP="00B639F7">
            <w:pPr>
              <w:pStyle w:val="Tabletext"/>
              <w:rPr>
                <w:color w:val="000000"/>
              </w:rPr>
            </w:pPr>
            <w:r w:rsidRPr="00407D02">
              <w:t>$60.75</w:t>
            </w:r>
          </w:p>
        </w:tc>
        <w:tc>
          <w:tcPr>
            <w:tcW w:w="1530" w:type="dxa"/>
          </w:tcPr>
          <w:p w14:paraId="1D82347B" w14:textId="77777777" w:rsidR="008211BE" w:rsidRPr="00407D02" w:rsidRDefault="008211BE" w:rsidP="00B639F7">
            <w:pPr>
              <w:pStyle w:val="Tabletext"/>
              <w:rPr>
                <w:color w:val="000000"/>
              </w:rPr>
            </w:pPr>
            <w:r w:rsidRPr="00407D02">
              <w:t>75% = $45.60</w:t>
            </w:r>
            <w:r w:rsidR="0078241B">
              <w:t xml:space="preserve">; </w:t>
            </w:r>
            <w:r w:rsidR="0078241B" w:rsidRPr="00407D02">
              <w:t>85% = $51.65</w:t>
            </w:r>
          </w:p>
        </w:tc>
      </w:tr>
      <w:tr w:rsidR="008211BE" w:rsidRPr="00407D02" w14:paraId="71B3AFC6" w14:textId="77777777" w:rsidTr="008211BE">
        <w:trPr>
          <w:cantSplit/>
        </w:trPr>
        <w:tc>
          <w:tcPr>
            <w:tcW w:w="911" w:type="dxa"/>
            <w:shd w:val="clear" w:color="auto" w:fill="auto"/>
          </w:tcPr>
          <w:p w14:paraId="302C151B" w14:textId="77777777" w:rsidR="008211BE" w:rsidRPr="00B639F7" w:rsidRDefault="008211BE" w:rsidP="00B639F7">
            <w:pPr>
              <w:pStyle w:val="Tabletext"/>
              <w:rPr>
                <w:b/>
              </w:rPr>
            </w:pPr>
            <w:r w:rsidRPr="00B639F7">
              <w:rPr>
                <w:b/>
              </w:rPr>
              <w:t>11321</w:t>
            </w:r>
          </w:p>
        </w:tc>
        <w:tc>
          <w:tcPr>
            <w:tcW w:w="5089" w:type="dxa"/>
            <w:shd w:val="clear" w:color="auto" w:fill="auto"/>
          </w:tcPr>
          <w:p w14:paraId="263275F1" w14:textId="77777777" w:rsidR="008211BE" w:rsidRPr="00407D02" w:rsidRDefault="008211BE" w:rsidP="00321AF3">
            <w:pPr>
              <w:pStyle w:val="Tabletext"/>
            </w:pPr>
            <w:r w:rsidRPr="006A406F">
              <w:t>GLYCEROL INDUCED COCHLEAR FUNCTION CHANGES assessed by a minimum of 4 air conduction and speech discrimination tests (</w:t>
            </w:r>
            <w:proofErr w:type="spellStart"/>
            <w:r w:rsidRPr="006A406F">
              <w:t>Klockoff's</w:t>
            </w:r>
            <w:proofErr w:type="spellEnd"/>
            <w:r w:rsidRPr="006A406F">
              <w:t xml:space="preserve"> tests) </w:t>
            </w:r>
          </w:p>
        </w:tc>
        <w:tc>
          <w:tcPr>
            <w:tcW w:w="1440" w:type="dxa"/>
          </w:tcPr>
          <w:p w14:paraId="78E35CD0" w14:textId="77777777" w:rsidR="008211BE" w:rsidRPr="00407D02" w:rsidRDefault="008211BE" w:rsidP="00B639F7">
            <w:pPr>
              <w:pStyle w:val="Tabletext"/>
              <w:rPr>
                <w:color w:val="000000"/>
              </w:rPr>
            </w:pPr>
            <w:r w:rsidRPr="00407D02">
              <w:t>$115.35</w:t>
            </w:r>
          </w:p>
        </w:tc>
        <w:tc>
          <w:tcPr>
            <w:tcW w:w="1530" w:type="dxa"/>
          </w:tcPr>
          <w:p w14:paraId="456C9598" w14:textId="77777777" w:rsidR="008211BE" w:rsidRPr="00407D02" w:rsidRDefault="008211BE" w:rsidP="00B639F7">
            <w:pPr>
              <w:pStyle w:val="Tabletext"/>
              <w:rPr>
                <w:color w:val="000000"/>
              </w:rPr>
            </w:pPr>
            <w:r w:rsidRPr="00407D02">
              <w:t>75% = $86.55</w:t>
            </w:r>
            <w:r>
              <w:t xml:space="preserve">; </w:t>
            </w:r>
            <w:r w:rsidRPr="00407D02">
              <w:t>85% = $98.05</w:t>
            </w:r>
          </w:p>
        </w:tc>
      </w:tr>
      <w:tr w:rsidR="008211BE" w:rsidRPr="00407D02" w14:paraId="5D9C7C33" w14:textId="77777777" w:rsidTr="008211BE">
        <w:trPr>
          <w:cantSplit/>
        </w:trPr>
        <w:tc>
          <w:tcPr>
            <w:tcW w:w="911" w:type="dxa"/>
            <w:shd w:val="clear" w:color="auto" w:fill="auto"/>
          </w:tcPr>
          <w:p w14:paraId="156B2AAE" w14:textId="77777777" w:rsidR="008211BE" w:rsidRPr="00B639F7" w:rsidRDefault="008211BE" w:rsidP="00B639F7">
            <w:pPr>
              <w:pStyle w:val="Tabletext"/>
              <w:rPr>
                <w:b/>
              </w:rPr>
            </w:pPr>
            <w:r w:rsidRPr="00B639F7">
              <w:rPr>
                <w:b/>
              </w:rPr>
              <w:t>11324</w:t>
            </w:r>
          </w:p>
        </w:tc>
        <w:tc>
          <w:tcPr>
            <w:tcW w:w="5089" w:type="dxa"/>
            <w:shd w:val="clear" w:color="auto" w:fill="auto"/>
          </w:tcPr>
          <w:p w14:paraId="4B51107B" w14:textId="77777777" w:rsidR="008211BE" w:rsidRPr="00407D02" w:rsidRDefault="008211BE" w:rsidP="003F50B2">
            <w:pPr>
              <w:pStyle w:val="Tabletext"/>
            </w:pPr>
            <w:r w:rsidRPr="00407D02">
              <w:t xml:space="preserve">IMPEDANCE AUDIOGRAM involving tympanometry and measurement of static compliance and acoustic reflex performed by, or on behalf of, a specialist in the practice of his or her specialty, where the patient is referred by a medical practitioner </w:t>
            </w:r>
            <w:r w:rsidR="003F50B2">
              <w:t>–</w:t>
            </w:r>
            <w:r w:rsidRPr="00407D02">
              <w:t xml:space="preserve"> not being a service associated with a service to which item 11309, 11312, 11315 or 11318 applies</w:t>
            </w:r>
            <w:r>
              <w:t xml:space="preserve"> </w:t>
            </w:r>
          </w:p>
        </w:tc>
        <w:tc>
          <w:tcPr>
            <w:tcW w:w="1440" w:type="dxa"/>
          </w:tcPr>
          <w:p w14:paraId="7FF20C28" w14:textId="77777777" w:rsidR="008211BE" w:rsidRPr="00407D02" w:rsidRDefault="008211BE" w:rsidP="00B639F7">
            <w:pPr>
              <w:pStyle w:val="Tabletext"/>
              <w:rPr>
                <w:color w:val="000000"/>
              </w:rPr>
            </w:pPr>
            <w:r w:rsidRPr="00407D02">
              <w:t>$32.85</w:t>
            </w:r>
          </w:p>
        </w:tc>
        <w:tc>
          <w:tcPr>
            <w:tcW w:w="1530" w:type="dxa"/>
          </w:tcPr>
          <w:p w14:paraId="03C953B2" w14:textId="77777777" w:rsidR="008211BE" w:rsidRPr="00407D02" w:rsidRDefault="008211BE" w:rsidP="00B639F7">
            <w:pPr>
              <w:pStyle w:val="Tabletext"/>
              <w:rPr>
                <w:color w:val="000000"/>
              </w:rPr>
            </w:pPr>
            <w:r w:rsidRPr="00407D02">
              <w:t>75% = $24.65</w:t>
            </w:r>
            <w:r>
              <w:t xml:space="preserve">; </w:t>
            </w:r>
            <w:r w:rsidRPr="00407D02">
              <w:t>85% = $27.95</w:t>
            </w:r>
          </w:p>
        </w:tc>
      </w:tr>
      <w:tr w:rsidR="008211BE" w:rsidRPr="00407D02" w14:paraId="2EA958FE" w14:textId="77777777" w:rsidTr="008211BE">
        <w:trPr>
          <w:cantSplit/>
        </w:trPr>
        <w:tc>
          <w:tcPr>
            <w:tcW w:w="911" w:type="dxa"/>
            <w:shd w:val="clear" w:color="auto" w:fill="auto"/>
          </w:tcPr>
          <w:p w14:paraId="575594A1" w14:textId="77777777" w:rsidR="008211BE" w:rsidRPr="00B639F7" w:rsidRDefault="008211BE" w:rsidP="00B639F7">
            <w:pPr>
              <w:pStyle w:val="Tabletext"/>
              <w:rPr>
                <w:b/>
              </w:rPr>
            </w:pPr>
            <w:r w:rsidRPr="00B639F7">
              <w:rPr>
                <w:b/>
              </w:rPr>
              <w:lastRenderedPageBreak/>
              <w:t>11327</w:t>
            </w:r>
          </w:p>
        </w:tc>
        <w:tc>
          <w:tcPr>
            <w:tcW w:w="5089" w:type="dxa"/>
            <w:shd w:val="clear" w:color="auto" w:fill="auto"/>
          </w:tcPr>
          <w:p w14:paraId="0933D81B" w14:textId="77777777" w:rsidR="008211BE" w:rsidRPr="00407D02" w:rsidRDefault="008211BE" w:rsidP="003F50B2">
            <w:pPr>
              <w:pStyle w:val="Tabletext"/>
            </w:pPr>
            <w:r w:rsidRPr="00407D02">
              <w:t xml:space="preserve">IMPEDANCE AUDIOGRAM involving tympanometry and measurement of static compliance and acoustic reflex performed by, or on behalf of, a specialist in the practice of his or her specialty, where the patient is referred by a medical practitioner </w:t>
            </w:r>
            <w:r w:rsidR="003F50B2">
              <w:t>–</w:t>
            </w:r>
            <w:r w:rsidRPr="00407D02">
              <w:t xml:space="preserve"> being a service associated with a service to which item 11309, 11312, 11315 or 11318 applies</w:t>
            </w:r>
          </w:p>
        </w:tc>
        <w:tc>
          <w:tcPr>
            <w:tcW w:w="1440" w:type="dxa"/>
          </w:tcPr>
          <w:p w14:paraId="24F641B4" w14:textId="77777777" w:rsidR="008211BE" w:rsidRPr="00407D02" w:rsidRDefault="008211BE" w:rsidP="00B639F7">
            <w:pPr>
              <w:pStyle w:val="Tabletext"/>
              <w:rPr>
                <w:color w:val="000000"/>
              </w:rPr>
            </w:pPr>
            <w:r w:rsidRPr="00407D02">
              <w:t>$19.75</w:t>
            </w:r>
          </w:p>
        </w:tc>
        <w:tc>
          <w:tcPr>
            <w:tcW w:w="1530" w:type="dxa"/>
          </w:tcPr>
          <w:p w14:paraId="16434B38" w14:textId="77777777" w:rsidR="008211BE" w:rsidRPr="00407D02" w:rsidRDefault="008211BE" w:rsidP="00B639F7">
            <w:pPr>
              <w:pStyle w:val="Tabletext"/>
              <w:rPr>
                <w:color w:val="000000"/>
              </w:rPr>
            </w:pPr>
            <w:r w:rsidRPr="00407D02">
              <w:t>75% = $14.85</w:t>
            </w:r>
            <w:r>
              <w:t xml:space="preserve">; </w:t>
            </w:r>
            <w:r w:rsidRPr="00407D02">
              <w:t>85% = $16.80</w:t>
            </w:r>
          </w:p>
        </w:tc>
      </w:tr>
      <w:tr w:rsidR="008211BE" w:rsidRPr="00407D02" w14:paraId="743521B4" w14:textId="77777777" w:rsidTr="008211BE">
        <w:trPr>
          <w:cantSplit/>
        </w:trPr>
        <w:tc>
          <w:tcPr>
            <w:tcW w:w="911" w:type="dxa"/>
            <w:shd w:val="clear" w:color="auto" w:fill="auto"/>
          </w:tcPr>
          <w:p w14:paraId="31C7E436" w14:textId="77777777" w:rsidR="008211BE" w:rsidRPr="00B639F7" w:rsidRDefault="008211BE" w:rsidP="00B639F7">
            <w:pPr>
              <w:pStyle w:val="Tabletext"/>
              <w:rPr>
                <w:b/>
              </w:rPr>
            </w:pPr>
            <w:r w:rsidRPr="00B639F7">
              <w:rPr>
                <w:b/>
              </w:rPr>
              <w:t>11330</w:t>
            </w:r>
          </w:p>
        </w:tc>
        <w:tc>
          <w:tcPr>
            <w:tcW w:w="5089" w:type="dxa"/>
            <w:shd w:val="clear" w:color="auto" w:fill="auto"/>
          </w:tcPr>
          <w:p w14:paraId="5C8AC096" w14:textId="77777777" w:rsidR="008211BE" w:rsidRPr="00407D02" w:rsidRDefault="008211BE" w:rsidP="003F50B2">
            <w:pPr>
              <w:pStyle w:val="Tabletext"/>
            </w:pPr>
            <w:r w:rsidRPr="00407D02">
              <w:t xml:space="preserve">IMPEDANCE AUDIOGRAM where the patient is not referred by a medical practitioner </w:t>
            </w:r>
            <w:r w:rsidR="003F50B2">
              <w:t>–</w:t>
            </w:r>
            <w:r w:rsidRPr="00407D02">
              <w:t xml:space="preserve"> 1 examination in any </w:t>
            </w:r>
            <w:proofErr w:type="gramStart"/>
            <w:r w:rsidRPr="00407D02">
              <w:t>4 week</w:t>
            </w:r>
            <w:proofErr w:type="gramEnd"/>
            <w:r w:rsidRPr="00407D02">
              <w:t xml:space="preserve"> period</w:t>
            </w:r>
          </w:p>
        </w:tc>
        <w:tc>
          <w:tcPr>
            <w:tcW w:w="1440" w:type="dxa"/>
          </w:tcPr>
          <w:p w14:paraId="520B1395" w14:textId="77777777" w:rsidR="008211BE" w:rsidRPr="00407D02" w:rsidRDefault="008211BE" w:rsidP="00B639F7">
            <w:pPr>
              <w:pStyle w:val="Tabletext"/>
              <w:rPr>
                <w:color w:val="000000"/>
              </w:rPr>
            </w:pPr>
            <w:r w:rsidRPr="00407D02">
              <w:t>$7.90</w:t>
            </w:r>
          </w:p>
        </w:tc>
        <w:tc>
          <w:tcPr>
            <w:tcW w:w="1530" w:type="dxa"/>
          </w:tcPr>
          <w:p w14:paraId="0DFB13D9" w14:textId="77777777" w:rsidR="008211BE" w:rsidRPr="00407D02" w:rsidRDefault="008211BE" w:rsidP="00B639F7">
            <w:pPr>
              <w:pStyle w:val="Tabletext"/>
              <w:rPr>
                <w:color w:val="000000"/>
              </w:rPr>
            </w:pPr>
            <w:r w:rsidRPr="00407D02">
              <w:t>75% = $5.95</w:t>
            </w:r>
            <w:r>
              <w:t xml:space="preserve">; </w:t>
            </w:r>
            <w:r w:rsidRPr="00407D02">
              <w:t>85% = $6.75</w:t>
            </w:r>
          </w:p>
        </w:tc>
      </w:tr>
      <w:tr w:rsidR="008211BE" w:rsidRPr="00407D02" w14:paraId="26C1A869" w14:textId="77777777" w:rsidTr="008211BE">
        <w:trPr>
          <w:cantSplit/>
        </w:trPr>
        <w:tc>
          <w:tcPr>
            <w:tcW w:w="911" w:type="dxa"/>
            <w:shd w:val="clear" w:color="auto" w:fill="auto"/>
          </w:tcPr>
          <w:p w14:paraId="355AE73C" w14:textId="77777777" w:rsidR="008211BE" w:rsidRPr="0080478E" w:rsidRDefault="008211BE" w:rsidP="0080478E">
            <w:pPr>
              <w:pStyle w:val="Tabletext"/>
              <w:rPr>
                <w:b/>
              </w:rPr>
            </w:pPr>
            <w:r w:rsidRPr="0080478E">
              <w:rPr>
                <w:b/>
              </w:rPr>
              <w:t>11332</w:t>
            </w:r>
          </w:p>
        </w:tc>
        <w:tc>
          <w:tcPr>
            <w:tcW w:w="5089" w:type="dxa"/>
            <w:shd w:val="clear" w:color="auto" w:fill="auto"/>
          </w:tcPr>
          <w:p w14:paraId="7B65B18D" w14:textId="77777777" w:rsidR="008211BE" w:rsidRDefault="008211BE" w:rsidP="00B639F7">
            <w:pPr>
              <w:pStyle w:val="Tabletext"/>
            </w:pPr>
            <w:r w:rsidRPr="00407D02">
              <w:t>OTO-ACOUSTIC EMISSION AUDIOMETRY for the detection of permanent congenital hearing impairment, performed by or on behalf of a specialist or consultant physician, on an infant or child who is at risk due to one or</w:t>
            </w:r>
            <w:r>
              <w:t xml:space="preserve"> more of the following factors:</w:t>
            </w:r>
          </w:p>
          <w:p w14:paraId="07595660" w14:textId="77777777" w:rsidR="008211BE" w:rsidRPr="0006241C" w:rsidRDefault="00BE69BD" w:rsidP="00BE69BD">
            <w:pPr>
              <w:pStyle w:val="NormalBulletedTableroman"/>
            </w:pPr>
            <w:r w:rsidRPr="00BE69BD">
              <w:t>(</w:t>
            </w:r>
            <w:proofErr w:type="spellStart"/>
            <w:r w:rsidRPr="00BE69BD">
              <w:t>i</w:t>
            </w:r>
            <w:proofErr w:type="spellEnd"/>
            <w:r>
              <w:t>)</w:t>
            </w:r>
            <w:r>
              <w:tab/>
            </w:r>
            <w:r w:rsidR="008211BE" w:rsidRPr="00BE69BD">
              <w:t>admission</w:t>
            </w:r>
            <w:r w:rsidR="008211BE" w:rsidRPr="0006241C">
              <w:t xml:space="preserve"> to a neonatal </w:t>
            </w:r>
            <w:r w:rsidR="008211BE" w:rsidRPr="00BE69BD">
              <w:t>intensive</w:t>
            </w:r>
            <w:r w:rsidR="008211BE" w:rsidRPr="0006241C">
              <w:t xml:space="preserve"> care unit; or</w:t>
            </w:r>
          </w:p>
          <w:p w14:paraId="095366F0" w14:textId="77777777" w:rsidR="008211BE" w:rsidRPr="00BE69BD" w:rsidRDefault="00BE69BD" w:rsidP="00BE69BD">
            <w:pPr>
              <w:pStyle w:val="NormalBulletedTableroman"/>
            </w:pPr>
            <w:r>
              <w:t>(ii)</w:t>
            </w:r>
            <w:r>
              <w:tab/>
            </w:r>
            <w:r w:rsidR="008211BE" w:rsidRPr="0006241C">
              <w:t xml:space="preserve">family history of </w:t>
            </w:r>
            <w:r w:rsidR="008211BE" w:rsidRPr="00BE69BD">
              <w:t>hearing impairment; or</w:t>
            </w:r>
          </w:p>
          <w:p w14:paraId="5FA0B24B" w14:textId="77777777" w:rsidR="008211BE" w:rsidRDefault="00BE69BD" w:rsidP="00BE69BD">
            <w:pPr>
              <w:pStyle w:val="NormalBulletedTableroman"/>
            </w:pPr>
            <w:r>
              <w:t>(iii)</w:t>
            </w:r>
            <w:r>
              <w:tab/>
            </w:r>
            <w:r w:rsidR="008211BE" w:rsidRPr="00BE69BD">
              <w:t>intra-uterine or perinatal infection (either suspected or confirmed); or</w:t>
            </w:r>
          </w:p>
          <w:p w14:paraId="32E4CE6C" w14:textId="77777777" w:rsidR="008211BE" w:rsidRPr="00BE69BD" w:rsidRDefault="00BE69BD" w:rsidP="00BE69BD">
            <w:pPr>
              <w:pStyle w:val="NormalBulletedTableroman"/>
            </w:pPr>
            <w:r>
              <w:t>(iv)</w:t>
            </w:r>
            <w:r>
              <w:tab/>
            </w:r>
            <w:r w:rsidR="008211BE" w:rsidRPr="00BE69BD">
              <w:t>birthweight less than 1.5kg; or</w:t>
            </w:r>
          </w:p>
          <w:p w14:paraId="0ECFE3A6" w14:textId="77777777" w:rsidR="008211BE" w:rsidRPr="00BE69BD" w:rsidRDefault="00BE69BD" w:rsidP="00BE69BD">
            <w:pPr>
              <w:pStyle w:val="NormalBulletedTableroman"/>
            </w:pPr>
            <w:r>
              <w:t>(v)</w:t>
            </w:r>
            <w:r>
              <w:tab/>
            </w:r>
            <w:r w:rsidR="008211BE" w:rsidRPr="00BE69BD">
              <w:t>craniofacial deformity: or</w:t>
            </w:r>
          </w:p>
          <w:p w14:paraId="585D05AF" w14:textId="77777777" w:rsidR="008211BE" w:rsidRPr="00BE69BD" w:rsidRDefault="00BE69BD" w:rsidP="00BE69BD">
            <w:pPr>
              <w:pStyle w:val="NormalBulletedTableroman"/>
            </w:pPr>
            <w:r>
              <w:t>(vi)</w:t>
            </w:r>
            <w:r>
              <w:tab/>
            </w:r>
            <w:r w:rsidR="008211BE" w:rsidRPr="00BE69BD">
              <w:t>birth asphyxia; or</w:t>
            </w:r>
          </w:p>
          <w:p w14:paraId="03AFF520" w14:textId="77777777" w:rsidR="008211BE" w:rsidRPr="00BE69BD" w:rsidRDefault="00BE69BD" w:rsidP="00BE69BD">
            <w:pPr>
              <w:pStyle w:val="NormalBulletedTableroman"/>
            </w:pPr>
            <w:r>
              <w:t>(vii)</w:t>
            </w:r>
            <w:r>
              <w:tab/>
            </w:r>
            <w:r w:rsidR="008211BE" w:rsidRPr="00BE69BD">
              <w:t>chromosomal abnormality, including Down's Syndrome; or</w:t>
            </w:r>
          </w:p>
          <w:p w14:paraId="105B8B58" w14:textId="77777777" w:rsidR="008211BE" w:rsidRPr="00BE69BD" w:rsidRDefault="00BE69BD" w:rsidP="00BE69BD">
            <w:pPr>
              <w:pStyle w:val="NormalBulletedTableroman"/>
            </w:pPr>
            <w:r>
              <w:t>(viii)</w:t>
            </w:r>
            <w:r>
              <w:tab/>
            </w:r>
            <w:r w:rsidR="008211BE" w:rsidRPr="00BE69BD">
              <w:t xml:space="preserve">exchange </w:t>
            </w:r>
            <w:proofErr w:type="gramStart"/>
            <w:r w:rsidR="008211BE" w:rsidRPr="00BE69BD">
              <w:t>transfusion;</w:t>
            </w:r>
            <w:proofErr w:type="gramEnd"/>
          </w:p>
          <w:p w14:paraId="22FD63B8" w14:textId="77777777" w:rsidR="008211BE" w:rsidRPr="00407D02" w:rsidRDefault="008211BE" w:rsidP="00B639F7">
            <w:pPr>
              <w:pStyle w:val="Tabletext"/>
            </w:pPr>
            <w:r>
              <w:t>and where:</w:t>
            </w:r>
          </w:p>
          <w:p w14:paraId="6DE75EE3" w14:textId="77777777" w:rsidR="008211BE" w:rsidRPr="00AA3568" w:rsidRDefault="008211BE" w:rsidP="00681E75">
            <w:r w:rsidRPr="0006241C">
              <w:t>the patient is referred by another medical practitioner; and</w:t>
            </w:r>
          </w:p>
          <w:p w14:paraId="60300A85" w14:textId="77777777" w:rsidR="008211BE" w:rsidRPr="00AA3568" w:rsidRDefault="008211BE" w:rsidP="00681E75">
            <w:r w:rsidRPr="0006241C">
              <w:t>middle ear pathology has been excluded by specialist opinion</w:t>
            </w:r>
          </w:p>
          <w:p w14:paraId="2E108B6D" w14:textId="77777777" w:rsidR="008211BE" w:rsidRPr="00407D02" w:rsidRDefault="008211BE" w:rsidP="00B639F7">
            <w:pPr>
              <w:pStyle w:val="Tabletext"/>
            </w:pPr>
            <w:r w:rsidRPr="00407D02">
              <w:t>(</w:t>
            </w:r>
            <w:r w:rsidRPr="00B639F7">
              <w:rPr>
                <w:i/>
              </w:rPr>
              <w:t>See para D1.13 of explanatory notes to this Category</w:t>
            </w:r>
            <w:r w:rsidRPr="00407D02">
              <w:t>)</w:t>
            </w:r>
          </w:p>
        </w:tc>
        <w:tc>
          <w:tcPr>
            <w:tcW w:w="1440" w:type="dxa"/>
          </w:tcPr>
          <w:p w14:paraId="4BC198C8" w14:textId="77777777" w:rsidR="008211BE" w:rsidRPr="00407D02" w:rsidRDefault="008211BE" w:rsidP="00422EC8">
            <w:pPr>
              <w:pStyle w:val="Tabletext"/>
              <w:rPr>
                <w:color w:val="000000"/>
              </w:rPr>
            </w:pPr>
            <w:r w:rsidRPr="00407D02">
              <w:t>$58.55</w:t>
            </w:r>
          </w:p>
        </w:tc>
        <w:tc>
          <w:tcPr>
            <w:tcW w:w="1530" w:type="dxa"/>
          </w:tcPr>
          <w:p w14:paraId="5D0F15BC" w14:textId="77777777" w:rsidR="008211BE" w:rsidRPr="00407D02" w:rsidRDefault="008211BE" w:rsidP="00422EC8">
            <w:pPr>
              <w:pStyle w:val="Tabletext"/>
              <w:rPr>
                <w:color w:val="000000"/>
              </w:rPr>
            </w:pPr>
            <w:r w:rsidRPr="00407D02">
              <w:t>75% = $43.95</w:t>
            </w:r>
            <w:r>
              <w:t xml:space="preserve">; </w:t>
            </w:r>
            <w:r w:rsidRPr="00407D02">
              <w:t>85% = $49.80</w:t>
            </w:r>
          </w:p>
        </w:tc>
      </w:tr>
      <w:tr w:rsidR="008211BE" w:rsidRPr="00407D02" w14:paraId="1D858979" w14:textId="77777777" w:rsidTr="008211BE">
        <w:trPr>
          <w:cantSplit/>
        </w:trPr>
        <w:tc>
          <w:tcPr>
            <w:tcW w:w="911" w:type="dxa"/>
            <w:shd w:val="clear" w:color="auto" w:fill="auto"/>
          </w:tcPr>
          <w:p w14:paraId="6E669930" w14:textId="77777777" w:rsidR="008211BE" w:rsidRPr="00B639F7" w:rsidRDefault="008211BE" w:rsidP="00B639F7">
            <w:pPr>
              <w:pStyle w:val="Tabletext"/>
              <w:rPr>
                <w:b/>
              </w:rPr>
            </w:pPr>
            <w:r w:rsidRPr="00B639F7">
              <w:rPr>
                <w:b/>
              </w:rPr>
              <w:t>11333</w:t>
            </w:r>
          </w:p>
        </w:tc>
        <w:tc>
          <w:tcPr>
            <w:tcW w:w="5089" w:type="dxa"/>
            <w:shd w:val="clear" w:color="auto" w:fill="auto"/>
          </w:tcPr>
          <w:p w14:paraId="710FA67E" w14:textId="77777777" w:rsidR="008211BE" w:rsidRPr="00407D02" w:rsidRDefault="008211BE" w:rsidP="006A406F">
            <w:pPr>
              <w:pStyle w:val="Tabletext"/>
            </w:pPr>
            <w:r w:rsidRPr="00407D02">
              <w:t>CALORIC TEST OF LABYRINTH OR LABYRINTHS</w:t>
            </w:r>
          </w:p>
        </w:tc>
        <w:tc>
          <w:tcPr>
            <w:tcW w:w="1440" w:type="dxa"/>
          </w:tcPr>
          <w:p w14:paraId="00732AE3" w14:textId="77777777" w:rsidR="008211BE" w:rsidRPr="00407D02" w:rsidRDefault="0078241B" w:rsidP="00B639F7">
            <w:pPr>
              <w:pStyle w:val="Tabletext"/>
              <w:rPr>
                <w:color w:val="000000"/>
              </w:rPr>
            </w:pPr>
            <w:r w:rsidRPr="00407D02">
              <w:t>$44.60</w:t>
            </w:r>
          </w:p>
        </w:tc>
        <w:tc>
          <w:tcPr>
            <w:tcW w:w="1530" w:type="dxa"/>
          </w:tcPr>
          <w:p w14:paraId="5D40E45C" w14:textId="77777777" w:rsidR="008211BE" w:rsidRPr="00407D02" w:rsidRDefault="0078241B" w:rsidP="00B639F7">
            <w:pPr>
              <w:pStyle w:val="Tabletext"/>
              <w:rPr>
                <w:color w:val="000000"/>
              </w:rPr>
            </w:pPr>
            <w:r w:rsidRPr="00407D02">
              <w:t>75% = $33.45</w:t>
            </w:r>
            <w:r>
              <w:t xml:space="preserve">; </w:t>
            </w:r>
            <w:r w:rsidRPr="00407D02">
              <w:t>85% = $37.95</w:t>
            </w:r>
          </w:p>
        </w:tc>
      </w:tr>
      <w:tr w:rsidR="008211BE" w:rsidRPr="00407D02" w14:paraId="773CCBC0" w14:textId="77777777" w:rsidTr="008211BE">
        <w:trPr>
          <w:cantSplit/>
        </w:trPr>
        <w:tc>
          <w:tcPr>
            <w:tcW w:w="911" w:type="dxa"/>
            <w:shd w:val="clear" w:color="auto" w:fill="auto"/>
          </w:tcPr>
          <w:p w14:paraId="26F7A30D" w14:textId="77777777" w:rsidR="008211BE" w:rsidRPr="00B639F7" w:rsidRDefault="008211BE" w:rsidP="00B639F7">
            <w:pPr>
              <w:pStyle w:val="Tabletext"/>
              <w:rPr>
                <w:b/>
              </w:rPr>
            </w:pPr>
            <w:r w:rsidRPr="00B639F7">
              <w:rPr>
                <w:b/>
              </w:rPr>
              <w:t>11336</w:t>
            </w:r>
          </w:p>
        </w:tc>
        <w:tc>
          <w:tcPr>
            <w:tcW w:w="5089" w:type="dxa"/>
            <w:shd w:val="clear" w:color="auto" w:fill="auto"/>
          </w:tcPr>
          <w:p w14:paraId="0536F721" w14:textId="77777777" w:rsidR="008211BE" w:rsidRPr="00407D02" w:rsidRDefault="008211BE" w:rsidP="006A406F">
            <w:pPr>
              <w:pStyle w:val="Tabletext"/>
            </w:pPr>
            <w:r w:rsidRPr="00407D02">
              <w:t>SIMULTANEOUS BITHERMAL CALORIC TEST OF LABYRINTHS</w:t>
            </w:r>
            <w:r w:rsidR="0078241B">
              <w:t xml:space="preserve"> </w:t>
            </w:r>
          </w:p>
        </w:tc>
        <w:tc>
          <w:tcPr>
            <w:tcW w:w="1440" w:type="dxa"/>
          </w:tcPr>
          <w:p w14:paraId="28B35274" w14:textId="77777777" w:rsidR="008211BE" w:rsidRPr="00407D02" w:rsidRDefault="0078241B" w:rsidP="00B639F7">
            <w:pPr>
              <w:pStyle w:val="Tabletext"/>
              <w:rPr>
                <w:color w:val="000000"/>
              </w:rPr>
            </w:pPr>
            <w:r w:rsidRPr="00407D02">
              <w:t>$44.60</w:t>
            </w:r>
          </w:p>
        </w:tc>
        <w:tc>
          <w:tcPr>
            <w:tcW w:w="1530" w:type="dxa"/>
          </w:tcPr>
          <w:p w14:paraId="026EFF17" w14:textId="77777777" w:rsidR="008211BE" w:rsidRPr="00407D02" w:rsidRDefault="0078241B" w:rsidP="00B639F7">
            <w:pPr>
              <w:pStyle w:val="Tabletext"/>
              <w:rPr>
                <w:color w:val="000000"/>
              </w:rPr>
            </w:pPr>
            <w:r w:rsidRPr="00407D02">
              <w:t>75% = $33.45</w:t>
            </w:r>
            <w:r>
              <w:t xml:space="preserve">; </w:t>
            </w:r>
            <w:r w:rsidRPr="00407D02">
              <w:t>85% = $37.95</w:t>
            </w:r>
          </w:p>
        </w:tc>
      </w:tr>
      <w:tr w:rsidR="008211BE" w:rsidRPr="00407D02" w14:paraId="644317AF" w14:textId="77777777" w:rsidTr="008211BE">
        <w:trPr>
          <w:cantSplit/>
        </w:trPr>
        <w:tc>
          <w:tcPr>
            <w:tcW w:w="911" w:type="dxa"/>
            <w:shd w:val="clear" w:color="auto" w:fill="auto"/>
          </w:tcPr>
          <w:p w14:paraId="72618002" w14:textId="77777777" w:rsidR="008211BE" w:rsidRPr="00B639F7" w:rsidRDefault="008211BE" w:rsidP="00B639F7">
            <w:pPr>
              <w:pStyle w:val="Tabletext"/>
              <w:rPr>
                <w:b/>
              </w:rPr>
            </w:pPr>
            <w:r w:rsidRPr="00B639F7">
              <w:rPr>
                <w:b/>
              </w:rPr>
              <w:t>11339</w:t>
            </w:r>
          </w:p>
        </w:tc>
        <w:tc>
          <w:tcPr>
            <w:tcW w:w="5089" w:type="dxa"/>
            <w:shd w:val="clear" w:color="auto" w:fill="auto"/>
          </w:tcPr>
          <w:p w14:paraId="2178B5DA" w14:textId="77777777" w:rsidR="008211BE" w:rsidRPr="00407D02" w:rsidRDefault="008211BE" w:rsidP="006A406F">
            <w:pPr>
              <w:pStyle w:val="Tabletext"/>
            </w:pPr>
            <w:r w:rsidRPr="00407D02">
              <w:t>ELECTRONYSTAGMOGRAPHY</w:t>
            </w:r>
          </w:p>
        </w:tc>
        <w:tc>
          <w:tcPr>
            <w:tcW w:w="1440" w:type="dxa"/>
          </w:tcPr>
          <w:p w14:paraId="2EE5400B" w14:textId="77777777" w:rsidR="008211BE" w:rsidRPr="00407D02" w:rsidRDefault="0078241B" w:rsidP="00B639F7">
            <w:pPr>
              <w:pStyle w:val="Tabletext"/>
              <w:rPr>
                <w:color w:val="000000"/>
              </w:rPr>
            </w:pPr>
            <w:r w:rsidRPr="00407D02">
              <w:t>$44.60</w:t>
            </w:r>
          </w:p>
        </w:tc>
        <w:tc>
          <w:tcPr>
            <w:tcW w:w="1530" w:type="dxa"/>
          </w:tcPr>
          <w:p w14:paraId="2BD6A34A" w14:textId="77777777" w:rsidR="008211BE" w:rsidRPr="00407D02" w:rsidRDefault="0078241B" w:rsidP="00B639F7">
            <w:pPr>
              <w:pStyle w:val="Tabletext"/>
              <w:rPr>
                <w:color w:val="000000"/>
              </w:rPr>
            </w:pPr>
            <w:r w:rsidRPr="00407D02">
              <w:t>75% = $33.45</w:t>
            </w:r>
            <w:r>
              <w:t xml:space="preserve">; </w:t>
            </w:r>
            <w:r w:rsidRPr="00407D02">
              <w:t>85% = $37.95</w:t>
            </w:r>
          </w:p>
        </w:tc>
      </w:tr>
      <w:tr w:rsidR="008211BE" w:rsidRPr="00407D02" w14:paraId="623C132F" w14:textId="77777777" w:rsidTr="008211BE">
        <w:trPr>
          <w:cantSplit/>
        </w:trPr>
        <w:tc>
          <w:tcPr>
            <w:tcW w:w="911" w:type="dxa"/>
            <w:shd w:val="clear" w:color="auto" w:fill="auto"/>
          </w:tcPr>
          <w:p w14:paraId="7CF0918D" w14:textId="77777777" w:rsidR="008211BE" w:rsidRPr="00B639F7" w:rsidRDefault="008211BE" w:rsidP="00B639F7">
            <w:pPr>
              <w:pStyle w:val="Tabletext"/>
              <w:rPr>
                <w:b/>
              </w:rPr>
            </w:pPr>
            <w:r w:rsidRPr="00B639F7">
              <w:rPr>
                <w:b/>
              </w:rPr>
              <w:t>11333</w:t>
            </w:r>
          </w:p>
        </w:tc>
        <w:tc>
          <w:tcPr>
            <w:tcW w:w="5089" w:type="dxa"/>
            <w:shd w:val="clear" w:color="auto" w:fill="auto"/>
          </w:tcPr>
          <w:p w14:paraId="340CCD87" w14:textId="77777777" w:rsidR="008211BE" w:rsidRPr="00407D02" w:rsidRDefault="008211BE" w:rsidP="006A406F">
            <w:pPr>
              <w:pStyle w:val="Tabletext"/>
            </w:pPr>
            <w:r w:rsidRPr="00407D02">
              <w:t>CALORIC TEST OF LABYRINTH OR LABYRINTHS</w:t>
            </w:r>
          </w:p>
        </w:tc>
        <w:tc>
          <w:tcPr>
            <w:tcW w:w="1440" w:type="dxa"/>
          </w:tcPr>
          <w:p w14:paraId="6A357EE5" w14:textId="77777777" w:rsidR="008211BE" w:rsidRPr="00407D02" w:rsidRDefault="0078241B" w:rsidP="00B639F7">
            <w:pPr>
              <w:pStyle w:val="Tabletext"/>
              <w:rPr>
                <w:color w:val="000000"/>
              </w:rPr>
            </w:pPr>
            <w:r w:rsidRPr="00407D02">
              <w:t>$44.60</w:t>
            </w:r>
          </w:p>
        </w:tc>
        <w:tc>
          <w:tcPr>
            <w:tcW w:w="1530" w:type="dxa"/>
          </w:tcPr>
          <w:p w14:paraId="215202A4" w14:textId="77777777" w:rsidR="008211BE" w:rsidRPr="00407D02" w:rsidRDefault="0078241B" w:rsidP="00B639F7">
            <w:pPr>
              <w:pStyle w:val="Tabletext"/>
              <w:rPr>
                <w:color w:val="000000"/>
              </w:rPr>
            </w:pPr>
            <w:r w:rsidRPr="00407D02">
              <w:t>75% = $33.45</w:t>
            </w:r>
            <w:r>
              <w:t xml:space="preserve">; </w:t>
            </w:r>
            <w:r w:rsidRPr="00407D02">
              <w:t>85% = $37.95</w:t>
            </w:r>
          </w:p>
        </w:tc>
      </w:tr>
    </w:tbl>
    <w:p w14:paraId="35B8E876" w14:textId="77777777" w:rsidR="00F85147" w:rsidRDefault="00F85147" w:rsidP="006508BC">
      <w:pPr>
        <w:pStyle w:val="Heading2a"/>
      </w:pPr>
      <w:r>
        <w:lastRenderedPageBreak/>
        <w:t xml:space="preserve">General Surgery Items </w:t>
      </w:r>
      <w:r w:rsidR="0006241C">
        <w:t>–</w:t>
      </w:r>
      <w:r>
        <w:t xml:space="preserve"> Therapeutic Procedures 30244 – 30259, 30265-30294 </w:t>
      </w:r>
    </w:p>
    <w:p w14:paraId="11BAD069" w14:textId="77777777" w:rsidR="0078241B" w:rsidRDefault="0078241B" w:rsidP="0078241B">
      <w:pPr>
        <w:pStyle w:val="Caption"/>
      </w:pPr>
      <w:r>
        <w:t xml:space="preserve">Table A3: MBS items – </w:t>
      </w:r>
      <w:r w:rsidRPr="0078241B">
        <w:t>General Surgery Items – Therapeutic Procedures</w:t>
      </w:r>
    </w:p>
    <w:tbl>
      <w:tblPr>
        <w:tblW w:w="8970"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A3 lists item numbers and descriptors for General surgery items – therapeutic procedures considered by the Committee."/>
      </w:tblPr>
      <w:tblGrid>
        <w:gridCol w:w="993"/>
        <w:gridCol w:w="4917"/>
        <w:gridCol w:w="1530"/>
        <w:gridCol w:w="1530"/>
      </w:tblGrid>
      <w:tr w:rsidR="0078241B" w:rsidRPr="001461F2" w14:paraId="27010CF2" w14:textId="77777777" w:rsidTr="0078241B">
        <w:trPr>
          <w:cantSplit/>
          <w:tblHeader/>
        </w:trPr>
        <w:tc>
          <w:tcPr>
            <w:tcW w:w="993" w:type="dxa"/>
            <w:shd w:val="clear" w:color="auto" w:fill="auto"/>
          </w:tcPr>
          <w:p w14:paraId="46DA01F1" w14:textId="77777777" w:rsidR="0078241B" w:rsidRPr="0006241C" w:rsidRDefault="0078241B" w:rsidP="00142254">
            <w:pPr>
              <w:pStyle w:val="Tableheading"/>
            </w:pPr>
            <w:r>
              <w:t>Item</w:t>
            </w:r>
          </w:p>
        </w:tc>
        <w:tc>
          <w:tcPr>
            <w:tcW w:w="4917" w:type="dxa"/>
            <w:shd w:val="clear" w:color="auto" w:fill="auto"/>
          </w:tcPr>
          <w:p w14:paraId="3489646D" w14:textId="77777777" w:rsidR="0078241B" w:rsidRPr="0006241C" w:rsidRDefault="0078241B" w:rsidP="00142254">
            <w:pPr>
              <w:pStyle w:val="Tableheading"/>
            </w:pPr>
            <w:r>
              <w:t>General Surgery Items – Therapeutic Procedures</w:t>
            </w:r>
          </w:p>
        </w:tc>
        <w:tc>
          <w:tcPr>
            <w:tcW w:w="1530" w:type="dxa"/>
          </w:tcPr>
          <w:p w14:paraId="15DE7654" w14:textId="77777777" w:rsidR="0078241B" w:rsidRDefault="0078241B" w:rsidP="00142254">
            <w:pPr>
              <w:pStyle w:val="Tableheading"/>
            </w:pPr>
            <w:r>
              <w:t>Fee</w:t>
            </w:r>
          </w:p>
        </w:tc>
        <w:tc>
          <w:tcPr>
            <w:tcW w:w="1530" w:type="dxa"/>
          </w:tcPr>
          <w:p w14:paraId="126E27FF" w14:textId="77777777" w:rsidR="0078241B" w:rsidRDefault="0078241B" w:rsidP="00142254">
            <w:pPr>
              <w:pStyle w:val="Tableheading"/>
            </w:pPr>
            <w:r>
              <w:t>Benefit</w:t>
            </w:r>
          </w:p>
        </w:tc>
      </w:tr>
      <w:tr w:rsidR="0078241B" w:rsidRPr="001461F2" w14:paraId="2809500D" w14:textId="77777777" w:rsidTr="0078241B">
        <w:trPr>
          <w:cantSplit/>
        </w:trPr>
        <w:tc>
          <w:tcPr>
            <w:tcW w:w="993" w:type="dxa"/>
            <w:shd w:val="clear" w:color="auto" w:fill="auto"/>
          </w:tcPr>
          <w:p w14:paraId="6E5A794D" w14:textId="77777777" w:rsidR="0078241B" w:rsidRPr="00B639F7" w:rsidRDefault="0078241B" w:rsidP="00B639F7">
            <w:pPr>
              <w:pStyle w:val="Tabletext"/>
              <w:rPr>
                <w:b/>
              </w:rPr>
            </w:pPr>
            <w:r w:rsidRPr="00B639F7">
              <w:rPr>
                <w:b/>
              </w:rPr>
              <w:t>30244</w:t>
            </w:r>
          </w:p>
        </w:tc>
        <w:tc>
          <w:tcPr>
            <w:tcW w:w="4917" w:type="dxa"/>
            <w:shd w:val="clear" w:color="auto" w:fill="auto"/>
          </w:tcPr>
          <w:p w14:paraId="1FEC7390" w14:textId="77777777" w:rsidR="0078241B" w:rsidRPr="001461F2" w:rsidRDefault="0078241B" w:rsidP="006A406F">
            <w:pPr>
              <w:pStyle w:val="Tabletext"/>
            </w:pPr>
            <w:r w:rsidRPr="001461F2">
              <w:t>STYLOID PROCESS OF TEMPORAL BONE, removal of (</w:t>
            </w:r>
            <w:proofErr w:type="spellStart"/>
            <w:r w:rsidRPr="001461F2">
              <w:t>Anaes</w:t>
            </w:r>
            <w:proofErr w:type="spellEnd"/>
            <w:r w:rsidRPr="001461F2">
              <w:t xml:space="preserve">.) (Assist.) </w:t>
            </w:r>
          </w:p>
        </w:tc>
        <w:tc>
          <w:tcPr>
            <w:tcW w:w="1530" w:type="dxa"/>
          </w:tcPr>
          <w:p w14:paraId="4D1A2711" w14:textId="77777777" w:rsidR="0078241B" w:rsidRPr="001461F2" w:rsidRDefault="0078241B" w:rsidP="00B639F7">
            <w:pPr>
              <w:pStyle w:val="Tabletext"/>
              <w:rPr>
                <w:color w:val="000000"/>
              </w:rPr>
            </w:pPr>
            <w:r w:rsidRPr="001461F2">
              <w:t>$356.35</w:t>
            </w:r>
          </w:p>
        </w:tc>
        <w:tc>
          <w:tcPr>
            <w:tcW w:w="1530" w:type="dxa"/>
          </w:tcPr>
          <w:p w14:paraId="7F598326" w14:textId="77777777" w:rsidR="0078241B" w:rsidRPr="001461F2" w:rsidRDefault="0078241B" w:rsidP="00B639F7">
            <w:pPr>
              <w:pStyle w:val="Tabletext"/>
              <w:rPr>
                <w:color w:val="000000"/>
              </w:rPr>
            </w:pPr>
            <w:r w:rsidRPr="001461F2">
              <w:t>75% = $267.30</w:t>
            </w:r>
          </w:p>
        </w:tc>
      </w:tr>
      <w:tr w:rsidR="0078241B" w:rsidRPr="001461F2" w14:paraId="7D1B6C6D" w14:textId="77777777" w:rsidTr="0078241B">
        <w:trPr>
          <w:cantSplit/>
        </w:trPr>
        <w:tc>
          <w:tcPr>
            <w:tcW w:w="993" w:type="dxa"/>
            <w:shd w:val="clear" w:color="auto" w:fill="auto"/>
          </w:tcPr>
          <w:p w14:paraId="0850D752" w14:textId="77777777" w:rsidR="0078241B" w:rsidRPr="00B639F7" w:rsidRDefault="0078241B" w:rsidP="00B639F7">
            <w:pPr>
              <w:pStyle w:val="Tabletext"/>
              <w:rPr>
                <w:b/>
              </w:rPr>
            </w:pPr>
            <w:r w:rsidRPr="00B639F7">
              <w:rPr>
                <w:b/>
              </w:rPr>
              <w:t>30246</w:t>
            </w:r>
          </w:p>
        </w:tc>
        <w:tc>
          <w:tcPr>
            <w:tcW w:w="4917" w:type="dxa"/>
            <w:shd w:val="clear" w:color="auto" w:fill="auto"/>
          </w:tcPr>
          <w:p w14:paraId="20611B0A" w14:textId="77777777" w:rsidR="0078241B" w:rsidRPr="001461F2" w:rsidRDefault="0078241B" w:rsidP="006A406F">
            <w:pPr>
              <w:pStyle w:val="Tabletext"/>
            </w:pPr>
            <w:r w:rsidRPr="001461F2">
              <w:t>PAROTID DUCT, repair of, using micro-surgical techniques (</w:t>
            </w:r>
            <w:proofErr w:type="spellStart"/>
            <w:r w:rsidRPr="001461F2">
              <w:t>Anaes</w:t>
            </w:r>
            <w:proofErr w:type="spellEnd"/>
            <w:r w:rsidRPr="001461F2">
              <w:t xml:space="preserve">.) (Assist.) </w:t>
            </w:r>
          </w:p>
        </w:tc>
        <w:tc>
          <w:tcPr>
            <w:tcW w:w="1530" w:type="dxa"/>
          </w:tcPr>
          <w:p w14:paraId="48571597" w14:textId="77777777" w:rsidR="0078241B" w:rsidRPr="001461F2" w:rsidRDefault="0078241B" w:rsidP="00B639F7">
            <w:pPr>
              <w:pStyle w:val="Tabletext"/>
              <w:rPr>
                <w:color w:val="000000"/>
              </w:rPr>
            </w:pPr>
            <w:r w:rsidRPr="001461F2">
              <w:t>$689.80</w:t>
            </w:r>
          </w:p>
        </w:tc>
        <w:tc>
          <w:tcPr>
            <w:tcW w:w="1530" w:type="dxa"/>
          </w:tcPr>
          <w:p w14:paraId="4FE41C38" w14:textId="77777777" w:rsidR="0078241B" w:rsidRPr="001461F2" w:rsidRDefault="0078241B" w:rsidP="00B639F7">
            <w:pPr>
              <w:pStyle w:val="Tabletext"/>
              <w:rPr>
                <w:color w:val="000000"/>
              </w:rPr>
            </w:pPr>
            <w:r w:rsidRPr="001461F2">
              <w:t>75% = $517.35</w:t>
            </w:r>
          </w:p>
        </w:tc>
      </w:tr>
      <w:tr w:rsidR="0078241B" w:rsidRPr="001461F2" w14:paraId="68A59DB5" w14:textId="77777777" w:rsidTr="0078241B">
        <w:trPr>
          <w:cantSplit/>
        </w:trPr>
        <w:tc>
          <w:tcPr>
            <w:tcW w:w="993" w:type="dxa"/>
            <w:shd w:val="clear" w:color="auto" w:fill="auto"/>
          </w:tcPr>
          <w:p w14:paraId="201B9ADE" w14:textId="77777777" w:rsidR="0078241B" w:rsidRPr="00B639F7" w:rsidRDefault="0078241B" w:rsidP="00B639F7">
            <w:pPr>
              <w:pStyle w:val="Tabletext"/>
              <w:rPr>
                <w:b/>
              </w:rPr>
            </w:pPr>
            <w:r w:rsidRPr="00B639F7">
              <w:rPr>
                <w:b/>
              </w:rPr>
              <w:t>30247</w:t>
            </w:r>
          </w:p>
        </w:tc>
        <w:tc>
          <w:tcPr>
            <w:tcW w:w="4917" w:type="dxa"/>
            <w:shd w:val="clear" w:color="auto" w:fill="auto"/>
          </w:tcPr>
          <w:p w14:paraId="5E11077F" w14:textId="77777777" w:rsidR="0078241B" w:rsidRPr="001461F2" w:rsidRDefault="0078241B" w:rsidP="006A406F">
            <w:pPr>
              <w:pStyle w:val="Tabletext"/>
            </w:pPr>
            <w:r w:rsidRPr="001461F2">
              <w:t>PAROTID GLAND, total extirpation of (</w:t>
            </w:r>
            <w:proofErr w:type="spellStart"/>
            <w:r w:rsidRPr="001461F2">
              <w:t>Anaes</w:t>
            </w:r>
            <w:proofErr w:type="spellEnd"/>
            <w:r w:rsidRPr="001461F2">
              <w:t xml:space="preserve">.) (Assist.) </w:t>
            </w:r>
          </w:p>
        </w:tc>
        <w:tc>
          <w:tcPr>
            <w:tcW w:w="1530" w:type="dxa"/>
          </w:tcPr>
          <w:p w14:paraId="4E596C9A" w14:textId="77777777" w:rsidR="0078241B" w:rsidRPr="001461F2" w:rsidRDefault="0078241B" w:rsidP="00B639F7">
            <w:pPr>
              <w:pStyle w:val="Tabletext"/>
              <w:rPr>
                <w:color w:val="000000"/>
              </w:rPr>
            </w:pPr>
            <w:r w:rsidRPr="001461F2">
              <w:t>$739.35</w:t>
            </w:r>
          </w:p>
        </w:tc>
        <w:tc>
          <w:tcPr>
            <w:tcW w:w="1530" w:type="dxa"/>
          </w:tcPr>
          <w:p w14:paraId="57A82523" w14:textId="77777777" w:rsidR="0078241B" w:rsidRPr="001461F2" w:rsidRDefault="0078241B" w:rsidP="00B639F7">
            <w:pPr>
              <w:pStyle w:val="Tabletext"/>
              <w:rPr>
                <w:color w:val="000000"/>
              </w:rPr>
            </w:pPr>
            <w:r w:rsidRPr="001461F2">
              <w:t>75% = $554.55</w:t>
            </w:r>
          </w:p>
        </w:tc>
      </w:tr>
      <w:tr w:rsidR="0078241B" w:rsidRPr="001461F2" w14:paraId="6F9BC32B" w14:textId="77777777" w:rsidTr="0078241B">
        <w:trPr>
          <w:cantSplit/>
        </w:trPr>
        <w:tc>
          <w:tcPr>
            <w:tcW w:w="993" w:type="dxa"/>
            <w:shd w:val="clear" w:color="auto" w:fill="auto"/>
          </w:tcPr>
          <w:p w14:paraId="34A01B78" w14:textId="77777777" w:rsidR="0078241B" w:rsidRPr="00B639F7" w:rsidRDefault="0078241B" w:rsidP="00B639F7">
            <w:pPr>
              <w:pStyle w:val="Tabletext"/>
              <w:rPr>
                <w:b/>
              </w:rPr>
            </w:pPr>
            <w:r w:rsidRPr="00B639F7">
              <w:rPr>
                <w:b/>
              </w:rPr>
              <w:t>30250</w:t>
            </w:r>
          </w:p>
        </w:tc>
        <w:tc>
          <w:tcPr>
            <w:tcW w:w="4917" w:type="dxa"/>
            <w:shd w:val="clear" w:color="auto" w:fill="auto"/>
          </w:tcPr>
          <w:p w14:paraId="7D4AA7F3" w14:textId="77777777" w:rsidR="0078241B" w:rsidRPr="001461F2" w:rsidRDefault="0078241B" w:rsidP="006A406F">
            <w:pPr>
              <w:pStyle w:val="Tabletext"/>
            </w:pPr>
            <w:r w:rsidRPr="001461F2">
              <w:t>PAROTID GLAND, total extirpation of, with preservation of facial nerve (</w:t>
            </w:r>
            <w:proofErr w:type="spellStart"/>
            <w:r w:rsidRPr="001461F2">
              <w:t>Anaes</w:t>
            </w:r>
            <w:proofErr w:type="spellEnd"/>
            <w:r w:rsidRPr="001461F2">
              <w:t xml:space="preserve">.) (Assist.) </w:t>
            </w:r>
          </w:p>
        </w:tc>
        <w:tc>
          <w:tcPr>
            <w:tcW w:w="1530" w:type="dxa"/>
          </w:tcPr>
          <w:p w14:paraId="341A21EB" w14:textId="77777777" w:rsidR="0078241B" w:rsidRPr="001461F2" w:rsidRDefault="0078241B" w:rsidP="00B639F7">
            <w:pPr>
              <w:pStyle w:val="Tabletext"/>
              <w:rPr>
                <w:color w:val="000000"/>
              </w:rPr>
            </w:pPr>
            <w:r w:rsidRPr="001461F2">
              <w:t>$1,251.10</w:t>
            </w:r>
          </w:p>
        </w:tc>
        <w:tc>
          <w:tcPr>
            <w:tcW w:w="1530" w:type="dxa"/>
          </w:tcPr>
          <w:p w14:paraId="69940BF6" w14:textId="77777777" w:rsidR="0078241B" w:rsidRPr="001461F2" w:rsidRDefault="0078241B" w:rsidP="00B639F7">
            <w:pPr>
              <w:pStyle w:val="Tabletext"/>
              <w:rPr>
                <w:color w:val="000000"/>
              </w:rPr>
            </w:pPr>
            <w:r w:rsidRPr="001461F2">
              <w:t>75% = $938.35</w:t>
            </w:r>
          </w:p>
        </w:tc>
      </w:tr>
      <w:tr w:rsidR="0078241B" w:rsidRPr="001461F2" w14:paraId="47C5D6D4" w14:textId="77777777" w:rsidTr="0078241B">
        <w:trPr>
          <w:cantSplit/>
        </w:trPr>
        <w:tc>
          <w:tcPr>
            <w:tcW w:w="993" w:type="dxa"/>
            <w:shd w:val="clear" w:color="auto" w:fill="auto"/>
          </w:tcPr>
          <w:p w14:paraId="459B2A8D" w14:textId="77777777" w:rsidR="0078241B" w:rsidRPr="00B639F7" w:rsidRDefault="0078241B" w:rsidP="00B639F7">
            <w:pPr>
              <w:pStyle w:val="Tabletext"/>
              <w:rPr>
                <w:b/>
              </w:rPr>
            </w:pPr>
            <w:r w:rsidRPr="00B639F7">
              <w:rPr>
                <w:b/>
              </w:rPr>
              <w:t>30251</w:t>
            </w:r>
          </w:p>
        </w:tc>
        <w:tc>
          <w:tcPr>
            <w:tcW w:w="4917" w:type="dxa"/>
            <w:shd w:val="clear" w:color="auto" w:fill="auto"/>
          </w:tcPr>
          <w:p w14:paraId="6CBC4CA5" w14:textId="77777777" w:rsidR="0078241B" w:rsidRPr="001461F2" w:rsidRDefault="0078241B" w:rsidP="006A406F">
            <w:pPr>
              <w:pStyle w:val="Tabletext"/>
            </w:pPr>
            <w:r w:rsidRPr="001461F2">
              <w:t>RECURRENT PAROTID TUMOUR, excision of, with</w:t>
            </w:r>
            <w:r w:rsidR="007736E8">
              <w:t xml:space="preserve"> </w:t>
            </w:r>
            <w:r w:rsidRPr="001461F2">
              <w:t>preservation of facial nerve (</w:t>
            </w:r>
            <w:proofErr w:type="spellStart"/>
            <w:r w:rsidRPr="001461F2">
              <w:t>Anaes</w:t>
            </w:r>
            <w:proofErr w:type="spellEnd"/>
            <w:r w:rsidRPr="001461F2">
              <w:t>.) (Assist.)</w:t>
            </w:r>
          </w:p>
        </w:tc>
        <w:tc>
          <w:tcPr>
            <w:tcW w:w="1530" w:type="dxa"/>
          </w:tcPr>
          <w:p w14:paraId="0ED54597" w14:textId="77777777" w:rsidR="0078241B" w:rsidRPr="001461F2" w:rsidRDefault="0078241B" w:rsidP="00B639F7">
            <w:pPr>
              <w:pStyle w:val="Tabletext"/>
              <w:rPr>
                <w:color w:val="000000"/>
              </w:rPr>
            </w:pPr>
            <w:r w:rsidRPr="001461F2">
              <w:t>$1,921.75</w:t>
            </w:r>
          </w:p>
        </w:tc>
        <w:tc>
          <w:tcPr>
            <w:tcW w:w="1530" w:type="dxa"/>
          </w:tcPr>
          <w:p w14:paraId="26DB57D9" w14:textId="77777777" w:rsidR="0078241B" w:rsidRPr="001461F2" w:rsidRDefault="0078241B" w:rsidP="00B639F7">
            <w:pPr>
              <w:pStyle w:val="Tabletext"/>
              <w:rPr>
                <w:color w:val="000000"/>
              </w:rPr>
            </w:pPr>
            <w:r w:rsidRPr="001461F2">
              <w:t>75% = $1,441.35</w:t>
            </w:r>
            <w:r w:rsidR="00A24E18">
              <w:t xml:space="preserve">; </w:t>
            </w:r>
            <w:r w:rsidR="00A24E18" w:rsidRPr="001461F2">
              <w:t>85% = $1,843.35</w:t>
            </w:r>
          </w:p>
        </w:tc>
      </w:tr>
      <w:tr w:rsidR="0078241B" w:rsidRPr="001461F2" w14:paraId="1026E1BF" w14:textId="77777777" w:rsidTr="0078241B">
        <w:trPr>
          <w:cantSplit/>
        </w:trPr>
        <w:tc>
          <w:tcPr>
            <w:tcW w:w="993" w:type="dxa"/>
            <w:shd w:val="clear" w:color="auto" w:fill="auto"/>
          </w:tcPr>
          <w:p w14:paraId="0BCF694C" w14:textId="77777777" w:rsidR="0078241B" w:rsidRPr="00B639F7" w:rsidRDefault="0078241B" w:rsidP="00B639F7">
            <w:pPr>
              <w:pStyle w:val="Tabletext"/>
              <w:rPr>
                <w:b/>
              </w:rPr>
            </w:pPr>
            <w:r w:rsidRPr="00B639F7">
              <w:rPr>
                <w:b/>
              </w:rPr>
              <w:t>30253</w:t>
            </w:r>
          </w:p>
        </w:tc>
        <w:tc>
          <w:tcPr>
            <w:tcW w:w="4917" w:type="dxa"/>
            <w:shd w:val="clear" w:color="auto" w:fill="auto"/>
          </w:tcPr>
          <w:p w14:paraId="2F0739C4" w14:textId="77777777" w:rsidR="0078241B" w:rsidRPr="001461F2" w:rsidRDefault="0078241B" w:rsidP="006A406F">
            <w:pPr>
              <w:pStyle w:val="Tabletext"/>
            </w:pPr>
            <w:r w:rsidRPr="001461F2">
              <w:t>PAROTID GLAND, SUPERFICIAL LOBECTOMY OF, with exposure of facial nerve (</w:t>
            </w:r>
            <w:proofErr w:type="spellStart"/>
            <w:r w:rsidRPr="001461F2">
              <w:t>Anaes</w:t>
            </w:r>
            <w:proofErr w:type="spellEnd"/>
            <w:r w:rsidRPr="001461F2">
              <w:t xml:space="preserve">.) (Assist.) </w:t>
            </w:r>
          </w:p>
        </w:tc>
        <w:tc>
          <w:tcPr>
            <w:tcW w:w="1530" w:type="dxa"/>
          </w:tcPr>
          <w:p w14:paraId="433FCDAC" w14:textId="77777777" w:rsidR="0078241B" w:rsidRPr="001461F2" w:rsidRDefault="00A24E18" w:rsidP="00B639F7">
            <w:pPr>
              <w:pStyle w:val="Tabletext"/>
              <w:rPr>
                <w:color w:val="000000"/>
              </w:rPr>
            </w:pPr>
            <w:r w:rsidRPr="001461F2">
              <w:t>$834.05</w:t>
            </w:r>
          </w:p>
        </w:tc>
        <w:tc>
          <w:tcPr>
            <w:tcW w:w="1530" w:type="dxa"/>
          </w:tcPr>
          <w:p w14:paraId="01C2258A" w14:textId="77777777" w:rsidR="0078241B" w:rsidRPr="001461F2" w:rsidRDefault="00A24E18" w:rsidP="00B639F7">
            <w:pPr>
              <w:pStyle w:val="Tabletext"/>
              <w:rPr>
                <w:color w:val="000000"/>
              </w:rPr>
            </w:pPr>
            <w:r w:rsidRPr="001461F2">
              <w:t>75% = $625.55</w:t>
            </w:r>
          </w:p>
        </w:tc>
      </w:tr>
      <w:tr w:rsidR="0078241B" w:rsidRPr="001461F2" w14:paraId="2B3478C7" w14:textId="77777777" w:rsidTr="0078241B">
        <w:trPr>
          <w:cantSplit/>
        </w:trPr>
        <w:tc>
          <w:tcPr>
            <w:tcW w:w="993" w:type="dxa"/>
            <w:shd w:val="clear" w:color="auto" w:fill="auto"/>
          </w:tcPr>
          <w:p w14:paraId="3EAF2239" w14:textId="77777777" w:rsidR="0078241B" w:rsidRPr="00B639F7" w:rsidRDefault="0078241B" w:rsidP="00B639F7">
            <w:pPr>
              <w:pStyle w:val="Tabletext"/>
              <w:rPr>
                <w:b/>
              </w:rPr>
            </w:pPr>
            <w:r w:rsidRPr="00B639F7">
              <w:rPr>
                <w:b/>
              </w:rPr>
              <w:t>30255</w:t>
            </w:r>
          </w:p>
        </w:tc>
        <w:tc>
          <w:tcPr>
            <w:tcW w:w="4917" w:type="dxa"/>
            <w:shd w:val="clear" w:color="auto" w:fill="auto"/>
          </w:tcPr>
          <w:p w14:paraId="5FC0BA46" w14:textId="77777777" w:rsidR="0078241B" w:rsidRPr="001461F2" w:rsidRDefault="0078241B" w:rsidP="006A406F">
            <w:pPr>
              <w:pStyle w:val="Tabletext"/>
            </w:pPr>
            <w:r w:rsidRPr="001461F2">
              <w:t>SUBMANDIBULAR DUCTS, relocation of, for surgical control of drooling (</w:t>
            </w:r>
            <w:proofErr w:type="spellStart"/>
            <w:r w:rsidRPr="001461F2">
              <w:t>Anaes</w:t>
            </w:r>
            <w:proofErr w:type="spellEnd"/>
            <w:r w:rsidRPr="001461F2">
              <w:t xml:space="preserve">.) (Assist.) </w:t>
            </w:r>
          </w:p>
        </w:tc>
        <w:tc>
          <w:tcPr>
            <w:tcW w:w="1530" w:type="dxa"/>
          </w:tcPr>
          <w:p w14:paraId="7FB6F9E6" w14:textId="77777777" w:rsidR="0078241B" w:rsidRPr="001461F2" w:rsidRDefault="00A24E18" w:rsidP="00B639F7">
            <w:pPr>
              <w:pStyle w:val="Tabletext"/>
              <w:rPr>
                <w:color w:val="000000"/>
              </w:rPr>
            </w:pPr>
            <w:r w:rsidRPr="001461F2">
              <w:t>$1,110.65</w:t>
            </w:r>
          </w:p>
        </w:tc>
        <w:tc>
          <w:tcPr>
            <w:tcW w:w="1530" w:type="dxa"/>
          </w:tcPr>
          <w:p w14:paraId="299DF108" w14:textId="77777777" w:rsidR="0078241B" w:rsidRPr="001461F2" w:rsidRDefault="00A24E18" w:rsidP="00B639F7">
            <w:pPr>
              <w:pStyle w:val="Tabletext"/>
              <w:rPr>
                <w:color w:val="000000"/>
              </w:rPr>
            </w:pPr>
            <w:r w:rsidRPr="001461F2">
              <w:t>75% = $833.00</w:t>
            </w:r>
          </w:p>
        </w:tc>
      </w:tr>
      <w:tr w:rsidR="0078241B" w:rsidRPr="001461F2" w14:paraId="0D059000" w14:textId="77777777" w:rsidTr="0078241B">
        <w:trPr>
          <w:cantSplit/>
        </w:trPr>
        <w:tc>
          <w:tcPr>
            <w:tcW w:w="993" w:type="dxa"/>
            <w:shd w:val="clear" w:color="auto" w:fill="auto"/>
          </w:tcPr>
          <w:p w14:paraId="170A3EF7" w14:textId="77777777" w:rsidR="0078241B" w:rsidRPr="00B639F7" w:rsidRDefault="0078241B" w:rsidP="00B639F7">
            <w:pPr>
              <w:pStyle w:val="Tabletext"/>
              <w:rPr>
                <w:b/>
              </w:rPr>
            </w:pPr>
            <w:r w:rsidRPr="00B639F7">
              <w:rPr>
                <w:b/>
              </w:rPr>
              <w:t>30256</w:t>
            </w:r>
          </w:p>
        </w:tc>
        <w:tc>
          <w:tcPr>
            <w:tcW w:w="4917" w:type="dxa"/>
            <w:shd w:val="clear" w:color="auto" w:fill="auto"/>
          </w:tcPr>
          <w:p w14:paraId="7F1E46F2" w14:textId="77777777" w:rsidR="0078241B" w:rsidRPr="001461F2" w:rsidRDefault="0078241B" w:rsidP="006A406F">
            <w:pPr>
              <w:pStyle w:val="Tabletext"/>
            </w:pPr>
            <w:r w:rsidRPr="001461F2">
              <w:t>SUBMANDIBULAR GLAND, extirpation of (</w:t>
            </w:r>
            <w:proofErr w:type="spellStart"/>
            <w:r w:rsidRPr="001461F2">
              <w:t>Anaes</w:t>
            </w:r>
            <w:proofErr w:type="spellEnd"/>
            <w:r w:rsidRPr="001461F2">
              <w:t xml:space="preserve">.) (Assist.) </w:t>
            </w:r>
          </w:p>
        </w:tc>
        <w:tc>
          <w:tcPr>
            <w:tcW w:w="1530" w:type="dxa"/>
          </w:tcPr>
          <w:p w14:paraId="47949B1D" w14:textId="77777777" w:rsidR="0078241B" w:rsidRPr="001461F2" w:rsidRDefault="00A24E18" w:rsidP="00B639F7">
            <w:pPr>
              <w:pStyle w:val="Tabletext"/>
              <w:rPr>
                <w:color w:val="000000"/>
              </w:rPr>
            </w:pPr>
            <w:r w:rsidRPr="001461F2">
              <w:t>$445.40</w:t>
            </w:r>
          </w:p>
        </w:tc>
        <w:tc>
          <w:tcPr>
            <w:tcW w:w="1530" w:type="dxa"/>
          </w:tcPr>
          <w:p w14:paraId="2B0F8246" w14:textId="77777777" w:rsidR="0078241B" w:rsidRPr="001461F2" w:rsidRDefault="00A24E18" w:rsidP="00B639F7">
            <w:pPr>
              <w:pStyle w:val="Tabletext"/>
              <w:rPr>
                <w:color w:val="000000"/>
              </w:rPr>
            </w:pPr>
            <w:r w:rsidRPr="001461F2">
              <w:t>75% = $334.05</w:t>
            </w:r>
          </w:p>
        </w:tc>
      </w:tr>
      <w:tr w:rsidR="0078241B" w:rsidRPr="001461F2" w14:paraId="754DAC79" w14:textId="77777777" w:rsidTr="0078241B">
        <w:trPr>
          <w:cantSplit/>
        </w:trPr>
        <w:tc>
          <w:tcPr>
            <w:tcW w:w="993" w:type="dxa"/>
            <w:shd w:val="clear" w:color="auto" w:fill="auto"/>
          </w:tcPr>
          <w:p w14:paraId="2971F7F0" w14:textId="77777777" w:rsidR="0078241B" w:rsidRPr="00B639F7" w:rsidRDefault="0078241B" w:rsidP="00B639F7">
            <w:pPr>
              <w:pStyle w:val="Tabletext"/>
              <w:rPr>
                <w:b/>
              </w:rPr>
            </w:pPr>
            <w:r w:rsidRPr="00B639F7">
              <w:rPr>
                <w:b/>
              </w:rPr>
              <w:t>30259</w:t>
            </w:r>
          </w:p>
        </w:tc>
        <w:tc>
          <w:tcPr>
            <w:tcW w:w="4917" w:type="dxa"/>
            <w:shd w:val="clear" w:color="auto" w:fill="auto"/>
          </w:tcPr>
          <w:p w14:paraId="144184E9" w14:textId="77777777" w:rsidR="0078241B" w:rsidRPr="001461F2" w:rsidRDefault="0078241B" w:rsidP="006A406F">
            <w:pPr>
              <w:pStyle w:val="Tabletext"/>
            </w:pPr>
            <w:r w:rsidRPr="001461F2">
              <w:t>SUBLINGUAL GLAND, extirpation of (</w:t>
            </w:r>
            <w:proofErr w:type="spellStart"/>
            <w:r w:rsidRPr="001461F2">
              <w:t>Anaes</w:t>
            </w:r>
            <w:proofErr w:type="spellEnd"/>
            <w:r w:rsidRPr="001461F2">
              <w:t>.)</w:t>
            </w:r>
          </w:p>
        </w:tc>
        <w:tc>
          <w:tcPr>
            <w:tcW w:w="1530" w:type="dxa"/>
          </w:tcPr>
          <w:p w14:paraId="3094A681" w14:textId="77777777" w:rsidR="0078241B" w:rsidRPr="001461F2" w:rsidRDefault="00A24E18" w:rsidP="00B639F7">
            <w:pPr>
              <w:pStyle w:val="Tabletext"/>
              <w:rPr>
                <w:color w:val="000000"/>
              </w:rPr>
            </w:pPr>
            <w:r w:rsidRPr="001461F2">
              <w:t>$198.50</w:t>
            </w:r>
          </w:p>
        </w:tc>
        <w:tc>
          <w:tcPr>
            <w:tcW w:w="1530" w:type="dxa"/>
          </w:tcPr>
          <w:p w14:paraId="51C45DC2" w14:textId="77777777" w:rsidR="0078241B" w:rsidRPr="001461F2" w:rsidRDefault="00A24E18" w:rsidP="00B639F7">
            <w:pPr>
              <w:pStyle w:val="Tabletext"/>
              <w:rPr>
                <w:color w:val="000000"/>
              </w:rPr>
            </w:pPr>
            <w:r w:rsidRPr="001461F2">
              <w:t>75% = $148.90</w:t>
            </w:r>
            <w:r>
              <w:t xml:space="preserve">; </w:t>
            </w:r>
            <w:r w:rsidRPr="001461F2">
              <w:t>85% = $168.75</w:t>
            </w:r>
          </w:p>
        </w:tc>
      </w:tr>
      <w:tr w:rsidR="0078241B" w:rsidRPr="001461F2" w14:paraId="765F7608" w14:textId="77777777" w:rsidTr="0078241B">
        <w:trPr>
          <w:cantSplit/>
        </w:trPr>
        <w:tc>
          <w:tcPr>
            <w:tcW w:w="993" w:type="dxa"/>
            <w:shd w:val="clear" w:color="auto" w:fill="auto"/>
          </w:tcPr>
          <w:p w14:paraId="3FDE855C" w14:textId="77777777" w:rsidR="0078241B" w:rsidRPr="00B639F7" w:rsidRDefault="0078241B" w:rsidP="00B639F7">
            <w:pPr>
              <w:pStyle w:val="Tabletext"/>
              <w:rPr>
                <w:b/>
              </w:rPr>
            </w:pPr>
            <w:r w:rsidRPr="00B639F7">
              <w:rPr>
                <w:b/>
              </w:rPr>
              <w:t>30265</w:t>
            </w:r>
            <w:r w:rsidR="0020090E">
              <w:rPr>
                <w:b/>
              </w:rPr>
              <w:t xml:space="preserve"> </w:t>
            </w:r>
            <w:r w:rsidR="00C80D9C">
              <w:rPr>
                <w:b/>
              </w:rPr>
              <w:t>G</w:t>
            </w:r>
            <w:r w:rsidRPr="00B639F7">
              <w:rPr>
                <w:b/>
              </w:rPr>
              <w:t xml:space="preserve"> </w:t>
            </w:r>
          </w:p>
        </w:tc>
        <w:tc>
          <w:tcPr>
            <w:tcW w:w="4917" w:type="dxa"/>
            <w:shd w:val="clear" w:color="auto" w:fill="auto"/>
          </w:tcPr>
          <w:p w14:paraId="56AEE75F" w14:textId="77777777" w:rsidR="0078241B" w:rsidRPr="006A406F" w:rsidRDefault="0078241B" w:rsidP="006A406F">
            <w:pPr>
              <w:pStyle w:val="Tabletext"/>
            </w:pPr>
            <w:r w:rsidRPr="006A406F">
              <w:t>SALIVARY GLAND, removal of CALCULUS from duct or meatotomy or marsupialisation, 1 or more such procedures. (</w:t>
            </w:r>
            <w:proofErr w:type="spellStart"/>
            <w:r w:rsidRPr="006A406F">
              <w:t>Anaes</w:t>
            </w:r>
            <w:proofErr w:type="spellEnd"/>
            <w:r w:rsidRPr="006A406F">
              <w:t>.)</w:t>
            </w:r>
            <w:r w:rsidR="00A24E18" w:rsidRPr="006A406F">
              <w:t xml:space="preserve"> </w:t>
            </w:r>
          </w:p>
        </w:tc>
        <w:tc>
          <w:tcPr>
            <w:tcW w:w="1530" w:type="dxa"/>
          </w:tcPr>
          <w:p w14:paraId="0EEF1642" w14:textId="77777777" w:rsidR="0078241B" w:rsidRPr="001461F2" w:rsidRDefault="00A24E18" w:rsidP="00B639F7">
            <w:pPr>
              <w:pStyle w:val="Tabletext"/>
              <w:rPr>
                <w:color w:val="000000"/>
              </w:rPr>
            </w:pPr>
            <w:r w:rsidRPr="001461F2">
              <w:t>$117.55</w:t>
            </w:r>
          </w:p>
        </w:tc>
        <w:tc>
          <w:tcPr>
            <w:tcW w:w="1530" w:type="dxa"/>
          </w:tcPr>
          <w:p w14:paraId="0535A74A" w14:textId="77777777" w:rsidR="0078241B" w:rsidRPr="001461F2" w:rsidRDefault="00A24E18" w:rsidP="00B639F7">
            <w:pPr>
              <w:pStyle w:val="Tabletext"/>
              <w:rPr>
                <w:color w:val="000000"/>
              </w:rPr>
            </w:pPr>
            <w:r w:rsidRPr="001461F2">
              <w:t>75% = $88.20</w:t>
            </w:r>
            <w:r>
              <w:t xml:space="preserve">; </w:t>
            </w:r>
            <w:r w:rsidRPr="001461F2">
              <w:t>85% = $99.95</w:t>
            </w:r>
          </w:p>
        </w:tc>
      </w:tr>
      <w:tr w:rsidR="00A24E18" w:rsidRPr="001461F2" w14:paraId="3D5D9547" w14:textId="77777777" w:rsidTr="0078241B">
        <w:trPr>
          <w:cantSplit/>
        </w:trPr>
        <w:tc>
          <w:tcPr>
            <w:tcW w:w="993" w:type="dxa"/>
            <w:shd w:val="clear" w:color="auto" w:fill="auto"/>
          </w:tcPr>
          <w:p w14:paraId="473FFAEE" w14:textId="77777777" w:rsidR="00A24E18" w:rsidRPr="00B639F7" w:rsidRDefault="00A24E18" w:rsidP="00B639F7">
            <w:pPr>
              <w:pStyle w:val="Tabletext"/>
              <w:rPr>
                <w:b/>
              </w:rPr>
            </w:pPr>
            <w:r w:rsidRPr="00B639F7">
              <w:rPr>
                <w:b/>
              </w:rPr>
              <w:t>30266 S</w:t>
            </w:r>
          </w:p>
        </w:tc>
        <w:tc>
          <w:tcPr>
            <w:tcW w:w="4917" w:type="dxa"/>
            <w:shd w:val="clear" w:color="auto" w:fill="auto"/>
          </w:tcPr>
          <w:p w14:paraId="7C8A5732" w14:textId="77777777" w:rsidR="00A24E18" w:rsidRPr="001461F2" w:rsidRDefault="00A24E18" w:rsidP="006A406F">
            <w:pPr>
              <w:pStyle w:val="Tabletext"/>
            </w:pPr>
            <w:r w:rsidRPr="001461F2">
              <w:t>SALIVARY GLAND, removal of CALCULUS from duct or meatotomy or marsupialisation, 1 or more such procedures. (</w:t>
            </w:r>
            <w:proofErr w:type="spellStart"/>
            <w:r w:rsidRPr="001461F2">
              <w:t>Anaes</w:t>
            </w:r>
            <w:proofErr w:type="spellEnd"/>
            <w:r w:rsidRPr="001461F2">
              <w:t>.)</w:t>
            </w:r>
          </w:p>
        </w:tc>
        <w:tc>
          <w:tcPr>
            <w:tcW w:w="1530" w:type="dxa"/>
          </w:tcPr>
          <w:p w14:paraId="62401817" w14:textId="77777777" w:rsidR="00A24E18" w:rsidRPr="001461F2" w:rsidRDefault="00A24E18" w:rsidP="00B639F7">
            <w:pPr>
              <w:pStyle w:val="Tabletext"/>
              <w:rPr>
                <w:color w:val="000000"/>
              </w:rPr>
            </w:pPr>
            <w:r w:rsidRPr="001461F2">
              <w:t>$149.75</w:t>
            </w:r>
          </w:p>
        </w:tc>
        <w:tc>
          <w:tcPr>
            <w:tcW w:w="1530" w:type="dxa"/>
          </w:tcPr>
          <w:p w14:paraId="4FE91F2B" w14:textId="77777777" w:rsidR="00A24E18" w:rsidRPr="001461F2" w:rsidRDefault="00A24E18" w:rsidP="00B639F7">
            <w:pPr>
              <w:pStyle w:val="Tabletext"/>
              <w:rPr>
                <w:color w:val="000000"/>
              </w:rPr>
            </w:pPr>
            <w:r w:rsidRPr="001461F2">
              <w:t>75% = $112.35</w:t>
            </w:r>
            <w:r>
              <w:t xml:space="preserve">; </w:t>
            </w:r>
            <w:r w:rsidRPr="001461F2">
              <w:t>85% = $127.30</w:t>
            </w:r>
          </w:p>
        </w:tc>
      </w:tr>
      <w:tr w:rsidR="0078241B" w:rsidRPr="001461F2" w14:paraId="682548BB" w14:textId="77777777" w:rsidTr="0078241B">
        <w:trPr>
          <w:cantSplit/>
        </w:trPr>
        <w:tc>
          <w:tcPr>
            <w:tcW w:w="993" w:type="dxa"/>
            <w:shd w:val="clear" w:color="auto" w:fill="auto"/>
          </w:tcPr>
          <w:p w14:paraId="4A34AAC5" w14:textId="77777777" w:rsidR="0078241B" w:rsidRPr="00B639F7" w:rsidRDefault="0078241B" w:rsidP="00B639F7">
            <w:pPr>
              <w:pStyle w:val="Tabletext"/>
              <w:rPr>
                <w:b/>
              </w:rPr>
            </w:pPr>
            <w:r w:rsidRPr="00B639F7">
              <w:rPr>
                <w:b/>
              </w:rPr>
              <w:t>30269</w:t>
            </w:r>
          </w:p>
        </w:tc>
        <w:tc>
          <w:tcPr>
            <w:tcW w:w="4917" w:type="dxa"/>
            <w:shd w:val="clear" w:color="auto" w:fill="auto"/>
          </w:tcPr>
          <w:p w14:paraId="61882992" w14:textId="77777777" w:rsidR="0078241B" w:rsidRPr="001461F2" w:rsidRDefault="0078241B" w:rsidP="006A406F">
            <w:pPr>
              <w:pStyle w:val="Tabletext"/>
            </w:pPr>
            <w:r w:rsidRPr="001461F2">
              <w:t>SALIVARY GLAND, repair of CUTANEOUS FISTULA OF (</w:t>
            </w:r>
            <w:proofErr w:type="spellStart"/>
            <w:r w:rsidRPr="001461F2">
              <w:t>Anaes</w:t>
            </w:r>
            <w:proofErr w:type="spellEnd"/>
            <w:r w:rsidRPr="001461F2">
              <w:t>.)</w:t>
            </w:r>
          </w:p>
        </w:tc>
        <w:tc>
          <w:tcPr>
            <w:tcW w:w="1530" w:type="dxa"/>
          </w:tcPr>
          <w:p w14:paraId="3FAFB65B" w14:textId="77777777" w:rsidR="0078241B" w:rsidRPr="001461F2" w:rsidRDefault="00A24E18" w:rsidP="00B639F7">
            <w:pPr>
              <w:pStyle w:val="Tabletext"/>
              <w:rPr>
                <w:color w:val="000000"/>
              </w:rPr>
            </w:pPr>
            <w:r w:rsidRPr="001461F2">
              <w:t>$149.75</w:t>
            </w:r>
          </w:p>
        </w:tc>
        <w:tc>
          <w:tcPr>
            <w:tcW w:w="1530" w:type="dxa"/>
          </w:tcPr>
          <w:p w14:paraId="52F3A59D" w14:textId="77777777" w:rsidR="0078241B" w:rsidRPr="001461F2" w:rsidRDefault="00A24E18" w:rsidP="00B639F7">
            <w:pPr>
              <w:pStyle w:val="Tabletext"/>
              <w:rPr>
                <w:color w:val="000000"/>
              </w:rPr>
            </w:pPr>
            <w:r w:rsidRPr="001461F2">
              <w:t>75% = $112.35</w:t>
            </w:r>
            <w:r>
              <w:t xml:space="preserve">; </w:t>
            </w:r>
            <w:r w:rsidRPr="001461F2">
              <w:t>85% = $127.30</w:t>
            </w:r>
          </w:p>
        </w:tc>
      </w:tr>
      <w:tr w:rsidR="0078241B" w:rsidRPr="001461F2" w14:paraId="23D3C8D6" w14:textId="77777777" w:rsidTr="0078241B">
        <w:trPr>
          <w:cantSplit/>
        </w:trPr>
        <w:tc>
          <w:tcPr>
            <w:tcW w:w="993" w:type="dxa"/>
            <w:shd w:val="clear" w:color="auto" w:fill="auto"/>
          </w:tcPr>
          <w:p w14:paraId="79641FD2" w14:textId="77777777" w:rsidR="0078241B" w:rsidRPr="00B639F7" w:rsidRDefault="0078241B" w:rsidP="00B639F7">
            <w:pPr>
              <w:pStyle w:val="Tabletext"/>
              <w:rPr>
                <w:b/>
              </w:rPr>
            </w:pPr>
            <w:r w:rsidRPr="00B639F7">
              <w:rPr>
                <w:b/>
              </w:rPr>
              <w:t>30272</w:t>
            </w:r>
          </w:p>
        </w:tc>
        <w:tc>
          <w:tcPr>
            <w:tcW w:w="4917" w:type="dxa"/>
            <w:shd w:val="clear" w:color="auto" w:fill="auto"/>
          </w:tcPr>
          <w:p w14:paraId="1125BF17" w14:textId="77777777" w:rsidR="0078241B" w:rsidRPr="001461F2" w:rsidRDefault="0078241B" w:rsidP="006A406F">
            <w:pPr>
              <w:pStyle w:val="Tabletext"/>
            </w:pPr>
            <w:r w:rsidRPr="001461F2">
              <w:t>TONGUE, partial excision of (</w:t>
            </w:r>
            <w:proofErr w:type="spellStart"/>
            <w:r w:rsidRPr="001461F2">
              <w:t>Anaes</w:t>
            </w:r>
            <w:proofErr w:type="spellEnd"/>
            <w:r w:rsidRPr="001461F2">
              <w:t>.) (Assist.)</w:t>
            </w:r>
          </w:p>
        </w:tc>
        <w:tc>
          <w:tcPr>
            <w:tcW w:w="1530" w:type="dxa"/>
          </w:tcPr>
          <w:p w14:paraId="70209C4F" w14:textId="77777777" w:rsidR="0078241B" w:rsidRPr="001461F2" w:rsidRDefault="00A24E18" w:rsidP="00B639F7">
            <w:pPr>
              <w:pStyle w:val="Tabletext"/>
              <w:rPr>
                <w:color w:val="000000"/>
              </w:rPr>
            </w:pPr>
            <w:r w:rsidRPr="001461F2">
              <w:t>$295.70</w:t>
            </w:r>
          </w:p>
        </w:tc>
        <w:tc>
          <w:tcPr>
            <w:tcW w:w="1530" w:type="dxa"/>
          </w:tcPr>
          <w:p w14:paraId="2E19836D" w14:textId="77777777" w:rsidR="0078241B" w:rsidRPr="001461F2" w:rsidRDefault="00A24E18" w:rsidP="00B639F7">
            <w:pPr>
              <w:pStyle w:val="Tabletext"/>
              <w:rPr>
                <w:color w:val="000000"/>
              </w:rPr>
            </w:pPr>
            <w:r w:rsidRPr="001461F2">
              <w:t>75% = $221.80</w:t>
            </w:r>
            <w:r>
              <w:t xml:space="preserve">; </w:t>
            </w:r>
            <w:r w:rsidRPr="001461F2">
              <w:t>85% = $251.35</w:t>
            </w:r>
          </w:p>
        </w:tc>
      </w:tr>
      <w:tr w:rsidR="0078241B" w:rsidRPr="001461F2" w14:paraId="6B0D47B2" w14:textId="77777777" w:rsidTr="0078241B">
        <w:trPr>
          <w:cantSplit/>
        </w:trPr>
        <w:tc>
          <w:tcPr>
            <w:tcW w:w="993" w:type="dxa"/>
            <w:shd w:val="clear" w:color="auto" w:fill="auto"/>
          </w:tcPr>
          <w:p w14:paraId="0ECC8439" w14:textId="77777777" w:rsidR="0078241B" w:rsidRPr="00B639F7" w:rsidRDefault="0078241B" w:rsidP="00B639F7">
            <w:pPr>
              <w:pStyle w:val="Tabletext"/>
              <w:rPr>
                <w:b/>
              </w:rPr>
            </w:pPr>
            <w:r w:rsidRPr="00B639F7">
              <w:rPr>
                <w:b/>
              </w:rPr>
              <w:t>30275</w:t>
            </w:r>
          </w:p>
        </w:tc>
        <w:tc>
          <w:tcPr>
            <w:tcW w:w="4917" w:type="dxa"/>
            <w:shd w:val="clear" w:color="auto" w:fill="auto"/>
          </w:tcPr>
          <w:p w14:paraId="56F94750" w14:textId="77777777" w:rsidR="0078241B" w:rsidRPr="001461F2" w:rsidRDefault="0078241B" w:rsidP="006A406F">
            <w:pPr>
              <w:pStyle w:val="Tabletext"/>
            </w:pPr>
            <w:r w:rsidRPr="001461F2">
              <w:t>RADICAL EXCISION OF INTRAORAL TUMOUR INVOLVING RESECTION OF MANDIBLE AND LYMPH GLANDS OF NECK (</w:t>
            </w:r>
            <w:proofErr w:type="spellStart"/>
            <w:r w:rsidRPr="001461F2">
              <w:t>commandotype</w:t>
            </w:r>
            <w:proofErr w:type="spellEnd"/>
            <w:r w:rsidRPr="001461F2">
              <w:t xml:space="preserve"> operation) (</w:t>
            </w:r>
            <w:proofErr w:type="spellStart"/>
            <w:r w:rsidRPr="001461F2">
              <w:t>Anaes</w:t>
            </w:r>
            <w:proofErr w:type="spellEnd"/>
            <w:r w:rsidRPr="001461F2">
              <w:t xml:space="preserve">.) (Assist.) </w:t>
            </w:r>
          </w:p>
        </w:tc>
        <w:tc>
          <w:tcPr>
            <w:tcW w:w="1530" w:type="dxa"/>
          </w:tcPr>
          <w:p w14:paraId="3431A247" w14:textId="77777777" w:rsidR="0078241B" w:rsidRPr="001461F2" w:rsidRDefault="00A24E18" w:rsidP="00B639F7">
            <w:pPr>
              <w:pStyle w:val="Tabletext"/>
              <w:rPr>
                <w:color w:val="000000"/>
              </w:rPr>
            </w:pPr>
            <w:r w:rsidRPr="001461F2">
              <w:t>$1,762.75</w:t>
            </w:r>
          </w:p>
        </w:tc>
        <w:tc>
          <w:tcPr>
            <w:tcW w:w="1530" w:type="dxa"/>
          </w:tcPr>
          <w:p w14:paraId="6F2B4BF1" w14:textId="77777777" w:rsidR="0078241B" w:rsidRPr="001461F2" w:rsidRDefault="00A24E18" w:rsidP="00B639F7">
            <w:pPr>
              <w:pStyle w:val="Tabletext"/>
              <w:rPr>
                <w:color w:val="000000"/>
              </w:rPr>
            </w:pPr>
            <w:r w:rsidRPr="001461F2">
              <w:t>75% = $1,322.10</w:t>
            </w:r>
          </w:p>
        </w:tc>
      </w:tr>
      <w:tr w:rsidR="0078241B" w:rsidRPr="001461F2" w14:paraId="5B9B87CD" w14:textId="77777777" w:rsidTr="0078241B">
        <w:trPr>
          <w:cantSplit/>
        </w:trPr>
        <w:tc>
          <w:tcPr>
            <w:tcW w:w="993" w:type="dxa"/>
            <w:shd w:val="clear" w:color="auto" w:fill="auto"/>
          </w:tcPr>
          <w:p w14:paraId="77846E46" w14:textId="77777777" w:rsidR="0078241B" w:rsidRPr="00B639F7" w:rsidRDefault="0078241B" w:rsidP="00B639F7">
            <w:pPr>
              <w:pStyle w:val="Tabletext"/>
              <w:rPr>
                <w:b/>
              </w:rPr>
            </w:pPr>
            <w:r w:rsidRPr="00B639F7">
              <w:rPr>
                <w:b/>
              </w:rPr>
              <w:t>30282 G</w:t>
            </w:r>
          </w:p>
        </w:tc>
        <w:tc>
          <w:tcPr>
            <w:tcW w:w="4917" w:type="dxa"/>
            <w:shd w:val="clear" w:color="auto" w:fill="auto"/>
          </w:tcPr>
          <w:p w14:paraId="2E8761F3" w14:textId="77777777" w:rsidR="0078241B" w:rsidRPr="001461F2" w:rsidRDefault="0078241B" w:rsidP="00B639F7">
            <w:pPr>
              <w:pStyle w:val="Tabletext"/>
            </w:pPr>
            <w:r w:rsidRPr="001461F2">
              <w:t>RANULA OR MUCOUS CYST OF MOUTH, removal of (</w:t>
            </w:r>
            <w:proofErr w:type="spellStart"/>
            <w:r w:rsidRPr="001461F2">
              <w:t>Anaes</w:t>
            </w:r>
            <w:proofErr w:type="spellEnd"/>
            <w:r w:rsidRPr="001461F2">
              <w:t>.)</w:t>
            </w:r>
          </w:p>
        </w:tc>
        <w:tc>
          <w:tcPr>
            <w:tcW w:w="1530" w:type="dxa"/>
          </w:tcPr>
          <w:p w14:paraId="1AC57E1F" w14:textId="77777777" w:rsidR="0078241B" w:rsidRPr="001461F2" w:rsidRDefault="00A24E18" w:rsidP="00B639F7">
            <w:pPr>
              <w:pStyle w:val="Tabletext"/>
            </w:pPr>
            <w:r w:rsidRPr="001461F2">
              <w:t>$155.40</w:t>
            </w:r>
          </w:p>
        </w:tc>
        <w:tc>
          <w:tcPr>
            <w:tcW w:w="1530" w:type="dxa"/>
          </w:tcPr>
          <w:p w14:paraId="258432BF" w14:textId="77777777" w:rsidR="00A24E18" w:rsidRPr="001461F2" w:rsidRDefault="00A24E18" w:rsidP="00B639F7">
            <w:pPr>
              <w:pStyle w:val="Tabletext"/>
            </w:pPr>
            <w:r w:rsidRPr="001461F2">
              <w:t>75% = $116.55</w:t>
            </w:r>
            <w:r>
              <w:t xml:space="preserve">; </w:t>
            </w:r>
            <w:r w:rsidRPr="001461F2">
              <w:t>85% = $132.10</w:t>
            </w:r>
          </w:p>
        </w:tc>
      </w:tr>
      <w:tr w:rsidR="00A24E18" w:rsidRPr="001461F2" w14:paraId="0FD24BB5" w14:textId="77777777" w:rsidTr="0078241B">
        <w:trPr>
          <w:cantSplit/>
        </w:trPr>
        <w:tc>
          <w:tcPr>
            <w:tcW w:w="993" w:type="dxa"/>
            <w:shd w:val="clear" w:color="auto" w:fill="auto"/>
          </w:tcPr>
          <w:p w14:paraId="78B5A913" w14:textId="77777777" w:rsidR="00A24E18" w:rsidRPr="00B639F7" w:rsidRDefault="00A24E18" w:rsidP="00B639F7">
            <w:pPr>
              <w:pStyle w:val="Tabletext"/>
              <w:rPr>
                <w:b/>
              </w:rPr>
            </w:pPr>
            <w:r w:rsidRPr="00B639F7">
              <w:rPr>
                <w:b/>
              </w:rPr>
              <w:t>30283 S</w:t>
            </w:r>
          </w:p>
        </w:tc>
        <w:tc>
          <w:tcPr>
            <w:tcW w:w="4917" w:type="dxa"/>
            <w:shd w:val="clear" w:color="auto" w:fill="auto"/>
          </w:tcPr>
          <w:p w14:paraId="6C24236E" w14:textId="77777777" w:rsidR="00A24E18" w:rsidRPr="001461F2" w:rsidRDefault="00A24E18" w:rsidP="00B639F7">
            <w:pPr>
              <w:pStyle w:val="Tabletext"/>
            </w:pPr>
            <w:r w:rsidRPr="001461F2">
              <w:t>RANULA OR MUCOUS CYST OF MOUTH, removal of (</w:t>
            </w:r>
            <w:proofErr w:type="spellStart"/>
            <w:r w:rsidRPr="001461F2">
              <w:t>Anaes</w:t>
            </w:r>
            <w:proofErr w:type="spellEnd"/>
            <w:r w:rsidRPr="001461F2">
              <w:t>.)</w:t>
            </w:r>
          </w:p>
        </w:tc>
        <w:tc>
          <w:tcPr>
            <w:tcW w:w="1530" w:type="dxa"/>
          </w:tcPr>
          <w:p w14:paraId="41701198" w14:textId="77777777" w:rsidR="00A24E18" w:rsidRPr="001461F2" w:rsidRDefault="00A24E18" w:rsidP="00B639F7">
            <w:pPr>
              <w:pStyle w:val="Tabletext"/>
            </w:pPr>
            <w:r w:rsidRPr="001461F2">
              <w:t>$204.70</w:t>
            </w:r>
          </w:p>
        </w:tc>
        <w:tc>
          <w:tcPr>
            <w:tcW w:w="1530" w:type="dxa"/>
          </w:tcPr>
          <w:p w14:paraId="035FDDF2" w14:textId="77777777" w:rsidR="00A24E18" w:rsidRPr="001461F2" w:rsidRDefault="00A24E18" w:rsidP="00B639F7">
            <w:pPr>
              <w:pStyle w:val="Tabletext"/>
            </w:pPr>
            <w:r w:rsidRPr="001461F2">
              <w:t>75% = $153.55</w:t>
            </w:r>
            <w:r>
              <w:t xml:space="preserve">; </w:t>
            </w:r>
            <w:r w:rsidRPr="001461F2">
              <w:t>85% = $174.00</w:t>
            </w:r>
          </w:p>
        </w:tc>
      </w:tr>
      <w:tr w:rsidR="0078241B" w:rsidRPr="001461F2" w14:paraId="46947875" w14:textId="77777777" w:rsidTr="0078241B">
        <w:trPr>
          <w:cantSplit/>
        </w:trPr>
        <w:tc>
          <w:tcPr>
            <w:tcW w:w="993" w:type="dxa"/>
            <w:shd w:val="clear" w:color="auto" w:fill="auto"/>
          </w:tcPr>
          <w:p w14:paraId="11AF1A7A" w14:textId="77777777" w:rsidR="0078241B" w:rsidRPr="00B639F7" w:rsidRDefault="0078241B" w:rsidP="00B639F7">
            <w:pPr>
              <w:pStyle w:val="Tabletext"/>
              <w:rPr>
                <w:b/>
              </w:rPr>
            </w:pPr>
            <w:r w:rsidRPr="00B639F7">
              <w:rPr>
                <w:b/>
              </w:rPr>
              <w:t>30286</w:t>
            </w:r>
          </w:p>
        </w:tc>
        <w:tc>
          <w:tcPr>
            <w:tcW w:w="4917" w:type="dxa"/>
            <w:shd w:val="clear" w:color="auto" w:fill="auto"/>
          </w:tcPr>
          <w:p w14:paraId="059764E2" w14:textId="77777777" w:rsidR="0078241B" w:rsidRPr="001461F2" w:rsidRDefault="0078241B" w:rsidP="00B639F7">
            <w:pPr>
              <w:pStyle w:val="Tabletext"/>
            </w:pPr>
            <w:r w:rsidRPr="001461F2">
              <w:t>BRANCHIAL CYST, removal of (</w:t>
            </w:r>
            <w:proofErr w:type="spellStart"/>
            <w:r w:rsidRPr="001461F2">
              <w:t>Anaes</w:t>
            </w:r>
            <w:proofErr w:type="spellEnd"/>
            <w:r w:rsidRPr="001461F2">
              <w:t>.) (Assist.)</w:t>
            </w:r>
          </w:p>
        </w:tc>
        <w:tc>
          <w:tcPr>
            <w:tcW w:w="1530" w:type="dxa"/>
          </w:tcPr>
          <w:p w14:paraId="1C05EC2C" w14:textId="77777777" w:rsidR="0078241B" w:rsidRPr="001461F2" w:rsidRDefault="00A24E18" w:rsidP="00B639F7">
            <w:pPr>
              <w:pStyle w:val="Tabletext"/>
            </w:pPr>
            <w:r w:rsidRPr="001461F2">
              <w:t>$397.85</w:t>
            </w:r>
          </w:p>
        </w:tc>
        <w:tc>
          <w:tcPr>
            <w:tcW w:w="1530" w:type="dxa"/>
          </w:tcPr>
          <w:p w14:paraId="2A42250F" w14:textId="77777777" w:rsidR="0078241B" w:rsidRPr="001461F2" w:rsidRDefault="00A24E18" w:rsidP="00B639F7">
            <w:pPr>
              <w:pStyle w:val="Tabletext"/>
            </w:pPr>
            <w:r w:rsidRPr="001461F2">
              <w:t>75% = $298.40</w:t>
            </w:r>
            <w:r>
              <w:t xml:space="preserve">; </w:t>
            </w:r>
            <w:r w:rsidRPr="001461F2">
              <w:t>85% = $338.20</w:t>
            </w:r>
          </w:p>
        </w:tc>
      </w:tr>
      <w:tr w:rsidR="0078241B" w:rsidRPr="001461F2" w14:paraId="43A81FC8" w14:textId="77777777" w:rsidTr="0078241B">
        <w:trPr>
          <w:cantSplit/>
        </w:trPr>
        <w:tc>
          <w:tcPr>
            <w:tcW w:w="993" w:type="dxa"/>
            <w:shd w:val="clear" w:color="auto" w:fill="auto"/>
          </w:tcPr>
          <w:p w14:paraId="48DDE956" w14:textId="77777777" w:rsidR="0078241B" w:rsidRPr="00B639F7" w:rsidRDefault="0078241B" w:rsidP="00B639F7">
            <w:pPr>
              <w:pStyle w:val="Tabletext"/>
              <w:rPr>
                <w:b/>
              </w:rPr>
            </w:pPr>
            <w:r w:rsidRPr="00B639F7">
              <w:rPr>
                <w:b/>
              </w:rPr>
              <w:t>30289</w:t>
            </w:r>
          </w:p>
        </w:tc>
        <w:tc>
          <w:tcPr>
            <w:tcW w:w="4917" w:type="dxa"/>
            <w:shd w:val="clear" w:color="auto" w:fill="auto"/>
          </w:tcPr>
          <w:p w14:paraId="044D5100" w14:textId="77777777" w:rsidR="0078241B" w:rsidRPr="001461F2" w:rsidRDefault="0078241B" w:rsidP="00B639F7">
            <w:pPr>
              <w:pStyle w:val="Tabletext"/>
            </w:pPr>
            <w:r w:rsidRPr="001461F2">
              <w:t>BRANCHIAL FISTULA, removal of (</w:t>
            </w:r>
            <w:proofErr w:type="spellStart"/>
            <w:r w:rsidRPr="001461F2">
              <w:t>Anaes</w:t>
            </w:r>
            <w:proofErr w:type="spellEnd"/>
            <w:r w:rsidRPr="001461F2">
              <w:t xml:space="preserve">.) (Assist.) </w:t>
            </w:r>
          </w:p>
        </w:tc>
        <w:tc>
          <w:tcPr>
            <w:tcW w:w="1530" w:type="dxa"/>
          </w:tcPr>
          <w:p w14:paraId="25292ECA" w14:textId="77777777" w:rsidR="0078241B" w:rsidRPr="001461F2" w:rsidRDefault="00A24E18" w:rsidP="00B639F7">
            <w:pPr>
              <w:pStyle w:val="Tabletext"/>
            </w:pPr>
            <w:r w:rsidRPr="001461F2">
              <w:t>$502.25</w:t>
            </w:r>
          </w:p>
        </w:tc>
        <w:tc>
          <w:tcPr>
            <w:tcW w:w="1530" w:type="dxa"/>
          </w:tcPr>
          <w:p w14:paraId="37F4C14B" w14:textId="77777777" w:rsidR="0078241B" w:rsidRPr="001461F2" w:rsidRDefault="00A24E18" w:rsidP="00B639F7">
            <w:pPr>
              <w:pStyle w:val="Tabletext"/>
            </w:pPr>
            <w:r w:rsidRPr="001461F2">
              <w:t>75% = $376.70</w:t>
            </w:r>
          </w:p>
        </w:tc>
      </w:tr>
      <w:tr w:rsidR="0078241B" w:rsidRPr="001461F2" w14:paraId="5F0781BA" w14:textId="77777777" w:rsidTr="0078241B">
        <w:trPr>
          <w:cantSplit/>
        </w:trPr>
        <w:tc>
          <w:tcPr>
            <w:tcW w:w="993" w:type="dxa"/>
            <w:shd w:val="clear" w:color="auto" w:fill="auto"/>
          </w:tcPr>
          <w:p w14:paraId="23D804B7" w14:textId="77777777" w:rsidR="0078241B" w:rsidRPr="00B639F7" w:rsidRDefault="0078241B" w:rsidP="00B639F7">
            <w:pPr>
              <w:pStyle w:val="Tabletext"/>
              <w:rPr>
                <w:b/>
              </w:rPr>
            </w:pPr>
            <w:r w:rsidRPr="00B639F7">
              <w:rPr>
                <w:b/>
              </w:rPr>
              <w:lastRenderedPageBreak/>
              <w:t>30293</w:t>
            </w:r>
          </w:p>
        </w:tc>
        <w:tc>
          <w:tcPr>
            <w:tcW w:w="4917" w:type="dxa"/>
            <w:shd w:val="clear" w:color="auto" w:fill="auto"/>
          </w:tcPr>
          <w:p w14:paraId="313997C7" w14:textId="77777777" w:rsidR="0078241B" w:rsidRPr="001461F2" w:rsidRDefault="0078241B" w:rsidP="00B639F7">
            <w:pPr>
              <w:pStyle w:val="Tabletext"/>
            </w:pPr>
            <w:r w:rsidRPr="001461F2">
              <w:t>CERVICAL OESOPHAGOSTOMY or CLOSURE OF CERVICAL OESOPHAGOSTOMY with or without plastic repair (</w:t>
            </w:r>
            <w:proofErr w:type="spellStart"/>
            <w:r w:rsidRPr="001461F2">
              <w:t>Anaes</w:t>
            </w:r>
            <w:proofErr w:type="spellEnd"/>
            <w:r w:rsidRPr="001461F2">
              <w:t>.) (Assist.)</w:t>
            </w:r>
          </w:p>
        </w:tc>
        <w:tc>
          <w:tcPr>
            <w:tcW w:w="1530" w:type="dxa"/>
          </w:tcPr>
          <w:p w14:paraId="09808915" w14:textId="77777777" w:rsidR="0078241B" w:rsidRPr="001461F2" w:rsidRDefault="00A24E18" w:rsidP="00B639F7">
            <w:pPr>
              <w:pStyle w:val="Tabletext"/>
            </w:pPr>
            <w:r w:rsidRPr="001461F2">
              <w:t>$445.40</w:t>
            </w:r>
          </w:p>
        </w:tc>
        <w:tc>
          <w:tcPr>
            <w:tcW w:w="1530" w:type="dxa"/>
          </w:tcPr>
          <w:p w14:paraId="2317B1AA" w14:textId="77777777" w:rsidR="0078241B" w:rsidRPr="001461F2" w:rsidRDefault="00A24E18" w:rsidP="00B639F7">
            <w:pPr>
              <w:pStyle w:val="Tabletext"/>
            </w:pPr>
            <w:r w:rsidRPr="001461F2">
              <w:t>75% = $334.05</w:t>
            </w:r>
            <w:r>
              <w:t xml:space="preserve">; </w:t>
            </w:r>
            <w:r w:rsidRPr="001461F2">
              <w:t>85% = $378.60</w:t>
            </w:r>
          </w:p>
        </w:tc>
      </w:tr>
      <w:tr w:rsidR="0078241B" w:rsidRPr="00211624" w14:paraId="6DC65131" w14:textId="77777777" w:rsidTr="0078241B">
        <w:trPr>
          <w:cantSplit/>
        </w:trPr>
        <w:tc>
          <w:tcPr>
            <w:tcW w:w="993" w:type="dxa"/>
            <w:shd w:val="clear" w:color="auto" w:fill="auto"/>
          </w:tcPr>
          <w:p w14:paraId="3E089489" w14:textId="77777777" w:rsidR="0078241B" w:rsidRPr="00B639F7" w:rsidRDefault="0078241B" w:rsidP="00B639F7">
            <w:pPr>
              <w:pStyle w:val="Tabletext"/>
              <w:rPr>
                <w:b/>
              </w:rPr>
            </w:pPr>
            <w:r w:rsidRPr="00B639F7">
              <w:rPr>
                <w:b/>
              </w:rPr>
              <w:t>30294</w:t>
            </w:r>
          </w:p>
        </w:tc>
        <w:tc>
          <w:tcPr>
            <w:tcW w:w="4917" w:type="dxa"/>
            <w:shd w:val="clear" w:color="auto" w:fill="auto"/>
          </w:tcPr>
          <w:p w14:paraId="6A372F0C" w14:textId="77777777" w:rsidR="0078241B" w:rsidRPr="001461F2" w:rsidRDefault="0078241B" w:rsidP="00B639F7">
            <w:pPr>
              <w:pStyle w:val="Tabletext"/>
            </w:pPr>
            <w:r w:rsidRPr="001461F2">
              <w:t>CERVICAL OESOPHAGECTOMY with tracheostomy and oesophagostomy, with or without plastic reconstruction; or LARYNGOPHARYNGECTOMY with tracheostomy and plastic reconstruction (</w:t>
            </w:r>
            <w:proofErr w:type="spellStart"/>
            <w:r w:rsidRPr="001461F2">
              <w:t>Anaes</w:t>
            </w:r>
            <w:proofErr w:type="spellEnd"/>
            <w:r w:rsidRPr="001461F2">
              <w:t xml:space="preserve">.) (Assist.) </w:t>
            </w:r>
          </w:p>
        </w:tc>
        <w:tc>
          <w:tcPr>
            <w:tcW w:w="1530" w:type="dxa"/>
          </w:tcPr>
          <w:p w14:paraId="6214D30C" w14:textId="77777777" w:rsidR="0078241B" w:rsidRPr="001461F2" w:rsidRDefault="00A24E18" w:rsidP="00B639F7">
            <w:pPr>
              <w:pStyle w:val="Tabletext"/>
            </w:pPr>
            <w:r w:rsidRPr="001461F2">
              <w:t>$1,762.75</w:t>
            </w:r>
          </w:p>
        </w:tc>
        <w:tc>
          <w:tcPr>
            <w:tcW w:w="1530" w:type="dxa"/>
          </w:tcPr>
          <w:p w14:paraId="53F15E95" w14:textId="77777777" w:rsidR="0078241B" w:rsidRPr="001461F2" w:rsidRDefault="00A24E18" w:rsidP="00B639F7">
            <w:pPr>
              <w:pStyle w:val="Tabletext"/>
            </w:pPr>
            <w:r w:rsidRPr="001461F2">
              <w:t>75% = $1,322.10</w:t>
            </w:r>
          </w:p>
        </w:tc>
      </w:tr>
    </w:tbl>
    <w:p w14:paraId="6C25C78C" w14:textId="77777777" w:rsidR="00F85147" w:rsidRDefault="00F85147" w:rsidP="006508BC">
      <w:pPr>
        <w:pStyle w:val="Heading2a"/>
      </w:pPr>
      <w:r>
        <w:t>Ear Nose and Throat- Therapeutic Procedure 31400-31412</w:t>
      </w:r>
    </w:p>
    <w:p w14:paraId="006544B8" w14:textId="77777777" w:rsidR="007E1A59" w:rsidRDefault="007E1A59" w:rsidP="00681E75">
      <w:pPr>
        <w:pStyle w:val="Caption"/>
      </w:pPr>
      <w:r>
        <w:t xml:space="preserve">Table A4: </w:t>
      </w:r>
      <w:r w:rsidRPr="007E1A59">
        <w:t>Ear, Nose and Throat – Therapeutic Procedure</w:t>
      </w:r>
    </w:p>
    <w:tbl>
      <w:tblPr>
        <w:tblW w:w="9330"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A4 lists Ear, nose and throat therapeutic procedures, item numbers 31400-31412, considered by the Committee."/>
      </w:tblPr>
      <w:tblGrid>
        <w:gridCol w:w="1053"/>
        <w:gridCol w:w="5397"/>
        <w:gridCol w:w="1350"/>
        <w:gridCol w:w="1530"/>
      </w:tblGrid>
      <w:tr w:rsidR="007E1A59" w:rsidRPr="007E1A59" w14:paraId="6DB11FE0" w14:textId="77777777" w:rsidTr="00A53B58">
        <w:trPr>
          <w:tblHeader/>
        </w:trPr>
        <w:tc>
          <w:tcPr>
            <w:tcW w:w="1053" w:type="dxa"/>
            <w:shd w:val="clear" w:color="auto" w:fill="auto"/>
          </w:tcPr>
          <w:p w14:paraId="4809E7E3" w14:textId="77777777" w:rsidR="007E1A59" w:rsidRPr="007E1A59" w:rsidRDefault="007E1A59" w:rsidP="00142254">
            <w:pPr>
              <w:pStyle w:val="Tableheading"/>
            </w:pPr>
            <w:r w:rsidRPr="007E1A59">
              <w:t>Item</w:t>
            </w:r>
          </w:p>
        </w:tc>
        <w:tc>
          <w:tcPr>
            <w:tcW w:w="5397" w:type="dxa"/>
            <w:shd w:val="clear" w:color="auto" w:fill="auto"/>
          </w:tcPr>
          <w:p w14:paraId="3F11CD47" w14:textId="77777777" w:rsidR="007E1A59" w:rsidRPr="007E1A59" w:rsidRDefault="007E1A59" w:rsidP="00142254">
            <w:pPr>
              <w:pStyle w:val="Tableheading"/>
            </w:pPr>
            <w:r w:rsidRPr="007E1A59">
              <w:t>Description</w:t>
            </w:r>
          </w:p>
        </w:tc>
        <w:tc>
          <w:tcPr>
            <w:tcW w:w="1350" w:type="dxa"/>
          </w:tcPr>
          <w:p w14:paraId="28FCEE8B" w14:textId="77777777" w:rsidR="007E1A59" w:rsidRPr="007E1A59" w:rsidRDefault="007E1A59" w:rsidP="00142254">
            <w:pPr>
              <w:pStyle w:val="Tableheading"/>
            </w:pPr>
            <w:r>
              <w:t>Fee</w:t>
            </w:r>
          </w:p>
        </w:tc>
        <w:tc>
          <w:tcPr>
            <w:tcW w:w="1530" w:type="dxa"/>
          </w:tcPr>
          <w:p w14:paraId="0A58047F" w14:textId="77777777" w:rsidR="007E1A59" w:rsidRPr="007E1A59" w:rsidRDefault="00C80D9C" w:rsidP="00142254">
            <w:pPr>
              <w:pStyle w:val="Tableheading"/>
            </w:pPr>
            <w:r>
              <w:t>Benefit</w:t>
            </w:r>
          </w:p>
        </w:tc>
      </w:tr>
      <w:tr w:rsidR="007E1A59" w:rsidRPr="00A40D1D" w14:paraId="5F2F7300" w14:textId="77777777" w:rsidTr="00A53B58">
        <w:tc>
          <w:tcPr>
            <w:tcW w:w="1053" w:type="dxa"/>
            <w:shd w:val="clear" w:color="auto" w:fill="auto"/>
          </w:tcPr>
          <w:p w14:paraId="3F20C6DE" w14:textId="77777777" w:rsidR="007E1A59" w:rsidRPr="00B639F7" w:rsidRDefault="007E1A59" w:rsidP="00B639F7">
            <w:pPr>
              <w:pStyle w:val="Tabletext"/>
              <w:rPr>
                <w:b/>
              </w:rPr>
            </w:pPr>
            <w:r w:rsidRPr="00B639F7">
              <w:rPr>
                <w:b/>
              </w:rPr>
              <w:t>31400</w:t>
            </w:r>
          </w:p>
        </w:tc>
        <w:tc>
          <w:tcPr>
            <w:tcW w:w="5397" w:type="dxa"/>
            <w:shd w:val="clear" w:color="auto" w:fill="auto"/>
          </w:tcPr>
          <w:p w14:paraId="6779FB1A" w14:textId="77777777" w:rsidR="007E1A59" w:rsidRPr="00A40D1D" w:rsidRDefault="007E1A59" w:rsidP="006A406F">
            <w:pPr>
              <w:pStyle w:val="Tabletext"/>
            </w:pPr>
            <w:r w:rsidRPr="00A40D1D">
              <w:t>MALIGNANT UPPER AERODIGESTIVE TRACT TUMOUR up to and including 20mm in diameter (excluding tumour of the lip), excision of, where histological confirmation of malignancy has been obtained (</w:t>
            </w:r>
            <w:proofErr w:type="spellStart"/>
            <w:r w:rsidRPr="00A40D1D">
              <w:t>Anaes</w:t>
            </w:r>
            <w:proofErr w:type="spellEnd"/>
            <w:r w:rsidRPr="00A40D1D">
              <w:t>.) (Assist.)</w:t>
            </w:r>
          </w:p>
        </w:tc>
        <w:tc>
          <w:tcPr>
            <w:tcW w:w="1350" w:type="dxa"/>
          </w:tcPr>
          <w:p w14:paraId="4DA30716" w14:textId="77777777" w:rsidR="007E1A59" w:rsidRPr="00A40D1D" w:rsidRDefault="007E1A59" w:rsidP="00B639F7">
            <w:pPr>
              <w:pStyle w:val="Tabletext"/>
              <w:rPr>
                <w:color w:val="000000"/>
              </w:rPr>
            </w:pPr>
            <w:r w:rsidRPr="00A40D1D">
              <w:t>$261.05</w:t>
            </w:r>
          </w:p>
        </w:tc>
        <w:tc>
          <w:tcPr>
            <w:tcW w:w="1530" w:type="dxa"/>
          </w:tcPr>
          <w:p w14:paraId="0253AD63" w14:textId="77777777" w:rsidR="007E1A59" w:rsidRPr="00A40D1D" w:rsidRDefault="007E1A59" w:rsidP="00B639F7">
            <w:pPr>
              <w:pStyle w:val="Tabletext"/>
              <w:rPr>
                <w:color w:val="000000"/>
              </w:rPr>
            </w:pPr>
            <w:r w:rsidRPr="00A40D1D">
              <w:t>75% = $195.80</w:t>
            </w:r>
            <w:r>
              <w:t xml:space="preserve">; </w:t>
            </w:r>
            <w:r w:rsidRPr="00A40D1D">
              <w:t>85% = $221.90</w:t>
            </w:r>
          </w:p>
        </w:tc>
      </w:tr>
      <w:tr w:rsidR="007E1A59" w:rsidRPr="00A40D1D" w14:paraId="571F0431" w14:textId="77777777" w:rsidTr="00A53B58">
        <w:tc>
          <w:tcPr>
            <w:tcW w:w="1053" w:type="dxa"/>
            <w:shd w:val="clear" w:color="auto" w:fill="auto"/>
          </w:tcPr>
          <w:p w14:paraId="3A5B9E25" w14:textId="77777777" w:rsidR="007E1A59" w:rsidRPr="00B639F7" w:rsidRDefault="007E1A59" w:rsidP="00B639F7">
            <w:pPr>
              <w:pStyle w:val="Tabletext"/>
              <w:rPr>
                <w:b/>
              </w:rPr>
            </w:pPr>
            <w:r w:rsidRPr="00B639F7">
              <w:rPr>
                <w:b/>
              </w:rPr>
              <w:t>31403</w:t>
            </w:r>
          </w:p>
        </w:tc>
        <w:tc>
          <w:tcPr>
            <w:tcW w:w="5397" w:type="dxa"/>
            <w:shd w:val="clear" w:color="auto" w:fill="auto"/>
          </w:tcPr>
          <w:p w14:paraId="67CEC56F" w14:textId="77777777" w:rsidR="007E1A59" w:rsidRPr="00A40D1D" w:rsidRDefault="007E1A59" w:rsidP="006A406F">
            <w:pPr>
              <w:pStyle w:val="Tabletext"/>
            </w:pPr>
            <w:r w:rsidRPr="00A40D1D">
              <w:t>MALIGNANT UPPER AERODIGESTIVE TRACT TUMOUR more than 20mm and up to and including 40mm in diameter (excluding tumour of the lip), excision of, where histological confirmation of malignancy has been obtained (</w:t>
            </w:r>
            <w:proofErr w:type="spellStart"/>
            <w:r w:rsidRPr="00A40D1D">
              <w:t>Anaes</w:t>
            </w:r>
            <w:proofErr w:type="spellEnd"/>
            <w:r w:rsidRPr="00A40D1D">
              <w:t xml:space="preserve">.) (Assist.) </w:t>
            </w:r>
          </w:p>
        </w:tc>
        <w:tc>
          <w:tcPr>
            <w:tcW w:w="1350" w:type="dxa"/>
          </w:tcPr>
          <w:p w14:paraId="027924EB" w14:textId="77777777" w:rsidR="007E1A59" w:rsidRPr="00A40D1D" w:rsidRDefault="007E1A59" w:rsidP="00B639F7">
            <w:pPr>
              <w:pStyle w:val="Tabletext"/>
              <w:rPr>
                <w:color w:val="000000"/>
              </w:rPr>
            </w:pPr>
            <w:r w:rsidRPr="00A40D1D">
              <w:t>$301.35</w:t>
            </w:r>
          </w:p>
        </w:tc>
        <w:tc>
          <w:tcPr>
            <w:tcW w:w="1530" w:type="dxa"/>
          </w:tcPr>
          <w:p w14:paraId="7C8A0CEE" w14:textId="77777777" w:rsidR="007E1A59" w:rsidRPr="00A40D1D" w:rsidRDefault="007E1A59" w:rsidP="00B639F7">
            <w:pPr>
              <w:pStyle w:val="Tabletext"/>
              <w:rPr>
                <w:color w:val="000000"/>
              </w:rPr>
            </w:pPr>
            <w:r w:rsidRPr="00A40D1D">
              <w:t>75% = $226.05</w:t>
            </w:r>
          </w:p>
        </w:tc>
      </w:tr>
      <w:tr w:rsidR="007E1A59" w:rsidRPr="00A40D1D" w14:paraId="23DA7647" w14:textId="77777777" w:rsidTr="00A53B58">
        <w:tc>
          <w:tcPr>
            <w:tcW w:w="1053" w:type="dxa"/>
            <w:shd w:val="clear" w:color="auto" w:fill="auto"/>
          </w:tcPr>
          <w:p w14:paraId="5BF0B4C6" w14:textId="77777777" w:rsidR="007E1A59" w:rsidRPr="00B639F7" w:rsidRDefault="007E1A59" w:rsidP="00B639F7">
            <w:pPr>
              <w:pStyle w:val="Tabletext"/>
              <w:rPr>
                <w:b/>
              </w:rPr>
            </w:pPr>
            <w:r w:rsidRPr="00B639F7">
              <w:rPr>
                <w:b/>
              </w:rPr>
              <w:t>31406</w:t>
            </w:r>
          </w:p>
        </w:tc>
        <w:tc>
          <w:tcPr>
            <w:tcW w:w="5397" w:type="dxa"/>
            <w:shd w:val="clear" w:color="auto" w:fill="auto"/>
          </w:tcPr>
          <w:p w14:paraId="3C53FC20" w14:textId="77777777" w:rsidR="007E1A59" w:rsidRPr="00A40D1D" w:rsidRDefault="007E1A59" w:rsidP="006A406F">
            <w:pPr>
              <w:pStyle w:val="Tabletext"/>
            </w:pPr>
            <w:r w:rsidRPr="00A40D1D">
              <w:t>MALIGNANT UPPER AERODIGESTIVE TRACT TUMOUR more than 40mm in diameter (excluding tumour of the lip), excision of, where histological confirmation of malignancy has been obtained (</w:t>
            </w:r>
            <w:proofErr w:type="spellStart"/>
            <w:r w:rsidRPr="00A40D1D">
              <w:t>Anaes</w:t>
            </w:r>
            <w:proofErr w:type="spellEnd"/>
            <w:r w:rsidRPr="00A40D1D">
              <w:t>.) (Assist.)</w:t>
            </w:r>
          </w:p>
        </w:tc>
        <w:tc>
          <w:tcPr>
            <w:tcW w:w="1350" w:type="dxa"/>
          </w:tcPr>
          <w:p w14:paraId="7CFC3C8D" w14:textId="77777777" w:rsidR="007E1A59" w:rsidRPr="00A40D1D" w:rsidRDefault="007E1A59" w:rsidP="00B639F7">
            <w:pPr>
              <w:pStyle w:val="Tabletext"/>
              <w:rPr>
                <w:color w:val="000000"/>
              </w:rPr>
            </w:pPr>
            <w:r w:rsidRPr="00A40D1D">
              <w:t>$502.15</w:t>
            </w:r>
          </w:p>
        </w:tc>
        <w:tc>
          <w:tcPr>
            <w:tcW w:w="1530" w:type="dxa"/>
          </w:tcPr>
          <w:p w14:paraId="73ABE0C2" w14:textId="77777777" w:rsidR="007E1A59" w:rsidRPr="00A40D1D" w:rsidRDefault="007E1A59" w:rsidP="00B639F7">
            <w:pPr>
              <w:pStyle w:val="Tabletext"/>
              <w:rPr>
                <w:color w:val="000000"/>
              </w:rPr>
            </w:pPr>
            <w:r w:rsidRPr="00A40D1D">
              <w:t>75% = $376.65</w:t>
            </w:r>
            <w:r>
              <w:t xml:space="preserve">; </w:t>
            </w:r>
            <w:r w:rsidRPr="00A40D1D">
              <w:t>85% = $426.85</w:t>
            </w:r>
          </w:p>
        </w:tc>
      </w:tr>
      <w:tr w:rsidR="007E1A59" w:rsidRPr="00A40D1D" w14:paraId="34E14AF8" w14:textId="77777777" w:rsidTr="00A53B58">
        <w:tc>
          <w:tcPr>
            <w:tcW w:w="1053" w:type="dxa"/>
            <w:shd w:val="clear" w:color="auto" w:fill="auto"/>
          </w:tcPr>
          <w:p w14:paraId="0EF848C1" w14:textId="77777777" w:rsidR="007E1A59" w:rsidRPr="00B639F7" w:rsidRDefault="007E1A59" w:rsidP="00B639F7">
            <w:pPr>
              <w:pStyle w:val="Tabletext"/>
              <w:rPr>
                <w:b/>
              </w:rPr>
            </w:pPr>
            <w:r w:rsidRPr="00B639F7">
              <w:rPr>
                <w:b/>
              </w:rPr>
              <w:t>31409</w:t>
            </w:r>
          </w:p>
        </w:tc>
        <w:tc>
          <w:tcPr>
            <w:tcW w:w="5397" w:type="dxa"/>
            <w:shd w:val="clear" w:color="auto" w:fill="auto"/>
          </w:tcPr>
          <w:p w14:paraId="660BC81D" w14:textId="77777777" w:rsidR="007E1A59" w:rsidRPr="00A40D1D" w:rsidRDefault="007E1A59" w:rsidP="006A406F">
            <w:pPr>
              <w:pStyle w:val="Tabletext"/>
            </w:pPr>
            <w:r w:rsidRPr="00A40D1D">
              <w:t>PARAPHARYNGEAL TUMOUR, excision of, by cervical approach (</w:t>
            </w:r>
            <w:proofErr w:type="spellStart"/>
            <w:r w:rsidRPr="00A40D1D">
              <w:t>Anaes</w:t>
            </w:r>
            <w:proofErr w:type="spellEnd"/>
            <w:r w:rsidRPr="00A40D1D">
              <w:t xml:space="preserve">.) (Assist.) </w:t>
            </w:r>
          </w:p>
        </w:tc>
        <w:tc>
          <w:tcPr>
            <w:tcW w:w="1350" w:type="dxa"/>
          </w:tcPr>
          <w:p w14:paraId="6D08DC9F" w14:textId="77777777" w:rsidR="007E1A59" w:rsidRPr="00A40D1D" w:rsidRDefault="007E1A59" w:rsidP="00B639F7">
            <w:pPr>
              <w:pStyle w:val="Tabletext"/>
              <w:rPr>
                <w:color w:val="000000"/>
              </w:rPr>
            </w:pPr>
            <w:r w:rsidRPr="00A40D1D">
              <w:t>$1,560.15</w:t>
            </w:r>
          </w:p>
        </w:tc>
        <w:tc>
          <w:tcPr>
            <w:tcW w:w="1530" w:type="dxa"/>
          </w:tcPr>
          <w:p w14:paraId="0804A2AC" w14:textId="77777777" w:rsidR="007E1A59" w:rsidRPr="00A40D1D" w:rsidRDefault="007E1A59" w:rsidP="00B639F7">
            <w:pPr>
              <w:pStyle w:val="Tabletext"/>
              <w:rPr>
                <w:color w:val="000000"/>
              </w:rPr>
            </w:pPr>
            <w:r w:rsidRPr="00A40D1D">
              <w:t>75% = $1,170.15</w:t>
            </w:r>
          </w:p>
        </w:tc>
      </w:tr>
      <w:tr w:rsidR="007E1A59" w:rsidRPr="00A40D1D" w14:paraId="62E3FAF9" w14:textId="77777777" w:rsidTr="00A53B58">
        <w:tc>
          <w:tcPr>
            <w:tcW w:w="1053" w:type="dxa"/>
            <w:shd w:val="clear" w:color="auto" w:fill="auto"/>
          </w:tcPr>
          <w:p w14:paraId="4205E58F" w14:textId="77777777" w:rsidR="007E1A59" w:rsidRPr="00B639F7" w:rsidRDefault="007E1A59" w:rsidP="00B639F7">
            <w:pPr>
              <w:pStyle w:val="Tabletext"/>
              <w:rPr>
                <w:b/>
              </w:rPr>
            </w:pPr>
            <w:r w:rsidRPr="00B639F7">
              <w:rPr>
                <w:b/>
              </w:rPr>
              <w:t>31412</w:t>
            </w:r>
          </w:p>
        </w:tc>
        <w:tc>
          <w:tcPr>
            <w:tcW w:w="5397" w:type="dxa"/>
            <w:shd w:val="clear" w:color="auto" w:fill="auto"/>
          </w:tcPr>
          <w:p w14:paraId="77447424" w14:textId="77777777" w:rsidR="007E1A59" w:rsidRPr="00A40D1D" w:rsidRDefault="007E1A59" w:rsidP="006A406F">
            <w:pPr>
              <w:pStyle w:val="Tabletext"/>
            </w:pPr>
            <w:r w:rsidRPr="00A40D1D">
              <w:t>RECURRENT OR PERSISTENT PARAPHARYNGEAL TUMOUR, excision of, by cervical approach (</w:t>
            </w:r>
            <w:proofErr w:type="spellStart"/>
            <w:r w:rsidRPr="00A40D1D">
              <w:t>Anaes</w:t>
            </w:r>
            <w:proofErr w:type="spellEnd"/>
            <w:r w:rsidRPr="00A40D1D">
              <w:t xml:space="preserve">.) (Assist.) </w:t>
            </w:r>
          </w:p>
        </w:tc>
        <w:tc>
          <w:tcPr>
            <w:tcW w:w="1350" w:type="dxa"/>
          </w:tcPr>
          <w:p w14:paraId="18287713" w14:textId="77777777" w:rsidR="007E1A59" w:rsidRPr="00A40D1D" w:rsidRDefault="007E1A59" w:rsidP="00B639F7">
            <w:pPr>
              <w:pStyle w:val="Tabletext"/>
              <w:rPr>
                <w:color w:val="000000"/>
              </w:rPr>
            </w:pPr>
            <w:r w:rsidRPr="00A40D1D">
              <w:t>$1,921.75</w:t>
            </w:r>
          </w:p>
        </w:tc>
        <w:tc>
          <w:tcPr>
            <w:tcW w:w="1530" w:type="dxa"/>
          </w:tcPr>
          <w:p w14:paraId="636CE041" w14:textId="77777777" w:rsidR="007E1A59" w:rsidRPr="00A40D1D" w:rsidRDefault="007E1A59" w:rsidP="00B639F7">
            <w:pPr>
              <w:pStyle w:val="Tabletext"/>
              <w:rPr>
                <w:color w:val="000000"/>
              </w:rPr>
            </w:pPr>
            <w:r w:rsidRPr="00A40D1D">
              <w:t>75% = $1,441.35</w:t>
            </w:r>
          </w:p>
        </w:tc>
      </w:tr>
    </w:tbl>
    <w:p w14:paraId="5F2008BC" w14:textId="77777777" w:rsidR="00BC0C1D" w:rsidRDefault="00BC0C1D" w:rsidP="007E1A59">
      <w:r>
        <w:br w:type="page"/>
      </w:r>
    </w:p>
    <w:p w14:paraId="6AFBEBD0" w14:textId="77777777" w:rsidR="00F85147" w:rsidRDefault="00F85147" w:rsidP="006508BC">
      <w:pPr>
        <w:pStyle w:val="Heading2a"/>
      </w:pPr>
      <w:r w:rsidRPr="008F7A8E">
        <w:lastRenderedPageBreak/>
        <w:t>Ear Nose and Throat- Therapeutic Procedure</w:t>
      </w:r>
      <w:r>
        <w:t xml:space="preserve"> 41500- 41816, 41822, 41825, 41834- 41886, 41904, 41907, and 41910</w:t>
      </w:r>
    </w:p>
    <w:p w14:paraId="5D926A65" w14:textId="77777777" w:rsidR="007E1A59" w:rsidRPr="0078767F" w:rsidRDefault="007E27AB" w:rsidP="00681E75">
      <w:pPr>
        <w:pStyle w:val="Caption"/>
      </w:pPr>
      <w:r w:rsidRPr="00A53B58">
        <w:t>Table A5:</w:t>
      </w:r>
      <w:r w:rsidR="00A53B58">
        <w:tab/>
      </w:r>
      <w:r w:rsidR="00A53B58" w:rsidRPr="00A53B58">
        <w:t>Subgroup 8</w:t>
      </w:r>
      <w:r w:rsidR="00A53B58">
        <w:t>,</w:t>
      </w:r>
      <w:r w:rsidR="00A53B58" w:rsidRPr="00A53B58">
        <w:t xml:space="preserve"> Ear, Nose and Throat – Therapeutic Procedure</w:t>
      </w:r>
    </w:p>
    <w:tbl>
      <w:tblPr>
        <w:tblW w:w="9060"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A5 lists Subgroup 8 items – Ear, nose and throat therapeutic procedures, item numbers 41500-41816, 41822, 41825, 41834- 41886, 41904, 41907 and 41910, considered by the Committee."/>
      </w:tblPr>
      <w:tblGrid>
        <w:gridCol w:w="1053"/>
        <w:gridCol w:w="4947"/>
        <w:gridCol w:w="1530"/>
        <w:gridCol w:w="1530"/>
      </w:tblGrid>
      <w:tr w:rsidR="00CB2E81" w:rsidRPr="002D460B" w14:paraId="0B364C3F" w14:textId="77777777" w:rsidTr="00DC4144">
        <w:trPr>
          <w:tblHeader/>
        </w:trPr>
        <w:tc>
          <w:tcPr>
            <w:tcW w:w="1053" w:type="dxa"/>
            <w:shd w:val="clear" w:color="auto" w:fill="auto"/>
          </w:tcPr>
          <w:p w14:paraId="55088AD1" w14:textId="77777777" w:rsidR="00CB2E81" w:rsidRPr="00DC4144" w:rsidRDefault="00B639F7" w:rsidP="00142254">
            <w:pPr>
              <w:pStyle w:val="Tableheading"/>
            </w:pPr>
            <w:r>
              <w:t>Item</w:t>
            </w:r>
          </w:p>
        </w:tc>
        <w:tc>
          <w:tcPr>
            <w:tcW w:w="4947" w:type="dxa"/>
            <w:shd w:val="clear" w:color="auto" w:fill="auto"/>
          </w:tcPr>
          <w:p w14:paraId="43C263DE" w14:textId="77777777" w:rsidR="00CB2E81" w:rsidRPr="002D460B" w:rsidRDefault="00CB2E81" w:rsidP="00142254">
            <w:pPr>
              <w:pStyle w:val="Tableheading"/>
            </w:pPr>
            <w:r w:rsidRPr="002D460B">
              <w:t>Descriptor</w:t>
            </w:r>
          </w:p>
        </w:tc>
        <w:tc>
          <w:tcPr>
            <w:tcW w:w="1530" w:type="dxa"/>
          </w:tcPr>
          <w:p w14:paraId="137E23BA" w14:textId="77777777" w:rsidR="00CB2E81" w:rsidRPr="002D460B" w:rsidDel="007E1A59" w:rsidRDefault="00CB2E81" w:rsidP="00142254">
            <w:pPr>
              <w:pStyle w:val="Tableheading"/>
            </w:pPr>
            <w:r w:rsidRPr="002D460B">
              <w:t>Fee</w:t>
            </w:r>
          </w:p>
        </w:tc>
        <w:tc>
          <w:tcPr>
            <w:tcW w:w="1530" w:type="dxa"/>
          </w:tcPr>
          <w:p w14:paraId="692D5582" w14:textId="77777777" w:rsidR="00CB2E81" w:rsidRPr="002D460B" w:rsidDel="007E1A59" w:rsidRDefault="00C80D9C" w:rsidP="00142254">
            <w:pPr>
              <w:pStyle w:val="Tableheading"/>
            </w:pPr>
            <w:r>
              <w:t>Benefit</w:t>
            </w:r>
          </w:p>
        </w:tc>
      </w:tr>
      <w:tr w:rsidR="00CB2E81" w:rsidRPr="008F7A8E" w14:paraId="42DF4DA0" w14:textId="77777777" w:rsidTr="00DC4144">
        <w:tc>
          <w:tcPr>
            <w:tcW w:w="1053" w:type="dxa"/>
            <w:shd w:val="clear" w:color="auto" w:fill="auto"/>
          </w:tcPr>
          <w:p w14:paraId="3D17D591" w14:textId="77777777" w:rsidR="00CB2E81" w:rsidRPr="00DC4144" w:rsidRDefault="00CB2E81" w:rsidP="00D10A52">
            <w:pPr>
              <w:pStyle w:val="Tabletext"/>
              <w:rPr>
                <w:b/>
              </w:rPr>
            </w:pPr>
            <w:r w:rsidRPr="00DC4144">
              <w:rPr>
                <w:b/>
              </w:rPr>
              <w:t>41500</w:t>
            </w:r>
          </w:p>
        </w:tc>
        <w:tc>
          <w:tcPr>
            <w:tcW w:w="4947" w:type="dxa"/>
            <w:shd w:val="clear" w:color="auto" w:fill="auto"/>
          </w:tcPr>
          <w:p w14:paraId="5668FCDB" w14:textId="77777777" w:rsidR="00CB2E81" w:rsidRDefault="00CB2E81" w:rsidP="00D10A52">
            <w:pPr>
              <w:pStyle w:val="Tabletext"/>
              <w:rPr>
                <w:i/>
              </w:rPr>
            </w:pPr>
            <w:r w:rsidRPr="008F7A8E">
              <w:t>EAR, foreign body (other than ventilating tube) in, removal of, other than by simple syringing (</w:t>
            </w:r>
            <w:proofErr w:type="spellStart"/>
            <w:r w:rsidRPr="008F7A8E">
              <w:t>Anaes</w:t>
            </w:r>
            <w:proofErr w:type="spellEnd"/>
            <w:r w:rsidRPr="008F7A8E">
              <w:t>.)</w:t>
            </w:r>
            <w:r>
              <w:t xml:space="preserve"> </w:t>
            </w:r>
            <w:r w:rsidRPr="008F7A8E">
              <w:rPr>
                <w:i/>
              </w:rPr>
              <w:t>(See para T8.73 of explanatory notes to this Category)</w:t>
            </w:r>
          </w:p>
          <w:p w14:paraId="14B94DF4" w14:textId="77777777" w:rsidR="007E27AB" w:rsidRPr="007E27AB" w:rsidRDefault="00C572FF" w:rsidP="00C572FF">
            <w:pPr>
              <w:pStyle w:val="NormalBulleted10pt"/>
              <w:rPr>
                <w:szCs w:val="20"/>
              </w:rPr>
            </w:pPr>
            <w:bookmarkStart w:id="113" w:name="_Toc428477741"/>
            <w:r w:rsidRPr="00C572FF">
              <w:t xml:space="preserve">Explanatory note </w:t>
            </w:r>
            <w:r w:rsidR="007E27AB" w:rsidRPr="007E27AB">
              <w:t>T.8.73. Removal of Ventilating Tube from Ear - (Item 41500)</w:t>
            </w:r>
            <w:bookmarkEnd w:id="113"/>
            <w:r w:rsidR="007E27AB" w:rsidRPr="007E27AB">
              <w:t xml:space="preserve"> – Benefits are not payable under Item 41500 for removal of ventilating tube. This service attracts benefits on an attendance basis.</w:t>
            </w:r>
          </w:p>
        </w:tc>
        <w:tc>
          <w:tcPr>
            <w:tcW w:w="1530" w:type="dxa"/>
          </w:tcPr>
          <w:p w14:paraId="23F04ECD" w14:textId="77777777" w:rsidR="00CB2E81" w:rsidRPr="008F7A8E" w:rsidRDefault="00CB2E81" w:rsidP="00422EC8">
            <w:pPr>
              <w:pStyle w:val="Tabletext"/>
              <w:rPr>
                <w:color w:val="000000"/>
              </w:rPr>
            </w:pPr>
            <w:r w:rsidRPr="008F7A8E">
              <w:t>$82.50</w:t>
            </w:r>
          </w:p>
        </w:tc>
        <w:tc>
          <w:tcPr>
            <w:tcW w:w="1530" w:type="dxa"/>
          </w:tcPr>
          <w:p w14:paraId="550BDB0C" w14:textId="77777777" w:rsidR="00CB2E81" w:rsidRPr="008F7A8E" w:rsidRDefault="00CB2E81" w:rsidP="00422EC8">
            <w:pPr>
              <w:pStyle w:val="Tabletext"/>
              <w:rPr>
                <w:color w:val="000000"/>
              </w:rPr>
            </w:pPr>
            <w:r w:rsidRPr="008F7A8E">
              <w:t>75% = $61.90</w:t>
            </w:r>
            <w:r>
              <w:t xml:space="preserve">; </w:t>
            </w:r>
            <w:r w:rsidRPr="008F7A8E">
              <w:t>85% = $70.15</w:t>
            </w:r>
          </w:p>
        </w:tc>
      </w:tr>
      <w:tr w:rsidR="00CB2E81" w:rsidRPr="008F7A8E" w14:paraId="7EF4DCCA" w14:textId="77777777" w:rsidTr="00DC4144">
        <w:tc>
          <w:tcPr>
            <w:tcW w:w="1053" w:type="dxa"/>
            <w:shd w:val="clear" w:color="auto" w:fill="auto"/>
          </w:tcPr>
          <w:p w14:paraId="0BB1CD0B" w14:textId="77777777" w:rsidR="00CB2E81" w:rsidRPr="00DC4144" w:rsidRDefault="00CB2E81" w:rsidP="00D10A52">
            <w:pPr>
              <w:pStyle w:val="Tabletext"/>
              <w:rPr>
                <w:b/>
              </w:rPr>
            </w:pPr>
            <w:r w:rsidRPr="00DC4144">
              <w:rPr>
                <w:b/>
              </w:rPr>
              <w:t>41503</w:t>
            </w:r>
          </w:p>
        </w:tc>
        <w:tc>
          <w:tcPr>
            <w:tcW w:w="4947" w:type="dxa"/>
            <w:shd w:val="clear" w:color="auto" w:fill="auto"/>
          </w:tcPr>
          <w:p w14:paraId="3F13D146" w14:textId="77777777" w:rsidR="00CB2E81" w:rsidRPr="008F7A8E" w:rsidRDefault="00CB2E81" w:rsidP="006A406F">
            <w:pPr>
              <w:pStyle w:val="Tabletext"/>
            </w:pPr>
            <w:r w:rsidRPr="008F7A8E">
              <w:t>EAR, foreign body in, removal of, involving incision of external auditory canal (</w:t>
            </w:r>
            <w:proofErr w:type="spellStart"/>
            <w:r w:rsidRPr="008F7A8E">
              <w:t>Anaes</w:t>
            </w:r>
            <w:proofErr w:type="spellEnd"/>
            <w:r w:rsidRPr="008F7A8E">
              <w:t>.)</w:t>
            </w:r>
          </w:p>
        </w:tc>
        <w:tc>
          <w:tcPr>
            <w:tcW w:w="1530" w:type="dxa"/>
          </w:tcPr>
          <w:p w14:paraId="76503FB2" w14:textId="77777777" w:rsidR="00CB2E81" w:rsidRPr="008F7A8E" w:rsidRDefault="00CB2E81" w:rsidP="00422EC8">
            <w:pPr>
              <w:pStyle w:val="Tabletext"/>
              <w:rPr>
                <w:color w:val="000000"/>
              </w:rPr>
            </w:pPr>
            <w:r w:rsidRPr="008F7A8E">
              <w:t>$238.80</w:t>
            </w:r>
          </w:p>
        </w:tc>
        <w:tc>
          <w:tcPr>
            <w:tcW w:w="1530" w:type="dxa"/>
          </w:tcPr>
          <w:p w14:paraId="7FA884A0" w14:textId="77777777" w:rsidR="00CB2E81" w:rsidRPr="008F7A8E" w:rsidRDefault="00CB2E81" w:rsidP="00422EC8">
            <w:pPr>
              <w:pStyle w:val="Tabletext"/>
              <w:rPr>
                <w:color w:val="000000"/>
              </w:rPr>
            </w:pPr>
            <w:r w:rsidRPr="008F7A8E">
              <w:t>75% = $179.10</w:t>
            </w:r>
            <w:r>
              <w:t xml:space="preserve">; </w:t>
            </w:r>
            <w:r w:rsidRPr="008F7A8E">
              <w:t>85% = $203.00</w:t>
            </w:r>
          </w:p>
        </w:tc>
      </w:tr>
      <w:tr w:rsidR="00CB2E81" w:rsidRPr="008F7A8E" w14:paraId="72AE56B1" w14:textId="77777777" w:rsidTr="00DC4144">
        <w:tc>
          <w:tcPr>
            <w:tcW w:w="1053" w:type="dxa"/>
            <w:shd w:val="clear" w:color="auto" w:fill="auto"/>
          </w:tcPr>
          <w:p w14:paraId="12C73C87" w14:textId="77777777" w:rsidR="00CB2E81" w:rsidRPr="00DC4144" w:rsidRDefault="00CB2E81" w:rsidP="00D10A52">
            <w:pPr>
              <w:pStyle w:val="Tabletext"/>
              <w:rPr>
                <w:b/>
              </w:rPr>
            </w:pPr>
            <w:r w:rsidRPr="00DC4144">
              <w:rPr>
                <w:b/>
              </w:rPr>
              <w:t>41506</w:t>
            </w:r>
          </w:p>
        </w:tc>
        <w:tc>
          <w:tcPr>
            <w:tcW w:w="4947" w:type="dxa"/>
            <w:shd w:val="clear" w:color="auto" w:fill="auto"/>
          </w:tcPr>
          <w:p w14:paraId="0069C65D" w14:textId="77777777" w:rsidR="00CB2E81" w:rsidRPr="008F7A8E" w:rsidRDefault="00CB2E81" w:rsidP="006A406F">
            <w:pPr>
              <w:pStyle w:val="Tabletext"/>
            </w:pPr>
            <w:r w:rsidRPr="008F7A8E">
              <w:t>AURAL POLYP, removal of (</w:t>
            </w:r>
            <w:proofErr w:type="spellStart"/>
            <w:r w:rsidRPr="008F7A8E">
              <w:t>Anaes</w:t>
            </w:r>
            <w:proofErr w:type="spellEnd"/>
            <w:r w:rsidRPr="008F7A8E">
              <w:t xml:space="preserve">.) </w:t>
            </w:r>
          </w:p>
        </w:tc>
        <w:tc>
          <w:tcPr>
            <w:tcW w:w="1530" w:type="dxa"/>
          </w:tcPr>
          <w:p w14:paraId="74EB7D8D" w14:textId="77777777" w:rsidR="00CB2E81" w:rsidRPr="008F7A8E" w:rsidRDefault="00CB2E81" w:rsidP="00422EC8">
            <w:pPr>
              <w:pStyle w:val="Tabletext"/>
              <w:rPr>
                <w:color w:val="000000"/>
              </w:rPr>
            </w:pPr>
            <w:r w:rsidRPr="008F7A8E">
              <w:t>$144.00</w:t>
            </w:r>
          </w:p>
        </w:tc>
        <w:tc>
          <w:tcPr>
            <w:tcW w:w="1530" w:type="dxa"/>
          </w:tcPr>
          <w:p w14:paraId="093C8B08" w14:textId="77777777" w:rsidR="00CB2E81" w:rsidRPr="008F7A8E" w:rsidRDefault="00CB2E81" w:rsidP="00422EC8">
            <w:pPr>
              <w:pStyle w:val="Tabletext"/>
              <w:rPr>
                <w:color w:val="000000"/>
              </w:rPr>
            </w:pPr>
            <w:r w:rsidRPr="008F7A8E">
              <w:t>75% = $108.00</w:t>
            </w:r>
            <w:r>
              <w:t xml:space="preserve">; </w:t>
            </w:r>
            <w:r w:rsidRPr="008F7A8E">
              <w:t>85% = $122.40</w:t>
            </w:r>
          </w:p>
        </w:tc>
      </w:tr>
      <w:tr w:rsidR="00CB2E81" w:rsidRPr="008F7A8E" w14:paraId="7E2D2F8C" w14:textId="77777777" w:rsidTr="00DC4144">
        <w:tc>
          <w:tcPr>
            <w:tcW w:w="1053" w:type="dxa"/>
            <w:shd w:val="clear" w:color="auto" w:fill="auto"/>
          </w:tcPr>
          <w:p w14:paraId="2540CBA0" w14:textId="77777777" w:rsidR="00CB2E81" w:rsidRPr="00DC4144" w:rsidRDefault="00CB2E81" w:rsidP="00D10A52">
            <w:pPr>
              <w:pStyle w:val="Tabletext"/>
              <w:rPr>
                <w:b/>
              </w:rPr>
            </w:pPr>
            <w:r w:rsidRPr="00DC4144">
              <w:rPr>
                <w:b/>
              </w:rPr>
              <w:t>41509</w:t>
            </w:r>
          </w:p>
        </w:tc>
        <w:tc>
          <w:tcPr>
            <w:tcW w:w="4947" w:type="dxa"/>
            <w:shd w:val="clear" w:color="auto" w:fill="auto"/>
          </w:tcPr>
          <w:p w14:paraId="41D06E66" w14:textId="77777777" w:rsidR="00CB2E81" w:rsidRPr="008F7A8E" w:rsidRDefault="00CB2E81" w:rsidP="006A406F">
            <w:pPr>
              <w:pStyle w:val="Tabletext"/>
            </w:pPr>
            <w:r w:rsidRPr="008F7A8E">
              <w:t xml:space="preserve">EXTERNAL AUDITORY MEATUS, surgical removal of keratosis </w:t>
            </w:r>
            <w:proofErr w:type="spellStart"/>
            <w:r w:rsidRPr="008F7A8E">
              <w:t>obturans</w:t>
            </w:r>
            <w:proofErr w:type="spellEnd"/>
            <w:r w:rsidRPr="008F7A8E">
              <w:t xml:space="preserve"> from, not being a service to which another item in this Group applies (</w:t>
            </w:r>
            <w:proofErr w:type="spellStart"/>
            <w:r w:rsidRPr="008F7A8E">
              <w:t>Anaes</w:t>
            </w:r>
            <w:proofErr w:type="spellEnd"/>
            <w:r w:rsidRPr="008F7A8E">
              <w:t xml:space="preserve">.) </w:t>
            </w:r>
          </w:p>
        </w:tc>
        <w:tc>
          <w:tcPr>
            <w:tcW w:w="1530" w:type="dxa"/>
          </w:tcPr>
          <w:p w14:paraId="74281E83" w14:textId="77777777" w:rsidR="00CB2E81" w:rsidRPr="008F7A8E" w:rsidRDefault="00CB2E81" w:rsidP="00422EC8">
            <w:pPr>
              <w:pStyle w:val="Tabletext"/>
              <w:rPr>
                <w:color w:val="000000"/>
              </w:rPr>
            </w:pPr>
            <w:r w:rsidRPr="008F7A8E">
              <w:t>$162.95</w:t>
            </w:r>
          </w:p>
        </w:tc>
        <w:tc>
          <w:tcPr>
            <w:tcW w:w="1530" w:type="dxa"/>
          </w:tcPr>
          <w:p w14:paraId="4227712A" w14:textId="77777777" w:rsidR="00CB2E81" w:rsidRPr="008F7A8E" w:rsidRDefault="00CB2E81" w:rsidP="00422EC8">
            <w:pPr>
              <w:pStyle w:val="Tabletext"/>
              <w:rPr>
                <w:color w:val="000000"/>
              </w:rPr>
            </w:pPr>
            <w:r w:rsidRPr="008F7A8E">
              <w:t>75% = $122.25</w:t>
            </w:r>
            <w:r>
              <w:t xml:space="preserve">; </w:t>
            </w:r>
            <w:r w:rsidRPr="008F7A8E">
              <w:t>85% = $138.55</w:t>
            </w:r>
          </w:p>
        </w:tc>
      </w:tr>
      <w:tr w:rsidR="00CB2E81" w:rsidRPr="008F7A8E" w14:paraId="266C8F13" w14:textId="77777777" w:rsidTr="00DC4144">
        <w:tc>
          <w:tcPr>
            <w:tcW w:w="1053" w:type="dxa"/>
            <w:shd w:val="clear" w:color="auto" w:fill="auto"/>
          </w:tcPr>
          <w:p w14:paraId="2685FF27" w14:textId="77777777" w:rsidR="00CB2E81" w:rsidRPr="00DC4144" w:rsidRDefault="00CB2E81" w:rsidP="00D10A52">
            <w:pPr>
              <w:pStyle w:val="Tabletext"/>
              <w:rPr>
                <w:b/>
              </w:rPr>
            </w:pPr>
            <w:r w:rsidRPr="00DC4144">
              <w:rPr>
                <w:b/>
              </w:rPr>
              <w:t>41512</w:t>
            </w:r>
          </w:p>
        </w:tc>
        <w:tc>
          <w:tcPr>
            <w:tcW w:w="4947" w:type="dxa"/>
            <w:shd w:val="clear" w:color="auto" w:fill="auto"/>
          </w:tcPr>
          <w:p w14:paraId="7D9A4737" w14:textId="77777777" w:rsidR="00CB2E81" w:rsidRPr="008F7A8E" w:rsidRDefault="00CB2E81" w:rsidP="006A406F">
            <w:pPr>
              <w:pStyle w:val="Tabletext"/>
            </w:pPr>
            <w:r w:rsidRPr="008F7A8E">
              <w:t>MEATOPLASTY involving removal of cartilage or bone or both cartilage and bone, not being a service to which item 41515 applies (</w:t>
            </w:r>
            <w:proofErr w:type="spellStart"/>
            <w:r w:rsidRPr="008F7A8E">
              <w:t>Anaes</w:t>
            </w:r>
            <w:proofErr w:type="spellEnd"/>
            <w:r w:rsidRPr="008F7A8E">
              <w:t xml:space="preserve">.) (Assist.) </w:t>
            </w:r>
          </w:p>
        </w:tc>
        <w:tc>
          <w:tcPr>
            <w:tcW w:w="1530" w:type="dxa"/>
          </w:tcPr>
          <w:p w14:paraId="22AB1732" w14:textId="77777777" w:rsidR="00CB2E81" w:rsidRPr="008F7A8E" w:rsidRDefault="00CB2E81" w:rsidP="00422EC8">
            <w:pPr>
              <w:pStyle w:val="Tabletext"/>
              <w:rPr>
                <w:color w:val="000000"/>
              </w:rPr>
            </w:pPr>
            <w:r w:rsidRPr="008F7A8E">
              <w:t>$585.90</w:t>
            </w:r>
          </w:p>
        </w:tc>
        <w:tc>
          <w:tcPr>
            <w:tcW w:w="1530" w:type="dxa"/>
          </w:tcPr>
          <w:p w14:paraId="18A5A9B7" w14:textId="77777777" w:rsidR="00CB2E81" w:rsidRPr="008F7A8E" w:rsidRDefault="00CB2E81" w:rsidP="00422EC8">
            <w:pPr>
              <w:pStyle w:val="Tabletext"/>
              <w:rPr>
                <w:color w:val="000000"/>
              </w:rPr>
            </w:pPr>
            <w:r w:rsidRPr="008F7A8E">
              <w:t>75% = $439.45</w:t>
            </w:r>
          </w:p>
        </w:tc>
      </w:tr>
      <w:tr w:rsidR="00CB2E81" w:rsidRPr="008F7A8E" w14:paraId="62EA4030" w14:textId="77777777" w:rsidTr="00DC4144">
        <w:tc>
          <w:tcPr>
            <w:tcW w:w="1053" w:type="dxa"/>
            <w:shd w:val="clear" w:color="auto" w:fill="auto"/>
          </w:tcPr>
          <w:p w14:paraId="2DB98B38" w14:textId="77777777" w:rsidR="00CB2E81" w:rsidRPr="00DC4144" w:rsidRDefault="00CB2E81" w:rsidP="00D10A52">
            <w:pPr>
              <w:pStyle w:val="Tabletext"/>
              <w:rPr>
                <w:b/>
              </w:rPr>
            </w:pPr>
            <w:r w:rsidRPr="00DC4144">
              <w:rPr>
                <w:b/>
              </w:rPr>
              <w:t>41515</w:t>
            </w:r>
          </w:p>
        </w:tc>
        <w:tc>
          <w:tcPr>
            <w:tcW w:w="4947" w:type="dxa"/>
            <w:shd w:val="clear" w:color="auto" w:fill="auto"/>
          </w:tcPr>
          <w:p w14:paraId="421EA97A" w14:textId="77777777" w:rsidR="007E27AB" w:rsidRPr="007E27AB" w:rsidRDefault="00CB2E81" w:rsidP="00603C77">
            <w:pPr>
              <w:pStyle w:val="Tabletext"/>
            </w:pPr>
            <w:r w:rsidRPr="008F7A8E">
              <w:t>MEATOPLASTY involving removal of cartilage or bone or both cartilage and bone, being a service associated with a service to which item 41530, 41548, 41557, 41560 or 41563 applies (</w:t>
            </w:r>
            <w:proofErr w:type="spellStart"/>
            <w:r w:rsidRPr="008F7A8E">
              <w:t>Anaes</w:t>
            </w:r>
            <w:proofErr w:type="spellEnd"/>
            <w:r w:rsidRPr="008F7A8E">
              <w:t>.) (Assist.)</w:t>
            </w:r>
            <w:r w:rsidR="007E27AB">
              <w:t xml:space="preserve"> </w:t>
            </w:r>
          </w:p>
        </w:tc>
        <w:tc>
          <w:tcPr>
            <w:tcW w:w="1530" w:type="dxa"/>
          </w:tcPr>
          <w:p w14:paraId="2D5887C3" w14:textId="77777777" w:rsidR="00CB2E81" w:rsidRPr="008F7A8E" w:rsidRDefault="00CB2E81" w:rsidP="00422EC8">
            <w:pPr>
              <w:pStyle w:val="Tabletext"/>
              <w:rPr>
                <w:color w:val="000000"/>
              </w:rPr>
            </w:pPr>
            <w:r w:rsidRPr="008F7A8E">
              <w:t>$384.55</w:t>
            </w:r>
          </w:p>
        </w:tc>
        <w:tc>
          <w:tcPr>
            <w:tcW w:w="1530" w:type="dxa"/>
          </w:tcPr>
          <w:p w14:paraId="385D0088" w14:textId="77777777" w:rsidR="00CB2E81" w:rsidRPr="008F7A8E" w:rsidRDefault="00CB2E81" w:rsidP="00422EC8">
            <w:pPr>
              <w:pStyle w:val="Tabletext"/>
              <w:rPr>
                <w:color w:val="000000"/>
              </w:rPr>
            </w:pPr>
            <w:r w:rsidRPr="008F7A8E">
              <w:t>75% = $288.45</w:t>
            </w:r>
          </w:p>
        </w:tc>
      </w:tr>
      <w:tr w:rsidR="00CB2E81" w:rsidRPr="008F7A8E" w14:paraId="61E65227" w14:textId="77777777" w:rsidTr="00DC4144">
        <w:tc>
          <w:tcPr>
            <w:tcW w:w="1053" w:type="dxa"/>
            <w:shd w:val="clear" w:color="auto" w:fill="auto"/>
          </w:tcPr>
          <w:p w14:paraId="4FAD6906" w14:textId="77777777" w:rsidR="00CB2E81" w:rsidRPr="00DC4144" w:rsidRDefault="00CB2E81" w:rsidP="00D10A52">
            <w:pPr>
              <w:pStyle w:val="Tabletext"/>
              <w:rPr>
                <w:b/>
              </w:rPr>
            </w:pPr>
            <w:r w:rsidRPr="00DC4144">
              <w:rPr>
                <w:b/>
              </w:rPr>
              <w:t>41518</w:t>
            </w:r>
          </w:p>
        </w:tc>
        <w:tc>
          <w:tcPr>
            <w:tcW w:w="4947" w:type="dxa"/>
            <w:shd w:val="clear" w:color="auto" w:fill="auto"/>
          </w:tcPr>
          <w:p w14:paraId="4AA2E11F" w14:textId="77777777" w:rsidR="00CB2E81" w:rsidRPr="008F7A8E" w:rsidRDefault="00CB2E81" w:rsidP="006A406F">
            <w:pPr>
              <w:pStyle w:val="Tabletext"/>
            </w:pPr>
            <w:r w:rsidRPr="008F7A8E">
              <w:t>EXTERNAL AUDITORY MEATUS, removal of EXOSTOSES IN (</w:t>
            </w:r>
            <w:proofErr w:type="spellStart"/>
            <w:r w:rsidRPr="008F7A8E">
              <w:t>Anaes</w:t>
            </w:r>
            <w:proofErr w:type="spellEnd"/>
            <w:r w:rsidRPr="008F7A8E">
              <w:t xml:space="preserve">.) (Assist.) </w:t>
            </w:r>
          </w:p>
        </w:tc>
        <w:tc>
          <w:tcPr>
            <w:tcW w:w="1530" w:type="dxa"/>
          </w:tcPr>
          <w:p w14:paraId="65A34936" w14:textId="77777777" w:rsidR="00CB2E81" w:rsidRPr="008F7A8E" w:rsidRDefault="00CB2E81" w:rsidP="00D10A52">
            <w:pPr>
              <w:pStyle w:val="Tabletext"/>
              <w:rPr>
                <w:color w:val="000000"/>
              </w:rPr>
            </w:pPr>
            <w:r w:rsidRPr="008F7A8E">
              <w:t>$928.75</w:t>
            </w:r>
          </w:p>
        </w:tc>
        <w:tc>
          <w:tcPr>
            <w:tcW w:w="1530" w:type="dxa"/>
          </w:tcPr>
          <w:p w14:paraId="443C8C7C" w14:textId="77777777" w:rsidR="00CB2E81" w:rsidRPr="008F7A8E" w:rsidRDefault="00CB2E81" w:rsidP="00D10A52">
            <w:pPr>
              <w:pStyle w:val="Tabletext"/>
              <w:rPr>
                <w:color w:val="000000"/>
              </w:rPr>
            </w:pPr>
            <w:r w:rsidRPr="008F7A8E">
              <w:t>75% = $696.60</w:t>
            </w:r>
          </w:p>
        </w:tc>
      </w:tr>
      <w:tr w:rsidR="00CB2E81" w:rsidRPr="008F7A8E" w14:paraId="16975716" w14:textId="77777777" w:rsidTr="00DC4144">
        <w:tc>
          <w:tcPr>
            <w:tcW w:w="1053" w:type="dxa"/>
            <w:shd w:val="clear" w:color="auto" w:fill="auto"/>
          </w:tcPr>
          <w:p w14:paraId="5BEA8B97" w14:textId="77777777" w:rsidR="00CB2E81" w:rsidRPr="00DC4144" w:rsidRDefault="00CB2E81" w:rsidP="00D10A52">
            <w:pPr>
              <w:pStyle w:val="Tabletext"/>
              <w:rPr>
                <w:b/>
              </w:rPr>
            </w:pPr>
            <w:r w:rsidRPr="00DC4144">
              <w:rPr>
                <w:b/>
              </w:rPr>
              <w:t>41521</w:t>
            </w:r>
          </w:p>
        </w:tc>
        <w:tc>
          <w:tcPr>
            <w:tcW w:w="4947" w:type="dxa"/>
            <w:shd w:val="clear" w:color="auto" w:fill="auto"/>
          </w:tcPr>
          <w:p w14:paraId="4FFA0F7F" w14:textId="77777777" w:rsidR="00CB2E81" w:rsidRPr="008F7A8E" w:rsidRDefault="00CB2E81" w:rsidP="006A406F">
            <w:pPr>
              <w:pStyle w:val="Tabletext"/>
            </w:pPr>
            <w:r w:rsidRPr="008F7A8E">
              <w:t>Correction of AUDITORY CANAL STENOSIS, including meatoplasty, with or without grafting (</w:t>
            </w:r>
            <w:proofErr w:type="spellStart"/>
            <w:r w:rsidRPr="008F7A8E">
              <w:t>Anaes</w:t>
            </w:r>
            <w:proofErr w:type="spellEnd"/>
            <w:r w:rsidRPr="008F7A8E">
              <w:t xml:space="preserve">.) (Assist.) </w:t>
            </w:r>
          </w:p>
        </w:tc>
        <w:tc>
          <w:tcPr>
            <w:tcW w:w="1530" w:type="dxa"/>
          </w:tcPr>
          <w:p w14:paraId="47316DB4" w14:textId="77777777" w:rsidR="00CB2E81" w:rsidRPr="008F7A8E" w:rsidRDefault="00CB2E81" w:rsidP="00D10A52">
            <w:pPr>
              <w:pStyle w:val="Tabletext"/>
              <w:rPr>
                <w:color w:val="000000"/>
              </w:rPr>
            </w:pPr>
            <w:r w:rsidRPr="008F7A8E">
              <w:t>$988.85</w:t>
            </w:r>
          </w:p>
        </w:tc>
        <w:tc>
          <w:tcPr>
            <w:tcW w:w="1530" w:type="dxa"/>
          </w:tcPr>
          <w:p w14:paraId="4E4A61D0" w14:textId="77777777" w:rsidR="00CB2E81" w:rsidRPr="008F7A8E" w:rsidRDefault="00CB2E81" w:rsidP="00D10A52">
            <w:pPr>
              <w:pStyle w:val="Tabletext"/>
              <w:rPr>
                <w:color w:val="000000"/>
              </w:rPr>
            </w:pPr>
            <w:r w:rsidRPr="008F7A8E">
              <w:t>75% = $741.65</w:t>
            </w:r>
          </w:p>
        </w:tc>
      </w:tr>
      <w:tr w:rsidR="00CB2E81" w:rsidRPr="008F7A8E" w14:paraId="336A348A" w14:textId="77777777" w:rsidTr="00DC4144">
        <w:tc>
          <w:tcPr>
            <w:tcW w:w="1053" w:type="dxa"/>
            <w:shd w:val="clear" w:color="auto" w:fill="auto"/>
          </w:tcPr>
          <w:p w14:paraId="46F49765" w14:textId="77777777" w:rsidR="00CB2E81" w:rsidRPr="00DC4144" w:rsidRDefault="00CB2E81" w:rsidP="00D10A52">
            <w:pPr>
              <w:pStyle w:val="Tabletext"/>
              <w:rPr>
                <w:b/>
              </w:rPr>
            </w:pPr>
            <w:r w:rsidRPr="00DC4144">
              <w:rPr>
                <w:b/>
              </w:rPr>
              <w:t>41524</w:t>
            </w:r>
          </w:p>
        </w:tc>
        <w:tc>
          <w:tcPr>
            <w:tcW w:w="4947" w:type="dxa"/>
            <w:shd w:val="clear" w:color="auto" w:fill="auto"/>
          </w:tcPr>
          <w:p w14:paraId="3060E492" w14:textId="77777777" w:rsidR="007E27AB" w:rsidRPr="008F7A8E" w:rsidRDefault="00CB2E81" w:rsidP="00603C77">
            <w:pPr>
              <w:pStyle w:val="Tabletext"/>
            </w:pPr>
            <w:r w:rsidRPr="008F7A8E">
              <w:t>RECONSTRUCTION OF EXTERNAL AUDITORY CANAL, being a service associated with a service to which items 41557, 41560 and 41563 apply (</w:t>
            </w:r>
            <w:proofErr w:type="spellStart"/>
            <w:r w:rsidRPr="008F7A8E">
              <w:t>Anaes</w:t>
            </w:r>
            <w:proofErr w:type="spellEnd"/>
            <w:r w:rsidRPr="008F7A8E">
              <w:t>.) (Assist.)</w:t>
            </w:r>
            <w:r w:rsidR="007E27AB">
              <w:t xml:space="preserve"> </w:t>
            </w:r>
          </w:p>
        </w:tc>
        <w:tc>
          <w:tcPr>
            <w:tcW w:w="1530" w:type="dxa"/>
          </w:tcPr>
          <w:p w14:paraId="102D7794" w14:textId="77777777" w:rsidR="00CB2E81" w:rsidRPr="008F7A8E" w:rsidRDefault="00CB2E81" w:rsidP="00422EC8">
            <w:pPr>
              <w:pStyle w:val="Tabletext"/>
              <w:rPr>
                <w:color w:val="000000"/>
              </w:rPr>
            </w:pPr>
            <w:r w:rsidRPr="008F7A8E">
              <w:t>$285.70</w:t>
            </w:r>
          </w:p>
        </w:tc>
        <w:tc>
          <w:tcPr>
            <w:tcW w:w="1530" w:type="dxa"/>
          </w:tcPr>
          <w:p w14:paraId="3B5127A2" w14:textId="77777777" w:rsidR="00CB2E81" w:rsidRPr="008F7A8E" w:rsidRDefault="00CB2E81" w:rsidP="00422EC8">
            <w:pPr>
              <w:pStyle w:val="Tabletext"/>
              <w:rPr>
                <w:color w:val="000000"/>
              </w:rPr>
            </w:pPr>
            <w:r w:rsidRPr="008F7A8E">
              <w:t>75% = $214.30</w:t>
            </w:r>
          </w:p>
        </w:tc>
      </w:tr>
      <w:tr w:rsidR="00CB2E81" w:rsidRPr="008F7A8E" w14:paraId="06394D48" w14:textId="77777777" w:rsidTr="00DC4144">
        <w:tc>
          <w:tcPr>
            <w:tcW w:w="1053" w:type="dxa"/>
            <w:shd w:val="clear" w:color="auto" w:fill="auto"/>
          </w:tcPr>
          <w:p w14:paraId="0C6E5EF0" w14:textId="77777777" w:rsidR="00CB2E81" w:rsidRPr="00DC4144" w:rsidRDefault="00CB2E81" w:rsidP="00D10A52">
            <w:pPr>
              <w:pStyle w:val="Tabletext"/>
              <w:rPr>
                <w:b/>
              </w:rPr>
            </w:pPr>
            <w:r w:rsidRPr="00DC4144">
              <w:rPr>
                <w:b/>
              </w:rPr>
              <w:t>41527</w:t>
            </w:r>
          </w:p>
        </w:tc>
        <w:tc>
          <w:tcPr>
            <w:tcW w:w="4947" w:type="dxa"/>
            <w:shd w:val="clear" w:color="auto" w:fill="auto"/>
          </w:tcPr>
          <w:p w14:paraId="013CD7A3" w14:textId="77777777" w:rsidR="00CB2E81" w:rsidRPr="008F7A8E" w:rsidRDefault="00CB2E81" w:rsidP="006A406F">
            <w:pPr>
              <w:pStyle w:val="Tabletext"/>
            </w:pPr>
            <w:r w:rsidRPr="008F7A8E">
              <w:t xml:space="preserve">MYRINGOPLASTY, </w:t>
            </w:r>
            <w:proofErr w:type="spellStart"/>
            <w:r w:rsidRPr="008F7A8E">
              <w:t>transcanal</w:t>
            </w:r>
            <w:proofErr w:type="spellEnd"/>
            <w:r w:rsidRPr="008F7A8E">
              <w:t xml:space="preserve"> approach (Rosen incision) (</w:t>
            </w:r>
            <w:proofErr w:type="spellStart"/>
            <w:r w:rsidRPr="008F7A8E">
              <w:t>Anaes</w:t>
            </w:r>
            <w:proofErr w:type="spellEnd"/>
            <w:r w:rsidRPr="008F7A8E">
              <w:t xml:space="preserve">.) (Assist.) </w:t>
            </w:r>
          </w:p>
        </w:tc>
        <w:tc>
          <w:tcPr>
            <w:tcW w:w="1530" w:type="dxa"/>
          </w:tcPr>
          <w:p w14:paraId="16292F68" w14:textId="77777777" w:rsidR="00CB2E81" w:rsidRPr="008F7A8E" w:rsidRDefault="00CB2E81" w:rsidP="00D10A52">
            <w:pPr>
              <w:pStyle w:val="Tabletext"/>
              <w:rPr>
                <w:color w:val="000000"/>
              </w:rPr>
            </w:pPr>
            <w:r w:rsidRPr="008F7A8E">
              <w:t>$587.60</w:t>
            </w:r>
          </w:p>
        </w:tc>
        <w:tc>
          <w:tcPr>
            <w:tcW w:w="1530" w:type="dxa"/>
          </w:tcPr>
          <w:p w14:paraId="450C5C2F" w14:textId="77777777" w:rsidR="00CB2E81" w:rsidRPr="008F7A8E" w:rsidRDefault="00CB2E81" w:rsidP="00D10A52">
            <w:pPr>
              <w:pStyle w:val="Tabletext"/>
              <w:rPr>
                <w:color w:val="000000"/>
              </w:rPr>
            </w:pPr>
            <w:r w:rsidRPr="008F7A8E">
              <w:t>75% = $440.70</w:t>
            </w:r>
          </w:p>
        </w:tc>
      </w:tr>
      <w:tr w:rsidR="00CB2E81" w:rsidRPr="008F7A8E" w14:paraId="6CD4745B" w14:textId="77777777" w:rsidTr="00DC4144">
        <w:tc>
          <w:tcPr>
            <w:tcW w:w="1053" w:type="dxa"/>
            <w:shd w:val="clear" w:color="auto" w:fill="auto"/>
          </w:tcPr>
          <w:p w14:paraId="5F5688FD" w14:textId="77777777" w:rsidR="00CB2E81" w:rsidRPr="00DC4144" w:rsidRDefault="00CB2E81" w:rsidP="00D10A52">
            <w:pPr>
              <w:pStyle w:val="Tabletext"/>
              <w:rPr>
                <w:b/>
              </w:rPr>
            </w:pPr>
            <w:r w:rsidRPr="00DC4144">
              <w:rPr>
                <w:b/>
              </w:rPr>
              <w:t>41530</w:t>
            </w:r>
          </w:p>
        </w:tc>
        <w:tc>
          <w:tcPr>
            <w:tcW w:w="4947" w:type="dxa"/>
            <w:shd w:val="clear" w:color="auto" w:fill="auto"/>
          </w:tcPr>
          <w:p w14:paraId="15D236D7" w14:textId="77777777" w:rsidR="00CB2E81" w:rsidRPr="008F7A8E" w:rsidRDefault="00CB2E81" w:rsidP="006A406F">
            <w:pPr>
              <w:pStyle w:val="Tabletext"/>
            </w:pPr>
            <w:r w:rsidRPr="008F7A8E">
              <w:t xml:space="preserve">MYRINGOPLASTY, </w:t>
            </w:r>
            <w:proofErr w:type="spellStart"/>
            <w:r w:rsidRPr="008F7A8E">
              <w:t>postaural</w:t>
            </w:r>
            <w:proofErr w:type="spellEnd"/>
            <w:r w:rsidRPr="008F7A8E">
              <w:t xml:space="preserve"> or </w:t>
            </w:r>
            <w:proofErr w:type="spellStart"/>
            <w:r w:rsidRPr="008F7A8E">
              <w:t>endaural</w:t>
            </w:r>
            <w:proofErr w:type="spellEnd"/>
            <w:r w:rsidRPr="008F7A8E">
              <w:t xml:space="preserve"> approach with or without mastoid inspection (</w:t>
            </w:r>
            <w:proofErr w:type="spellStart"/>
            <w:r w:rsidRPr="008F7A8E">
              <w:t>Anaes</w:t>
            </w:r>
            <w:proofErr w:type="spellEnd"/>
            <w:r w:rsidRPr="008F7A8E">
              <w:t xml:space="preserve">.) </w:t>
            </w:r>
          </w:p>
        </w:tc>
        <w:tc>
          <w:tcPr>
            <w:tcW w:w="1530" w:type="dxa"/>
          </w:tcPr>
          <w:p w14:paraId="3C8EA348" w14:textId="77777777" w:rsidR="00CB2E81" w:rsidRPr="008F7A8E" w:rsidRDefault="00CB2E81" w:rsidP="00D10A52">
            <w:pPr>
              <w:pStyle w:val="Tabletext"/>
              <w:rPr>
                <w:color w:val="000000"/>
              </w:rPr>
            </w:pPr>
            <w:r w:rsidRPr="008F7A8E">
              <w:t>$957.30</w:t>
            </w:r>
          </w:p>
        </w:tc>
        <w:tc>
          <w:tcPr>
            <w:tcW w:w="1530" w:type="dxa"/>
          </w:tcPr>
          <w:p w14:paraId="471ADE71" w14:textId="77777777" w:rsidR="00CB2E81" w:rsidRPr="008F7A8E" w:rsidRDefault="00CB2E81" w:rsidP="00D10A52">
            <w:pPr>
              <w:pStyle w:val="Tabletext"/>
              <w:rPr>
                <w:color w:val="000000"/>
              </w:rPr>
            </w:pPr>
            <w:r w:rsidRPr="008F7A8E">
              <w:t>75% = $718.00</w:t>
            </w:r>
          </w:p>
        </w:tc>
      </w:tr>
      <w:tr w:rsidR="00CB2E81" w:rsidRPr="008F7A8E" w14:paraId="0AE37289" w14:textId="77777777" w:rsidTr="00DC4144">
        <w:tc>
          <w:tcPr>
            <w:tcW w:w="1053" w:type="dxa"/>
            <w:shd w:val="clear" w:color="auto" w:fill="auto"/>
          </w:tcPr>
          <w:p w14:paraId="2D80C910" w14:textId="77777777" w:rsidR="00CB2E81" w:rsidRPr="00DC4144" w:rsidRDefault="00CB2E81" w:rsidP="00D10A52">
            <w:pPr>
              <w:pStyle w:val="Tabletext"/>
              <w:rPr>
                <w:b/>
              </w:rPr>
            </w:pPr>
            <w:r w:rsidRPr="00DC4144">
              <w:rPr>
                <w:b/>
              </w:rPr>
              <w:t>41533</w:t>
            </w:r>
          </w:p>
        </w:tc>
        <w:tc>
          <w:tcPr>
            <w:tcW w:w="4947" w:type="dxa"/>
            <w:shd w:val="clear" w:color="auto" w:fill="auto"/>
          </w:tcPr>
          <w:p w14:paraId="40AE23FC" w14:textId="77777777" w:rsidR="00CB2E81" w:rsidRPr="008F7A8E" w:rsidRDefault="00CB2E81" w:rsidP="006A406F">
            <w:pPr>
              <w:pStyle w:val="Tabletext"/>
            </w:pPr>
            <w:r w:rsidRPr="008F7A8E">
              <w:t>ATTICOTOMY without reconstruction of the bony defect, with or without myringoplasty (</w:t>
            </w:r>
            <w:proofErr w:type="spellStart"/>
            <w:r w:rsidRPr="008F7A8E">
              <w:t>Anaes</w:t>
            </w:r>
            <w:proofErr w:type="spellEnd"/>
            <w:r w:rsidRPr="008F7A8E">
              <w:t xml:space="preserve">.) (Assist.) </w:t>
            </w:r>
          </w:p>
        </w:tc>
        <w:tc>
          <w:tcPr>
            <w:tcW w:w="1530" w:type="dxa"/>
          </w:tcPr>
          <w:p w14:paraId="73A744B9" w14:textId="77777777" w:rsidR="00CB2E81" w:rsidRPr="008F7A8E" w:rsidRDefault="00CB2E81" w:rsidP="00D10A52">
            <w:pPr>
              <w:pStyle w:val="Tabletext"/>
              <w:rPr>
                <w:color w:val="000000"/>
              </w:rPr>
            </w:pPr>
            <w:r w:rsidRPr="008F7A8E">
              <w:t>$1,144.30</w:t>
            </w:r>
          </w:p>
        </w:tc>
        <w:tc>
          <w:tcPr>
            <w:tcW w:w="1530" w:type="dxa"/>
          </w:tcPr>
          <w:p w14:paraId="730466AA" w14:textId="77777777" w:rsidR="00CB2E81" w:rsidRPr="008F7A8E" w:rsidRDefault="00CB2E81" w:rsidP="00D10A52">
            <w:pPr>
              <w:pStyle w:val="Tabletext"/>
              <w:rPr>
                <w:color w:val="000000"/>
              </w:rPr>
            </w:pPr>
            <w:r w:rsidRPr="008F7A8E">
              <w:t>75% = $858.25</w:t>
            </w:r>
          </w:p>
        </w:tc>
      </w:tr>
      <w:tr w:rsidR="00CB2E81" w:rsidRPr="008F7A8E" w14:paraId="0D6F93E1" w14:textId="77777777" w:rsidTr="00DC4144">
        <w:tc>
          <w:tcPr>
            <w:tcW w:w="1053" w:type="dxa"/>
            <w:shd w:val="clear" w:color="auto" w:fill="auto"/>
          </w:tcPr>
          <w:p w14:paraId="52AD9F1A" w14:textId="77777777" w:rsidR="00CB2E81" w:rsidRPr="00DC4144" w:rsidRDefault="00CB2E81" w:rsidP="00D10A52">
            <w:pPr>
              <w:pStyle w:val="Tabletext"/>
              <w:rPr>
                <w:b/>
              </w:rPr>
            </w:pPr>
            <w:r w:rsidRPr="00DC4144">
              <w:rPr>
                <w:b/>
              </w:rPr>
              <w:lastRenderedPageBreak/>
              <w:t>41536</w:t>
            </w:r>
          </w:p>
        </w:tc>
        <w:tc>
          <w:tcPr>
            <w:tcW w:w="4947" w:type="dxa"/>
            <w:shd w:val="clear" w:color="auto" w:fill="auto"/>
          </w:tcPr>
          <w:p w14:paraId="69BD7E29" w14:textId="77777777" w:rsidR="00CB2E81" w:rsidRPr="008F7A8E" w:rsidRDefault="00CB2E81" w:rsidP="006A406F">
            <w:pPr>
              <w:pStyle w:val="Tabletext"/>
            </w:pPr>
            <w:r w:rsidRPr="008F7A8E">
              <w:t>ATTICOTOMY with reconstruction of the bony defect, with or without myringoplasty (</w:t>
            </w:r>
            <w:proofErr w:type="spellStart"/>
            <w:r w:rsidRPr="008F7A8E">
              <w:t>Anaes</w:t>
            </w:r>
            <w:proofErr w:type="spellEnd"/>
            <w:r w:rsidRPr="008F7A8E">
              <w:t xml:space="preserve">.) (Assist.) </w:t>
            </w:r>
          </w:p>
        </w:tc>
        <w:tc>
          <w:tcPr>
            <w:tcW w:w="1530" w:type="dxa"/>
          </w:tcPr>
          <w:p w14:paraId="259DE34E" w14:textId="77777777" w:rsidR="00CB2E81" w:rsidRPr="008F7A8E" w:rsidRDefault="00CB2E81" w:rsidP="00D10A52">
            <w:pPr>
              <w:pStyle w:val="Tabletext"/>
              <w:rPr>
                <w:color w:val="000000"/>
              </w:rPr>
            </w:pPr>
            <w:r w:rsidRPr="008F7A8E">
              <w:t>$1,281.70</w:t>
            </w:r>
          </w:p>
        </w:tc>
        <w:tc>
          <w:tcPr>
            <w:tcW w:w="1530" w:type="dxa"/>
          </w:tcPr>
          <w:p w14:paraId="3525FD34" w14:textId="77777777" w:rsidR="00CB2E81" w:rsidRPr="008F7A8E" w:rsidRDefault="00CB2E81" w:rsidP="00D10A52">
            <w:pPr>
              <w:pStyle w:val="Tabletext"/>
              <w:rPr>
                <w:color w:val="000000"/>
              </w:rPr>
            </w:pPr>
            <w:r w:rsidRPr="008F7A8E">
              <w:t>75% = $961.30</w:t>
            </w:r>
          </w:p>
        </w:tc>
      </w:tr>
      <w:tr w:rsidR="00CB2E81" w:rsidRPr="008F7A8E" w14:paraId="3A98AD32" w14:textId="77777777" w:rsidTr="00DC4144">
        <w:tc>
          <w:tcPr>
            <w:tcW w:w="1053" w:type="dxa"/>
            <w:shd w:val="clear" w:color="auto" w:fill="auto"/>
          </w:tcPr>
          <w:p w14:paraId="0C88C601" w14:textId="77777777" w:rsidR="00CB2E81" w:rsidRPr="00DC4144" w:rsidRDefault="00CB2E81" w:rsidP="00D10A52">
            <w:pPr>
              <w:pStyle w:val="Tabletext"/>
              <w:rPr>
                <w:b/>
              </w:rPr>
            </w:pPr>
            <w:r w:rsidRPr="00DC4144">
              <w:rPr>
                <w:b/>
              </w:rPr>
              <w:t>41539</w:t>
            </w:r>
          </w:p>
        </w:tc>
        <w:tc>
          <w:tcPr>
            <w:tcW w:w="4947" w:type="dxa"/>
            <w:shd w:val="clear" w:color="auto" w:fill="auto"/>
          </w:tcPr>
          <w:p w14:paraId="7620CEBB" w14:textId="77777777" w:rsidR="00CB2E81" w:rsidRPr="008F7A8E" w:rsidRDefault="00CB2E81" w:rsidP="006A406F">
            <w:pPr>
              <w:pStyle w:val="Tabletext"/>
            </w:pPr>
            <w:r w:rsidRPr="008F7A8E">
              <w:t>OSSICULAR CHAIN RECONSTRUCTION (</w:t>
            </w:r>
            <w:proofErr w:type="spellStart"/>
            <w:r w:rsidRPr="008F7A8E">
              <w:t>Anaes</w:t>
            </w:r>
            <w:proofErr w:type="spellEnd"/>
            <w:r w:rsidRPr="008F7A8E">
              <w:t xml:space="preserve">.) (Assist.) </w:t>
            </w:r>
          </w:p>
        </w:tc>
        <w:tc>
          <w:tcPr>
            <w:tcW w:w="1530" w:type="dxa"/>
          </w:tcPr>
          <w:p w14:paraId="63A7C8E1" w14:textId="77777777" w:rsidR="00CB2E81" w:rsidRPr="008F7A8E" w:rsidRDefault="00CB2E81" w:rsidP="00D10A52">
            <w:pPr>
              <w:pStyle w:val="Tabletext"/>
              <w:rPr>
                <w:color w:val="000000"/>
              </w:rPr>
            </w:pPr>
            <w:r w:rsidRPr="008F7A8E">
              <w:t>$1,089.90</w:t>
            </w:r>
          </w:p>
        </w:tc>
        <w:tc>
          <w:tcPr>
            <w:tcW w:w="1530" w:type="dxa"/>
          </w:tcPr>
          <w:p w14:paraId="36D23DC6" w14:textId="77777777" w:rsidR="00CB2E81" w:rsidRPr="008F7A8E" w:rsidRDefault="00CB2E81" w:rsidP="00D10A52">
            <w:pPr>
              <w:pStyle w:val="Tabletext"/>
              <w:rPr>
                <w:color w:val="000000"/>
              </w:rPr>
            </w:pPr>
            <w:r w:rsidRPr="008F7A8E">
              <w:t>75% = $817.45</w:t>
            </w:r>
          </w:p>
        </w:tc>
      </w:tr>
      <w:tr w:rsidR="00CB2E81" w:rsidRPr="008F7A8E" w14:paraId="1B90F05A" w14:textId="77777777" w:rsidTr="00DC4144">
        <w:tc>
          <w:tcPr>
            <w:tcW w:w="1053" w:type="dxa"/>
            <w:shd w:val="clear" w:color="auto" w:fill="auto"/>
          </w:tcPr>
          <w:p w14:paraId="0E392FF5" w14:textId="77777777" w:rsidR="00CB2E81" w:rsidRPr="00DC4144" w:rsidRDefault="00CB2E81" w:rsidP="00D10A52">
            <w:pPr>
              <w:pStyle w:val="Tabletext"/>
              <w:rPr>
                <w:b/>
              </w:rPr>
            </w:pPr>
            <w:r w:rsidRPr="00DC4144">
              <w:rPr>
                <w:b/>
              </w:rPr>
              <w:t>41542</w:t>
            </w:r>
          </w:p>
        </w:tc>
        <w:tc>
          <w:tcPr>
            <w:tcW w:w="4947" w:type="dxa"/>
            <w:shd w:val="clear" w:color="auto" w:fill="auto"/>
          </w:tcPr>
          <w:p w14:paraId="42F186D9" w14:textId="77777777" w:rsidR="00CB2E81" w:rsidRPr="008F7A8E" w:rsidRDefault="00CB2E81" w:rsidP="006A406F">
            <w:pPr>
              <w:pStyle w:val="Tabletext"/>
            </w:pPr>
            <w:r w:rsidRPr="008F7A8E">
              <w:t>OSSICULAR CHAIN RECONSTRUCTION AND MYRINGOPLASTY (</w:t>
            </w:r>
            <w:proofErr w:type="spellStart"/>
            <w:r w:rsidRPr="008F7A8E">
              <w:t>Anaes</w:t>
            </w:r>
            <w:proofErr w:type="spellEnd"/>
            <w:r w:rsidRPr="008F7A8E">
              <w:t xml:space="preserve">.) (Assist.) </w:t>
            </w:r>
          </w:p>
        </w:tc>
        <w:tc>
          <w:tcPr>
            <w:tcW w:w="1530" w:type="dxa"/>
          </w:tcPr>
          <w:p w14:paraId="46CEF931" w14:textId="77777777" w:rsidR="00CB2E81" w:rsidRPr="008F7A8E" w:rsidRDefault="00CB2E81" w:rsidP="00D10A52">
            <w:pPr>
              <w:pStyle w:val="Tabletext"/>
              <w:rPr>
                <w:color w:val="000000"/>
              </w:rPr>
            </w:pPr>
            <w:r w:rsidRPr="008F7A8E">
              <w:t>$1,194.25</w:t>
            </w:r>
          </w:p>
        </w:tc>
        <w:tc>
          <w:tcPr>
            <w:tcW w:w="1530" w:type="dxa"/>
          </w:tcPr>
          <w:p w14:paraId="0D3A95C9" w14:textId="77777777" w:rsidR="00CB2E81" w:rsidRPr="008F7A8E" w:rsidRDefault="00CB2E81" w:rsidP="00D10A52">
            <w:pPr>
              <w:pStyle w:val="Tabletext"/>
              <w:rPr>
                <w:color w:val="000000"/>
              </w:rPr>
            </w:pPr>
            <w:r w:rsidRPr="008F7A8E">
              <w:t>75% = $895.70</w:t>
            </w:r>
          </w:p>
        </w:tc>
      </w:tr>
      <w:tr w:rsidR="00CB2E81" w:rsidRPr="008F7A8E" w14:paraId="33E9AB82" w14:textId="77777777" w:rsidTr="00DC4144">
        <w:tc>
          <w:tcPr>
            <w:tcW w:w="1053" w:type="dxa"/>
            <w:shd w:val="clear" w:color="auto" w:fill="auto"/>
          </w:tcPr>
          <w:p w14:paraId="2261663E" w14:textId="77777777" w:rsidR="00CB2E81" w:rsidRPr="00DC4144" w:rsidRDefault="00CB2E81" w:rsidP="00D10A52">
            <w:pPr>
              <w:pStyle w:val="Tabletext"/>
              <w:rPr>
                <w:b/>
              </w:rPr>
            </w:pPr>
            <w:r w:rsidRPr="00DC4144">
              <w:rPr>
                <w:b/>
              </w:rPr>
              <w:t>41545</w:t>
            </w:r>
          </w:p>
        </w:tc>
        <w:tc>
          <w:tcPr>
            <w:tcW w:w="4947" w:type="dxa"/>
            <w:shd w:val="clear" w:color="auto" w:fill="auto"/>
          </w:tcPr>
          <w:p w14:paraId="0D9C1F2F" w14:textId="77777777" w:rsidR="00CB2E81" w:rsidRPr="008F7A8E" w:rsidRDefault="00CB2E81" w:rsidP="006A406F">
            <w:pPr>
              <w:pStyle w:val="Tabletext"/>
            </w:pPr>
            <w:r w:rsidRPr="008F7A8E">
              <w:t>MASTOIDECTOMY (CORTICAL) (</w:t>
            </w:r>
            <w:proofErr w:type="spellStart"/>
            <w:r w:rsidRPr="008F7A8E">
              <w:t>Anaes</w:t>
            </w:r>
            <w:proofErr w:type="spellEnd"/>
            <w:r w:rsidRPr="008F7A8E">
              <w:t xml:space="preserve">.) (Assist.) </w:t>
            </w:r>
          </w:p>
        </w:tc>
        <w:tc>
          <w:tcPr>
            <w:tcW w:w="1530" w:type="dxa"/>
          </w:tcPr>
          <w:p w14:paraId="39650C91" w14:textId="77777777" w:rsidR="00CB2E81" w:rsidRPr="008F7A8E" w:rsidRDefault="00CB2E81" w:rsidP="00D10A52">
            <w:pPr>
              <w:pStyle w:val="Tabletext"/>
              <w:rPr>
                <w:color w:val="000000"/>
              </w:rPr>
            </w:pPr>
            <w:r w:rsidRPr="008F7A8E">
              <w:t>$521.25</w:t>
            </w:r>
          </w:p>
        </w:tc>
        <w:tc>
          <w:tcPr>
            <w:tcW w:w="1530" w:type="dxa"/>
          </w:tcPr>
          <w:p w14:paraId="749FDCE1" w14:textId="77777777" w:rsidR="00CB2E81" w:rsidRPr="008F7A8E" w:rsidRDefault="00CB2E81" w:rsidP="00D10A52">
            <w:pPr>
              <w:pStyle w:val="Tabletext"/>
              <w:rPr>
                <w:color w:val="000000"/>
              </w:rPr>
            </w:pPr>
            <w:r w:rsidRPr="008F7A8E">
              <w:t>75% = $390.95</w:t>
            </w:r>
          </w:p>
        </w:tc>
      </w:tr>
      <w:tr w:rsidR="00CB2E81" w:rsidRPr="008F7A8E" w14:paraId="30341CAB" w14:textId="77777777" w:rsidTr="00DC4144">
        <w:tc>
          <w:tcPr>
            <w:tcW w:w="1053" w:type="dxa"/>
            <w:shd w:val="clear" w:color="auto" w:fill="auto"/>
          </w:tcPr>
          <w:p w14:paraId="2665792A" w14:textId="77777777" w:rsidR="00CB2E81" w:rsidRPr="00DC4144" w:rsidRDefault="00CB2E81" w:rsidP="00D10A52">
            <w:pPr>
              <w:pStyle w:val="Tabletext"/>
              <w:rPr>
                <w:b/>
              </w:rPr>
            </w:pPr>
            <w:r w:rsidRPr="00DC4144">
              <w:rPr>
                <w:b/>
              </w:rPr>
              <w:t>41548</w:t>
            </w:r>
          </w:p>
        </w:tc>
        <w:tc>
          <w:tcPr>
            <w:tcW w:w="4947" w:type="dxa"/>
            <w:shd w:val="clear" w:color="auto" w:fill="auto"/>
          </w:tcPr>
          <w:p w14:paraId="1DE5F90E" w14:textId="77777777" w:rsidR="00CB2E81" w:rsidRPr="008F7A8E" w:rsidRDefault="00CB2E81" w:rsidP="006A406F">
            <w:pPr>
              <w:pStyle w:val="Tabletext"/>
            </w:pPr>
            <w:r w:rsidRPr="008F7A8E">
              <w:t>OBLITERATION OF THE MASTOID CAVITY (</w:t>
            </w:r>
            <w:proofErr w:type="spellStart"/>
            <w:r w:rsidRPr="008F7A8E">
              <w:t>Anaes</w:t>
            </w:r>
            <w:proofErr w:type="spellEnd"/>
            <w:r w:rsidRPr="008F7A8E">
              <w:t xml:space="preserve">.) (Assist.) </w:t>
            </w:r>
          </w:p>
        </w:tc>
        <w:tc>
          <w:tcPr>
            <w:tcW w:w="1530" w:type="dxa"/>
          </w:tcPr>
          <w:p w14:paraId="1A905BCA" w14:textId="77777777" w:rsidR="00CB2E81" w:rsidRPr="008F7A8E" w:rsidRDefault="00CB2E81" w:rsidP="00D10A52">
            <w:pPr>
              <w:pStyle w:val="Tabletext"/>
              <w:rPr>
                <w:color w:val="000000"/>
              </w:rPr>
            </w:pPr>
            <w:r w:rsidRPr="008F7A8E">
              <w:t>$691.75</w:t>
            </w:r>
          </w:p>
        </w:tc>
        <w:tc>
          <w:tcPr>
            <w:tcW w:w="1530" w:type="dxa"/>
          </w:tcPr>
          <w:p w14:paraId="2F1E15B9" w14:textId="77777777" w:rsidR="00CB2E81" w:rsidRPr="008F7A8E" w:rsidRDefault="00CB2E81" w:rsidP="00D10A52">
            <w:pPr>
              <w:pStyle w:val="Tabletext"/>
              <w:rPr>
                <w:color w:val="000000"/>
              </w:rPr>
            </w:pPr>
            <w:r w:rsidRPr="008F7A8E">
              <w:t>75% = $518.85</w:t>
            </w:r>
          </w:p>
        </w:tc>
      </w:tr>
      <w:tr w:rsidR="00CB2E81" w:rsidRPr="008F7A8E" w14:paraId="036F694F" w14:textId="77777777" w:rsidTr="00DC4144">
        <w:tc>
          <w:tcPr>
            <w:tcW w:w="1053" w:type="dxa"/>
            <w:shd w:val="clear" w:color="auto" w:fill="auto"/>
          </w:tcPr>
          <w:p w14:paraId="5A3CAA61" w14:textId="77777777" w:rsidR="00CB2E81" w:rsidRPr="00DC4144" w:rsidRDefault="00CB2E81" w:rsidP="00D10A52">
            <w:pPr>
              <w:pStyle w:val="Tabletext"/>
              <w:rPr>
                <w:b/>
              </w:rPr>
            </w:pPr>
            <w:r w:rsidRPr="00DC4144">
              <w:rPr>
                <w:b/>
              </w:rPr>
              <w:t>41551</w:t>
            </w:r>
          </w:p>
        </w:tc>
        <w:tc>
          <w:tcPr>
            <w:tcW w:w="4947" w:type="dxa"/>
            <w:shd w:val="clear" w:color="auto" w:fill="auto"/>
          </w:tcPr>
          <w:p w14:paraId="64613868" w14:textId="77777777" w:rsidR="00CB2E81" w:rsidRPr="008F7A8E" w:rsidRDefault="00CB2E81" w:rsidP="006A406F">
            <w:pPr>
              <w:pStyle w:val="Tabletext"/>
            </w:pPr>
            <w:r w:rsidRPr="008F7A8E">
              <w:t>MASTOIDECTOMY, intact wall technique, with myringoplasty (</w:t>
            </w:r>
            <w:proofErr w:type="spellStart"/>
            <w:r w:rsidRPr="008F7A8E">
              <w:t>Anaes</w:t>
            </w:r>
            <w:proofErr w:type="spellEnd"/>
            <w:r w:rsidRPr="008F7A8E">
              <w:t xml:space="preserve">.) (Assist.) </w:t>
            </w:r>
          </w:p>
        </w:tc>
        <w:tc>
          <w:tcPr>
            <w:tcW w:w="1530" w:type="dxa"/>
          </w:tcPr>
          <w:p w14:paraId="00BDE093" w14:textId="77777777" w:rsidR="00CB2E81" w:rsidRPr="008F7A8E" w:rsidRDefault="00CB2E81" w:rsidP="00D10A52">
            <w:pPr>
              <w:pStyle w:val="Tabletext"/>
              <w:rPr>
                <w:color w:val="000000"/>
              </w:rPr>
            </w:pPr>
            <w:r w:rsidRPr="008F7A8E">
              <w:t>$1,593.05</w:t>
            </w:r>
          </w:p>
        </w:tc>
        <w:tc>
          <w:tcPr>
            <w:tcW w:w="1530" w:type="dxa"/>
          </w:tcPr>
          <w:p w14:paraId="0F5D255F" w14:textId="77777777" w:rsidR="00CB2E81" w:rsidRPr="008F7A8E" w:rsidRDefault="00CB2E81" w:rsidP="00D10A52">
            <w:pPr>
              <w:pStyle w:val="Tabletext"/>
              <w:rPr>
                <w:color w:val="000000"/>
              </w:rPr>
            </w:pPr>
            <w:r w:rsidRPr="008F7A8E">
              <w:t>75% = $1,194.80</w:t>
            </w:r>
          </w:p>
        </w:tc>
      </w:tr>
      <w:tr w:rsidR="00CB2E81" w:rsidRPr="008F7A8E" w14:paraId="264D7C0A" w14:textId="77777777" w:rsidTr="00DC4144">
        <w:tc>
          <w:tcPr>
            <w:tcW w:w="1053" w:type="dxa"/>
            <w:shd w:val="clear" w:color="auto" w:fill="auto"/>
          </w:tcPr>
          <w:p w14:paraId="6427B8BA" w14:textId="77777777" w:rsidR="00CB2E81" w:rsidRPr="00DC4144" w:rsidRDefault="00CB2E81" w:rsidP="00D10A52">
            <w:pPr>
              <w:pStyle w:val="Tabletext"/>
              <w:rPr>
                <w:b/>
              </w:rPr>
            </w:pPr>
            <w:r w:rsidRPr="00DC4144">
              <w:rPr>
                <w:b/>
              </w:rPr>
              <w:t>41554</w:t>
            </w:r>
          </w:p>
        </w:tc>
        <w:tc>
          <w:tcPr>
            <w:tcW w:w="4947" w:type="dxa"/>
            <w:shd w:val="clear" w:color="auto" w:fill="auto"/>
          </w:tcPr>
          <w:p w14:paraId="62E6A287" w14:textId="77777777" w:rsidR="00CB2E81" w:rsidRPr="008F7A8E" w:rsidRDefault="00CB2E81" w:rsidP="006A406F">
            <w:pPr>
              <w:pStyle w:val="Tabletext"/>
            </w:pPr>
            <w:r w:rsidRPr="008F7A8E">
              <w:t>MASTOIDECTOMY, intact wall technique, with myringoplasty and ossicular chain reconstruction (</w:t>
            </w:r>
            <w:proofErr w:type="spellStart"/>
            <w:r w:rsidRPr="008F7A8E">
              <w:t>Anaes</w:t>
            </w:r>
            <w:proofErr w:type="spellEnd"/>
            <w:r w:rsidRPr="008F7A8E">
              <w:t xml:space="preserve">.) (Assist.) </w:t>
            </w:r>
          </w:p>
        </w:tc>
        <w:tc>
          <w:tcPr>
            <w:tcW w:w="1530" w:type="dxa"/>
          </w:tcPr>
          <w:p w14:paraId="44F60D3A" w14:textId="77777777" w:rsidR="00CB2E81" w:rsidRPr="008F7A8E" w:rsidRDefault="00CB2E81" w:rsidP="00D10A52">
            <w:pPr>
              <w:pStyle w:val="Tabletext"/>
              <w:rPr>
                <w:color w:val="000000"/>
              </w:rPr>
            </w:pPr>
            <w:r w:rsidRPr="008F7A8E">
              <w:t>$1,876.95</w:t>
            </w:r>
          </w:p>
        </w:tc>
        <w:tc>
          <w:tcPr>
            <w:tcW w:w="1530" w:type="dxa"/>
          </w:tcPr>
          <w:p w14:paraId="2E665166" w14:textId="77777777" w:rsidR="00CB2E81" w:rsidRPr="008F7A8E" w:rsidRDefault="00CB2E81" w:rsidP="00D10A52">
            <w:pPr>
              <w:pStyle w:val="Tabletext"/>
              <w:rPr>
                <w:color w:val="000000"/>
              </w:rPr>
            </w:pPr>
            <w:r w:rsidRPr="008F7A8E">
              <w:t>75% = $1,407.75</w:t>
            </w:r>
          </w:p>
        </w:tc>
      </w:tr>
      <w:tr w:rsidR="00CB2E81" w:rsidRPr="008F7A8E" w14:paraId="49A115CD" w14:textId="77777777" w:rsidTr="00DC4144">
        <w:tc>
          <w:tcPr>
            <w:tcW w:w="1053" w:type="dxa"/>
            <w:shd w:val="clear" w:color="auto" w:fill="auto"/>
          </w:tcPr>
          <w:p w14:paraId="059C5823" w14:textId="77777777" w:rsidR="00CB2E81" w:rsidRPr="00DC4144" w:rsidRDefault="00CB2E81" w:rsidP="00D10A52">
            <w:pPr>
              <w:pStyle w:val="Tabletext"/>
              <w:rPr>
                <w:b/>
              </w:rPr>
            </w:pPr>
            <w:r w:rsidRPr="00DC4144">
              <w:rPr>
                <w:b/>
              </w:rPr>
              <w:t>41557</w:t>
            </w:r>
          </w:p>
        </w:tc>
        <w:tc>
          <w:tcPr>
            <w:tcW w:w="4947" w:type="dxa"/>
            <w:shd w:val="clear" w:color="auto" w:fill="auto"/>
          </w:tcPr>
          <w:p w14:paraId="59EDFBA6" w14:textId="77777777" w:rsidR="00CB2E81" w:rsidRPr="008F7A8E" w:rsidRDefault="00CB2E81" w:rsidP="006A406F">
            <w:pPr>
              <w:pStyle w:val="Tabletext"/>
            </w:pPr>
            <w:r w:rsidRPr="008F7A8E">
              <w:t>MASTOIDECTOMY (RADICAL OR MODIFIED RADICAL) (</w:t>
            </w:r>
            <w:proofErr w:type="spellStart"/>
            <w:r w:rsidRPr="008F7A8E">
              <w:t>Anaes</w:t>
            </w:r>
            <w:proofErr w:type="spellEnd"/>
            <w:r w:rsidRPr="008F7A8E">
              <w:t xml:space="preserve">.) (Assist.) </w:t>
            </w:r>
          </w:p>
        </w:tc>
        <w:tc>
          <w:tcPr>
            <w:tcW w:w="1530" w:type="dxa"/>
          </w:tcPr>
          <w:p w14:paraId="19DBED58" w14:textId="77777777" w:rsidR="00CB2E81" w:rsidRPr="008F7A8E" w:rsidRDefault="00CB2E81" w:rsidP="00D10A52">
            <w:pPr>
              <w:pStyle w:val="Tabletext"/>
              <w:rPr>
                <w:color w:val="000000"/>
              </w:rPr>
            </w:pPr>
            <w:r w:rsidRPr="008F7A8E">
              <w:t>$1,089.90</w:t>
            </w:r>
          </w:p>
        </w:tc>
        <w:tc>
          <w:tcPr>
            <w:tcW w:w="1530" w:type="dxa"/>
          </w:tcPr>
          <w:p w14:paraId="252CFADF" w14:textId="77777777" w:rsidR="00CB2E81" w:rsidRPr="008F7A8E" w:rsidRDefault="00CB2E81" w:rsidP="00D10A52">
            <w:pPr>
              <w:pStyle w:val="Tabletext"/>
              <w:rPr>
                <w:color w:val="000000"/>
              </w:rPr>
            </w:pPr>
            <w:r w:rsidRPr="008F7A8E">
              <w:t>75% = $817.45</w:t>
            </w:r>
          </w:p>
        </w:tc>
      </w:tr>
      <w:tr w:rsidR="00CB2E81" w:rsidRPr="008F7A8E" w14:paraId="40DA8C36" w14:textId="77777777" w:rsidTr="00DC4144">
        <w:tc>
          <w:tcPr>
            <w:tcW w:w="1053" w:type="dxa"/>
            <w:shd w:val="clear" w:color="auto" w:fill="auto"/>
          </w:tcPr>
          <w:p w14:paraId="43CE3CAE" w14:textId="77777777" w:rsidR="00CB2E81" w:rsidRPr="00DC4144" w:rsidRDefault="00CB2E81" w:rsidP="00D10A52">
            <w:pPr>
              <w:pStyle w:val="Tabletext"/>
              <w:rPr>
                <w:b/>
              </w:rPr>
            </w:pPr>
            <w:r w:rsidRPr="00DC4144">
              <w:rPr>
                <w:b/>
              </w:rPr>
              <w:t>41560</w:t>
            </w:r>
          </w:p>
        </w:tc>
        <w:tc>
          <w:tcPr>
            <w:tcW w:w="4947" w:type="dxa"/>
            <w:shd w:val="clear" w:color="auto" w:fill="auto"/>
          </w:tcPr>
          <w:p w14:paraId="59FAA591" w14:textId="77777777" w:rsidR="00CB2E81" w:rsidRPr="008F7A8E" w:rsidRDefault="00CB2E81" w:rsidP="006A406F">
            <w:pPr>
              <w:pStyle w:val="Tabletext"/>
            </w:pPr>
            <w:r w:rsidRPr="008F7A8E">
              <w:t>MASTOIDECTOMY (RADICAL OR MODIFIED RADICAL) AND MYRINGOPLASTY (</w:t>
            </w:r>
            <w:proofErr w:type="spellStart"/>
            <w:r w:rsidRPr="008F7A8E">
              <w:t>Anaes</w:t>
            </w:r>
            <w:proofErr w:type="spellEnd"/>
            <w:r w:rsidRPr="008F7A8E">
              <w:t xml:space="preserve">.) </w:t>
            </w:r>
          </w:p>
        </w:tc>
        <w:tc>
          <w:tcPr>
            <w:tcW w:w="1530" w:type="dxa"/>
          </w:tcPr>
          <w:p w14:paraId="7FAE9B04" w14:textId="77777777" w:rsidR="00CB2E81" w:rsidRPr="008F7A8E" w:rsidRDefault="00CB2E81" w:rsidP="00D10A52">
            <w:pPr>
              <w:pStyle w:val="Tabletext"/>
              <w:rPr>
                <w:color w:val="000000"/>
              </w:rPr>
            </w:pPr>
            <w:r w:rsidRPr="008F7A8E">
              <w:t>$1,194.25</w:t>
            </w:r>
          </w:p>
        </w:tc>
        <w:tc>
          <w:tcPr>
            <w:tcW w:w="1530" w:type="dxa"/>
          </w:tcPr>
          <w:p w14:paraId="687DE582" w14:textId="77777777" w:rsidR="00CB2E81" w:rsidRPr="008F7A8E" w:rsidRDefault="00CB2E81" w:rsidP="00D10A52">
            <w:pPr>
              <w:pStyle w:val="Tabletext"/>
              <w:rPr>
                <w:color w:val="000000"/>
              </w:rPr>
            </w:pPr>
            <w:r w:rsidRPr="008F7A8E">
              <w:t>75% = $895.70</w:t>
            </w:r>
          </w:p>
        </w:tc>
      </w:tr>
      <w:tr w:rsidR="00CB2E81" w:rsidRPr="008F7A8E" w14:paraId="036DFD13" w14:textId="77777777" w:rsidTr="00DC4144">
        <w:tc>
          <w:tcPr>
            <w:tcW w:w="1053" w:type="dxa"/>
            <w:shd w:val="clear" w:color="auto" w:fill="auto"/>
          </w:tcPr>
          <w:p w14:paraId="1B41C13F" w14:textId="77777777" w:rsidR="00CB2E81" w:rsidRPr="00DC4144" w:rsidRDefault="00CB2E81" w:rsidP="00D10A52">
            <w:pPr>
              <w:pStyle w:val="Tabletext"/>
              <w:rPr>
                <w:b/>
              </w:rPr>
            </w:pPr>
            <w:r w:rsidRPr="00DC4144">
              <w:rPr>
                <w:b/>
              </w:rPr>
              <w:t>41563</w:t>
            </w:r>
          </w:p>
        </w:tc>
        <w:tc>
          <w:tcPr>
            <w:tcW w:w="4947" w:type="dxa"/>
            <w:shd w:val="clear" w:color="auto" w:fill="auto"/>
          </w:tcPr>
          <w:p w14:paraId="449F4842" w14:textId="77777777" w:rsidR="00CB2E81" w:rsidRPr="008F7A8E" w:rsidRDefault="00CB2E81" w:rsidP="006A406F">
            <w:pPr>
              <w:pStyle w:val="Tabletext"/>
            </w:pPr>
            <w:r w:rsidRPr="008F7A8E">
              <w:t>MASTOIDECTOMY (RADICAL OR MODIFIED RADICAL), MYRINGOPLASTY AND OSSICULAR CHAIN RECONSTRUCTION (</w:t>
            </w:r>
            <w:proofErr w:type="spellStart"/>
            <w:r w:rsidRPr="008F7A8E">
              <w:t>Anaes</w:t>
            </w:r>
            <w:proofErr w:type="spellEnd"/>
            <w:r w:rsidRPr="008F7A8E">
              <w:t xml:space="preserve">.) (Assist.) </w:t>
            </w:r>
          </w:p>
        </w:tc>
        <w:tc>
          <w:tcPr>
            <w:tcW w:w="1530" w:type="dxa"/>
          </w:tcPr>
          <w:p w14:paraId="2DA3D28F" w14:textId="77777777" w:rsidR="00CB2E81" w:rsidRPr="008F7A8E" w:rsidRDefault="00CB2E81" w:rsidP="00D10A52">
            <w:pPr>
              <w:pStyle w:val="Tabletext"/>
              <w:rPr>
                <w:color w:val="000000"/>
              </w:rPr>
            </w:pPr>
            <w:r w:rsidRPr="008F7A8E">
              <w:t>$1,478.40</w:t>
            </w:r>
          </w:p>
        </w:tc>
        <w:tc>
          <w:tcPr>
            <w:tcW w:w="1530" w:type="dxa"/>
          </w:tcPr>
          <w:p w14:paraId="00D195D7" w14:textId="77777777" w:rsidR="00CB2E81" w:rsidRPr="008F7A8E" w:rsidRDefault="00CB2E81" w:rsidP="00D10A52">
            <w:pPr>
              <w:pStyle w:val="Tabletext"/>
              <w:rPr>
                <w:color w:val="000000"/>
              </w:rPr>
            </w:pPr>
            <w:r w:rsidRPr="008F7A8E">
              <w:t>75% = $1,108.80</w:t>
            </w:r>
          </w:p>
        </w:tc>
      </w:tr>
      <w:tr w:rsidR="00CB2E81" w:rsidRPr="008F7A8E" w14:paraId="70727B81" w14:textId="77777777" w:rsidTr="00DC4144">
        <w:tc>
          <w:tcPr>
            <w:tcW w:w="1053" w:type="dxa"/>
            <w:shd w:val="clear" w:color="auto" w:fill="auto"/>
          </w:tcPr>
          <w:p w14:paraId="2D927C93" w14:textId="77777777" w:rsidR="00CB2E81" w:rsidRPr="00DC4144" w:rsidRDefault="00CB2E81" w:rsidP="00D10A52">
            <w:pPr>
              <w:pStyle w:val="Tabletext"/>
              <w:rPr>
                <w:b/>
              </w:rPr>
            </w:pPr>
            <w:r w:rsidRPr="00DC4144">
              <w:rPr>
                <w:b/>
              </w:rPr>
              <w:t>41564</w:t>
            </w:r>
          </w:p>
        </w:tc>
        <w:tc>
          <w:tcPr>
            <w:tcW w:w="4947" w:type="dxa"/>
            <w:shd w:val="clear" w:color="auto" w:fill="auto"/>
          </w:tcPr>
          <w:p w14:paraId="67C1DAFD" w14:textId="77777777" w:rsidR="00CB2E81" w:rsidRPr="008F7A8E" w:rsidRDefault="00CB2E81" w:rsidP="006A406F">
            <w:pPr>
              <w:pStyle w:val="Tabletext"/>
            </w:pPr>
            <w:r w:rsidRPr="008F7A8E">
              <w:t>MASTOIDECTOMY (RADICAL OR MODIFIED RADICAL), OBLITERATION OF THE MASTOID CAVITY, BLIND SAC CLOSURE OF EXTERNAL AUDITORY CANAL AND OBLITERATION OF EUSTACHIAN TUBE (</w:t>
            </w:r>
            <w:proofErr w:type="spellStart"/>
            <w:r w:rsidRPr="008F7A8E">
              <w:t>Anaes</w:t>
            </w:r>
            <w:proofErr w:type="spellEnd"/>
            <w:r w:rsidRPr="008F7A8E">
              <w:t xml:space="preserve">.) (Assist.) </w:t>
            </w:r>
          </w:p>
        </w:tc>
        <w:tc>
          <w:tcPr>
            <w:tcW w:w="1530" w:type="dxa"/>
          </w:tcPr>
          <w:p w14:paraId="12FB16AF" w14:textId="77777777" w:rsidR="00CB2E81" w:rsidRPr="008F7A8E" w:rsidRDefault="00CB2E81" w:rsidP="00D10A52">
            <w:pPr>
              <w:pStyle w:val="Tabletext"/>
              <w:rPr>
                <w:color w:val="000000"/>
              </w:rPr>
            </w:pPr>
            <w:r w:rsidRPr="008F7A8E">
              <w:t>$1,911.80</w:t>
            </w:r>
          </w:p>
        </w:tc>
        <w:tc>
          <w:tcPr>
            <w:tcW w:w="1530" w:type="dxa"/>
          </w:tcPr>
          <w:p w14:paraId="45A1EF9F" w14:textId="77777777" w:rsidR="00CB2E81" w:rsidRPr="008F7A8E" w:rsidRDefault="00CB2E81" w:rsidP="00D10A52">
            <w:pPr>
              <w:pStyle w:val="Tabletext"/>
              <w:rPr>
                <w:color w:val="000000"/>
              </w:rPr>
            </w:pPr>
            <w:r w:rsidRPr="008F7A8E">
              <w:t>75% = $1,433.85</w:t>
            </w:r>
          </w:p>
        </w:tc>
      </w:tr>
      <w:tr w:rsidR="00CB2E81" w:rsidRPr="008F7A8E" w14:paraId="4A2F603C" w14:textId="77777777" w:rsidTr="00DC4144">
        <w:tc>
          <w:tcPr>
            <w:tcW w:w="1053" w:type="dxa"/>
            <w:shd w:val="clear" w:color="auto" w:fill="auto"/>
          </w:tcPr>
          <w:p w14:paraId="72F8EE69" w14:textId="77777777" w:rsidR="00CB2E81" w:rsidRPr="00DC4144" w:rsidRDefault="00CB2E81" w:rsidP="00D10A52">
            <w:pPr>
              <w:pStyle w:val="Tabletext"/>
              <w:rPr>
                <w:b/>
              </w:rPr>
            </w:pPr>
            <w:r w:rsidRPr="00DC4144">
              <w:rPr>
                <w:b/>
              </w:rPr>
              <w:t>41566</w:t>
            </w:r>
          </w:p>
        </w:tc>
        <w:tc>
          <w:tcPr>
            <w:tcW w:w="4947" w:type="dxa"/>
            <w:shd w:val="clear" w:color="auto" w:fill="auto"/>
          </w:tcPr>
          <w:p w14:paraId="52DF175F" w14:textId="77777777" w:rsidR="00CB2E81" w:rsidRPr="008F7A8E" w:rsidRDefault="00CB2E81" w:rsidP="006A406F">
            <w:pPr>
              <w:pStyle w:val="Tabletext"/>
            </w:pPr>
            <w:r w:rsidRPr="008F7A8E">
              <w:t>REVISION OF MASTOIDECTOMY (radical, modified radical or intact wall), including myringoplasty (</w:t>
            </w:r>
            <w:proofErr w:type="spellStart"/>
            <w:r w:rsidRPr="008F7A8E">
              <w:t>Anaes</w:t>
            </w:r>
            <w:proofErr w:type="spellEnd"/>
            <w:r w:rsidRPr="008F7A8E">
              <w:t xml:space="preserve">.) (Assist.) </w:t>
            </w:r>
          </w:p>
        </w:tc>
        <w:tc>
          <w:tcPr>
            <w:tcW w:w="1530" w:type="dxa"/>
          </w:tcPr>
          <w:p w14:paraId="539080A3" w14:textId="77777777" w:rsidR="00CB2E81" w:rsidRPr="008F7A8E" w:rsidRDefault="00CB2E81" w:rsidP="00D10A52">
            <w:pPr>
              <w:pStyle w:val="Tabletext"/>
              <w:rPr>
                <w:color w:val="000000"/>
              </w:rPr>
            </w:pPr>
            <w:r w:rsidRPr="008F7A8E">
              <w:t>$1,089.90</w:t>
            </w:r>
          </w:p>
        </w:tc>
        <w:tc>
          <w:tcPr>
            <w:tcW w:w="1530" w:type="dxa"/>
          </w:tcPr>
          <w:p w14:paraId="69A3C0FC" w14:textId="77777777" w:rsidR="00CB2E81" w:rsidRPr="008F7A8E" w:rsidRDefault="00CB2E81" w:rsidP="00D10A52">
            <w:pPr>
              <w:pStyle w:val="Tabletext"/>
              <w:rPr>
                <w:color w:val="000000"/>
              </w:rPr>
            </w:pPr>
            <w:r w:rsidRPr="008F7A8E">
              <w:t>75% = $817.45</w:t>
            </w:r>
          </w:p>
        </w:tc>
      </w:tr>
      <w:tr w:rsidR="00CB2E81" w:rsidRPr="008F7A8E" w14:paraId="2F420C1A" w14:textId="77777777" w:rsidTr="00DC4144">
        <w:tc>
          <w:tcPr>
            <w:tcW w:w="1053" w:type="dxa"/>
            <w:shd w:val="clear" w:color="auto" w:fill="auto"/>
          </w:tcPr>
          <w:p w14:paraId="168BABBA" w14:textId="77777777" w:rsidR="00CB2E81" w:rsidRPr="00DC4144" w:rsidRDefault="00CB2E81" w:rsidP="00D10A52">
            <w:pPr>
              <w:pStyle w:val="Tabletext"/>
              <w:rPr>
                <w:b/>
              </w:rPr>
            </w:pPr>
            <w:r w:rsidRPr="00DC4144">
              <w:rPr>
                <w:b/>
              </w:rPr>
              <w:t>41569</w:t>
            </w:r>
          </w:p>
        </w:tc>
        <w:tc>
          <w:tcPr>
            <w:tcW w:w="4947" w:type="dxa"/>
            <w:shd w:val="clear" w:color="auto" w:fill="auto"/>
          </w:tcPr>
          <w:p w14:paraId="0747AE74" w14:textId="77777777" w:rsidR="00CB2E81" w:rsidRPr="008F7A8E" w:rsidRDefault="00CB2E81" w:rsidP="006A406F">
            <w:pPr>
              <w:pStyle w:val="Tabletext"/>
            </w:pPr>
            <w:r w:rsidRPr="008F7A8E">
              <w:t>DECOMPRESSION OF FACIAL NERVE in its mastoid portion (</w:t>
            </w:r>
            <w:proofErr w:type="spellStart"/>
            <w:r w:rsidRPr="008F7A8E">
              <w:t>Anaes</w:t>
            </w:r>
            <w:proofErr w:type="spellEnd"/>
            <w:r w:rsidRPr="008F7A8E">
              <w:t xml:space="preserve">.) (Assist.) </w:t>
            </w:r>
          </w:p>
        </w:tc>
        <w:tc>
          <w:tcPr>
            <w:tcW w:w="1530" w:type="dxa"/>
          </w:tcPr>
          <w:p w14:paraId="63FC4E3D" w14:textId="77777777" w:rsidR="00CB2E81" w:rsidRPr="008F7A8E" w:rsidRDefault="00CB2E81" w:rsidP="00D10A52">
            <w:pPr>
              <w:pStyle w:val="Tabletext"/>
              <w:rPr>
                <w:color w:val="000000"/>
              </w:rPr>
            </w:pPr>
            <w:r w:rsidRPr="008F7A8E">
              <w:t>$1,194.25</w:t>
            </w:r>
          </w:p>
        </w:tc>
        <w:tc>
          <w:tcPr>
            <w:tcW w:w="1530" w:type="dxa"/>
          </w:tcPr>
          <w:p w14:paraId="6152598B" w14:textId="77777777" w:rsidR="00CB2E81" w:rsidRPr="008F7A8E" w:rsidRDefault="00CB2E81" w:rsidP="00D10A52">
            <w:pPr>
              <w:pStyle w:val="Tabletext"/>
              <w:rPr>
                <w:color w:val="000000"/>
              </w:rPr>
            </w:pPr>
            <w:r w:rsidRPr="008F7A8E">
              <w:t>75% = $895.70</w:t>
            </w:r>
          </w:p>
        </w:tc>
      </w:tr>
      <w:tr w:rsidR="00CB2E81" w:rsidRPr="008F7A8E" w14:paraId="491CC7AD" w14:textId="77777777" w:rsidTr="00DC4144">
        <w:tc>
          <w:tcPr>
            <w:tcW w:w="1053" w:type="dxa"/>
            <w:shd w:val="clear" w:color="auto" w:fill="auto"/>
          </w:tcPr>
          <w:p w14:paraId="13D71CC9" w14:textId="77777777" w:rsidR="00CB2E81" w:rsidRPr="00DC4144" w:rsidRDefault="00CB2E81" w:rsidP="00D10A52">
            <w:pPr>
              <w:pStyle w:val="Tabletext"/>
              <w:rPr>
                <w:b/>
              </w:rPr>
            </w:pPr>
            <w:r w:rsidRPr="00DC4144">
              <w:rPr>
                <w:b/>
              </w:rPr>
              <w:t>41572</w:t>
            </w:r>
          </w:p>
        </w:tc>
        <w:tc>
          <w:tcPr>
            <w:tcW w:w="4947" w:type="dxa"/>
            <w:shd w:val="clear" w:color="auto" w:fill="auto"/>
          </w:tcPr>
          <w:p w14:paraId="3E780E9B" w14:textId="77777777" w:rsidR="00CB2E81" w:rsidRPr="008F7A8E" w:rsidRDefault="00CB2E81" w:rsidP="006A406F">
            <w:pPr>
              <w:pStyle w:val="Tabletext"/>
            </w:pPr>
            <w:r w:rsidRPr="008F7A8E">
              <w:t>LABYRINTHOTOMY OR DESTRUCTION OF LABYRINTH (</w:t>
            </w:r>
            <w:proofErr w:type="spellStart"/>
            <w:r w:rsidRPr="008F7A8E">
              <w:t>Anaes</w:t>
            </w:r>
            <w:proofErr w:type="spellEnd"/>
            <w:r w:rsidRPr="008F7A8E">
              <w:t xml:space="preserve">.) (Assist.) </w:t>
            </w:r>
          </w:p>
        </w:tc>
        <w:tc>
          <w:tcPr>
            <w:tcW w:w="1530" w:type="dxa"/>
          </w:tcPr>
          <w:p w14:paraId="1ED52401" w14:textId="77777777" w:rsidR="00CB2E81" w:rsidRPr="008F7A8E" w:rsidRDefault="00CB2E81" w:rsidP="00D10A52">
            <w:pPr>
              <w:pStyle w:val="Tabletext"/>
              <w:rPr>
                <w:color w:val="000000"/>
              </w:rPr>
            </w:pPr>
            <w:r w:rsidRPr="008F7A8E">
              <w:t>$1,033.20</w:t>
            </w:r>
          </w:p>
        </w:tc>
        <w:tc>
          <w:tcPr>
            <w:tcW w:w="1530" w:type="dxa"/>
          </w:tcPr>
          <w:p w14:paraId="71D31014" w14:textId="77777777" w:rsidR="00CB2E81" w:rsidRPr="008F7A8E" w:rsidRDefault="00CB2E81" w:rsidP="00D10A52">
            <w:pPr>
              <w:pStyle w:val="Tabletext"/>
              <w:rPr>
                <w:color w:val="000000"/>
              </w:rPr>
            </w:pPr>
            <w:r w:rsidRPr="008F7A8E">
              <w:t>75% = $774.90</w:t>
            </w:r>
          </w:p>
        </w:tc>
      </w:tr>
      <w:tr w:rsidR="00CB2E81" w:rsidRPr="008F7A8E" w14:paraId="2A96A421" w14:textId="77777777" w:rsidTr="00DC4144">
        <w:tc>
          <w:tcPr>
            <w:tcW w:w="1053" w:type="dxa"/>
            <w:shd w:val="clear" w:color="auto" w:fill="auto"/>
          </w:tcPr>
          <w:p w14:paraId="70250DCA" w14:textId="77777777" w:rsidR="00CB2E81" w:rsidRPr="00DC4144" w:rsidRDefault="00CB2E81" w:rsidP="00D10A52">
            <w:pPr>
              <w:pStyle w:val="Tabletext"/>
              <w:rPr>
                <w:b/>
              </w:rPr>
            </w:pPr>
            <w:r w:rsidRPr="00DC4144">
              <w:rPr>
                <w:b/>
              </w:rPr>
              <w:t>41575</w:t>
            </w:r>
          </w:p>
        </w:tc>
        <w:tc>
          <w:tcPr>
            <w:tcW w:w="4947" w:type="dxa"/>
            <w:shd w:val="clear" w:color="auto" w:fill="auto"/>
          </w:tcPr>
          <w:p w14:paraId="588EE555" w14:textId="77777777" w:rsidR="00CB2E81" w:rsidRPr="008F7A8E" w:rsidRDefault="00CB2E81" w:rsidP="006A406F">
            <w:pPr>
              <w:pStyle w:val="Tabletext"/>
            </w:pPr>
            <w:r w:rsidRPr="008F7A8E">
              <w:t>CEREBELLO</w:t>
            </w:r>
            <w:r w:rsidR="007736E8">
              <w:t xml:space="preserve"> </w:t>
            </w:r>
            <w:r w:rsidRPr="008F7A8E">
              <w:t xml:space="preserve">PONTINE ANGLE TUMOUR, removal of by 2 surgeons operating conjointly, by </w:t>
            </w:r>
            <w:proofErr w:type="spellStart"/>
            <w:r w:rsidRPr="008F7A8E">
              <w:t>transmastoid</w:t>
            </w:r>
            <w:proofErr w:type="spellEnd"/>
            <w:r w:rsidRPr="008F7A8E">
              <w:t xml:space="preserve">, </w:t>
            </w:r>
            <w:proofErr w:type="spellStart"/>
            <w:r w:rsidRPr="008F7A8E">
              <w:t>translabyrinthine</w:t>
            </w:r>
            <w:proofErr w:type="spellEnd"/>
            <w:r w:rsidRPr="008F7A8E">
              <w:t xml:space="preserve"> or </w:t>
            </w:r>
            <w:proofErr w:type="spellStart"/>
            <w:r w:rsidRPr="008F7A8E">
              <w:t>retromastoid</w:t>
            </w:r>
            <w:proofErr w:type="spellEnd"/>
            <w:r w:rsidRPr="008F7A8E">
              <w:t xml:space="preserve"> approach</w:t>
            </w:r>
            <w:r w:rsidR="007736E8">
              <w:t xml:space="preserve"> </w:t>
            </w:r>
            <w:proofErr w:type="spellStart"/>
            <w:r w:rsidRPr="008F7A8E">
              <w:t>transmastoid</w:t>
            </w:r>
            <w:proofErr w:type="spellEnd"/>
            <w:r w:rsidRPr="008F7A8E">
              <w:t xml:space="preserve">, </w:t>
            </w:r>
            <w:proofErr w:type="spellStart"/>
            <w:r w:rsidRPr="008F7A8E">
              <w:t>translabyrinthine</w:t>
            </w:r>
            <w:proofErr w:type="spellEnd"/>
            <w:r w:rsidRPr="008F7A8E">
              <w:t xml:space="preserve"> or </w:t>
            </w:r>
            <w:proofErr w:type="spellStart"/>
            <w:r w:rsidRPr="008F7A8E">
              <w:t>retromastoid</w:t>
            </w:r>
            <w:proofErr w:type="spellEnd"/>
            <w:r w:rsidRPr="008F7A8E">
              <w:t xml:space="preserve"> procedure (including aftercare) (</w:t>
            </w:r>
            <w:proofErr w:type="spellStart"/>
            <w:r w:rsidRPr="008F7A8E">
              <w:t>Anaes</w:t>
            </w:r>
            <w:proofErr w:type="spellEnd"/>
            <w:r w:rsidRPr="008F7A8E">
              <w:t xml:space="preserve">.) (Assist.) </w:t>
            </w:r>
          </w:p>
        </w:tc>
        <w:tc>
          <w:tcPr>
            <w:tcW w:w="1530" w:type="dxa"/>
          </w:tcPr>
          <w:p w14:paraId="7D00DDE5" w14:textId="77777777" w:rsidR="00CB2E81" w:rsidRPr="008F7A8E" w:rsidRDefault="00CB2E81" w:rsidP="00D10A52">
            <w:pPr>
              <w:pStyle w:val="Tabletext"/>
              <w:rPr>
                <w:color w:val="000000"/>
              </w:rPr>
            </w:pPr>
            <w:r w:rsidRPr="008F7A8E">
              <w:t>$2,435.70</w:t>
            </w:r>
          </w:p>
        </w:tc>
        <w:tc>
          <w:tcPr>
            <w:tcW w:w="1530" w:type="dxa"/>
          </w:tcPr>
          <w:p w14:paraId="254D893D" w14:textId="77777777" w:rsidR="00CB2E81" w:rsidRPr="008F7A8E" w:rsidRDefault="00CB2E81" w:rsidP="00D10A52">
            <w:pPr>
              <w:pStyle w:val="Tabletext"/>
              <w:rPr>
                <w:color w:val="000000"/>
              </w:rPr>
            </w:pPr>
            <w:r w:rsidRPr="008F7A8E">
              <w:t>75% = $1,826.80</w:t>
            </w:r>
          </w:p>
        </w:tc>
      </w:tr>
      <w:tr w:rsidR="00CB2E81" w:rsidRPr="008F7A8E" w14:paraId="75D53870" w14:textId="77777777" w:rsidTr="00DC4144">
        <w:tc>
          <w:tcPr>
            <w:tcW w:w="1053" w:type="dxa"/>
            <w:shd w:val="clear" w:color="auto" w:fill="auto"/>
          </w:tcPr>
          <w:p w14:paraId="70235DF4" w14:textId="77777777" w:rsidR="00CB2E81" w:rsidRPr="00DC4144" w:rsidRDefault="00CB2E81" w:rsidP="00D10A52">
            <w:pPr>
              <w:pStyle w:val="Tabletext"/>
              <w:rPr>
                <w:b/>
              </w:rPr>
            </w:pPr>
            <w:r w:rsidRPr="00DC4144">
              <w:rPr>
                <w:b/>
              </w:rPr>
              <w:t>41576</w:t>
            </w:r>
          </w:p>
        </w:tc>
        <w:tc>
          <w:tcPr>
            <w:tcW w:w="4947" w:type="dxa"/>
            <w:shd w:val="clear" w:color="auto" w:fill="auto"/>
          </w:tcPr>
          <w:p w14:paraId="17D83CEC" w14:textId="77777777" w:rsidR="00CB2E81" w:rsidRPr="008F7A8E" w:rsidRDefault="00CB2E81" w:rsidP="00D10A52">
            <w:pPr>
              <w:pStyle w:val="Tabletext"/>
            </w:pPr>
            <w:r w:rsidRPr="006A406F">
              <w:t xml:space="preserve">CEREBELLO - PONTINE ANGLE TUMOUR, removal of, by </w:t>
            </w:r>
            <w:proofErr w:type="spellStart"/>
            <w:r w:rsidRPr="006A406F">
              <w:t>transmastoid</w:t>
            </w:r>
            <w:proofErr w:type="spellEnd"/>
            <w:r w:rsidRPr="006A406F">
              <w:t xml:space="preserve">, </w:t>
            </w:r>
            <w:proofErr w:type="spellStart"/>
            <w:r w:rsidRPr="006A406F">
              <w:t>translabyrinthine</w:t>
            </w:r>
            <w:proofErr w:type="spellEnd"/>
            <w:r w:rsidRPr="006A406F">
              <w:t xml:space="preserve"> or </w:t>
            </w:r>
            <w:proofErr w:type="spellStart"/>
            <w:r w:rsidRPr="006A406F">
              <w:t>retromastoid</w:t>
            </w:r>
            <w:proofErr w:type="spellEnd"/>
            <w:r w:rsidRPr="006A406F">
              <w:t xml:space="preserve"> approach - intracranial procedure (including aftercare) not being a service to which item 41578 or 41579 applies (</w:t>
            </w:r>
            <w:proofErr w:type="spellStart"/>
            <w:r w:rsidRPr="006A406F">
              <w:t>Anaes</w:t>
            </w:r>
            <w:proofErr w:type="spellEnd"/>
            <w:r w:rsidRPr="006A406F">
              <w:t>.) (Assist.)</w:t>
            </w:r>
            <w:r w:rsidRPr="008F7A8E">
              <w:t xml:space="preserve">: </w:t>
            </w:r>
          </w:p>
        </w:tc>
        <w:tc>
          <w:tcPr>
            <w:tcW w:w="1530" w:type="dxa"/>
          </w:tcPr>
          <w:p w14:paraId="5DA5F722" w14:textId="77777777" w:rsidR="00CB2E81" w:rsidRPr="008F7A8E" w:rsidRDefault="00CB2E81" w:rsidP="00D10A52">
            <w:pPr>
              <w:pStyle w:val="Tabletext"/>
              <w:rPr>
                <w:color w:val="000000"/>
              </w:rPr>
            </w:pPr>
            <w:r w:rsidRPr="008F7A8E">
              <w:t>$3,653.60</w:t>
            </w:r>
          </w:p>
        </w:tc>
        <w:tc>
          <w:tcPr>
            <w:tcW w:w="1530" w:type="dxa"/>
          </w:tcPr>
          <w:p w14:paraId="4306C58B" w14:textId="77777777" w:rsidR="00CB2E81" w:rsidRPr="008F7A8E" w:rsidRDefault="00CB2E81" w:rsidP="00D10A52">
            <w:pPr>
              <w:pStyle w:val="Tabletext"/>
              <w:rPr>
                <w:color w:val="000000"/>
              </w:rPr>
            </w:pPr>
            <w:r w:rsidRPr="008F7A8E">
              <w:t>75% = $2,740.20</w:t>
            </w:r>
          </w:p>
        </w:tc>
      </w:tr>
      <w:tr w:rsidR="00CB2E81" w:rsidRPr="008F7A8E" w14:paraId="729754A2" w14:textId="77777777" w:rsidTr="00DC4144">
        <w:tc>
          <w:tcPr>
            <w:tcW w:w="1053" w:type="dxa"/>
            <w:shd w:val="clear" w:color="auto" w:fill="auto"/>
          </w:tcPr>
          <w:p w14:paraId="0FE323D1" w14:textId="77777777" w:rsidR="00CB2E81" w:rsidRPr="00DC4144" w:rsidRDefault="00CB2E81" w:rsidP="00D10A52">
            <w:pPr>
              <w:pStyle w:val="Tabletext"/>
              <w:rPr>
                <w:b/>
              </w:rPr>
            </w:pPr>
            <w:r w:rsidRPr="00DC4144">
              <w:rPr>
                <w:b/>
              </w:rPr>
              <w:lastRenderedPageBreak/>
              <w:t>41578</w:t>
            </w:r>
          </w:p>
        </w:tc>
        <w:tc>
          <w:tcPr>
            <w:tcW w:w="4947" w:type="dxa"/>
            <w:shd w:val="clear" w:color="auto" w:fill="auto"/>
          </w:tcPr>
          <w:p w14:paraId="17E1B79C" w14:textId="77777777" w:rsidR="00CB2E81" w:rsidRPr="008F7A8E" w:rsidRDefault="00CB2E81" w:rsidP="006A406F">
            <w:pPr>
              <w:pStyle w:val="Tabletext"/>
            </w:pPr>
            <w:r w:rsidRPr="008F7A8E">
              <w:t>CEREBELLO</w:t>
            </w:r>
            <w:r w:rsidR="007736E8">
              <w:t xml:space="preserve"> </w:t>
            </w:r>
            <w:r w:rsidRPr="008F7A8E">
              <w:t xml:space="preserve">PONTINE ANGLE TUMOUR, removal of, by </w:t>
            </w:r>
            <w:proofErr w:type="spellStart"/>
            <w:r w:rsidRPr="008F7A8E">
              <w:t>transmastoid</w:t>
            </w:r>
            <w:proofErr w:type="spellEnd"/>
            <w:r w:rsidRPr="008F7A8E">
              <w:t xml:space="preserve">, </w:t>
            </w:r>
            <w:proofErr w:type="spellStart"/>
            <w:r w:rsidRPr="008F7A8E">
              <w:t>translabyrinthine</w:t>
            </w:r>
            <w:proofErr w:type="spellEnd"/>
            <w:r w:rsidRPr="008F7A8E">
              <w:t xml:space="preserve"> or </w:t>
            </w:r>
            <w:proofErr w:type="spellStart"/>
            <w:r w:rsidRPr="008F7A8E">
              <w:t>retromastoid</w:t>
            </w:r>
            <w:proofErr w:type="spellEnd"/>
            <w:r w:rsidRPr="008F7A8E">
              <w:t xml:space="preserve"> approach, (intracranial procedure) - conjoint surgery, principal surgeon (</w:t>
            </w:r>
            <w:proofErr w:type="spellStart"/>
            <w:r w:rsidRPr="008F7A8E">
              <w:t>Anaes</w:t>
            </w:r>
            <w:proofErr w:type="spellEnd"/>
            <w:r w:rsidRPr="008F7A8E">
              <w:t xml:space="preserve">.) (Assist.) </w:t>
            </w:r>
          </w:p>
        </w:tc>
        <w:tc>
          <w:tcPr>
            <w:tcW w:w="1530" w:type="dxa"/>
          </w:tcPr>
          <w:p w14:paraId="494D955E" w14:textId="77777777" w:rsidR="00CB2E81" w:rsidRPr="008F7A8E" w:rsidRDefault="00CB2E81" w:rsidP="00D10A52">
            <w:pPr>
              <w:pStyle w:val="Tabletext"/>
              <w:rPr>
                <w:color w:val="000000"/>
              </w:rPr>
            </w:pPr>
            <w:r w:rsidRPr="008F7A8E">
              <w:t>$2,435.70</w:t>
            </w:r>
          </w:p>
        </w:tc>
        <w:tc>
          <w:tcPr>
            <w:tcW w:w="1530" w:type="dxa"/>
          </w:tcPr>
          <w:p w14:paraId="40680BBE" w14:textId="77777777" w:rsidR="00CB2E81" w:rsidRPr="008F7A8E" w:rsidRDefault="00CB2E81" w:rsidP="00D10A52">
            <w:pPr>
              <w:pStyle w:val="Tabletext"/>
              <w:rPr>
                <w:color w:val="000000"/>
              </w:rPr>
            </w:pPr>
            <w:r w:rsidRPr="008F7A8E">
              <w:t>75% = $1,826.80</w:t>
            </w:r>
          </w:p>
        </w:tc>
      </w:tr>
      <w:tr w:rsidR="00CB2E81" w:rsidRPr="008F7A8E" w14:paraId="4EDB0658" w14:textId="77777777" w:rsidTr="00DC4144">
        <w:tc>
          <w:tcPr>
            <w:tcW w:w="1053" w:type="dxa"/>
            <w:shd w:val="clear" w:color="auto" w:fill="auto"/>
          </w:tcPr>
          <w:p w14:paraId="3296B82C" w14:textId="77777777" w:rsidR="00CB2E81" w:rsidRPr="00DC4144" w:rsidRDefault="00CB2E81" w:rsidP="00D10A52">
            <w:pPr>
              <w:pStyle w:val="Tabletext"/>
              <w:rPr>
                <w:b/>
              </w:rPr>
            </w:pPr>
            <w:r w:rsidRPr="00DC4144">
              <w:rPr>
                <w:b/>
              </w:rPr>
              <w:t>41579</w:t>
            </w:r>
          </w:p>
        </w:tc>
        <w:tc>
          <w:tcPr>
            <w:tcW w:w="4947" w:type="dxa"/>
            <w:shd w:val="clear" w:color="auto" w:fill="auto"/>
          </w:tcPr>
          <w:p w14:paraId="5B244A6C" w14:textId="77777777" w:rsidR="00CB2E81" w:rsidRPr="008F7A8E" w:rsidRDefault="00CB2E81" w:rsidP="006A406F">
            <w:pPr>
              <w:pStyle w:val="Tabletext"/>
            </w:pPr>
            <w:r w:rsidRPr="008F7A8E">
              <w:t xml:space="preserve">CEREBELLO-PONTINE ANGLE TUMOUR, removal of, by </w:t>
            </w:r>
            <w:proofErr w:type="spellStart"/>
            <w:r w:rsidRPr="008F7A8E">
              <w:t>transmastoid</w:t>
            </w:r>
            <w:proofErr w:type="spellEnd"/>
            <w:r w:rsidRPr="008F7A8E">
              <w:t xml:space="preserve">, </w:t>
            </w:r>
            <w:proofErr w:type="spellStart"/>
            <w:r w:rsidRPr="008F7A8E">
              <w:t>translabyrinthine</w:t>
            </w:r>
            <w:proofErr w:type="spellEnd"/>
            <w:r w:rsidRPr="008F7A8E">
              <w:t xml:space="preserve"> or </w:t>
            </w:r>
            <w:proofErr w:type="spellStart"/>
            <w:r w:rsidRPr="008F7A8E">
              <w:t>retromastoid</w:t>
            </w:r>
            <w:proofErr w:type="spellEnd"/>
            <w:r w:rsidRPr="008F7A8E">
              <w:t xml:space="preserve"> approach, (intracranial procedure) - conjoint surgery, co-surgeon (Assist.) </w:t>
            </w:r>
          </w:p>
        </w:tc>
        <w:tc>
          <w:tcPr>
            <w:tcW w:w="1530" w:type="dxa"/>
          </w:tcPr>
          <w:p w14:paraId="1A47F44B" w14:textId="77777777" w:rsidR="00CB2E81" w:rsidRPr="008F7A8E" w:rsidRDefault="00CB2E81" w:rsidP="00D10A52">
            <w:pPr>
              <w:pStyle w:val="Tabletext"/>
              <w:rPr>
                <w:color w:val="000000"/>
              </w:rPr>
            </w:pPr>
            <w:r w:rsidRPr="008F7A8E">
              <w:t>$1,826.75</w:t>
            </w:r>
          </w:p>
        </w:tc>
        <w:tc>
          <w:tcPr>
            <w:tcW w:w="1530" w:type="dxa"/>
          </w:tcPr>
          <w:p w14:paraId="557399AB" w14:textId="77777777" w:rsidR="00CB2E81" w:rsidRPr="008F7A8E" w:rsidRDefault="00CB2E81" w:rsidP="00D10A52">
            <w:pPr>
              <w:pStyle w:val="Tabletext"/>
              <w:rPr>
                <w:color w:val="000000"/>
              </w:rPr>
            </w:pPr>
            <w:r w:rsidRPr="008F7A8E">
              <w:t>75% = $1,370.10</w:t>
            </w:r>
          </w:p>
        </w:tc>
      </w:tr>
      <w:tr w:rsidR="00CB2E81" w:rsidRPr="008F7A8E" w14:paraId="58696881" w14:textId="77777777" w:rsidTr="00DC4144">
        <w:tc>
          <w:tcPr>
            <w:tcW w:w="1053" w:type="dxa"/>
            <w:shd w:val="clear" w:color="auto" w:fill="auto"/>
          </w:tcPr>
          <w:p w14:paraId="438F33E9" w14:textId="77777777" w:rsidR="00CB2E81" w:rsidRPr="00DC4144" w:rsidRDefault="00CB2E81" w:rsidP="00D10A52">
            <w:pPr>
              <w:pStyle w:val="Tabletext"/>
              <w:rPr>
                <w:b/>
              </w:rPr>
            </w:pPr>
            <w:r w:rsidRPr="00DC4144">
              <w:rPr>
                <w:b/>
              </w:rPr>
              <w:t>41581</w:t>
            </w:r>
          </w:p>
        </w:tc>
        <w:tc>
          <w:tcPr>
            <w:tcW w:w="4947" w:type="dxa"/>
            <w:shd w:val="clear" w:color="auto" w:fill="auto"/>
          </w:tcPr>
          <w:p w14:paraId="67C75898" w14:textId="77777777" w:rsidR="00CB2E81" w:rsidRPr="008F7A8E" w:rsidRDefault="00CB2E81" w:rsidP="006A406F">
            <w:pPr>
              <w:pStyle w:val="Tabletext"/>
            </w:pPr>
            <w:r w:rsidRPr="008F7A8E">
              <w:t>TUMOUR INVOLVING INFRA-TEMPORAL FOSSA, removal of, involving craniotomy and radical excision of (</w:t>
            </w:r>
            <w:proofErr w:type="spellStart"/>
            <w:r w:rsidRPr="008F7A8E">
              <w:t>Anaes</w:t>
            </w:r>
            <w:proofErr w:type="spellEnd"/>
            <w:r w:rsidRPr="008F7A8E">
              <w:t xml:space="preserve">.) (Assist.) </w:t>
            </w:r>
          </w:p>
        </w:tc>
        <w:tc>
          <w:tcPr>
            <w:tcW w:w="1530" w:type="dxa"/>
          </w:tcPr>
          <w:p w14:paraId="659EAF16" w14:textId="77777777" w:rsidR="00CB2E81" w:rsidRPr="008F7A8E" w:rsidRDefault="00CB2E81" w:rsidP="00D10A52">
            <w:pPr>
              <w:pStyle w:val="Tabletext"/>
              <w:rPr>
                <w:color w:val="000000"/>
              </w:rPr>
            </w:pPr>
            <w:r w:rsidRPr="008F7A8E">
              <w:t>$2,801.55</w:t>
            </w:r>
          </w:p>
        </w:tc>
        <w:tc>
          <w:tcPr>
            <w:tcW w:w="1530" w:type="dxa"/>
          </w:tcPr>
          <w:p w14:paraId="13AFC01A" w14:textId="77777777" w:rsidR="00CB2E81" w:rsidRPr="008F7A8E" w:rsidRDefault="00CB2E81" w:rsidP="00D10A52">
            <w:pPr>
              <w:pStyle w:val="Tabletext"/>
              <w:rPr>
                <w:color w:val="000000"/>
              </w:rPr>
            </w:pPr>
            <w:r w:rsidRPr="008F7A8E">
              <w:t>75% = $2,101.20</w:t>
            </w:r>
          </w:p>
        </w:tc>
      </w:tr>
      <w:tr w:rsidR="00CB2E81" w:rsidRPr="008F7A8E" w14:paraId="43AEF407" w14:textId="77777777" w:rsidTr="00DC4144">
        <w:tc>
          <w:tcPr>
            <w:tcW w:w="1053" w:type="dxa"/>
            <w:shd w:val="clear" w:color="auto" w:fill="auto"/>
          </w:tcPr>
          <w:p w14:paraId="5EDB0C81" w14:textId="77777777" w:rsidR="00CB2E81" w:rsidRPr="00DC4144" w:rsidRDefault="00CB2E81" w:rsidP="00D10A52">
            <w:pPr>
              <w:pStyle w:val="Tabletext"/>
              <w:rPr>
                <w:b/>
              </w:rPr>
            </w:pPr>
            <w:r w:rsidRPr="00DC4144">
              <w:rPr>
                <w:b/>
              </w:rPr>
              <w:t>41584</w:t>
            </w:r>
          </w:p>
        </w:tc>
        <w:tc>
          <w:tcPr>
            <w:tcW w:w="4947" w:type="dxa"/>
            <w:shd w:val="clear" w:color="auto" w:fill="auto"/>
          </w:tcPr>
          <w:p w14:paraId="147BA36E" w14:textId="77777777" w:rsidR="00CB2E81" w:rsidRPr="008F7A8E" w:rsidRDefault="00CB2E81" w:rsidP="006A406F">
            <w:pPr>
              <w:pStyle w:val="Tabletext"/>
            </w:pPr>
            <w:r w:rsidRPr="008F7A8E">
              <w:t>PARTIAL TEMPORAL BONE RESECTION for removal of tumour involving mastoidectomy with or without decompression of facial nerve (</w:t>
            </w:r>
            <w:proofErr w:type="spellStart"/>
            <w:r w:rsidRPr="008F7A8E">
              <w:t>Anaes</w:t>
            </w:r>
            <w:proofErr w:type="spellEnd"/>
            <w:r w:rsidRPr="008F7A8E">
              <w:t xml:space="preserve">.) (Assist.) </w:t>
            </w:r>
          </w:p>
        </w:tc>
        <w:tc>
          <w:tcPr>
            <w:tcW w:w="1530" w:type="dxa"/>
          </w:tcPr>
          <w:p w14:paraId="66398262" w14:textId="77777777" w:rsidR="00CB2E81" w:rsidRPr="008F7A8E" w:rsidRDefault="00CB2E81" w:rsidP="00D10A52">
            <w:pPr>
              <w:pStyle w:val="Tabletext"/>
              <w:rPr>
                <w:color w:val="000000"/>
              </w:rPr>
            </w:pPr>
            <w:r w:rsidRPr="008F7A8E">
              <w:t>$1,922.65</w:t>
            </w:r>
          </w:p>
        </w:tc>
        <w:tc>
          <w:tcPr>
            <w:tcW w:w="1530" w:type="dxa"/>
          </w:tcPr>
          <w:p w14:paraId="474BD81F" w14:textId="77777777" w:rsidR="00CB2E81" w:rsidRPr="008F7A8E" w:rsidRDefault="00CB2E81" w:rsidP="00D10A52">
            <w:pPr>
              <w:pStyle w:val="Tabletext"/>
              <w:rPr>
                <w:color w:val="000000"/>
              </w:rPr>
            </w:pPr>
            <w:r w:rsidRPr="008F7A8E">
              <w:t>75% = $1,442.00</w:t>
            </w:r>
          </w:p>
        </w:tc>
      </w:tr>
      <w:tr w:rsidR="00CB2E81" w:rsidRPr="008F7A8E" w14:paraId="791918E8" w14:textId="77777777" w:rsidTr="00DC4144">
        <w:tc>
          <w:tcPr>
            <w:tcW w:w="1053" w:type="dxa"/>
            <w:shd w:val="clear" w:color="auto" w:fill="auto"/>
          </w:tcPr>
          <w:p w14:paraId="29D4976C" w14:textId="77777777" w:rsidR="00CB2E81" w:rsidRPr="00DC4144" w:rsidRDefault="00CB2E81" w:rsidP="00D10A52">
            <w:pPr>
              <w:pStyle w:val="Tabletext"/>
              <w:rPr>
                <w:b/>
              </w:rPr>
            </w:pPr>
            <w:r w:rsidRPr="00DC4144">
              <w:rPr>
                <w:b/>
              </w:rPr>
              <w:t>41587</w:t>
            </w:r>
          </w:p>
        </w:tc>
        <w:tc>
          <w:tcPr>
            <w:tcW w:w="4947" w:type="dxa"/>
            <w:shd w:val="clear" w:color="auto" w:fill="auto"/>
          </w:tcPr>
          <w:p w14:paraId="5BC1CCC5" w14:textId="77777777" w:rsidR="00CB2E81" w:rsidRPr="008F7A8E" w:rsidRDefault="00CB2E81" w:rsidP="006A406F">
            <w:pPr>
              <w:pStyle w:val="Tabletext"/>
            </w:pPr>
            <w:r w:rsidRPr="008F7A8E">
              <w:t>TOTAL TEMPORAL BONE RESECTION for removal of tumour (</w:t>
            </w:r>
            <w:proofErr w:type="spellStart"/>
            <w:r w:rsidRPr="008F7A8E">
              <w:t>Anaes</w:t>
            </w:r>
            <w:proofErr w:type="spellEnd"/>
            <w:r w:rsidRPr="008F7A8E">
              <w:t xml:space="preserve">.) (Assist.) </w:t>
            </w:r>
          </w:p>
        </w:tc>
        <w:tc>
          <w:tcPr>
            <w:tcW w:w="1530" w:type="dxa"/>
          </w:tcPr>
          <w:p w14:paraId="34D986CC" w14:textId="77777777" w:rsidR="00CB2E81" w:rsidRPr="008F7A8E" w:rsidRDefault="00CB2E81" w:rsidP="00D10A52">
            <w:pPr>
              <w:pStyle w:val="Tabletext"/>
              <w:rPr>
                <w:color w:val="000000"/>
              </w:rPr>
            </w:pPr>
            <w:r w:rsidRPr="008F7A8E">
              <w:t>$2,618.60</w:t>
            </w:r>
          </w:p>
        </w:tc>
        <w:tc>
          <w:tcPr>
            <w:tcW w:w="1530" w:type="dxa"/>
          </w:tcPr>
          <w:p w14:paraId="181502CC" w14:textId="77777777" w:rsidR="00CB2E81" w:rsidRPr="008F7A8E" w:rsidRDefault="00CB2E81" w:rsidP="00D10A52">
            <w:pPr>
              <w:pStyle w:val="Tabletext"/>
              <w:rPr>
                <w:color w:val="000000"/>
              </w:rPr>
            </w:pPr>
            <w:r w:rsidRPr="008F7A8E">
              <w:t>75% = $1,963.95</w:t>
            </w:r>
          </w:p>
        </w:tc>
      </w:tr>
      <w:tr w:rsidR="00CB2E81" w:rsidRPr="008F7A8E" w14:paraId="3A2B1140" w14:textId="77777777" w:rsidTr="00DC4144">
        <w:tc>
          <w:tcPr>
            <w:tcW w:w="1053" w:type="dxa"/>
            <w:shd w:val="clear" w:color="auto" w:fill="auto"/>
          </w:tcPr>
          <w:p w14:paraId="52DD8373" w14:textId="77777777" w:rsidR="00CB2E81" w:rsidRPr="00DC4144" w:rsidRDefault="00CB2E81" w:rsidP="00D10A52">
            <w:pPr>
              <w:pStyle w:val="Tabletext"/>
              <w:rPr>
                <w:b/>
              </w:rPr>
            </w:pPr>
            <w:r w:rsidRPr="00DC4144">
              <w:rPr>
                <w:b/>
              </w:rPr>
              <w:t>41590</w:t>
            </w:r>
          </w:p>
        </w:tc>
        <w:tc>
          <w:tcPr>
            <w:tcW w:w="4947" w:type="dxa"/>
            <w:shd w:val="clear" w:color="auto" w:fill="auto"/>
          </w:tcPr>
          <w:p w14:paraId="1708C6B2" w14:textId="77777777" w:rsidR="00CB2E81" w:rsidRPr="008F7A8E" w:rsidRDefault="00CB2E81" w:rsidP="006A406F">
            <w:pPr>
              <w:pStyle w:val="Tabletext"/>
            </w:pPr>
            <w:r w:rsidRPr="008F7A8E">
              <w:t>ENDOLYMPHATIC SAC, TRANSMASTOID DECOMPRESSION with or without drainage of (</w:t>
            </w:r>
            <w:proofErr w:type="spellStart"/>
            <w:r w:rsidRPr="008F7A8E">
              <w:t>Anaes</w:t>
            </w:r>
            <w:proofErr w:type="spellEnd"/>
            <w:r w:rsidRPr="008F7A8E">
              <w:t xml:space="preserve">.) (Assist.) </w:t>
            </w:r>
          </w:p>
        </w:tc>
        <w:tc>
          <w:tcPr>
            <w:tcW w:w="1530" w:type="dxa"/>
          </w:tcPr>
          <w:p w14:paraId="46BB4E11" w14:textId="77777777" w:rsidR="00CB2E81" w:rsidRPr="008F7A8E" w:rsidRDefault="00CB2E81" w:rsidP="00D10A52">
            <w:pPr>
              <w:pStyle w:val="Tabletext"/>
              <w:rPr>
                <w:color w:val="000000"/>
              </w:rPr>
            </w:pPr>
            <w:r w:rsidRPr="008F7A8E">
              <w:t>$1,194.25</w:t>
            </w:r>
          </w:p>
        </w:tc>
        <w:tc>
          <w:tcPr>
            <w:tcW w:w="1530" w:type="dxa"/>
          </w:tcPr>
          <w:p w14:paraId="1AAEACE2" w14:textId="77777777" w:rsidR="00CB2E81" w:rsidRPr="008F7A8E" w:rsidRDefault="00CB2E81" w:rsidP="00D10A52">
            <w:pPr>
              <w:pStyle w:val="Tabletext"/>
              <w:rPr>
                <w:color w:val="000000"/>
              </w:rPr>
            </w:pPr>
            <w:r w:rsidRPr="008F7A8E">
              <w:t>75% = $895.70</w:t>
            </w:r>
          </w:p>
        </w:tc>
      </w:tr>
      <w:tr w:rsidR="00CB2E81" w:rsidRPr="008F7A8E" w14:paraId="7F5DE54E" w14:textId="77777777" w:rsidTr="00DC4144">
        <w:tc>
          <w:tcPr>
            <w:tcW w:w="1053" w:type="dxa"/>
            <w:shd w:val="clear" w:color="auto" w:fill="auto"/>
          </w:tcPr>
          <w:p w14:paraId="2141921A" w14:textId="77777777" w:rsidR="00CB2E81" w:rsidRPr="00DC4144" w:rsidRDefault="00CB2E81" w:rsidP="00D10A52">
            <w:pPr>
              <w:pStyle w:val="Tabletext"/>
              <w:rPr>
                <w:b/>
              </w:rPr>
            </w:pPr>
            <w:r w:rsidRPr="00DC4144">
              <w:rPr>
                <w:b/>
              </w:rPr>
              <w:t>41593</w:t>
            </w:r>
          </w:p>
        </w:tc>
        <w:tc>
          <w:tcPr>
            <w:tcW w:w="4947" w:type="dxa"/>
            <w:shd w:val="clear" w:color="auto" w:fill="auto"/>
          </w:tcPr>
          <w:p w14:paraId="6B8EBEB8" w14:textId="77777777" w:rsidR="00CB2E81" w:rsidRPr="008F7A8E" w:rsidRDefault="00CB2E81" w:rsidP="006A406F">
            <w:pPr>
              <w:pStyle w:val="Tabletext"/>
            </w:pPr>
            <w:r w:rsidRPr="008F7A8E">
              <w:t>TRANSLABYRINTHINE VESTIBULAR NERVE SECTION (</w:t>
            </w:r>
            <w:proofErr w:type="spellStart"/>
            <w:r w:rsidRPr="008F7A8E">
              <w:t>Anaes</w:t>
            </w:r>
            <w:proofErr w:type="spellEnd"/>
            <w:r w:rsidRPr="008F7A8E">
              <w:t xml:space="preserve">.) (Assist.) </w:t>
            </w:r>
          </w:p>
        </w:tc>
        <w:tc>
          <w:tcPr>
            <w:tcW w:w="1530" w:type="dxa"/>
          </w:tcPr>
          <w:p w14:paraId="5E37796D" w14:textId="77777777" w:rsidR="00CB2E81" w:rsidRPr="008F7A8E" w:rsidRDefault="00CB2E81" w:rsidP="00D10A52">
            <w:pPr>
              <w:pStyle w:val="Tabletext"/>
              <w:rPr>
                <w:color w:val="000000"/>
              </w:rPr>
            </w:pPr>
            <w:r w:rsidRPr="008F7A8E">
              <w:t>$1,556.50</w:t>
            </w:r>
          </w:p>
        </w:tc>
        <w:tc>
          <w:tcPr>
            <w:tcW w:w="1530" w:type="dxa"/>
          </w:tcPr>
          <w:p w14:paraId="113A29AF" w14:textId="77777777" w:rsidR="00CB2E81" w:rsidRPr="008F7A8E" w:rsidRDefault="00CB2E81" w:rsidP="00D10A52">
            <w:pPr>
              <w:pStyle w:val="Tabletext"/>
              <w:rPr>
                <w:color w:val="000000"/>
              </w:rPr>
            </w:pPr>
            <w:r w:rsidRPr="008F7A8E">
              <w:t>75% = $1,167.40</w:t>
            </w:r>
          </w:p>
        </w:tc>
      </w:tr>
      <w:tr w:rsidR="00CB2E81" w:rsidRPr="008F7A8E" w14:paraId="71447232" w14:textId="77777777" w:rsidTr="00DC4144">
        <w:tc>
          <w:tcPr>
            <w:tcW w:w="1053" w:type="dxa"/>
            <w:shd w:val="clear" w:color="auto" w:fill="auto"/>
          </w:tcPr>
          <w:p w14:paraId="5032CD28" w14:textId="77777777" w:rsidR="00CB2E81" w:rsidRPr="00DC4144" w:rsidRDefault="00CB2E81" w:rsidP="00D10A52">
            <w:pPr>
              <w:pStyle w:val="Tabletext"/>
              <w:rPr>
                <w:b/>
              </w:rPr>
            </w:pPr>
            <w:r w:rsidRPr="00DC4144">
              <w:rPr>
                <w:b/>
              </w:rPr>
              <w:t>41596</w:t>
            </w:r>
          </w:p>
        </w:tc>
        <w:tc>
          <w:tcPr>
            <w:tcW w:w="4947" w:type="dxa"/>
            <w:shd w:val="clear" w:color="auto" w:fill="auto"/>
          </w:tcPr>
          <w:p w14:paraId="47F5600E" w14:textId="77777777" w:rsidR="00CB2E81" w:rsidRPr="008F7A8E" w:rsidRDefault="00CB2E81" w:rsidP="006A406F">
            <w:pPr>
              <w:pStyle w:val="Tabletext"/>
            </w:pPr>
            <w:r w:rsidRPr="008F7A8E">
              <w:t>RETROLABYRINTHINE VESTIBULAR NERVE SECTION or COCHLEAR NERVE SECTION, or BOTH (</w:t>
            </w:r>
            <w:proofErr w:type="spellStart"/>
            <w:r w:rsidRPr="008F7A8E">
              <w:t>Anaes</w:t>
            </w:r>
            <w:proofErr w:type="spellEnd"/>
            <w:r w:rsidRPr="008F7A8E">
              <w:t xml:space="preserve">.) (Assist.) </w:t>
            </w:r>
          </w:p>
        </w:tc>
        <w:tc>
          <w:tcPr>
            <w:tcW w:w="1530" w:type="dxa"/>
          </w:tcPr>
          <w:p w14:paraId="2B72E1D6" w14:textId="77777777" w:rsidR="00CB2E81" w:rsidRPr="008F7A8E" w:rsidRDefault="00CB2E81" w:rsidP="00D10A52">
            <w:pPr>
              <w:pStyle w:val="Tabletext"/>
              <w:rPr>
                <w:color w:val="000000"/>
              </w:rPr>
            </w:pPr>
            <w:r w:rsidRPr="008F7A8E">
              <w:t>$1,739.50</w:t>
            </w:r>
          </w:p>
        </w:tc>
        <w:tc>
          <w:tcPr>
            <w:tcW w:w="1530" w:type="dxa"/>
          </w:tcPr>
          <w:p w14:paraId="714EA608" w14:textId="77777777" w:rsidR="00CB2E81" w:rsidRPr="008F7A8E" w:rsidRDefault="00CB2E81" w:rsidP="00D10A52">
            <w:pPr>
              <w:pStyle w:val="Tabletext"/>
              <w:rPr>
                <w:color w:val="000000"/>
              </w:rPr>
            </w:pPr>
            <w:r w:rsidRPr="008F7A8E">
              <w:t>75% = $1,304.65</w:t>
            </w:r>
          </w:p>
        </w:tc>
      </w:tr>
      <w:tr w:rsidR="00CB2E81" w:rsidRPr="008F7A8E" w14:paraId="2174197E" w14:textId="77777777" w:rsidTr="00DC4144">
        <w:tc>
          <w:tcPr>
            <w:tcW w:w="1053" w:type="dxa"/>
            <w:shd w:val="clear" w:color="auto" w:fill="auto"/>
          </w:tcPr>
          <w:p w14:paraId="69DDDA94" w14:textId="77777777" w:rsidR="00CB2E81" w:rsidRPr="00DC4144" w:rsidRDefault="00CB2E81" w:rsidP="00D10A52">
            <w:pPr>
              <w:pStyle w:val="Tabletext"/>
              <w:rPr>
                <w:b/>
              </w:rPr>
            </w:pPr>
            <w:r w:rsidRPr="00DC4144">
              <w:rPr>
                <w:b/>
              </w:rPr>
              <w:t>41599</w:t>
            </w:r>
          </w:p>
        </w:tc>
        <w:tc>
          <w:tcPr>
            <w:tcW w:w="4947" w:type="dxa"/>
            <w:shd w:val="clear" w:color="auto" w:fill="auto"/>
          </w:tcPr>
          <w:p w14:paraId="7F1747B0" w14:textId="77777777" w:rsidR="00CB2E81" w:rsidRPr="008F7A8E" w:rsidRDefault="00CB2E81" w:rsidP="006A406F">
            <w:pPr>
              <w:pStyle w:val="Tabletext"/>
            </w:pPr>
            <w:r w:rsidRPr="008F7A8E">
              <w:t>INTERNAL AUDITORY MEATUS, exploration by middle cranial fossa approach with cranial nerve decompression (</w:t>
            </w:r>
            <w:proofErr w:type="spellStart"/>
            <w:r w:rsidRPr="008F7A8E">
              <w:t>Anaes</w:t>
            </w:r>
            <w:proofErr w:type="spellEnd"/>
            <w:r w:rsidRPr="008F7A8E">
              <w:t xml:space="preserve">.) (Assist.) </w:t>
            </w:r>
          </w:p>
        </w:tc>
        <w:tc>
          <w:tcPr>
            <w:tcW w:w="1530" w:type="dxa"/>
          </w:tcPr>
          <w:p w14:paraId="3B2628AB" w14:textId="77777777" w:rsidR="00CB2E81" w:rsidRPr="008F7A8E" w:rsidRDefault="00CB2E81" w:rsidP="00D10A52">
            <w:pPr>
              <w:pStyle w:val="Tabletext"/>
              <w:rPr>
                <w:color w:val="000000"/>
              </w:rPr>
            </w:pPr>
            <w:r w:rsidRPr="008F7A8E">
              <w:t>$1,739.50</w:t>
            </w:r>
          </w:p>
        </w:tc>
        <w:tc>
          <w:tcPr>
            <w:tcW w:w="1530" w:type="dxa"/>
          </w:tcPr>
          <w:p w14:paraId="41F2FA2B" w14:textId="77777777" w:rsidR="00CB2E81" w:rsidRPr="008F7A8E" w:rsidRDefault="00CB2E81" w:rsidP="00D10A52">
            <w:pPr>
              <w:pStyle w:val="Tabletext"/>
              <w:rPr>
                <w:color w:val="000000"/>
              </w:rPr>
            </w:pPr>
            <w:r w:rsidRPr="008F7A8E">
              <w:t>75% = $1,304.65</w:t>
            </w:r>
          </w:p>
        </w:tc>
      </w:tr>
      <w:tr w:rsidR="00CB2E81" w:rsidRPr="008F7A8E" w14:paraId="2B5F7219" w14:textId="77777777" w:rsidTr="00DC4144">
        <w:tc>
          <w:tcPr>
            <w:tcW w:w="1053" w:type="dxa"/>
            <w:shd w:val="clear" w:color="auto" w:fill="auto"/>
          </w:tcPr>
          <w:p w14:paraId="7E02B064" w14:textId="77777777" w:rsidR="00CB2E81" w:rsidRPr="00DC4144" w:rsidRDefault="00CB2E81" w:rsidP="00D10A52">
            <w:pPr>
              <w:pStyle w:val="Tabletext"/>
              <w:rPr>
                <w:b/>
              </w:rPr>
            </w:pPr>
            <w:r w:rsidRPr="00DC4144">
              <w:rPr>
                <w:b/>
              </w:rPr>
              <w:t>41603</w:t>
            </w:r>
          </w:p>
        </w:tc>
        <w:tc>
          <w:tcPr>
            <w:tcW w:w="4947" w:type="dxa"/>
            <w:shd w:val="clear" w:color="auto" w:fill="auto"/>
          </w:tcPr>
          <w:p w14:paraId="4835E051" w14:textId="77777777" w:rsidR="00CB2E81" w:rsidRPr="008F7A8E" w:rsidRDefault="00CB2E81" w:rsidP="002A1D98">
            <w:pPr>
              <w:pStyle w:val="NormalBulleted10pt"/>
              <w:numPr>
                <w:ilvl w:val="0"/>
                <w:numId w:val="0"/>
              </w:numPr>
            </w:pPr>
            <w:r w:rsidRPr="008F7A8E">
              <w:t>OSSEO-INTEGRATION PROCEDURE – implantation of titanium fixture for use with implantable bone conduction hearing system device, in patients:</w:t>
            </w:r>
          </w:p>
          <w:p w14:paraId="55EB6428" w14:textId="77777777" w:rsidR="00CB2E81" w:rsidRPr="0045305B" w:rsidRDefault="00CB2E81" w:rsidP="0045305B">
            <w:pPr>
              <w:pStyle w:val="NormalBulleted2Table"/>
            </w:pPr>
            <w:r w:rsidRPr="0045305B">
              <w:t xml:space="preserve">With a permanent or </w:t>
            </w:r>
            <w:proofErr w:type="gramStart"/>
            <w:r w:rsidRPr="0045305B">
              <w:t>long term</w:t>
            </w:r>
            <w:proofErr w:type="gramEnd"/>
            <w:r w:rsidRPr="0045305B">
              <w:t xml:space="preserve"> hearing loss; and</w:t>
            </w:r>
          </w:p>
          <w:p w14:paraId="426E3F7A" w14:textId="77777777" w:rsidR="00CB2E81" w:rsidRPr="0045305B" w:rsidRDefault="00CB2E81" w:rsidP="0045305B">
            <w:pPr>
              <w:pStyle w:val="NormalBulleted2Table"/>
            </w:pPr>
            <w:r w:rsidRPr="0045305B">
              <w:t>Unable to utilise conventional air or bone conduction hearing aid for medical or audiological reasons; and</w:t>
            </w:r>
          </w:p>
          <w:p w14:paraId="1A860935" w14:textId="77777777" w:rsidR="00CB2E81" w:rsidRPr="00702DE4" w:rsidRDefault="00CB2E81" w:rsidP="0045305B">
            <w:pPr>
              <w:pStyle w:val="NormalBulleted2Table"/>
            </w:pPr>
            <w:r w:rsidRPr="0045305B">
              <w:t>With bone conduction</w:t>
            </w:r>
            <w:r w:rsidRPr="00702DE4">
              <w:t xml:space="preserve"> thresholds that accord to recognised criteria for the implantable bone conduction hearing device being inserted.</w:t>
            </w:r>
          </w:p>
          <w:p w14:paraId="231C0096" w14:textId="77777777" w:rsidR="00CB2E81" w:rsidRPr="008F7A8E" w:rsidRDefault="00CB2E81" w:rsidP="002A1D98">
            <w:pPr>
              <w:pStyle w:val="NormalBulleted10pt"/>
              <w:numPr>
                <w:ilvl w:val="0"/>
                <w:numId w:val="0"/>
              </w:numPr>
            </w:pPr>
            <w:r w:rsidRPr="008F7A8E">
              <w:t>Not being a service associated with a service to which items 41554, 45794 or 45797 (</w:t>
            </w:r>
            <w:proofErr w:type="spellStart"/>
            <w:r w:rsidRPr="008F7A8E">
              <w:t>Anaes</w:t>
            </w:r>
            <w:proofErr w:type="spellEnd"/>
            <w:r w:rsidRPr="008F7A8E">
              <w:t>.)</w:t>
            </w:r>
          </w:p>
        </w:tc>
        <w:tc>
          <w:tcPr>
            <w:tcW w:w="1530" w:type="dxa"/>
          </w:tcPr>
          <w:p w14:paraId="044F352A" w14:textId="77777777" w:rsidR="00CB2E81" w:rsidRPr="008F7A8E" w:rsidRDefault="00A03057" w:rsidP="00422EC8">
            <w:pPr>
              <w:pStyle w:val="Tabletext"/>
              <w:rPr>
                <w:color w:val="000000"/>
              </w:rPr>
            </w:pPr>
            <w:r w:rsidRPr="008F7A8E">
              <w:t>$503.85</w:t>
            </w:r>
          </w:p>
        </w:tc>
        <w:tc>
          <w:tcPr>
            <w:tcW w:w="1530" w:type="dxa"/>
          </w:tcPr>
          <w:p w14:paraId="6DB74859" w14:textId="77777777" w:rsidR="00CB2E81" w:rsidRPr="008F7A8E" w:rsidRDefault="00A03057" w:rsidP="00422EC8">
            <w:pPr>
              <w:pStyle w:val="Tabletext"/>
              <w:rPr>
                <w:color w:val="000000"/>
              </w:rPr>
            </w:pPr>
            <w:r w:rsidRPr="008F7A8E">
              <w:t>75% = $377.90</w:t>
            </w:r>
            <w:r>
              <w:t xml:space="preserve">; </w:t>
            </w:r>
            <w:r w:rsidRPr="008F7A8E">
              <w:t>85% = $428.30</w:t>
            </w:r>
          </w:p>
        </w:tc>
      </w:tr>
      <w:tr w:rsidR="00CB2E81" w:rsidRPr="008F7A8E" w14:paraId="06C0075C" w14:textId="77777777" w:rsidTr="00DC4144">
        <w:tc>
          <w:tcPr>
            <w:tcW w:w="1053" w:type="dxa"/>
            <w:shd w:val="clear" w:color="auto" w:fill="auto"/>
          </w:tcPr>
          <w:p w14:paraId="07A8F4FD" w14:textId="77777777" w:rsidR="00CB2E81" w:rsidRPr="00DC4144" w:rsidRDefault="00CB2E81" w:rsidP="00D10A52">
            <w:pPr>
              <w:pStyle w:val="Tabletext"/>
              <w:rPr>
                <w:b/>
              </w:rPr>
            </w:pPr>
            <w:r w:rsidRPr="00DC4144">
              <w:rPr>
                <w:b/>
              </w:rPr>
              <w:t>41604</w:t>
            </w:r>
          </w:p>
        </w:tc>
        <w:tc>
          <w:tcPr>
            <w:tcW w:w="4947" w:type="dxa"/>
            <w:shd w:val="clear" w:color="auto" w:fill="auto"/>
          </w:tcPr>
          <w:p w14:paraId="77CB4175" w14:textId="77777777" w:rsidR="00CB2E81" w:rsidRPr="008F7A8E" w:rsidRDefault="00CB2E81" w:rsidP="002A1D98">
            <w:pPr>
              <w:pStyle w:val="NormalBulleted10pt"/>
              <w:numPr>
                <w:ilvl w:val="0"/>
                <w:numId w:val="0"/>
              </w:numPr>
            </w:pPr>
            <w:r w:rsidRPr="008F7A8E">
              <w:t xml:space="preserve">OSSEO-INTEGRATION PROCEDURE – fixation of transcutaneous abutment implantation of titanium fixture </w:t>
            </w:r>
            <w:r w:rsidRPr="008F7A8E">
              <w:lastRenderedPageBreak/>
              <w:t>for use with implantable bone conduction hearing system device, in patients:</w:t>
            </w:r>
          </w:p>
          <w:p w14:paraId="4B9B2482" w14:textId="77777777" w:rsidR="00CB2E81" w:rsidRPr="0045305B" w:rsidRDefault="00CB2E81" w:rsidP="0045305B">
            <w:pPr>
              <w:pStyle w:val="NormalBulleted2Table"/>
            </w:pPr>
            <w:r w:rsidRPr="0045305B">
              <w:t xml:space="preserve">With a permanent or </w:t>
            </w:r>
            <w:proofErr w:type="gramStart"/>
            <w:r w:rsidRPr="0045305B">
              <w:t>long term</w:t>
            </w:r>
            <w:proofErr w:type="gramEnd"/>
            <w:r w:rsidRPr="0045305B">
              <w:t xml:space="preserve"> hearing loss; and</w:t>
            </w:r>
          </w:p>
          <w:p w14:paraId="19D46493" w14:textId="77777777" w:rsidR="00CB2E81" w:rsidRPr="0045305B" w:rsidRDefault="00CB2E81" w:rsidP="0045305B">
            <w:pPr>
              <w:pStyle w:val="NormalBulleted2Table"/>
            </w:pPr>
            <w:r w:rsidRPr="0045305B">
              <w:t>Unable to utilise conventional air or bone conduction hearing aid for medical or audiological reasons; and</w:t>
            </w:r>
          </w:p>
          <w:p w14:paraId="04230A9C" w14:textId="77777777" w:rsidR="00CB2E81" w:rsidRPr="00702DE4" w:rsidRDefault="00CB2E81" w:rsidP="0045305B">
            <w:pPr>
              <w:pStyle w:val="NormalBulleted2Table"/>
            </w:pPr>
            <w:r w:rsidRPr="0045305B">
              <w:t>With bone conduction thresholds that accord to recognised criteria</w:t>
            </w:r>
            <w:r w:rsidRPr="00702DE4">
              <w:t xml:space="preserve"> for the implantable bone conduction hearing device being inserted.</w:t>
            </w:r>
          </w:p>
          <w:p w14:paraId="4F5AC6C8" w14:textId="77777777" w:rsidR="00CB2E81" w:rsidRPr="008F7A8E" w:rsidRDefault="00CB2E81" w:rsidP="002A1D98">
            <w:pPr>
              <w:pStyle w:val="NormalBulleted10pt"/>
              <w:numPr>
                <w:ilvl w:val="0"/>
                <w:numId w:val="0"/>
              </w:numPr>
            </w:pPr>
            <w:r w:rsidRPr="008F7A8E">
              <w:t>Not being a service associated with a service to which items 41554, 45794 or 45797 (</w:t>
            </w:r>
            <w:proofErr w:type="spellStart"/>
            <w:r w:rsidRPr="008F7A8E">
              <w:t>Anaes</w:t>
            </w:r>
            <w:proofErr w:type="spellEnd"/>
            <w:r w:rsidRPr="008F7A8E">
              <w:t>.)</w:t>
            </w:r>
          </w:p>
        </w:tc>
        <w:tc>
          <w:tcPr>
            <w:tcW w:w="1530" w:type="dxa"/>
          </w:tcPr>
          <w:p w14:paraId="6888C4C4" w14:textId="77777777" w:rsidR="00CB2E81" w:rsidRPr="008F7A8E" w:rsidRDefault="00A03057" w:rsidP="00422EC8">
            <w:pPr>
              <w:pStyle w:val="Tabletext"/>
              <w:rPr>
                <w:color w:val="000000"/>
              </w:rPr>
            </w:pPr>
            <w:r w:rsidRPr="008F7A8E">
              <w:lastRenderedPageBreak/>
              <w:t>$186.50</w:t>
            </w:r>
          </w:p>
        </w:tc>
        <w:tc>
          <w:tcPr>
            <w:tcW w:w="1530" w:type="dxa"/>
          </w:tcPr>
          <w:p w14:paraId="61F1726F" w14:textId="77777777" w:rsidR="00CB2E81" w:rsidRPr="008F7A8E" w:rsidRDefault="00A03057" w:rsidP="00422EC8">
            <w:pPr>
              <w:pStyle w:val="Tabletext"/>
              <w:rPr>
                <w:color w:val="000000"/>
              </w:rPr>
            </w:pPr>
            <w:r w:rsidRPr="008F7A8E">
              <w:t>75% = $139.90</w:t>
            </w:r>
            <w:r>
              <w:t xml:space="preserve">; </w:t>
            </w:r>
            <w:r w:rsidRPr="008F7A8E">
              <w:t>85% = $158.55</w:t>
            </w:r>
          </w:p>
        </w:tc>
      </w:tr>
      <w:tr w:rsidR="00CB2E81" w:rsidRPr="008F7A8E" w14:paraId="6D8CA970" w14:textId="77777777" w:rsidTr="00DC4144">
        <w:tc>
          <w:tcPr>
            <w:tcW w:w="1053" w:type="dxa"/>
            <w:shd w:val="clear" w:color="auto" w:fill="auto"/>
          </w:tcPr>
          <w:p w14:paraId="0FE711A4" w14:textId="77777777" w:rsidR="00CB2E81" w:rsidRPr="00DC4144" w:rsidRDefault="00CB2E81" w:rsidP="00D10A52">
            <w:pPr>
              <w:pStyle w:val="Tabletext"/>
              <w:rPr>
                <w:b/>
              </w:rPr>
            </w:pPr>
            <w:r w:rsidRPr="00DC4144">
              <w:rPr>
                <w:b/>
              </w:rPr>
              <w:t>41608</w:t>
            </w:r>
          </w:p>
        </w:tc>
        <w:tc>
          <w:tcPr>
            <w:tcW w:w="4947" w:type="dxa"/>
            <w:shd w:val="clear" w:color="auto" w:fill="auto"/>
          </w:tcPr>
          <w:p w14:paraId="2E9C836A" w14:textId="77777777" w:rsidR="00CB2E81" w:rsidRPr="008F7A8E" w:rsidRDefault="00CB2E81" w:rsidP="006A406F">
            <w:pPr>
              <w:pStyle w:val="Tabletext"/>
            </w:pPr>
            <w:r w:rsidRPr="008F7A8E">
              <w:t>STAPEDECTOMY (</w:t>
            </w:r>
            <w:proofErr w:type="spellStart"/>
            <w:r w:rsidRPr="008F7A8E">
              <w:t>Anaes</w:t>
            </w:r>
            <w:proofErr w:type="spellEnd"/>
            <w:r w:rsidRPr="008F7A8E">
              <w:t xml:space="preserve">.) (Assist.) </w:t>
            </w:r>
          </w:p>
        </w:tc>
        <w:tc>
          <w:tcPr>
            <w:tcW w:w="1530" w:type="dxa"/>
          </w:tcPr>
          <w:p w14:paraId="456A543F" w14:textId="77777777" w:rsidR="00CB2E81" w:rsidRPr="008F7A8E" w:rsidRDefault="00A03057" w:rsidP="00D10A52">
            <w:pPr>
              <w:pStyle w:val="Tabletext"/>
              <w:rPr>
                <w:color w:val="000000"/>
              </w:rPr>
            </w:pPr>
            <w:r w:rsidRPr="008F7A8E">
              <w:t>$1,089.90</w:t>
            </w:r>
          </w:p>
        </w:tc>
        <w:tc>
          <w:tcPr>
            <w:tcW w:w="1530" w:type="dxa"/>
          </w:tcPr>
          <w:p w14:paraId="1B2ECD74" w14:textId="77777777" w:rsidR="00CB2E81" w:rsidRPr="008F7A8E" w:rsidRDefault="00A03057" w:rsidP="00D10A52">
            <w:pPr>
              <w:pStyle w:val="Tabletext"/>
              <w:rPr>
                <w:color w:val="000000"/>
              </w:rPr>
            </w:pPr>
            <w:r w:rsidRPr="008F7A8E">
              <w:t>75% = $817.45</w:t>
            </w:r>
          </w:p>
        </w:tc>
      </w:tr>
      <w:tr w:rsidR="00CB2E81" w:rsidRPr="008F7A8E" w14:paraId="4D9D95C9" w14:textId="77777777" w:rsidTr="00DC4144">
        <w:tc>
          <w:tcPr>
            <w:tcW w:w="1053" w:type="dxa"/>
            <w:shd w:val="clear" w:color="auto" w:fill="auto"/>
          </w:tcPr>
          <w:p w14:paraId="484D26C5" w14:textId="77777777" w:rsidR="00CB2E81" w:rsidRPr="00DC4144" w:rsidRDefault="00CB2E81" w:rsidP="00D10A52">
            <w:pPr>
              <w:pStyle w:val="Tabletext"/>
              <w:rPr>
                <w:b/>
              </w:rPr>
            </w:pPr>
            <w:r w:rsidRPr="00DC4144">
              <w:rPr>
                <w:b/>
              </w:rPr>
              <w:t>41611</w:t>
            </w:r>
          </w:p>
        </w:tc>
        <w:tc>
          <w:tcPr>
            <w:tcW w:w="4947" w:type="dxa"/>
            <w:shd w:val="clear" w:color="auto" w:fill="auto"/>
          </w:tcPr>
          <w:p w14:paraId="52D541C9" w14:textId="77777777" w:rsidR="00CB2E81" w:rsidRPr="008F7A8E" w:rsidRDefault="00CB2E81" w:rsidP="006A406F">
            <w:pPr>
              <w:pStyle w:val="Tabletext"/>
            </w:pPr>
            <w:r w:rsidRPr="008F7A8E">
              <w:t>STAPES MOBILISATION (</w:t>
            </w:r>
            <w:proofErr w:type="spellStart"/>
            <w:r w:rsidRPr="008F7A8E">
              <w:t>Anaes</w:t>
            </w:r>
            <w:proofErr w:type="spellEnd"/>
            <w:r w:rsidRPr="008F7A8E">
              <w:t xml:space="preserve">.) (Assist.) </w:t>
            </w:r>
          </w:p>
        </w:tc>
        <w:tc>
          <w:tcPr>
            <w:tcW w:w="1530" w:type="dxa"/>
          </w:tcPr>
          <w:p w14:paraId="5A499D46" w14:textId="77777777" w:rsidR="00CB2E81" w:rsidRPr="008F7A8E" w:rsidRDefault="00A03057" w:rsidP="00D10A52">
            <w:pPr>
              <w:pStyle w:val="Tabletext"/>
              <w:rPr>
                <w:color w:val="000000"/>
              </w:rPr>
            </w:pPr>
            <w:r w:rsidRPr="008F7A8E">
              <w:t>$701.30</w:t>
            </w:r>
          </w:p>
        </w:tc>
        <w:tc>
          <w:tcPr>
            <w:tcW w:w="1530" w:type="dxa"/>
          </w:tcPr>
          <w:p w14:paraId="55237DCA" w14:textId="77777777" w:rsidR="00CB2E81" w:rsidRPr="008F7A8E" w:rsidRDefault="00A03057" w:rsidP="00D10A52">
            <w:pPr>
              <w:pStyle w:val="Tabletext"/>
              <w:rPr>
                <w:color w:val="000000"/>
              </w:rPr>
            </w:pPr>
            <w:r w:rsidRPr="008F7A8E">
              <w:t>75% = $526.00</w:t>
            </w:r>
          </w:p>
        </w:tc>
      </w:tr>
      <w:tr w:rsidR="00CB2E81" w:rsidRPr="008F7A8E" w14:paraId="28483BD7" w14:textId="77777777" w:rsidTr="00DC4144">
        <w:tc>
          <w:tcPr>
            <w:tcW w:w="1053" w:type="dxa"/>
            <w:shd w:val="clear" w:color="auto" w:fill="auto"/>
          </w:tcPr>
          <w:p w14:paraId="31880CF9" w14:textId="77777777" w:rsidR="00CB2E81" w:rsidRPr="00DC4144" w:rsidRDefault="00CB2E81" w:rsidP="00D10A52">
            <w:pPr>
              <w:pStyle w:val="Tabletext"/>
              <w:rPr>
                <w:b/>
              </w:rPr>
            </w:pPr>
            <w:r w:rsidRPr="00DC4144">
              <w:rPr>
                <w:b/>
              </w:rPr>
              <w:t>41614</w:t>
            </w:r>
          </w:p>
        </w:tc>
        <w:tc>
          <w:tcPr>
            <w:tcW w:w="4947" w:type="dxa"/>
            <w:shd w:val="clear" w:color="auto" w:fill="auto"/>
          </w:tcPr>
          <w:p w14:paraId="4B6674D6" w14:textId="77777777" w:rsidR="00CB2E81" w:rsidRPr="008F7A8E" w:rsidRDefault="00CB2E81" w:rsidP="006A406F">
            <w:pPr>
              <w:pStyle w:val="Tabletext"/>
            </w:pPr>
            <w:r w:rsidRPr="008F7A8E">
              <w:t xml:space="preserve">ROUND WINDOW SURGERY including repair of </w:t>
            </w:r>
            <w:proofErr w:type="spellStart"/>
            <w:r w:rsidRPr="008F7A8E">
              <w:t>cochleotomy</w:t>
            </w:r>
            <w:proofErr w:type="spellEnd"/>
            <w:r w:rsidRPr="008F7A8E">
              <w:t xml:space="preserve"> (</w:t>
            </w:r>
            <w:proofErr w:type="spellStart"/>
            <w:r w:rsidRPr="008F7A8E">
              <w:t>Anaes</w:t>
            </w:r>
            <w:proofErr w:type="spellEnd"/>
            <w:r w:rsidRPr="008F7A8E">
              <w:t>.) (Assist.)</w:t>
            </w:r>
          </w:p>
        </w:tc>
        <w:tc>
          <w:tcPr>
            <w:tcW w:w="1530" w:type="dxa"/>
          </w:tcPr>
          <w:p w14:paraId="349D216A" w14:textId="77777777" w:rsidR="00CB2E81" w:rsidRPr="008F7A8E" w:rsidRDefault="00A03057" w:rsidP="00D10A52">
            <w:pPr>
              <w:pStyle w:val="Tabletext"/>
              <w:rPr>
                <w:color w:val="000000"/>
              </w:rPr>
            </w:pPr>
            <w:r w:rsidRPr="008F7A8E">
              <w:t>$1,089.90</w:t>
            </w:r>
          </w:p>
        </w:tc>
        <w:tc>
          <w:tcPr>
            <w:tcW w:w="1530" w:type="dxa"/>
          </w:tcPr>
          <w:p w14:paraId="0B17BA06" w14:textId="77777777" w:rsidR="00CB2E81" w:rsidRPr="008F7A8E" w:rsidRDefault="00A03057" w:rsidP="00D10A52">
            <w:pPr>
              <w:pStyle w:val="Tabletext"/>
              <w:rPr>
                <w:color w:val="000000"/>
              </w:rPr>
            </w:pPr>
            <w:r w:rsidRPr="008F7A8E">
              <w:t>75% = $817.45</w:t>
            </w:r>
            <w:r>
              <w:t xml:space="preserve">; </w:t>
            </w:r>
            <w:r w:rsidRPr="008F7A8E">
              <w:t>85% = $1,011.50</w:t>
            </w:r>
          </w:p>
        </w:tc>
      </w:tr>
      <w:tr w:rsidR="00CB2E81" w:rsidRPr="008F7A8E" w14:paraId="00FA9D39" w14:textId="77777777" w:rsidTr="00DC4144">
        <w:tc>
          <w:tcPr>
            <w:tcW w:w="1053" w:type="dxa"/>
            <w:shd w:val="clear" w:color="auto" w:fill="auto"/>
          </w:tcPr>
          <w:p w14:paraId="762C81C4" w14:textId="77777777" w:rsidR="00CB2E81" w:rsidRPr="00DC4144" w:rsidRDefault="00CB2E81" w:rsidP="00D10A52">
            <w:pPr>
              <w:pStyle w:val="Tabletext"/>
              <w:rPr>
                <w:b/>
              </w:rPr>
            </w:pPr>
            <w:r w:rsidRPr="00DC4144">
              <w:rPr>
                <w:b/>
              </w:rPr>
              <w:t>41615</w:t>
            </w:r>
          </w:p>
        </w:tc>
        <w:tc>
          <w:tcPr>
            <w:tcW w:w="4947" w:type="dxa"/>
            <w:shd w:val="clear" w:color="auto" w:fill="auto"/>
          </w:tcPr>
          <w:p w14:paraId="247B342A" w14:textId="77777777" w:rsidR="00CB2E81" w:rsidRPr="008F7A8E" w:rsidRDefault="00CB2E81" w:rsidP="006A406F">
            <w:pPr>
              <w:pStyle w:val="Tabletext"/>
            </w:pPr>
            <w:r w:rsidRPr="008F7A8E">
              <w:t>OVAL WINDOW SURGERY, including repair of fistula, not being a service associated with a service to which any other item in this Group applies (</w:t>
            </w:r>
            <w:proofErr w:type="spellStart"/>
            <w:r w:rsidRPr="008F7A8E">
              <w:t>Anaes</w:t>
            </w:r>
            <w:proofErr w:type="spellEnd"/>
            <w:r w:rsidRPr="008F7A8E">
              <w:t xml:space="preserve">.) (Assist.) </w:t>
            </w:r>
          </w:p>
        </w:tc>
        <w:tc>
          <w:tcPr>
            <w:tcW w:w="1530" w:type="dxa"/>
          </w:tcPr>
          <w:p w14:paraId="258D01C1" w14:textId="77777777" w:rsidR="00CB2E81" w:rsidRPr="008F7A8E" w:rsidRDefault="00A03057" w:rsidP="00D10A52">
            <w:pPr>
              <w:pStyle w:val="Tabletext"/>
              <w:rPr>
                <w:color w:val="000000"/>
              </w:rPr>
            </w:pPr>
            <w:r w:rsidRPr="008F7A8E">
              <w:t>$1,089.90</w:t>
            </w:r>
          </w:p>
        </w:tc>
        <w:tc>
          <w:tcPr>
            <w:tcW w:w="1530" w:type="dxa"/>
          </w:tcPr>
          <w:p w14:paraId="2D89226E" w14:textId="77777777" w:rsidR="00CB2E81" w:rsidRPr="008F7A8E" w:rsidRDefault="00A03057" w:rsidP="00D10A52">
            <w:pPr>
              <w:pStyle w:val="Tabletext"/>
              <w:rPr>
                <w:color w:val="000000"/>
              </w:rPr>
            </w:pPr>
            <w:r w:rsidRPr="008F7A8E">
              <w:t>75% = $817.45</w:t>
            </w:r>
            <w:r>
              <w:t xml:space="preserve">; </w:t>
            </w:r>
            <w:r w:rsidRPr="008F7A8E">
              <w:t>85% = $1,011.50</w:t>
            </w:r>
          </w:p>
        </w:tc>
      </w:tr>
      <w:tr w:rsidR="00CB2E81" w:rsidRPr="008F7A8E" w14:paraId="6508EF35" w14:textId="77777777" w:rsidTr="00DC4144">
        <w:tc>
          <w:tcPr>
            <w:tcW w:w="1053" w:type="dxa"/>
            <w:shd w:val="clear" w:color="auto" w:fill="auto"/>
          </w:tcPr>
          <w:p w14:paraId="296E3D38" w14:textId="77777777" w:rsidR="00CB2E81" w:rsidRPr="00DC4144" w:rsidRDefault="00CB2E81" w:rsidP="00D10A52">
            <w:pPr>
              <w:pStyle w:val="Tabletext"/>
              <w:rPr>
                <w:b/>
              </w:rPr>
            </w:pPr>
            <w:r w:rsidRPr="00DC4144">
              <w:rPr>
                <w:b/>
              </w:rPr>
              <w:t>41617</w:t>
            </w:r>
          </w:p>
        </w:tc>
        <w:tc>
          <w:tcPr>
            <w:tcW w:w="4947" w:type="dxa"/>
            <w:shd w:val="clear" w:color="auto" w:fill="auto"/>
          </w:tcPr>
          <w:p w14:paraId="052F58F4" w14:textId="77777777" w:rsidR="00CB2E81" w:rsidRPr="008F7A8E" w:rsidRDefault="00CB2E81" w:rsidP="006A406F">
            <w:pPr>
              <w:pStyle w:val="Tabletext"/>
            </w:pPr>
            <w:r w:rsidRPr="008F7A8E">
              <w:t>COCHLEAR IMPLANT, insertion of, including mastoidectomy (</w:t>
            </w:r>
            <w:proofErr w:type="spellStart"/>
            <w:r w:rsidRPr="008F7A8E">
              <w:t>Anaes</w:t>
            </w:r>
            <w:proofErr w:type="spellEnd"/>
            <w:r w:rsidRPr="008F7A8E">
              <w:t xml:space="preserve">.) (Assist.) </w:t>
            </w:r>
          </w:p>
        </w:tc>
        <w:tc>
          <w:tcPr>
            <w:tcW w:w="1530" w:type="dxa"/>
          </w:tcPr>
          <w:p w14:paraId="04742BD3" w14:textId="77777777" w:rsidR="00CB2E81" w:rsidRPr="008F7A8E" w:rsidRDefault="00A03057" w:rsidP="00D10A52">
            <w:pPr>
              <w:pStyle w:val="Tabletext"/>
              <w:rPr>
                <w:color w:val="000000"/>
              </w:rPr>
            </w:pPr>
            <w:r w:rsidRPr="008F7A8E">
              <w:t>$1,895.20</w:t>
            </w:r>
          </w:p>
        </w:tc>
        <w:tc>
          <w:tcPr>
            <w:tcW w:w="1530" w:type="dxa"/>
          </w:tcPr>
          <w:p w14:paraId="77C1E8B2" w14:textId="77777777" w:rsidR="00CB2E81" w:rsidRPr="008F7A8E" w:rsidRDefault="00A03057" w:rsidP="00D10A52">
            <w:pPr>
              <w:pStyle w:val="Tabletext"/>
              <w:rPr>
                <w:color w:val="000000"/>
              </w:rPr>
            </w:pPr>
            <w:r w:rsidRPr="008F7A8E">
              <w:t>75% = $1,421.40</w:t>
            </w:r>
          </w:p>
        </w:tc>
      </w:tr>
      <w:tr w:rsidR="00CB2E81" w:rsidRPr="008F7A8E" w14:paraId="70855EC6" w14:textId="77777777" w:rsidTr="00DC4144">
        <w:tc>
          <w:tcPr>
            <w:tcW w:w="1053" w:type="dxa"/>
            <w:shd w:val="clear" w:color="auto" w:fill="auto"/>
          </w:tcPr>
          <w:p w14:paraId="22CDB420" w14:textId="77777777" w:rsidR="00CB2E81" w:rsidRPr="00DC4144" w:rsidRDefault="00CB2E81" w:rsidP="00D10A52">
            <w:pPr>
              <w:pStyle w:val="Tabletext"/>
              <w:rPr>
                <w:b/>
              </w:rPr>
            </w:pPr>
            <w:r w:rsidRPr="00DC4144">
              <w:rPr>
                <w:b/>
              </w:rPr>
              <w:t>41620</w:t>
            </w:r>
          </w:p>
        </w:tc>
        <w:tc>
          <w:tcPr>
            <w:tcW w:w="4947" w:type="dxa"/>
            <w:shd w:val="clear" w:color="auto" w:fill="auto"/>
          </w:tcPr>
          <w:p w14:paraId="4883EA5E" w14:textId="77777777" w:rsidR="00CB2E81" w:rsidRPr="008F7A8E" w:rsidRDefault="00CB2E81" w:rsidP="006A406F">
            <w:pPr>
              <w:pStyle w:val="Tabletext"/>
            </w:pPr>
            <w:r w:rsidRPr="008F7A8E">
              <w:t xml:space="preserve">GLOMUS TUMOUR, </w:t>
            </w:r>
            <w:proofErr w:type="spellStart"/>
            <w:r w:rsidRPr="008F7A8E">
              <w:t>transtympanic</w:t>
            </w:r>
            <w:proofErr w:type="spellEnd"/>
            <w:r w:rsidRPr="008F7A8E">
              <w:t xml:space="preserve"> removal of (</w:t>
            </w:r>
            <w:proofErr w:type="spellStart"/>
            <w:r w:rsidRPr="008F7A8E">
              <w:t>Anaes</w:t>
            </w:r>
            <w:proofErr w:type="spellEnd"/>
            <w:r w:rsidRPr="008F7A8E">
              <w:t xml:space="preserve">.) (Assist.) </w:t>
            </w:r>
          </w:p>
        </w:tc>
        <w:tc>
          <w:tcPr>
            <w:tcW w:w="1530" w:type="dxa"/>
          </w:tcPr>
          <w:p w14:paraId="07C30194" w14:textId="77777777" w:rsidR="00CB2E81" w:rsidRPr="008F7A8E" w:rsidRDefault="00A03057" w:rsidP="00D10A52">
            <w:pPr>
              <w:pStyle w:val="Tabletext"/>
              <w:rPr>
                <w:color w:val="000000"/>
              </w:rPr>
            </w:pPr>
            <w:r w:rsidRPr="008F7A8E">
              <w:t>$824.55</w:t>
            </w:r>
          </w:p>
        </w:tc>
        <w:tc>
          <w:tcPr>
            <w:tcW w:w="1530" w:type="dxa"/>
          </w:tcPr>
          <w:p w14:paraId="5F202DAE" w14:textId="77777777" w:rsidR="00CB2E81" w:rsidRPr="008F7A8E" w:rsidRDefault="00A03057" w:rsidP="00D10A52">
            <w:pPr>
              <w:pStyle w:val="Tabletext"/>
              <w:rPr>
                <w:color w:val="000000"/>
              </w:rPr>
            </w:pPr>
            <w:r w:rsidRPr="008F7A8E">
              <w:t>75% = $618.45</w:t>
            </w:r>
          </w:p>
        </w:tc>
      </w:tr>
      <w:tr w:rsidR="00CB2E81" w:rsidRPr="008F7A8E" w14:paraId="25D79A2B" w14:textId="77777777" w:rsidTr="00DC4144">
        <w:tc>
          <w:tcPr>
            <w:tcW w:w="1053" w:type="dxa"/>
            <w:shd w:val="clear" w:color="auto" w:fill="auto"/>
          </w:tcPr>
          <w:p w14:paraId="4791C7B8" w14:textId="77777777" w:rsidR="00CB2E81" w:rsidRPr="00DC4144" w:rsidRDefault="00CB2E81" w:rsidP="00D10A52">
            <w:pPr>
              <w:pStyle w:val="Tabletext"/>
              <w:rPr>
                <w:b/>
              </w:rPr>
            </w:pPr>
            <w:r w:rsidRPr="00DC4144">
              <w:rPr>
                <w:b/>
              </w:rPr>
              <w:t>41623</w:t>
            </w:r>
          </w:p>
        </w:tc>
        <w:tc>
          <w:tcPr>
            <w:tcW w:w="4947" w:type="dxa"/>
            <w:shd w:val="clear" w:color="auto" w:fill="auto"/>
          </w:tcPr>
          <w:p w14:paraId="3EA7A600" w14:textId="77777777" w:rsidR="00CB2E81" w:rsidRPr="008F7A8E" w:rsidRDefault="00CB2E81" w:rsidP="006A406F">
            <w:pPr>
              <w:pStyle w:val="Tabletext"/>
            </w:pPr>
            <w:r w:rsidRPr="008F7A8E">
              <w:t xml:space="preserve">GLOMUS TUMOUR, </w:t>
            </w:r>
            <w:proofErr w:type="spellStart"/>
            <w:r w:rsidRPr="008F7A8E">
              <w:t>transmastoid</w:t>
            </w:r>
            <w:proofErr w:type="spellEnd"/>
            <w:r w:rsidRPr="008F7A8E">
              <w:t xml:space="preserve"> removal of, including mastoidectomy (</w:t>
            </w:r>
            <w:proofErr w:type="spellStart"/>
            <w:r w:rsidRPr="008F7A8E">
              <w:t>Anaes</w:t>
            </w:r>
            <w:proofErr w:type="spellEnd"/>
            <w:r w:rsidRPr="008F7A8E">
              <w:t xml:space="preserve">.) (Assist.) </w:t>
            </w:r>
          </w:p>
        </w:tc>
        <w:tc>
          <w:tcPr>
            <w:tcW w:w="1530" w:type="dxa"/>
          </w:tcPr>
          <w:p w14:paraId="409824C4" w14:textId="77777777" w:rsidR="00CB2E81" w:rsidRPr="008F7A8E" w:rsidRDefault="00A03057" w:rsidP="00D10A52">
            <w:pPr>
              <w:pStyle w:val="Tabletext"/>
              <w:rPr>
                <w:color w:val="000000"/>
              </w:rPr>
            </w:pPr>
            <w:r w:rsidRPr="008F7A8E">
              <w:t>$1,194.25</w:t>
            </w:r>
          </w:p>
        </w:tc>
        <w:tc>
          <w:tcPr>
            <w:tcW w:w="1530" w:type="dxa"/>
          </w:tcPr>
          <w:p w14:paraId="27C75A15" w14:textId="77777777" w:rsidR="00CB2E81" w:rsidRPr="008F7A8E" w:rsidRDefault="00A03057" w:rsidP="00D10A52">
            <w:pPr>
              <w:pStyle w:val="Tabletext"/>
              <w:rPr>
                <w:color w:val="000000"/>
              </w:rPr>
            </w:pPr>
            <w:r w:rsidRPr="008F7A8E">
              <w:t>75% = $895.70</w:t>
            </w:r>
          </w:p>
        </w:tc>
      </w:tr>
      <w:tr w:rsidR="00CB2E81" w:rsidRPr="008F7A8E" w14:paraId="6FB41931" w14:textId="77777777" w:rsidTr="00DC4144">
        <w:tc>
          <w:tcPr>
            <w:tcW w:w="1053" w:type="dxa"/>
            <w:shd w:val="clear" w:color="auto" w:fill="auto"/>
          </w:tcPr>
          <w:p w14:paraId="5B42227C" w14:textId="77777777" w:rsidR="00CB2E81" w:rsidRPr="00DC4144" w:rsidRDefault="00CB2E81" w:rsidP="00D10A52">
            <w:pPr>
              <w:pStyle w:val="Tabletext"/>
              <w:rPr>
                <w:b/>
              </w:rPr>
            </w:pPr>
            <w:r w:rsidRPr="00DC4144">
              <w:rPr>
                <w:b/>
              </w:rPr>
              <w:t>41626</w:t>
            </w:r>
          </w:p>
        </w:tc>
        <w:tc>
          <w:tcPr>
            <w:tcW w:w="4947" w:type="dxa"/>
            <w:shd w:val="clear" w:color="auto" w:fill="auto"/>
          </w:tcPr>
          <w:p w14:paraId="1331D819" w14:textId="77777777" w:rsidR="00CB2E81" w:rsidRPr="008F7A8E" w:rsidRDefault="00CB2E81" w:rsidP="006A406F">
            <w:pPr>
              <w:pStyle w:val="Tabletext"/>
            </w:pPr>
            <w:r w:rsidRPr="008F7A8E">
              <w:t>ABSCESS OR INFLAMMATION OF MIDDLE EAR, operation for (excluding aftercare) (</w:t>
            </w:r>
            <w:proofErr w:type="spellStart"/>
            <w:r w:rsidRPr="008F7A8E">
              <w:t>Anaes</w:t>
            </w:r>
            <w:proofErr w:type="spellEnd"/>
            <w:r w:rsidRPr="008F7A8E">
              <w:t xml:space="preserve">.) </w:t>
            </w:r>
          </w:p>
        </w:tc>
        <w:tc>
          <w:tcPr>
            <w:tcW w:w="1530" w:type="dxa"/>
          </w:tcPr>
          <w:p w14:paraId="7A3C03E1" w14:textId="77777777" w:rsidR="00CB2E81" w:rsidRPr="008F7A8E" w:rsidRDefault="00A03057" w:rsidP="00D10A52">
            <w:pPr>
              <w:pStyle w:val="Tabletext"/>
              <w:rPr>
                <w:color w:val="000000"/>
              </w:rPr>
            </w:pPr>
            <w:r w:rsidRPr="008F7A8E">
              <w:t>$144.00</w:t>
            </w:r>
          </w:p>
        </w:tc>
        <w:tc>
          <w:tcPr>
            <w:tcW w:w="1530" w:type="dxa"/>
          </w:tcPr>
          <w:p w14:paraId="6B6DD5E8" w14:textId="77777777" w:rsidR="00CB2E81" w:rsidRPr="008F7A8E" w:rsidRDefault="00A03057" w:rsidP="00D10A52">
            <w:pPr>
              <w:pStyle w:val="Tabletext"/>
              <w:rPr>
                <w:color w:val="000000"/>
              </w:rPr>
            </w:pPr>
            <w:r w:rsidRPr="008F7A8E">
              <w:t>75% = $108.00</w:t>
            </w:r>
            <w:r>
              <w:t xml:space="preserve">; </w:t>
            </w:r>
            <w:r w:rsidRPr="008F7A8E">
              <w:t>85% = $122.40</w:t>
            </w:r>
          </w:p>
        </w:tc>
      </w:tr>
      <w:tr w:rsidR="00CB2E81" w:rsidRPr="008F7A8E" w14:paraId="1FA26D9C" w14:textId="77777777" w:rsidTr="00DC4144">
        <w:tc>
          <w:tcPr>
            <w:tcW w:w="1053" w:type="dxa"/>
            <w:shd w:val="clear" w:color="auto" w:fill="auto"/>
          </w:tcPr>
          <w:p w14:paraId="6B376D00" w14:textId="77777777" w:rsidR="00CB2E81" w:rsidRPr="00DC4144" w:rsidRDefault="00CB2E81" w:rsidP="00D10A52">
            <w:pPr>
              <w:pStyle w:val="Tabletext"/>
              <w:rPr>
                <w:b/>
              </w:rPr>
            </w:pPr>
            <w:r w:rsidRPr="00DC4144">
              <w:rPr>
                <w:b/>
              </w:rPr>
              <w:t>41629</w:t>
            </w:r>
          </w:p>
        </w:tc>
        <w:tc>
          <w:tcPr>
            <w:tcW w:w="4947" w:type="dxa"/>
            <w:shd w:val="clear" w:color="auto" w:fill="auto"/>
          </w:tcPr>
          <w:p w14:paraId="485D911C" w14:textId="77777777" w:rsidR="00CB2E81" w:rsidRPr="008F7A8E" w:rsidRDefault="00CB2E81" w:rsidP="006A406F">
            <w:pPr>
              <w:pStyle w:val="Tabletext"/>
            </w:pPr>
            <w:r w:rsidRPr="008F7A8E">
              <w:t>MIDDLE EAR, EXPLORATION OF (</w:t>
            </w:r>
            <w:proofErr w:type="spellStart"/>
            <w:r w:rsidRPr="008F7A8E">
              <w:t>Anaes</w:t>
            </w:r>
            <w:proofErr w:type="spellEnd"/>
            <w:r w:rsidRPr="008F7A8E">
              <w:t xml:space="preserve">.) (Assist.) </w:t>
            </w:r>
          </w:p>
        </w:tc>
        <w:tc>
          <w:tcPr>
            <w:tcW w:w="1530" w:type="dxa"/>
          </w:tcPr>
          <w:p w14:paraId="4894BF9B" w14:textId="77777777" w:rsidR="00CB2E81" w:rsidRPr="008F7A8E" w:rsidRDefault="00A03057" w:rsidP="00D10A52">
            <w:pPr>
              <w:pStyle w:val="Tabletext"/>
              <w:rPr>
                <w:color w:val="000000"/>
              </w:rPr>
            </w:pPr>
            <w:r w:rsidRPr="008F7A8E">
              <w:t>$521.25</w:t>
            </w:r>
          </w:p>
        </w:tc>
        <w:tc>
          <w:tcPr>
            <w:tcW w:w="1530" w:type="dxa"/>
          </w:tcPr>
          <w:p w14:paraId="0D876E62" w14:textId="77777777" w:rsidR="00CB2E81" w:rsidRPr="008F7A8E" w:rsidRDefault="00A03057" w:rsidP="00D10A52">
            <w:pPr>
              <w:pStyle w:val="Tabletext"/>
              <w:rPr>
                <w:color w:val="000000"/>
              </w:rPr>
            </w:pPr>
            <w:r w:rsidRPr="008F7A8E">
              <w:t>75% = $390.95</w:t>
            </w:r>
          </w:p>
        </w:tc>
      </w:tr>
      <w:tr w:rsidR="00CB2E81" w:rsidRPr="008F7A8E" w14:paraId="7D1EB8E2" w14:textId="77777777" w:rsidTr="00DC4144">
        <w:tc>
          <w:tcPr>
            <w:tcW w:w="1053" w:type="dxa"/>
            <w:shd w:val="clear" w:color="auto" w:fill="auto"/>
          </w:tcPr>
          <w:p w14:paraId="3553C281" w14:textId="77777777" w:rsidR="00CB2E81" w:rsidRPr="00DC4144" w:rsidRDefault="00CB2E81" w:rsidP="00D10A52">
            <w:pPr>
              <w:pStyle w:val="Tabletext"/>
              <w:rPr>
                <w:b/>
              </w:rPr>
            </w:pPr>
            <w:r w:rsidRPr="00DC4144">
              <w:rPr>
                <w:b/>
              </w:rPr>
              <w:t>41632</w:t>
            </w:r>
          </w:p>
        </w:tc>
        <w:tc>
          <w:tcPr>
            <w:tcW w:w="4947" w:type="dxa"/>
            <w:shd w:val="clear" w:color="auto" w:fill="auto"/>
          </w:tcPr>
          <w:p w14:paraId="6959979E" w14:textId="77777777" w:rsidR="00CB2E81" w:rsidRPr="008F7A8E" w:rsidRDefault="00CB2E81" w:rsidP="006A406F">
            <w:pPr>
              <w:pStyle w:val="Tabletext"/>
            </w:pPr>
            <w:r w:rsidRPr="008F7A8E">
              <w:t>MIDDLE EAR, insertion of tube for DRAINAGE OF (including myringotomy) (</w:t>
            </w:r>
            <w:proofErr w:type="spellStart"/>
            <w:r w:rsidRPr="008F7A8E">
              <w:t>Anaes</w:t>
            </w:r>
            <w:proofErr w:type="spellEnd"/>
            <w:r w:rsidRPr="008F7A8E">
              <w:t xml:space="preserve">.) </w:t>
            </w:r>
          </w:p>
        </w:tc>
        <w:tc>
          <w:tcPr>
            <w:tcW w:w="1530" w:type="dxa"/>
          </w:tcPr>
          <w:p w14:paraId="2D1A708D" w14:textId="77777777" w:rsidR="00CB2E81" w:rsidRPr="008F7A8E" w:rsidRDefault="00A03057" w:rsidP="00D10A52">
            <w:pPr>
              <w:pStyle w:val="Tabletext"/>
              <w:rPr>
                <w:color w:val="000000"/>
              </w:rPr>
            </w:pPr>
            <w:r w:rsidRPr="008F7A8E">
              <w:t>$238.80</w:t>
            </w:r>
          </w:p>
        </w:tc>
        <w:tc>
          <w:tcPr>
            <w:tcW w:w="1530" w:type="dxa"/>
          </w:tcPr>
          <w:p w14:paraId="6A5C9721" w14:textId="77777777" w:rsidR="00CB2E81" w:rsidRPr="008F7A8E" w:rsidRDefault="00A03057" w:rsidP="00D10A52">
            <w:pPr>
              <w:pStyle w:val="Tabletext"/>
              <w:rPr>
                <w:color w:val="000000"/>
              </w:rPr>
            </w:pPr>
            <w:r w:rsidRPr="008F7A8E">
              <w:t>75% = $179.10</w:t>
            </w:r>
            <w:r>
              <w:t xml:space="preserve">; </w:t>
            </w:r>
            <w:r w:rsidRPr="008F7A8E">
              <w:t>85% = $203.00</w:t>
            </w:r>
          </w:p>
        </w:tc>
      </w:tr>
      <w:tr w:rsidR="00CB2E81" w:rsidRPr="008F7A8E" w14:paraId="18E963EE" w14:textId="77777777" w:rsidTr="00DC4144">
        <w:tc>
          <w:tcPr>
            <w:tcW w:w="1053" w:type="dxa"/>
            <w:shd w:val="clear" w:color="auto" w:fill="auto"/>
          </w:tcPr>
          <w:p w14:paraId="1EA7A586" w14:textId="77777777" w:rsidR="00CB2E81" w:rsidRPr="00DC4144" w:rsidRDefault="00CB2E81" w:rsidP="00D10A52">
            <w:pPr>
              <w:pStyle w:val="Tabletext"/>
              <w:rPr>
                <w:b/>
              </w:rPr>
            </w:pPr>
            <w:r w:rsidRPr="00DC4144">
              <w:rPr>
                <w:b/>
              </w:rPr>
              <w:t>41635</w:t>
            </w:r>
          </w:p>
        </w:tc>
        <w:tc>
          <w:tcPr>
            <w:tcW w:w="4947" w:type="dxa"/>
            <w:shd w:val="clear" w:color="auto" w:fill="auto"/>
          </w:tcPr>
          <w:p w14:paraId="2085BD0E" w14:textId="77777777" w:rsidR="00CB2E81" w:rsidRPr="008F7A8E" w:rsidRDefault="00CB2E81" w:rsidP="006A406F">
            <w:pPr>
              <w:pStyle w:val="Tabletext"/>
            </w:pPr>
            <w:r w:rsidRPr="008F7A8E">
              <w:t>CLEARANCE OF MIDDLE EAR FOR GRANULOMA, CHOLESTEATOMA and POLYP, 1 or more, with or without myringoplasty (</w:t>
            </w:r>
            <w:proofErr w:type="spellStart"/>
            <w:r w:rsidRPr="008F7A8E">
              <w:t>Anaes</w:t>
            </w:r>
            <w:proofErr w:type="spellEnd"/>
            <w:r w:rsidRPr="008F7A8E">
              <w:t xml:space="preserve">.) (Assist.) </w:t>
            </w:r>
          </w:p>
        </w:tc>
        <w:tc>
          <w:tcPr>
            <w:tcW w:w="1530" w:type="dxa"/>
          </w:tcPr>
          <w:p w14:paraId="45B27E7A" w14:textId="77777777" w:rsidR="00CB2E81" w:rsidRPr="008F7A8E" w:rsidRDefault="00A03057" w:rsidP="00D10A52">
            <w:pPr>
              <w:pStyle w:val="Tabletext"/>
              <w:rPr>
                <w:color w:val="000000"/>
              </w:rPr>
            </w:pPr>
            <w:r w:rsidRPr="008F7A8E">
              <w:t>$1,144.30</w:t>
            </w:r>
          </w:p>
        </w:tc>
        <w:tc>
          <w:tcPr>
            <w:tcW w:w="1530" w:type="dxa"/>
          </w:tcPr>
          <w:p w14:paraId="6BAAF798" w14:textId="77777777" w:rsidR="00CB2E81" w:rsidRPr="008F7A8E" w:rsidRDefault="00A03057" w:rsidP="00D10A52">
            <w:pPr>
              <w:pStyle w:val="Tabletext"/>
              <w:rPr>
                <w:color w:val="000000"/>
              </w:rPr>
            </w:pPr>
            <w:r w:rsidRPr="008F7A8E">
              <w:t>75% = $858.25</w:t>
            </w:r>
            <w:r>
              <w:t xml:space="preserve">; </w:t>
            </w:r>
            <w:r w:rsidRPr="008F7A8E">
              <w:t>85% = $1,065.90</w:t>
            </w:r>
          </w:p>
        </w:tc>
      </w:tr>
      <w:tr w:rsidR="00CB2E81" w:rsidRPr="008F7A8E" w14:paraId="6024A411" w14:textId="77777777" w:rsidTr="00DC4144">
        <w:tc>
          <w:tcPr>
            <w:tcW w:w="1053" w:type="dxa"/>
            <w:shd w:val="clear" w:color="auto" w:fill="auto"/>
          </w:tcPr>
          <w:p w14:paraId="4CAB4F8B" w14:textId="77777777" w:rsidR="00CB2E81" w:rsidRPr="00DC4144" w:rsidRDefault="00CB2E81" w:rsidP="00D10A52">
            <w:pPr>
              <w:pStyle w:val="Tabletext"/>
              <w:rPr>
                <w:b/>
              </w:rPr>
            </w:pPr>
            <w:r w:rsidRPr="00DC4144">
              <w:rPr>
                <w:b/>
              </w:rPr>
              <w:t>41638</w:t>
            </w:r>
          </w:p>
        </w:tc>
        <w:tc>
          <w:tcPr>
            <w:tcW w:w="4947" w:type="dxa"/>
            <w:shd w:val="clear" w:color="auto" w:fill="auto"/>
          </w:tcPr>
          <w:p w14:paraId="6317562B" w14:textId="77777777" w:rsidR="00CB2E81" w:rsidRPr="008F7A8E" w:rsidRDefault="00CB2E81" w:rsidP="006A406F">
            <w:pPr>
              <w:pStyle w:val="Tabletext"/>
            </w:pPr>
            <w:r w:rsidRPr="008F7A8E">
              <w:t>CLEARANCE OF MIDDLE EAR FOR GRANULOMA, CHOLESTEATOMA and POLYP, 1 or more, with or without myringoplasty with ossicular chain reconstruction (</w:t>
            </w:r>
            <w:proofErr w:type="spellStart"/>
            <w:r w:rsidRPr="008F7A8E">
              <w:t>Anaes</w:t>
            </w:r>
            <w:proofErr w:type="spellEnd"/>
            <w:r w:rsidRPr="008F7A8E">
              <w:t xml:space="preserve">.) (Assist.) </w:t>
            </w:r>
          </w:p>
        </w:tc>
        <w:tc>
          <w:tcPr>
            <w:tcW w:w="1530" w:type="dxa"/>
          </w:tcPr>
          <w:p w14:paraId="1151A530" w14:textId="77777777" w:rsidR="00CB2E81" w:rsidRPr="008F7A8E" w:rsidRDefault="00A03057" w:rsidP="00D10A52">
            <w:pPr>
              <w:pStyle w:val="Tabletext"/>
              <w:rPr>
                <w:color w:val="000000"/>
              </w:rPr>
            </w:pPr>
            <w:r w:rsidRPr="008F7A8E">
              <w:t>$1,428.35</w:t>
            </w:r>
          </w:p>
        </w:tc>
        <w:tc>
          <w:tcPr>
            <w:tcW w:w="1530" w:type="dxa"/>
          </w:tcPr>
          <w:p w14:paraId="043AD5B1" w14:textId="77777777" w:rsidR="00CB2E81" w:rsidRPr="008F7A8E" w:rsidRDefault="00A03057" w:rsidP="00D10A52">
            <w:pPr>
              <w:pStyle w:val="Tabletext"/>
              <w:rPr>
                <w:color w:val="000000"/>
              </w:rPr>
            </w:pPr>
            <w:r w:rsidRPr="008F7A8E">
              <w:t>75% = $1,071.30</w:t>
            </w:r>
          </w:p>
        </w:tc>
      </w:tr>
      <w:tr w:rsidR="00CB2E81" w:rsidRPr="008F7A8E" w14:paraId="7AFA3585" w14:textId="77777777" w:rsidTr="00DC4144">
        <w:tc>
          <w:tcPr>
            <w:tcW w:w="1053" w:type="dxa"/>
            <w:shd w:val="clear" w:color="auto" w:fill="auto"/>
          </w:tcPr>
          <w:p w14:paraId="78B705ED" w14:textId="77777777" w:rsidR="00CB2E81" w:rsidRPr="00DC4144" w:rsidRDefault="00CB2E81" w:rsidP="00D10A52">
            <w:pPr>
              <w:pStyle w:val="Tabletext"/>
              <w:rPr>
                <w:b/>
              </w:rPr>
            </w:pPr>
            <w:r w:rsidRPr="00DC4144">
              <w:rPr>
                <w:b/>
              </w:rPr>
              <w:t>41641</w:t>
            </w:r>
          </w:p>
        </w:tc>
        <w:tc>
          <w:tcPr>
            <w:tcW w:w="4947" w:type="dxa"/>
            <w:shd w:val="clear" w:color="auto" w:fill="auto"/>
          </w:tcPr>
          <w:p w14:paraId="206B4890" w14:textId="77777777" w:rsidR="00CB2E81" w:rsidRPr="008F7A8E" w:rsidRDefault="00CB2E81" w:rsidP="006A406F">
            <w:pPr>
              <w:pStyle w:val="Tabletext"/>
            </w:pPr>
            <w:r w:rsidRPr="008F7A8E">
              <w:t xml:space="preserve">PERFORATION OF TYMPANUM, </w:t>
            </w:r>
            <w:proofErr w:type="gramStart"/>
            <w:r w:rsidRPr="008F7A8E">
              <w:t>cauterisation</w:t>
            </w:r>
            <w:proofErr w:type="gramEnd"/>
            <w:r w:rsidRPr="008F7A8E">
              <w:t xml:space="preserve"> or diathermy of (</w:t>
            </w:r>
            <w:proofErr w:type="spellStart"/>
            <w:r w:rsidRPr="008F7A8E">
              <w:t>Anaes</w:t>
            </w:r>
            <w:proofErr w:type="spellEnd"/>
            <w:r w:rsidRPr="008F7A8E">
              <w:t xml:space="preserve">.) </w:t>
            </w:r>
          </w:p>
        </w:tc>
        <w:tc>
          <w:tcPr>
            <w:tcW w:w="1530" w:type="dxa"/>
          </w:tcPr>
          <w:p w14:paraId="4ECB92B4" w14:textId="77777777" w:rsidR="00CB2E81" w:rsidRPr="008F7A8E" w:rsidRDefault="00A03057" w:rsidP="00D10A52">
            <w:pPr>
              <w:pStyle w:val="Tabletext"/>
              <w:rPr>
                <w:color w:val="000000"/>
              </w:rPr>
            </w:pPr>
            <w:r w:rsidRPr="008F7A8E">
              <w:t>$47.45</w:t>
            </w:r>
          </w:p>
        </w:tc>
        <w:tc>
          <w:tcPr>
            <w:tcW w:w="1530" w:type="dxa"/>
          </w:tcPr>
          <w:p w14:paraId="72C7EDC9" w14:textId="77777777" w:rsidR="00CB2E81" w:rsidRPr="008F7A8E" w:rsidRDefault="00A03057" w:rsidP="00D10A52">
            <w:pPr>
              <w:pStyle w:val="Tabletext"/>
              <w:rPr>
                <w:color w:val="000000"/>
              </w:rPr>
            </w:pPr>
            <w:r w:rsidRPr="008F7A8E">
              <w:t>75% = $35.60</w:t>
            </w:r>
            <w:r>
              <w:t xml:space="preserve">; </w:t>
            </w:r>
            <w:r w:rsidRPr="008F7A8E">
              <w:t>85% = $40.35</w:t>
            </w:r>
          </w:p>
        </w:tc>
      </w:tr>
      <w:tr w:rsidR="00CB2E81" w:rsidRPr="008F7A8E" w14:paraId="71DC069A" w14:textId="77777777" w:rsidTr="00DC4144">
        <w:tc>
          <w:tcPr>
            <w:tcW w:w="1053" w:type="dxa"/>
            <w:shd w:val="clear" w:color="auto" w:fill="auto"/>
          </w:tcPr>
          <w:p w14:paraId="6BE4391B" w14:textId="77777777" w:rsidR="00CB2E81" w:rsidRPr="00DC4144" w:rsidRDefault="00CB2E81" w:rsidP="00D10A52">
            <w:pPr>
              <w:pStyle w:val="Tabletext"/>
              <w:rPr>
                <w:b/>
              </w:rPr>
            </w:pPr>
            <w:r w:rsidRPr="00DC4144">
              <w:rPr>
                <w:b/>
              </w:rPr>
              <w:lastRenderedPageBreak/>
              <w:t>41644</w:t>
            </w:r>
          </w:p>
        </w:tc>
        <w:tc>
          <w:tcPr>
            <w:tcW w:w="4947" w:type="dxa"/>
            <w:shd w:val="clear" w:color="auto" w:fill="auto"/>
          </w:tcPr>
          <w:p w14:paraId="2D6FC283" w14:textId="77777777" w:rsidR="00CB2E81" w:rsidRPr="008F7A8E" w:rsidRDefault="00CB2E81" w:rsidP="006A406F">
            <w:pPr>
              <w:pStyle w:val="Tabletext"/>
            </w:pPr>
            <w:r w:rsidRPr="008F7A8E">
              <w:t>EXCISION OF RIM OF EARDRUM PERFORATION, not being a service associated with myringoplasty (</w:t>
            </w:r>
            <w:proofErr w:type="spellStart"/>
            <w:r w:rsidRPr="008F7A8E">
              <w:t>Anaes</w:t>
            </w:r>
            <w:proofErr w:type="spellEnd"/>
            <w:r w:rsidRPr="008F7A8E">
              <w:t xml:space="preserve">.) </w:t>
            </w:r>
          </w:p>
        </w:tc>
        <w:tc>
          <w:tcPr>
            <w:tcW w:w="1530" w:type="dxa"/>
          </w:tcPr>
          <w:p w14:paraId="3385DF40" w14:textId="77777777" w:rsidR="00CB2E81" w:rsidRPr="008F7A8E" w:rsidRDefault="00A03057" w:rsidP="00D10A52">
            <w:pPr>
              <w:pStyle w:val="Tabletext"/>
              <w:rPr>
                <w:color w:val="000000"/>
              </w:rPr>
            </w:pPr>
            <w:r w:rsidRPr="008F7A8E">
              <w:t>$142.80</w:t>
            </w:r>
          </w:p>
        </w:tc>
        <w:tc>
          <w:tcPr>
            <w:tcW w:w="1530" w:type="dxa"/>
          </w:tcPr>
          <w:p w14:paraId="31D274EA" w14:textId="77777777" w:rsidR="00CB2E81" w:rsidRPr="008F7A8E" w:rsidRDefault="00A03057" w:rsidP="00D10A52">
            <w:pPr>
              <w:pStyle w:val="Tabletext"/>
              <w:rPr>
                <w:color w:val="000000"/>
              </w:rPr>
            </w:pPr>
            <w:r w:rsidRPr="008F7A8E">
              <w:t>75% = $107.10</w:t>
            </w:r>
            <w:r>
              <w:t xml:space="preserve">; </w:t>
            </w:r>
            <w:r w:rsidRPr="008F7A8E">
              <w:t>85% = $121.40</w:t>
            </w:r>
          </w:p>
        </w:tc>
      </w:tr>
      <w:tr w:rsidR="00CB2E81" w:rsidRPr="008F7A8E" w14:paraId="758A5043" w14:textId="77777777" w:rsidTr="00DC4144">
        <w:tc>
          <w:tcPr>
            <w:tcW w:w="1053" w:type="dxa"/>
            <w:shd w:val="clear" w:color="auto" w:fill="auto"/>
          </w:tcPr>
          <w:p w14:paraId="20F63ABB" w14:textId="77777777" w:rsidR="00CB2E81" w:rsidRPr="00DC4144" w:rsidRDefault="00CB2E81" w:rsidP="00D10A52">
            <w:pPr>
              <w:pStyle w:val="Tabletext"/>
              <w:rPr>
                <w:b/>
              </w:rPr>
            </w:pPr>
            <w:r w:rsidRPr="00DC4144">
              <w:rPr>
                <w:b/>
              </w:rPr>
              <w:t>41647</w:t>
            </w:r>
          </w:p>
        </w:tc>
        <w:tc>
          <w:tcPr>
            <w:tcW w:w="4947" w:type="dxa"/>
            <w:shd w:val="clear" w:color="auto" w:fill="auto"/>
          </w:tcPr>
          <w:p w14:paraId="2137EA48" w14:textId="77777777" w:rsidR="00CB2E81" w:rsidRPr="008F7A8E" w:rsidRDefault="00CB2E81" w:rsidP="006A406F">
            <w:pPr>
              <w:pStyle w:val="Tabletext"/>
            </w:pPr>
            <w:r w:rsidRPr="008F7A8E">
              <w:t xml:space="preserve">EAR TOILET requiring use of operating microscope and </w:t>
            </w:r>
            <w:proofErr w:type="spellStart"/>
            <w:r w:rsidRPr="008F7A8E">
              <w:t>microinspection</w:t>
            </w:r>
            <w:proofErr w:type="spellEnd"/>
            <w:r w:rsidRPr="008F7A8E">
              <w:t xml:space="preserve"> of tympanic membrane with or without general anaesthesia (</w:t>
            </w:r>
            <w:proofErr w:type="spellStart"/>
            <w:r w:rsidRPr="008F7A8E">
              <w:t>Anaes</w:t>
            </w:r>
            <w:proofErr w:type="spellEnd"/>
            <w:r w:rsidRPr="008F7A8E">
              <w:t xml:space="preserve">.) </w:t>
            </w:r>
          </w:p>
        </w:tc>
        <w:tc>
          <w:tcPr>
            <w:tcW w:w="1530" w:type="dxa"/>
          </w:tcPr>
          <w:p w14:paraId="79239788" w14:textId="77777777" w:rsidR="00CB2E81" w:rsidRPr="008F7A8E" w:rsidRDefault="00A03057" w:rsidP="00D10A52">
            <w:pPr>
              <w:pStyle w:val="Tabletext"/>
              <w:rPr>
                <w:color w:val="000000"/>
              </w:rPr>
            </w:pPr>
            <w:r w:rsidRPr="008F7A8E">
              <w:t>$109.90</w:t>
            </w:r>
          </w:p>
        </w:tc>
        <w:tc>
          <w:tcPr>
            <w:tcW w:w="1530" w:type="dxa"/>
          </w:tcPr>
          <w:p w14:paraId="65793244" w14:textId="77777777" w:rsidR="00CB2E81" w:rsidRPr="008F7A8E" w:rsidRDefault="00A03057" w:rsidP="00D10A52">
            <w:pPr>
              <w:pStyle w:val="Tabletext"/>
              <w:rPr>
                <w:color w:val="000000"/>
              </w:rPr>
            </w:pPr>
            <w:r w:rsidRPr="008F7A8E">
              <w:t>75% = $82.45</w:t>
            </w:r>
            <w:r>
              <w:t xml:space="preserve">; </w:t>
            </w:r>
            <w:r w:rsidRPr="008F7A8E">
              <w:t>85% = $93.45</w:t>
            </w:r>
          </w:p>
        </w:tc>
      </w:tr>
      <w:tr w:rsidR="00CB2E81" w:rsidRPr="008F7A8E" w14:paraId="523120D0" w14:textId="77777777" w:rsidTr="00DC4144">
        <w:tc>
          <w:tcPr>
            <w:tcW w:w="1053" w:type="dxa"/>
            <w:shd w:val="clear" w:color="auto" w:fill="auto"/>
          </w:tcPr>
          <w:p w14:paraId="56361A51" w14:textId="77777777" w:rsidR="00CB2E81" w:rsidRPr="00DC4144" w:rsidRDefault="00CB2E81" w:rsidP="00D10A52">
            <w:pPr>
              <w:pStyle w:val="Tabletext"/>
              <w:rPr>
                <w:b/>
              </w:rPr>
            </w:pPr>
            <w:r w:rsidRPr="00DC4144">
              <w:rPr>
                <w:b/>
              </w:rPr>
              <w:t>41650</w:t>
            </w:r>
          </w:p>
        </w:tc>
        <w:tc>
          <w:tcPr>
            <w:tcW w:w="4947" w:type="dxa"/>
            <w:shd w:val="clear" w:color="auto" w:fill="auto"/>
          </w:tcPr>
          <w:p w14:paraId="749C788E" w14:textId="77777777" w:rsidR="00CB2E81" w:rsidRPr="008F7A8E" w:rsidRDefault="00CB2E81" w:rsidP="006A406F">
            <w:pPr>
              <w:pStyle w:val="Tabletext"/>
            </w:pPr>
            <w:r w:rsidRPr="008F7A8E">
              <w:t xml:space="preserve">TYMPANIC MEMBRANE, </w:t>
            </w:r>
            <w:proofErr w:type="spellStart"/>
            <w:r w:rsidRPr="008F7A8E">
              <w:t>microinspection</w:t>
            </w:r>
            <w:proofErr w:type="spellEnd"/>
            <w:r w:rsidRPr="008F7A8E">
              <w:t xml:space="preserve"> of 1 or both ears under general anaesthesia, not being a service associated with a service to which another item in this Group applies (</w:t>
            </w:r>
            <w:proofErr w:type="spellStart"/>
            <w:r w:rsidRPr="008F7A8E">
              <w:t>Anaes</w:t>
            </w:r>
            <w:proofErr w:type="spellEnd"/>
            <w:r w:rsidRPr="008F7A8E">
              <w:t xml:space="preserve">.) </w:t>
            </w:r>
          </w:p>
        </w:tc>
        <w:tc>
          <w:tcPr>
            <w:tcW w:w="1530" w:type="dxa"/>
          </w:tcPr>
          <w:p w14:paraId="31C9C557" w14:textId="77777777" w:rsidR="00CB2E81" w:rsidRPr="008F7A8E" w:rsidRDefault="00A03057" w:rsidP="00D10A52">
            <w:pPr>
              <w:pStyle w:val="Tabletext"/>
              <w:rPr>
                <w:color w:val="000000"/>
              </w:rPr>
            </w:pPr>
            <w:r w:rsidRPr="008F7A8E">
              <w:t>$109.90</w:t>
            </w:r>
          </w:p>
        </w:tc>
        <w:tc>
          <w:tcPr>
            <w:tcW w:w="1530" w:type="dxa"/>
          </w:tcPr>
          <w:p w14:paraId="24A467DC" w14:textId="77777777" w:rsidR="00CB2E81" w:rsidRPr="008F7A8E" w:rsidRDefault="00A03057" w:rsidP="00D10A52">
            <w:pPr>
              <w:pStyle w:val="Tabletext"/>
              <w:rPr>
                <w:color w:val="000000"/>
              </w:rPr>
            </w:pPr>
            <w:r w:rsidRPr="008F7A8E">
              <w:t>75% = $82.45</w:t>
            </w:r>
            <w:r>
              <w:t xml:space="preserve">; </w:t>
            </w:r>
            <w:r w:rsidRPr="008F7A8E">
              <w:t>85% = $93.45</w:t>
            </w:r>
          </w:p>
        </w:tc>
      </w:tr>
      <w:tr w:rsidR="00CB2E81" w:rsidRPr="008F7A8E" w14:paraId="701AED6D" w14:textId="77777777" w:rsidTr="00DC4144">
        <w:tc>
          <w:tcPr>
            <w:tcW w:w="1053" w:type="dxa"/>
            <w:shd w:val="clear" w:color="auto" w:fill="auto"/>
          </w:tcPr>
          <w:p w14:paraId="41C4A6C0" w14:textId="77777777" w:rsidR="00CB2E81" w:rsidRPr="00DC4144" w:rsidRDefault="00CB2E81" w:rsidP="00D10A52">
            <w:pPr>
              <w:pStyle w:val="Tabletext"/>
              <w:rPr>
                <w:b/>
              </w:rPr>
            </w:pPr>
            <w:r w:rsidRPr="00DC4144">
              <w:rPr>
                <w:b/>
              </w:rPr>
              <w:t>41653</w:t>
            </w:r>
          </w:p>
        </w:tc>
        <w:tc>
          <w:tcPr>
            <w:tcW w:w="4947" w:type="dxa"/>
            <w:shd w:val="clear" w:color="auto" w:fill="auto"/>
          </w:tcPr>
          <w:p w14:paraId="303DEFC3" w14:textId="77777777" w:rsidR="00CB2E81" w:rsidRPr="008F7A8E" w:rsidRDefault="00CB2E81" w:rsidP="006A406F">
            <w:pPr>
              <w:pStyle w:val="Tabletext"/>
            </w:pPr>
            <w:r w:rsidRPr="008F7A8E">
              <w:t>EXAMINATION OF NASAL CAVITY or POSTNASAL SPACE, or NASAL CAVITY AND POSTNASAL SPACE, UNDER GENERAL ANAESTHESIA, not being a service associated with a service to which another item in this Group applies (</w:t>
            </w:r>
            <w:proofErr w:type="spellStart"/>
            <w:r w:rsidRPr="008F7A8E">
              <w:t>Anaes</w:t>
            </w:r>
            <w:proofErr w:type="spellEnd"/>
            <w:r w:rsidRPr="008F7A8E">
              <w:t xml:space="preserve">.) </w:t>
            </w:r>
          </w:p>
        </w:tc>
        <w:tc>
          <w:tcPr>
            <w:tcW w:w="1530" w:type="dxa"/>
          </w:tcPr>
          <w:p w14:paraId="5323E7C7" w14:textId="77777777" w:rsidR="00CB2E81" w:rsidRPr="008F7A8E" w:rsidRDefault="00A03057" w:rsidP="00D10A52">
            <w:pPr>
              <w:pStyle w:val="Tabletext"/>
              <w:rPr>
                <w:color w:val="000000"/>
              </w:rPr>
            </w:pPr>
            <w:r w:rsidRPr="008F7A8E">
              <w:t>$71.95</w:t>
            </w:r>
          </w:p>
        </w:tc>
        <w:tc>
          <w:tcPr>
            <w:tcW w:w="1530" w:type="dxa"/>
          </w:tcPr>
          <w:p w14:paraId="237F9244" w14:textId="77777777" w:rsidR="00CB2E81" w:rsidRPr="008F7A8E" w:rsidRDefault="00A03057" w:rsidP="00D10A52">
            <w:pPr>
              <w:pStyle w:val="Tabletext"/>
              <w:rPr>
                <w:color w:val="000000"/>
              </w:rPr>
            </w:pPr>
            <w:r w:rsidRPr="008F7A8E">
              <w:t>75% = $54.00</w:t>
            </w:r>
            <w:r>
              <w:t xml:space="preserve">; </w:t>
            </w:r>
            <w:r w:rsidRPr="008F7A8E">
              <w:t>85% = $61.20</w:t>
            </w:r>
          </w:p>
        </w:tc>
      </w:tr>
      <w:tr w:rsidR="00CB2E81" w:rsidRPr="008F7A8E" w14:paraId="2A79A087" w14:textId="77777777" w:rsidTr="00DC4144">
        <w:tc>
          <w:tcPr>
            <w:tcW w:w="1053" w:type="dxa"/>
            <w:shd w:val="clear" w:color="auto" w:fill="auto"/>
          </w:tcPr>
          <w:p w14:paraId="54136DAD" w14:textId="77777777" w:rsidR="00CB2E81" w:rsidRPr="00DC4144" w:rsidRDefault="00CB2E81" w:rsidP="00D10A52">
            <w:pPr>
              <w:pStyle w:val="Tabletext"/>
              <w:rPr>
                <w:b/>
              </w:rPr>
            </w:pPr>
            <w:r w:rsidRPr="00DC4144">
              <w:rPr>
                <w:b/>
              </w:rPr>
              <w:t>41656</w:t>
            </w:r>
          </w:p>
        </w:tc>
        <w:tc>
          <w:tcPr>
            <w:tcW w:w="4947" w:type="dxa"/>
            <w:shd w:val="clear" w:color="auto" w:fill="auto"/>
          </w:tcPr>
          <w:p w14:paraId="08636217" w14:textId="77777777" w:rsidR="00CB2E81" w:rsidRPr="008F7A8E" w:rsidRDefault="00CB2E81" w:rsidP="006A406F">
            <w:pPr>
              <w:pStyle w:val="Tabletext"/>
            </w:pPr>
            <w:r w:rsidRPr="008F7A8E">
              <w:t>NASAL HAEMORRHAGE, POSTERIOR, ARREST OF, with posterior nasal packing with or without cauterisation and with or without anterior pack (excluding aftercare) (</w:t>
            </w:r>
            <w:proofErr w:type="spellStart"/>
            <w:r w:rsidRPr="008F7A8E">
              <w:t>Anaes</w:t>
            </w:r>
            <w:proofErr w:type="spellEnd"/>
            <w:r w:rsidRPr="008F7A8E">
              <w:t xml:space="preserve">.) </w:t>
            </w:r>
          </w:p>
        </w:tc>
        <w:tc>
          <w:tcPr>
            <w:tcW w:w="1530" w:type="dxa"/>
          </w:tcPr>
          <w:p w14:paraId="67B6B078" w14:textId="77777777" w:rsidR="00CB2E81" w:rsidRPr="008F7A8E" w:rsidRDefault="00A03057" w:rsidP="00D10A52">
            <w:pPr>
              <w:pStyle w:val="Tabletext"/>
              <w:rPr>
                <w:color w:val="000000"/>
              </w:rPr>
            </w:pPr>
            <w:r w:rsidRPr="008F7A8E">
              <w:t>$122.85</w:t>
            </w:r>
          </w:p>
        </w:tc>
        <w:tc>
          <w:tcPr>
            <w:tcW w:w="1530" w:type="dxa"/>
          </w:tcPr>
          <w:p w14:paraId="669CDA8F" w14:textId="77777777" w:rsidR="00CB2E81" w:rsidRPr="008F7A8E" w:rsidRDefault="00A03057" w:rsidP="00D10A52">
            <w:pPr>
              <w:pStyle w:val="Tabletext"/>
              <w:rPr>
                <w:color w:val="000000"/>
              </w:rPr>
            </w:pPr>
            <w:r w:rsidRPr="008F7A8E">
              <w:t>75% = $92.15</w:t>
            </w:r>
            <w:r>
              <w:t xml:space="preserve">; </w:t>
            </w:r>
            <w:r w:rsidRPr="008F7A8E">
              <w:t>85% = $104.45</w:t>
            </w:r>
          </w:p>
        </w:tc>
      </w:tr>
      <w:tr w:rsidR="00CB2E81" w:rsidRPr="008F7A8E" w14:paraId="2D132BA5" w14:textId="77777777" w:rsidTr="00DC4144">
        <w:tc>
          <w:tcPr>
            <w:tcW w:w="1053" w:type="dxa"/>
            <w:shd w:val="clear" w:color="auto" w:fill="auto"/>
          </w:tcPr>
          <w:p w14:paraId="17102932" w14:textId="77777777" w:rsidR="00CB2E81" w:rsidRPr="00DC4144" w:rsidRDefault="00CB2E81" w:rsidP="00D10A52">
            <w:pPr>
              <w:pStyle w:val="Tabletext"/>
              <w:rPr>
                <w:b/>
              </w:rPr>
            </w:pPr>
            <w:r w:rsidRPr="00DC4144">
              <w:rPr>
                <w:b/>
              </w:rPr>
              <w:t>41659</w:t>
            </w:r>
          </w:p>
        </w:tc>
        <w:tc>
          <w:tcPr>
            <w:tcW w:w="4947" w:type="dxa"/>
            <w:shd w:val="clear" w:color="auto" w:fill="auto"/>
          </w:tcPr>
          <w:p w14:paraId="620927F2" w14:textId="77777777" w:rsidR="00CB2E81" w:rsidRPr="008F7A8E" w:rsidRDefault="00CB2E81" w:rsidP="006A406F">
            <w:pPr>
              <w:pStyle w:val="Tabletext"/>
            </w:pPr>
            <w:r w:rsidRPr="008F7A8E">
              <w:t>NOSE, removal of FOREIGN BODY IN, other than by simple probing (</w:t>
            </w:r>
            <w:proofErr w:type="spellStart"/>
            <w:r w:rsidRPr="008F7A8E">
              <w:t>Anaes</w:t>
            </w:r>
            <w:proofErr w:type="spellEnd"/>
            <w:r w:rsidRPr="008F7A8E">
              <w:t xml:space="preserve">.) </w:t>
            </w:r>
          </w:p>
        </w:tc>
        <w:tc>
          <w:tcPr>
            <w:tcW w:w="1530" w:type="dxa"/>
          </w:tcPr>
          <w:p w14:paraId="144E6561" w14:textId="77777777" w:rsidR="00CB2E81" w:rsidRPr="008F7A8E" w:rsidRDefault="00A03057" w:rsidP="00D10A52">
            <w:pPr>
              <w:pStyle w:val="Tabletext"/>
              <w:rPr>
                <w:color w:val="000000"/>
              </w:rPr>
            </w:pPr>
            <w:r w:rsidRPr="008F7A8E">
              <w:t>$77.55</w:t>
            </w:r>
          </w:p>
        </w:tc>
        <w:tc>
          <w:tcPr>
            <w:tcW w:w="1530" w:type="dxa"/>
          </w:tcPr>
          <w:p w14:paraId="1E93F463" w14:textId="77777777" w:rsidR="00CB2E81" w:rsidRPr="008F7A8E" w:rsidRDefault="00A03057" w:rsidP="00D10A52">
            <w:pPr>
              <w:pStyle w:val="Tabletext"/>
              <w:rPr>
                <w:color w:val="000000"/>
              </w:rPr>
            </w:pPr>
            <w:r w:rsidRPr="008F7A8E">
              <w:t>75% = $58.20</w:t>
            </w:r>
            <w:r>
              <w:t xml:space="preserve">; </w:t>
            </w:r>
            <w:r w:rsidRPr="008F7A8E">
              <w:t>85% = $65.95</w:t>
            </w:r>
          </w:p>
        </w:tc>
      </w:tr>
      <w:tr w:rsidR="00CB2E81" w:rsidRPr="008F7A8E" w14:paraId="77B3BCDC" w14:textId="77777777" w:rsidTr="00DC4144">
        <w:tc>
          <w:tcPr>
            <w:tcW w:w="1053" w:type="dxa"/>
            <w:shd w:val="clear" w:color="auto" w:fill="auto"/>
          </w:tcPr>
          <w:p w14:paraId="537E1CD3" w14:textId="77777777" w:rsidR="00CB2E81" w:rsidRPr="00DC4144" w:rsidRDefault="00CB2E81" w:rsidP="00D10A52">
            <w:pPr>
              <w:pStyle w:val="Tabletext"/>
              <w:rPr>
                <w:b/>
              </w:rPr>
            </w:pPr>
            <w:r w:rsidRPr="00DC4144">
              <w:rPr>
                <w:b/>
              </w:rPr>
              <w:t>41662</w:t>
            </w:r>
          </w:p>
        </w:tc>
        <w:tc>
          <w:tcPr>
            <w:tcW w:w="4947" w:type="dxa"/>
            <w:shd w:val="clear" w:color="auto" w:fill="auto"/>
          </w:tcPr>
          <w:p w14:paraId="2824BA39" w14:textId="77777777" w:rsidR="00CB2E81" w:rsidRPr="008F7A8E" w:rsidRDefault="00CB2E81" w:rsidP="00D10A52">
            <w:pPr>
              <w:pStyle w:val="Tabletext"/>
            </w:pPr>
            <w:r w:rsidRPr="006A406F">
              <w:t>NASAL POLYP OR POLYPI (SIMPLE), removal of</w:t>
            </w:r>
            <w:r w:rsidR="00A03057" w:rsidRPr="006A406F">
              <w:t xml:space="preserve"> </w:t>
            </w:r>
            <w:r w:rsidRPr="008F7A8E">
              <w:rPr>
                <w:i/>
              </w:rPr>
              <w:t>(See para T8.76 of explanatory notes to this Category)</w:t>
            </w:r>
            <w:r w:rsidRPr="008F7A8E">
              <w:t xml:space="preserve"> </w:t>
            </w:r>
          </w:p>
        </w:tc>
        <w:tc>
          <w:tcPr>
            <w:tcW w:w="1530" w:type="dxa"/>
          </w:tcPr>
          <w:p w14:paraId="2408E1F1" w14:textId="77777777" w:rsidR="00CB2E81" w:rsidRPr="008F7A8E" w:rsidRDefault="00A03057" w:rsidP="00D10A52">
            <w:pPr>
              <w:pStyle w:val="Tabletext"/>
              <w:rPr>
                <w:color w:val="000000"/>
              </w:rPr>
            </w:pPr>
            <w:r w:rsidRPr="008F7A8E">
              <w:t>$82.50</w:t>
            </w:r>
          </w:p>
        </w:tc>
        <w:tc>
          <w:tcPr>
            <w:tcW w:w="1530" w:type="dxa"/>
          </w:tcPr>
          <w:p w14:paraId="03D0AE1A" w14:textId="77777777" w:rsidR="00CB2E81" w:rsidRPr="008F7A8E" w:rsidRDefault="00A03057" w:rsidP="00D10A52">
            <w:pPr>
              <w:pStyle w:val="Tabletext"/>
              <w:rPr>
                <w:color w:val="000000"/>
              </w:rPr>
            </w:pPr>
            <w:r w:rsidRPr="008F7A8E">
              <w:t>75% = $61.90</w:t>
            </w:r>
            <w:r>
              <w:t xml:space="preserve">; </w:t>
            </w:r>
            <w:r w:rsidRPr="008F7A8E">
              <w:t>85% = $70.15</w:t>
            </w:r>
          </w:p>
        </w:tc>
      </w:tr>
      <w:tr w:rsidR="00CB2E81" w:rsidRPr="008F7A8E" w14:paraId="2637293E" w14:textId="77777777" w:rsidTr="00DC4144">
        <w:tc>
          <w:tcPr>
            <w:tcW w:w="1053" w:type="dxa"/>
            <w:shd w:val="clear" w:color="auto" w:fill="auto"/>
          </w:tcPr>
          <w:p w14:paraId="45614493" w14:textId="77777777" w:rsidR="00CB2E81" w:rsidRPr="00DC4144" w:rsidRDefault="00CB2E81" w:rsidP="00D10A52">
            <w:pPr>
              <w:pStyle w:val="Tabletext"/>
              <w:rPr>
                <w:b/>
              </w:rPr>
            </w:pPr>
            <w:r w:rsidRPr="00DC4144">
              <w:rPr>
                <w:b/>
              </w:rPr>
              <w:t>41665 G</w:t>
            </w:r>
          </w:p>
        </w:tc>
        <w:tc>
          <w:tcPr>
            <w:tcW w:w="4947" w:type="dxa"/>
            <w:shd w:val="clear" w:color="auto" w:fill="auto"/>
          </w:tcPr>
          <w:p w14:paraId="3F909099" w14:textId="77777777" w:rsidR="00CB2E81" w:rsidRPr="008F7A8E" w:rsidRDefault="00CB2E81" w:rsidP="00D10A52">
            <w:pPr>
              <w:pStyle w:val="Tabletext"/>
            </w:pPr>
            <w:r w:rsidRPr="006A406F">
              <w:t>NASAL POLYP OR POLYPI (requiring admission to hospital), removal of (</w:t>
            </w:r>
            <w:proofErr w:type="spellStart"/>
            <w:r w:rsidRPr="006A406F">
              <w:t>Anaes</w:t>
            </w:r>
            <w:proofErr w:type="spellEnd"/>
            <w:r w:rsidRPr="006A406F">
              <w:t>.)</w:t>
            </w:r>
            <w:r w:rsidR="00A03057" w:rsidRPr="006A406F">
              <w:t xml:space="preserve"> </w:t>
            </w:r>
            <w:r w:rsidRPr="008F7A8E">
              <w:rPr>
                <w:i/>
              </w:rPr>
              <w:t>(See para T8.76 of explanatory notes to this Category)</w:t>
            </w:r>
            <w:r w:rsidRPr="008F7A8E">
              <w:t xml:space="preserve"> </w:t>
            </w:r>
          </w:p>
        </w:tc>
        <w:tc>
          <w:tcPr>
            <w:tcW w:w="1530" w:type="dxa"/>
          </w:tcPr>
          <w:p w14:paraId="28080537" w14:textId="77777777" w:rsidR="00CB2E81" w:rsidRPr="008F7A8E" w:rsidRDefault="00A03057" w:rsidP="00D10A52">
            <w:pPr>
              <w:pStyle w:val="Tabletext"/>
              <w:rPr>
                <w:color w:val="000000"/>
              </w:rPr>
            </w:pPr>
            <w:r w:rsidRPr="008F7A8E">
              <w:t xml:space="preserve">Fee: </w:t>
            </w:r>
            <w:r w:rsidRPr="00422EC8">
              <w:t>$172.50</w:t>
            </w:r>
          </w:p>
        </w:tc>
        <w:tc>
          <w:tcPr>
            <w:tcW w:w="1530" w:type="dxa"/>
          </w:tcPr>
          <w:p w14:paraId="56BCDB55" w14:textId="77777777" w:rsidR="00CB2E81" w:rsidRPr="008F7A8E" w:rsidRDefault="00A03057" w:rsidP="00D10A52">
            <w:pPr>
              <w:pStyle w:val="Tabletext"/>
              <w:rPr>
                <w:color w:val="000000"/>
              </w:rPr>
            </w:pPr>
            <w:r w:rsidRPr="008F7A8E">
              <w:t>75% = $129.40</w:t>
            </w:r>
          </w:p>
        </w:tc>
      </w:tr>
      <w:tr w:rsidR="00A03057" w:rsidRPr="008F7A8E" w14:paraId="63F34919" w14:textId="77777777" w:rsidTr="00DC4144">
        <w:tc>
          <w:tcPr>
            <w:tcW w:w="1053" w:type="dxa"/>
            <w:shd w:val="clear" w:color="auto" w:fill="auto"/>
          </w:tcPr>
          <w:p w14:paraId="2D35EF70" w14:textId="77777777" w:rsidR="00A03057" w:rsidRPr="00DC4144" w:rsidRDefault="00A03057" w:rsidP="00D10A52">
            <w:pPr>
              <w:pStyle w:val="Tabletext"/>
              <w:rPr>
                <w:b/>
              </w:rPr>
            </w:pPr>
            <w:r w:rsidRPr="00DC4144">
              <w:rPr>
                <w:b/>
              </w:rPr>
              <w:t>41668 S</w:t>
            </w:r>
          </w:p>
        </w:tc>
        <w:tc>
          <w:tcPr>
            <w:tcW w:w="4947" w:type="dxa"/>
            <w:shd w:val="clear" w:color="auto" w:fill="auto"/>
          </w:tcPr>
          <w:p w14:paraId="092F7335" w14:textId="77777777" w:rsidR="007E27AB" w:rsidRPr="008F7A8E" w:rsidRDefault="00A03057" w:rsidP="00FB142B">
            <w:pPr>
              <w:pStyle w:val="Tabletext"/>
              <w:rPr>
                <w:color w:val="000000"/>
              </w:rPr>
            </w:pPr>
            <w:r w:rsidRPr="008F7A8E">
              <w:t>NASAL POLYP OR POLYPI (requiring admission to hospital), removal of (</w:t>
            </w:r>
            <w:proofErr w:type="spellStart"/>
            <w:r w:rsidRPr="008F7A8E">
              <w:t>Anaes</w:t>
            </w:r>
            <w:proofErr w:type="spellEnd"/>
            <w:r w:rsidRPr="008F7A8E">
              <w:t>.)</w:t>
            </w:r>
            <w:r>
              <w:t xml:space="preserve"> </w:t>
            </w:r>
          </w:p>
        </w:tc>
        <w:tc>
          <w:tcPr>
            <w:tcW w:w="1530" w:type="dxa"/>
          </w:tcPr>
          <w:p w14:paraId="7C6371B8" w14:textId="77777777" w:rsidR="00A03057" w:rsidRPr="008F7A8E" w:rsidRDefault="00A03057" w:rsidP="00422EC8">
            <w:pPr>
              <w:pStyle w:val="Tabletext"/>
              <w:rPr>
                <w:b/>
              </w:rPr>
            </w:pPr>
            <w:r w:rsidRPr="008F7A8E">
              <w:t>$219.95</w:t>
            </w:r>
          </w:p>
        </w:tc>
        <w:tc>
          <w:tcPr>
            <w:tcW w:w="1530" w:type="dxa"/>
          </w:tcPr>
          <w:p w14:paraId="0E0EAC43" w14:textId="77777777" w:rsidR="00A03057" w:rsidRPr="008F7A8E" w:rsidRDefault="00A03057" w:rsidP="00422EC8">
            <w:pPr>
              <w:pStyle w:val="Tabletext"/>
            </w:pPr>
            <w:r w:rsidRPr="008F7A8E">
              <w:t>75% = $165.00</w:t>
            </w:r>
          </w:p>
        </w:tc>
      </w:tr>
      <w:tr w:rsidR="00CB2E81" w:rsidRPr="008F7A8E" w14:paraId="12894869" w14:textId="77777777" w:rsidTr="00DC4144">
        <w:tc>
          <w:tcPr>
            <w:tcW w:w="1053" w:type="dxa"/>
            <w:shd w:val="clear" w:color="auto" w:fill="auto"/>
          </w:tcPr>
          <w:p w14:paraId="07483E38" w14:textId="77777777" w:rsidR="00CB2E81" w:rsidRPr="00DC4144" w:rsidRDefault="00CB2E81" w:rsidP="00D10A52">
            <w:pPr>
              <w:pStyle w:val="Tabletext"/>
              <w:rPr>
                <w:b/>
              </w:rPr>
            </w:pPr>
            <w:r w:rsidRPr="00DC4144">
              <w:rPr>
                <w:b/>
              </w:rPr>
              <w:t>41671</w:t>
            </w:r>
          </w:p>
        </w:tc>
        <w:tc>
          <w:tcPr>
            <w:tcW w:w="4947" w:type="dxa"/>
            <w:shd w:val="clear" w:color="auto" w:fill="auto"/>
          </w:tcPr>
          <w:p w14:paraId="7987A0AA" w14:textId="77777777" w:rsidR="00CB2E81" w:rsidRPr="008F7A8E" w:rsidRDefault="00CB2E81" w:rsidP="006A406F">
            <w:pPr>
              <w:pStyle w:val="Tabletext"/>
            </w:pPr>
            <w:r w:rsidRPr="008F7A8E">
              <w:t>NASAL SEPTUM, SEPTOPLASTY, SUBMUCOUS RESECTION or closure of septal perforation (</w:t>
            </w:r>
            <w:proofErr w:type="spellStart"/>
            <w:r w:rsidRPr="008F7A8E">
              <w:t>Anaes</w:t>
            </w:r>
            <w:proofErr w:type="spellEnd"/>
            <w:r w:rsidRPr="008F7A8E">
              <w:t xml:space="preserve">.) </w:t>
            </w:r>
          </w:p>
        </w:tc>
        <w:tc>
          <w:tcPr>
            <w:tcW w:w="1530" w:type="dxa"/>
          </w:tcPr>
          <w:p w14:paraId="632B8E0B" w14:textId="77777777" w:rsidR="00CB2E81" w:rsidRPr="008F7A8E" w:rsidRDefault="00A03057" w:rsidP="00D10A52">
            <w:pPr>
              <w:pStyle w:val="Tabletext"/>
              <w:rPr>
                <w:color w:val="000000"/>
              </w:rPr>
            </w:pPr>
            <w:r w:rsidRPr="008F7A8E">
              <w:t>$483.25</w:t>
            </w:r>
          </w:p>
        </w:tc>
        <w:tc>
          <w:tcPr>
            <w:tcW w:w="1530" w:type="dxa"/>
          </w:tcPr>
          <w:p w14:paraId="18F5389B" w14:textId="77777777" w:rsidR="00CB2E81" w:rsidRPr="008F7A8E" w:rsidRDefault="00A03057" w:rsidP="00D10A52">
            <w:pPr>
              <w:pStyle w:val="Tabletext"/>
              <w:rPr>
                <w:color w:val="000000"/>
              </w:rPr>
            </w:pPr>
            <w:r w:rsidRPr="008F7A8E">
              <w:t>75% = $362.45</w:t>
            </w:r>
          </w:p>
        </w:tc>
      </w:tr>
      <w:tr w:rsidR="00CB2E81" w:rsidRPr="008F7A8E" w14:paraId="334A51D0" w14:textId="77777777" w:rsidTr="00DC4144">
        <w:tc>
          <w:tcPr>
            <w:tcW w:w="1053" w:type="dxa"/>
            <w:shd w:val="clear" w:color="auto" w:fill="auto"/>
          </w:tcPr>
          <w:p w14:paraId="37AB9D2A" w14:textId="77777777" w:rsidR="00CB2E81" w:rsidRPr="00DC4144" w:rsidRDefault="00CB2E81" w:rsidP="00D10A52">
            <w:pPr>
              <w:pStyle w:val="Tabletext"/>
              <w:rPr>
                <w:b/>
              </w:rPr>
            </w:pPr>
            <w:r w:rsidRPr="00DC4144">
              <w:rPr>
                <w:b/>
              </w:rPr>
              <w:t>41672</w:t>
            </w:r>
          </w:p>
        </w:tc>
        <w:tc>
          <w:tcPr>
            <w:tcW w:w="4947" w:type="dxa"/>
            <w:shd w:val="clear" w:color="auto" w:fill="auto"/>
          </w:tcPr>
          <w:p w14:paraId="4DB936DD" w14:textId="77777777" w:rsidR="00CB2E81" w:rsidRPr="008F7A8E" w:rsidRDefault="00CB2E81" w:rsidP="006A406F">
            <w:pPr>
              <w:pStyle w:val="Tabletext"/>
            </w:pPr>
            <w:r w:rsidRPr="008F7A8E">
              <w:t>NASAL SEPTUM, reconstruction of (</w:t>
            </w:r>
            <w:proofErr w:type="spellStart"/>
            <w:r w:rsidRPr="008F7A8E">
              <w:t>Anaes</w:t>
            </w:r>
            <w:proofErr w:type="spellEnd"/>
            <w:r w:rsidRPr="008F7A8E">
              <w:t xml:space="preserve">.) (Assist.) </w:t>
            </w:r>
          </w:p>
        </w:tc>
        <w:tc>
          <w:tcPr>
            <w:tcW w:w="1530" w:type="dxa"/>
          </w:tcPr>
          <w:p w14:paraId="557A979F" w14:textId="77777777" w:rsidR="00CB2E81" w:rsidRPr="008F7A8E" w:rsidRDefault="00A03057" w:rsidP="00D10A52">
            <w:pPr>
              <w:pStyle w:val="Tabletext"/>
              <w:rPr>
                <w:color w:val="000000"/>
              </w:rPr>
            </w:pPr>
            <w:r w:rsidRPr="008F7A8E">
              <w:t>$602.85</w:t>
            </w:r>
          </w:p>
        </w:tc>
        <w:tc>
          <w:tcPr>
            <w:tcW w:w="1530" w:type="dxa"/>
          </w:tcPr>
          <w:p w14:paraId="5B1798B6" w14:textId="77777777" w:rsidR="00CB2E81" w:rsidRPr="008F7A8E" w:rsidRDefault="00A03057" w:rsidP="00D10A52">
            <w:pPr>
              <w:pStyle w:val="Tabletext"/>
              <w:rPr>
                <w:color w:val="000000"/>
              </w:rPr>
            </w:pPr>
            <w:r w:rsidRPr="008F7A8E">
              <w:t>75% = $452.15</w:t>
            </w:r>
          </w:p>
        </w:tc>
      </w:tr>
      <w:tr w:rsidR="00CB2E81" w:rsidRPr="008F7A8E" w14:paraId="3E8BE07E" w14:textId="77777777" w:rsidTr="00DC4144">
        <w:tc>
          <w:tcPr>
            <w:tcW w:w="1053" w:type="dxa"/>
            <w:shd w:val="clear" w:color="auto" w:fill="auto"/>
          </w:tcPr>
          <w:p w14:paraId="45316E48" w14:textId="77777777" w:rsidR="00CB2E81" w:rsidRPr="00DC4144" w:rsidRDefault="00CB2E81" w:rsidP="00D10A52">
            <w:pPr>
              <w:pStyle w:val="Tabletext"/>
              <w:rPr>
                <w:b/>
              </w:rPr>
            </w:pPr>
            <w:r w:rsidRPr="00DC4144">
              <w:rPr>
                <w:b/>
              </w:rPr>
              <w:t>41674</w:t>
            </w:r>
          </w:p>
        </w:tc>
        <w:tc>
          <w:tcPr>
            <w:tcW w:w="4947" w:type="dxa"/>
            <w:shd w:val="clear" w:color="auto" w:fill="auto"/>
          </w:tcPr>
          <w:p w14:paraId="14609235" w14:textId="77777777" w:rsidR="00CB2E81" w:rsidRPr="008F7A8E" w:rsidRDefault="00CB2E81" w:rsidP="006A406F">
            <w:pPr>
              <w:pStyle w:val="Tabletext"/>
            </w:pPr>
            <w:r w:rsidRPr="008F7A8E">
              <w:t>CAUTERISATION (other than by chemical means) OR CAUTERISATION by chemical means when performed under general anaesthesia OR DIATHERMY OF SEPTUM, TURBINATES OR PHARYNX - 1 or more of these procedures (including any consultation on the same occasion) not being a service associated with any other operation on the nose (</w:t>
            </w:r>
            <w:proofErr w:type="spellStart"/>
            <w:r w:rsidRPr="008F7A8E">
              <w:t>Anaes</w:t>
            </w:r>
            <w:proofErr w:type="spellEnd"/>
            <w:r w:rsidRPr="008F7A8E">
              <w:t>.)</w:t>
            </w:r>
          </w:p>
        </w:tc>
        <w:tc>
          <w:tcPr>
            <w:tcW w:w="1530" w:type="dxa"/>
          </w:tcPr>
          <w:p w14:paraId="57D5AAC2" w14:textId="77777777" w:rsidR="00CB2E81" w:rsidRPr="008F7A8E" w:rsidRDefault="00A03057" w:rsidP="00D10A52">
            <w:pPr>
              <w:pStyle w:val="Tabletext"/>
              <w:rPr>
                <w:color w:val="000000"/>
              </w:rPr>
            </w:pPr>
            <w:r w:rsidRPr="008F7A8E">
              <w:t>$100.50</w:t>
            </w:r>
          </w:p>
        </w:tc>
        <w:tc>
          <w:tcPr>
            <w:tcW w:w="1530" w:type="dxa"/>
          </w:tcPr>
          <w:p w14:paraId="3B04B476" w14:textId="77777777" w:rsidR="00CB2E81" w:rsidRPr="008F7A8E" w:rsidRDefault="00A03057" w:rsidP="00D10A52">
            <w:pPr>
              <w:pStyle w:val="Tabletext"/>
              <w:rPr>
                <w:color w:val="000000"/>
              </w:rPr>
            </w:pPr>
            <w:r w:rsidRPr="008F7A8E">
              <w:t>75% = $75.40</w:t>
            </w:r>
            <w:r>
              <w:t xml:space="preserve">; </w:t>
            </w:r>
            <w:r w:rsidRPr="008F7A8E">
              <w:t>85% = $85.45</w:t>
            </w:r>
          </w:p>
        </w:tc>
      </w:tr>
      <w:tr w:rsidR="00CB2E81" w:rsidRPr="008F7A8E" w14:paraId="45A46AD2" w14:textId="77777777" w:rsidTr="00DC4144">
        <w:tc>
          <w:tcPr>
            <w:tcW w:w="1053" w:type="dxa"/>
            <w:shd w:val="clear" w:color="auto" w:fill="auto"/>
          </w:tcPr>
          <w:p w14:paraId="17302282" w14:textId="77777777" w:rsidR="00CB2E81" w:rsidRPr="00DC4144" w:rsidRDefault="00CB2E81" w:rsidP="00D10A52">
            <w:pPr>
              <w:pStyle w:val="Tabletext"/>
              <w:rPr>
                <w:b/>
              </w:rPr>
            </w:pPr>
            <w:r w:rsidRPr="00DC4144">
              <w:rPr>
                <w:b/>
              </w:rPr>
              <w:t>41677</w:t>
            </w:r>
          </w:p>
        </w:tc>
        <w:tc>
          <w:tcPr>
            <w:tcW w:w="4947" w:type="dxa"/>
            <w:shd w:val="clear" w:color="auto" w:fill="auto"/>
          </w:tcPr>
          <w:p w14:paraId="2CA89BCF" w14:textId="77777777" w:rsidR="00CB2E81" w:rsidRPr="008F7A8E" w:rsidRDefault="00CB2E81" w:rsidP="006A406F">
            <w:pPr>
              <w:pStyle w:val="Tabletext"/>
            </w:pPr>
            <w:r w:rsidRPr="008F7A8E">
              <w:t>NASAL HAEMORRHAGE, arrest of during an episode of epistaxis by cauterisation or nasal cavity packing or both (</w:t>
            </w:r>
            <w:proofErr w:type="spellStart"/>
            <w:r w:rsidRPr="008F7A8E">
              <w:t>Anaes</w:t>
            </w:r>
            <w:proofErr w:type="spellEnd"/>
            <w:r w:rsidRPr="008F7A8E">
              <w:t xml:space="preserve">.) </w:t>
            </w:r>
          </w:p>
        </w:tc>
        <w:tc>
          <w:tcPr>
            <w:tcW w:w="1530" w:type="dxa"/>
          </w:tcPr>
          <w:p w14:paraId="5B6E3215" w14:textId="77777777" w:rsidR="00CB2E81" w:rsidRPr="008F7A8E" w:rsidRDefault="00A03057" w:rsidP="00D10A52">
            <w:pPr>
              <w:pStyle w:val="Tabletext"/>
              <w:rPr>
                <w:color w:val="000000"/>
              </w:rPr>
            </w:pPr>
            <w:r w:rsidRPr="008F7A8E">
              <w:t>$90.00</w:t>
            </w:r>
          </w:p>
        </w:tc>
        <w:tc>
          <w:tcPr>
            <w:tcW w:w="1530" w:type="dxa"/>
          </w:tcPr>
          <w:p w14:paraId="2D844053" w14:textId="77777777" w:rsidR="00CB2E81" w:rsidRPr="008F7A8E" w:rsidRDefault="00A03057" w:rsidP="00D10A52">
            <w:pPr>
              <w:pStyle w:val="Tabletext"/>
              <w:rPr>
                <w:color w:val="000000"/>
              </w:rPr>
            </w:pPr>
            <w:r w:rsidRPr="008F7A8E">
              <w:t>75% = $67.50</w:t>
            </w:r>
            <w:r>
              <w:t xml:space="preserve">; </w:t>
            </w:r>
            <w:r w:rsidRPr="008F7A8E">
              <w:t>85% = $76.50</w:t>
            </w:r>
          </w:p>
        </w:tc>
      </w:tr>
      <w:tr w:rsidR="00CB2E81" w:rsidRPr="008F7A8E" w14:paraId="4E7D8413" w14:textId="77777777" w:rsidTr="00DC4144">
        <w:tc>
          <w:tcPr>
            <w:tcW w:w="1053" w:type="dxa"/>
            <w:shd w:val="clear" w:color="auto" w:fill="auto"/>
          </w:tcPr>
          <w:p w14:paraId="4FA2DCBF" w14:textId="77777777" w:rsidR="00CB2E81" w:rsidRPr="00DC4144" w:rsidRDefault="00CB2E81" w:rsidP="00D10A52">
            <w:pPr>
              <w:pStyle w:val="Tabletext"/>
              <w:rPr>
                <w:b/>
              </w:rPr>
            </w:pPr>
            <w:r w:rsidRPr="00DC4144">
              <w:rPr>
                <w:b/>
              </w:rPr>
              <w:lastRenderedPageBreak/>
              <w:t>41680</w:t>
            </w:r>
          </w:p>
        </w:tc>
        <w:tc>
          <w:tcPr>
            <w:tcW w:w="4947" w:type="dxa"/>
            <w:shd w:val="clear" w:color="auto" w:fill="auto"/>
          </w:tcPr>
          <w:p w14:paraId="35FB58CA" w14:textId="77777777" w:rsidR="00CB2E81" w:rsidRPr="008F7A8E" w:rsidRDefault="00CB2E81" w:rsidP="006A406F">
            <w:pPr>
              <w:pStyle w:val="Tabletext"/>
            </w:pPr>
            <w:r w:rsidRPr="008F7A8E">
              <w:t>CRYOTHERAPY TO NOSE in the treatment of nasal haemorrhage (</w:t>
            </w:r>
            <w:proofErr w:type="spellStart"/>
            <w:r w:rsidRPr="008F7A8E">
              <w:t>Anaes</w:t>
            </w:r>
            <w:proofErr w:type="spellEnd"/>
            <w:r w:rsidRPr="008F7A8E">
              <w:t xml:space="preserve">.) </w:t>
            </w:r>
          </w:p>
        </w:tc>
        <w:tc>
          <w:tcPr>
            <w:tcW w:w="1530" w:type="dxa"/>
          </w:tcPr>
          <w:p w14:paraId="068A0937" w14:textId="77777777" w:rsidR="00CB2E81" w:rsidRPr="008F7A8E" w:rsidRDefault="00A03057" w:rsidP="00D10A52">
            <w:pPr>
              <w:pStyle w:val="Tabletext"/>
              <w:rPr>
                <w:color w:val="000000"/>
              </w:rPr>
            </w:pPr>
            <w:r w:rsidRPr="008F7A8E">
              <w:t>$162.95</w:t>
            </w:r>
          </w:p>
        </w:tc>
        <w:tc>
          <w:tcPr>
            <w:tcW w:w="1530" w:type="dxa"/>
          </w:tcPr>
          <w:p w14:paraId="78902F8F" w14:textId="77777777" w:rsidR="00CB2E81" w:rsidRPr="008F7A8E" w:rsidRDefault="00A03057" w:rsidP="00D10A52">
            <w:pPr>
              <w:pStyle w:val="Tabletext"/>
              <w:rPr>
                <w:color w:val="000000"/>
              </w:rPr>
            </w:pPr>
            <w:r w:rsidRPr="008F7A8E">
              <w:t>75% = $122.25</w:t>
            </w:r>
            <w:r>
              <w:t xml:space="preserve">; </w:t>
            </w:r>
            <w:r w:rsidRPr="008F7A8E">
              <w:t>85% = $138.55</w:t>
            </w:r>
          </w:p>
        </w:tc>
      </w:tr>
      <w:tr w:rsidR="00CB2E81" w:rsidRPr="008F7A8E" w14:paraId="76BD0A32" w14:textId="77777777" w:rsidTr="00DC4144">
        <w:tc>
          <w:tcPr>
            <w:tcW w:w="1053" w:type="dxa"/>
            <w:shd w:val="clear" w:color="auto" w:fill="auto"/>
          </w:tcPr>
          <w:p w14:paraId="4040A1F2" w14:textId="77777777" w:rsidR="00CB2E81" w:rsidRPr="00DC4144" w:rsidRDefault="00CB2E81" w:rsidP="00D10A52">
            <w:pPr>
              <w:pStyle w:val="Tabletext"/>
              <w:rPr>
                <w:b/>
              </w:rPr>
            </w:pPr>
            <w:r w:rsidRPr="00DC4144">
              <w:rPr>
                <w:b/>
              </w:rPr>
              <w:t>41683</w:t>
            </w:r>
          </w:p>
        </w:tc>
        <w:tc>
          <w:tcPr>
            <w:tcW w:w="4947" w:type="dxa"/>
            <w:shd w:val="clear" w:color="auto" w:fill="auto"/>
          </w:tcPr>
          <w:p w14:paraId="0A91A0FA" w14:textId="77777777" w:rsidR="00CB2E81" w:rsidRPr="008F7A8E" w:rsidRDefault="00CB2E81" w:rsidP="006A406F">
            <w:pPr>
              <w:pStyle w:val="Tabletext"/>
            </w:pPr>
            <w:r w:rsidRPr="008F7A8E">
              <w:t>DIVISION OF NASAL ADHESIONS, with or without stenting not being a service associated with any other operation on the nose and not performed during the postoperative period of a nasal operation (</w:t>
            </w:r>
            <w:proofErr w:type="spellStart"/>
            <w:r w:rsidRPr="008F7A8E">
              <w:t>Anaes</w:t>
            </w:r>
            <w:proofErr w:type="spellEnd"/>
            <w:r w:rsidRPr="008F7A8E">
              <w:t xml:space="preserve">.) </w:t>
            </w:r>
          </w:p>
        </w:tc>
        <w:tc>
          <w:tcPr>
            <w:tcW w:w="1530" w:type="dxa"/>
          </w:tcPr>
          <w:p w14:paraId="0FD9450E" w14:textId="77777777" w:rsidR="00CB2E81" w:rsidRPr="008F7A8E" w:rsidRDefault="00A03057" w:rsidP="00D10A52">
            <w:pPr>
              <w:pStyle w:val="Tabletext"/>
              <w:rPr>
                <w:color w:val="000000"/>
              </w:rPr>
            </w:pPr>
            <w:r w:rsidRPr="008F7A8E">
              <w:t>$117.20</w:t>
            </w:r>
          </w:p>
        </w:tc>
        <w:tc>
          <w:tcPr>
            <w:tcW w:w="1530" w:type="dxa"/>
          </w:tcPr>
          <w:p w14:paraId="1D3AE056" w14:textId="77777777" w:rsidR="00CB2E81" w:rsidRPr="008F7A8E" w:rsidRDefault="00A03057" w:rsidP="00D10A52">
            <w:pPr>
              <w:pStyle w:val="Tabletext"/>
              <w:rPr>
                <w:color w:val="000000"/>
              </w:rPr>
            </w:pPr>
            <w:r w:rsidRPr="008F7A8E">
              <w:t>75% = $87.90</w:t>
            </w:r>
            <w:r>
              <w:t xml:space="preserve">; </w:t>
            </w:r>
            <w:r w:rsidRPr="008F7A8E">
              <w:t>85% = $99.65</w:t>
            </w:r>
          </w:p>
        </w:tc>
      </w:tr>
      <w:tr w:rsidR="00CB2E81" w:rsidRPr="008F7A8E" w14:paraId="0700116F" w14:textId="77777777" w:rsidTr="00DC4144">
        <w:tc>
          <w:tcPr>
            <w:tcW w:w="1053" w:type="dxa"/>
            <w:shd w:val="clear" w:color="auto" w:fill="auto"/>
          </w:tcPr>
          <w:p w14:paraId="4D3D20E4" w14:textId="77777777" w:rsidR="00CB2E81" w:rsidRPr="00DC4144" w:rsidRDefault="00CB2E81" w:rsidP="00D10A52">
            <w:pPr>
              <w:pStyle w:val="Tabletext"/>
              <w:rPr>
                <w:b/>
              </w:rPr>
            </w:pPr>
            <w:r w:rsidRPr="00DC4144">
              <w:rPr>
                <w:b/>
              </w:rPr>
              <w:t>41686</w:t>
            </w:r>
          </w:p>
        </w:tc>
        <w:tc>
          <w:tcPr>
            <w:tcW w:w="4947" w:type="dxa"/>
            <w:shd w:val="clear" w:color="auto" w:fill="auto"/>
          </w:tcPr>
          <w:p w14:paraId="3D23A711" w14:textId="77777777" w:rsidR="00CB2E81" w:rsidRPr="008F7A8E" w:rsidRDefault="00CB2E81" w:rsidP="006A406F">
            <w:pPr>
              <w:pStyle w:val="Tabletext"/>
            </w:pPr>
            <w:r w:rsidRPr="008F7A8E">
              <w:t>DISLOCATION OF TURBINATE OR TURBINATES, 1 or both sides, not being a service associated with a service to which another item in this Group applies (</w:t>
            </w:r>
            <w:proofErr w:type="spellStart"/>
            <w:r w:rsidRPr="008F7A8E">
              <w:t>Anaes</w:t>
            </w:r>
            <w:proofErr w:type="spellEnd"/>
            <w:r w:rsidRPr="008F7A8E">
              <w:t xml:space="preserve">.) </w:t>
            </w:r>
          </w:p>
        </w:tc>
        <w:tc>
          <w:tcPr>
            <w:tcW w:w="1530" w:type="dxa"/>
          </w:tcPr>
          <w:p w14:paraId="1BCD01A8" w14:textId="77777777" w:rsidR="00CB2E81" w:rsidRPr="008F7A8E" w:rsidRDefault="00A03057" w:rsidP="00D10A52">
            <w:pPr>
              <w:pStyle w:val="Tabletext"/>
              <w:rPr>
                <w:color w:val="000000"/>
              </w:rPr>
            </w:pPr>
            <w:r w:rsidRPr="008F7A8E">
              <w:t>$71.95</w:t>
            </w:r>
          </w:p>
        </w:tc>
        <w:tc>
          <w:tcPr>
            <w:tcW w:w="1530" w:type="dxa"/>
          </w:tcPr>
          <w:p w14:paraId="22C552A4" w14:textId="77777777" w:rsidR="00CB2E81" w:rsidRPr="008F7A8E" w:rsidRDefault="00A03057" w:rsidP="00D10A52">
            <w:pPr>
              <w:pStyle w:val="Tabletext"/>
              <w:rPr>
                <w:color w:val="000000"/>
              </w:rPr>
            </w:pPr>
            <w:r w:rsidRPr="008F7A8E">
              <w:t>75% = $54.00</w:t>
            </w:r>
            <w:r>
              <w:t xml:space="preserve">; </w:t>
            </w:r>
            <w:r w:rsidRPr="008F7A8E">
              <w:t>85% = $61.20</w:t>
            </w:r>
          </w:p>
        </w:tc>
      </w:tr>
      <w:tr w:rsidR="00CB2E81" w:rsidRPr="008F7A8E" w14:paraId="7475557F" w14:textId="77777777" w:rsidTr="00DC4144">
        <w:tc>
          <w:tcPr>
            <w:tcW w:w="1053" w:type="dxa"/>
            <w:shd w:val="clear" w:color="auto" w:fill="auto"/>
          </w:tcPr>
          <w:p w14:paraId="28A9771D" w14:textId="77777777" w:rsidR="00CB2E81" w:rsidRPr="00DC4144" w:rsidRDefault="00CB2E81" w:rsidP="00D10A52">
            <w:pPr>
              <w:pStyle w:val="Tabletext"/>
              <w:rPr>
                <w:b/>
              </w:rPr>
            </w:pPr>
            <w:r w:rsidRPr="00DC4144">
              <w:rPr>
                <w:b/>
              </w:rPr>
              <w:t>41689</w:t>
            </w:r>
          </w:p>
        </w:tc>
        <w:tc>
          <w:tcPr>
            <w:tcW w:w="4947" w:type="dxa"/>
            <w:shd w:val="clear" w:color="auto" w:fill="auto"/>
          </w:tcPr>
          <w:p w14:paraId="084B5853" w14:textId="77777777" w:rsidR="00CB2E81" w:rsidRPr="008F7A8E" w:rsidRDefault="00CB2E81" w:rsidP="006A406F">
            <w:pPr>
              <w:pStyle w:val="Tabletext"/>
            </w:pPr>
            <w:r w:rsidRPr="008F7A8E">
              <w:t>TURBINECTOMY or turbinectomies, partial or total, unilateral (</w:t>
            </w:r>
            <w:proofErr w:type="spellStart"/>
            <w:r w:rsidRPr="008F7A8E">
              <w:t>Anaes</w:t>
            </w:r>
            <w:proofErr w:type="spellEnd"/>
            <w:r w:rsidRPr="008F7A8E">
              <w:t xml:space="preserve">.) </w:t>
            </w:r>
          </w:p>
        </w:tc>
        <w:tc>
          <w:tcPr>
            <w:tcW w:w="1530" w:type="dxa"/>
          </w:tcPr>
          <w:p w14:paraId="4D8811E3" w14:textId="77777777" w:rsidR="00CB2E81" w:rsidRPr="008F7A8E" w:rsidRDefault="00A03057" w:rsidP="00D10A52">
            <w:pPr>
              <w:pStyle w:val="Tabletext"/>
              <w:rPr>
                <w:color w:val="000000"/>
              </w:rPr>
            </w:pPr>
            <w:r w:rsidRPr="008F7A8E">
              <w:t>$136.50</w:t>
            </w:r>
          </w:p>
        </w:tc>
        <w:tc>
          <w:tcPr>
            <w:tcW w:w="1530" w:type="dxa"/>
          </w:tcPr>
          <w:p w14:paraId="782311F8" w14:textId="77777777" w:rsidR="00CB2E81" w:rsidRPr="008F7A8E" w:rsidRDefault="00A03057" w:rsidP="00D10A52">
            <w:pPr>
              <w:pStyle w:val="Tabletext"/>
              <w:rPr>
                <w:color w:val="000000"/>
              </w:rPr>
            </w:pPr>
            <w:r w:rsidRPr="008F7A8E">
              <w:t>75% = $102.40</w:t>
            </w:r>
          </w:p>
        </w:tc>
      </w:tr>
      <w:tr w:rsidR="00CB2E81" w:rsidRPr="008F7A8E" w14:paraId="3C187842" w14:textId="77777777" w:rsidTr="00DC4144">
        <w:tc>
          <w:tcPr>
            <w:tcW w:w="1053" w:type="dxa"/>
            <w:shd w:val="clear" w:color="auto" w:fill="auto"/>
          </w:tcPr>
          <w:p w14:paraId="545DD376" w14:textId="77777777" w:rsidR="00CB2E81" w:rsidRPr="00DC4144" w:rsidRDefault="00CB2E81" w:rsidP="00D10A52">
            <w:pPr>
              <w:pStyle w:val="Tabletext"/>
              <w:rPr>
                <w:b/>
              </w:rPr>
            </w:pPr>
            <w:r w:rsidRPr="00DC4144">
              <w:rPr>
                <w:b/>
              </w:rPr>
              <w:t>41692</w:t>
            </w:r>
          </w:p>
        </w:tc>
        <w:tc>
          <w:tcPr>
            <w:tcW w:w="4947" w:type="dxa"/>
            <w:shd w:val="clear" w:color="auto" w:fill="auto"/>
          </w:tcPr>
          <w:p w14:paraId="2E86261E" w14:textId="77777777" w:rsidR="00CB2E81" w:rsidRPr="008F7A8E" w:rsidRDefault="00CB2E81" w:rsidP="006A406F">
            <w:pPr>
              <w:pStyle w:val="Tabletext"/>
            </w:pPr>
            <w:r w:rsidRPr="008F7A8E">
              <w:t>TURBINATES, submucous resection of, unilateral (</w:t>
            </w:r>
            <w:proofErr w:type="spellStart"/>
            <w:r w:rsidRPr="008F7A8E">
              <w:t>Anaes</w:t>
            </w:r>
            <w:proofErr w:type="spellEnd"/>
            <w:r w:rsidRPr="008F7A8E">
              <w:t xml:space="preserve">.) </w:t>
            </w:r>
          </w:p>
        </w:tc>
        <w:tc>
          <w:tcPr>
            <w:tcW w:w="1530" w:type="dxa"/>
          </w:tcPr>
          <w:p w14:paraId="6B7114FA" w14:textId="77777777" w:rsidR="00CB2E81" w:rsidRPr="008F7A8E" w:rsidRDefault="002D460B" w:rsidP="00D10A52">
            <w:pPr>
              <w:pStyle w:val="Tabletext"/>
              <w:rPr>
                <w:color w:val="000000"/>
              </w:rPr>
            </w:pPr>
            <w:r w:rsidRPr="008F7A8E">
              <w:t>$178.05</w:t>
            </w:r>
          </w:p>
        </w:tc>
        <w:tc>
          <w:tcPr>
            <w:tcW w:w="1530" w:type="dxa"/>
          </w:tcPr>
          <w:p w14:paraId="6C3EB0FB" w14:textId="77777777" w:rsidR="00CB2E81" w:rsidRPr="008F7A8E" w:rsidRDefault="002D460B" w:rsidP="00D10A52">
            <w:pPr>
              <w:pStyle w:val="Tabletext"/>
              <w:rPr>
                <w:color w:val="000000"/>
              </w:rPr>
            </w:pPr>
            <w:r w:rsidRPr="008F7A8E">
              <w:t>75% = $133.55</w:t>
            </w:r>
          </w:p>
        </w:tc>
      </w:tr>
      <w:tr w:rsidR="00CB2E81" w:rsidRPr="008F7A8E" w14:paraId="0A30B16A" w14:textId="77777777" w:rsidTr="00DC4144">
        <w:tc>
          <w:tcPr>
            <w:tcW w:w="1053" w:type="dxa"/>
            <w:shd w:val="clear" w:color="auto" w:fill="auto"/>
          </w:tcPr>
          <w:p w14:paraId="11CA452F" w14:textId="77777777" w:rsidR="00CB2E81" w:rsidRPr="00DC4144" w:rsidRDefault="00CB2E81" w:rsidP="00D10A52">
            <w:pPr>
              <w:pStyle w:val="Tabletext"/>
              <w:rPr>
                <w:b/>
              </w:rPr>
            </w:pPr>
            <w:r w:rsidRPr="00DC4144">
              <w:rPr>
                <w:b/>
              </w:rPr>
              <w:t>41695</w:t>
            </w:r>
          </w:p>
        </w:tc>
        <w:tc>
          <w:tcPr>
            <w:tcW w:w="4947" w:type="dxa"/>
            <w:shd w:val="clear" w:color="auto" w:fill="auto"/>
          </w:tcPr>
          <w:p w14:paraId="17CCE150" w14:textId="77777777" w:rsidR="00CB2E81" w:rsidRPr="008F7A8E" w:rsidRDefault="00CB2E81" w:rsidP="006A406F">
            <w:pPr>
              <w:pStyle w:val="Tabletext"/>
            </w:pPr>
            <w:r w:rsidRPr="008F7A8E">
              <w:t>TURBINATES, cryotherapy to (</w:t>
            </w:r>
            <w:proofErr w:type="spellStart"/>
            <w:r w:rsidRPr="008F7A8E">
              <w:t>Anaes</w:t>
            </w:r>
            <w:proofErr w:type="spellEnd"/>
            <w:r w:rsidRPr="008F7A8E">
              <w:t xml:space="preserve">.) </w:t>
            </w:r>
          </w:p>
        </w:tc>
        <w:tc>
          <w:tcPr>
            <w:tcW w:w="1530" w:type="dxa"/>
          </w:tcPr>
          <w:p w14:paraId="29EC673F" w14:textId="77777777" w:rsidR="00CB2E81" w:rsidRPr="008F7A8E" w:rsidRDefault="002D460B" w:rsidP="00D10A52">
            <w:pPr>
              <w:pStyle w:val="Tabletext"/>
              <w:rPr>
                <w:color w:val="000000"/>
              </w:rPr>
            </w:pPr>
            <w:r w:rsidRPr="008F7A8E">
              <w:t>$100.00</w:t>
            </w:r>
          </w:p>
        </w:tc>
        <w:tc>
          <w:tcPr>
            <w:tcW w:w="1530" w:type="dxa"/>
          </w:tcPr>
          <w:p w14:paraId="6D41A3AA" w14:textId="77777777" w:rsidR="00CB2E81" w:rsidRPr="008F7A8E" w:rsidRDefault="002D460B" w:rsidP="00D10A52">
            <w:pPr>
              <w:pStyle w:val="Tabletext"/>
              <w:rPr>
                <w:color w:val="000000"/>
              </w:rPr>
            </w:pPr>
            <w:r w:rsidRPr="008F7A8E">
              <w:t>75% = $75.00</w:t>
            </w:r>
            <w:r>
              <w:t xml:space="preserve">; </w:t>
            </w:r>
            <w:r w:rsidRPr="008F7A8E">
              <w:t>85% = $85.00</w:t>
            </w:r>
          </w:p>
        </w:tc>
      </w:tr>
      <w:tr w:rsidR="00CB2E81" w:rsidRPr="008F7A8E" w14:paraId="049ED9B5" w14:textId="77777777" w:rsidTr="00DC4144">
        <w:tc>
          <w:tcPr>
            <w:tcW w:w="1053" w:type="dxa"/>
            <w:shd w:val="clear" w:color="auto" w:fill="auto"/>
          </w:tcPr>
          <w:p w14:paraId="0912DE57" w14:textId="77777777" w:rsidR="00CB2E81" w:rsidRPr="00DC4144" w:rsidRDefault="00CB2E81" w:rsidP="00D10A52">
            <w:pPr>
              <w:pStyle w:val="Tabletext"/>
              <w:rPr>
                <w:b/>
              </w:rPr>
            </w:pPr>
            <w:r w:rsidRPr="00DC4144">
              <w:rPr>
                <w:b/>
              </w:rPr>
              <w:t>41698</w:t>
            </w:r>
          </w:p>
        </w:tc>
        <w:tc>
          <w:tcPr>
            <w:tcW w:w="4947" w:type="dxa"/>
            <w:shd w:val="clear" w:color="auto" w:fill="auto"/>
          </w:tcPr>
          <w:p w14:paraId="33E8773D" w14:textId="77777777" w:rsidR="00CB2E81" w:rsidRPr="008F7A8E" w:rsidRDefault="00CB2E81" w:rsidP="006A406F">
            <w:pPr>
              <w:pStyle w:val="Tabletext"/>
            </w:pPr>
            <w:r w:rsidRPr="008F7A8E">
              <w:t>MAXILLARY ANTRUM, PROOF PUNCTURE AND LAVAGE OF (</w:t>
            </w:r>
            <w:proofErr w:type="spellStart"/>
            <w:r w:rsidRPr="008F7A8E">
              <w:t>Anaes</w:t>
            </w:r>
            <w:proofErr w:type="spellEnd"/>
            <w:r w:rsidRPr="008F7A8E">
              <w:t xml:space="preserve">.) </w:t>
            </w:r>
          </w:p>
        </w:tc>
        <w:tc>
          <w:tcPr>
            <w:tcW w:w="1530" w:type="dxa"/>
          </w:tcPr>
          <w:p w14:paraId="78332B82" w14:textId="77777777" w:rsidR="00CB2E81" w:rsidRPr="008F7A8E" w:rsidRDefault="002D460B" w:rsidP="00D10A52">
            <w:pPr>
              <w:pStyle w:val="Tabletext"/>
              <w:rPr>
                <w:color w:val="000000"/>
              </w:rPr>
            </w:pPr>
            <w:r w:rsidRPr="008F7A8E">
              <w:t>$32.55</w:t>
            </w:r>
          </w:p>
        </w:tc>
        <w:tc>
          <w:tcPr>
            <w:tcW w:w="1530" w:type="dxa"/>
          </w:tcPr>
          <w:p w14:paraId="5E191DF3" w14:textId="77777777" w:rsidR="00CB2E81" w:rsidRPr="008F7A8E" w:rsidRDefault="002D460B" w:rsidP="00D10A52">
            <w:pPr>
              <w:pStyle w:val="Tabletext"/>
              <w:rPr>
                <w:color w:val="000000"/>
              </w:rPr>
            </w:pPr>
            <w:r w:rsidRPr="008F7A8E">
              <w:t>75% = $24.45</w:t>
            </w:r>
            <w:r>
              <w:t xml:space="preserve">; </w:t>
            </w:r>
            <w:r w:rsidRPr="008F7A8E">
              <w:t>85% = $27.70</w:t>
            </w:r>
          </w:p>
        </w:tc>
      </w:tr>
      <w:tr w:rsidR="00CB2E81" w:rsidRPr="008F7A8E" w14:paraId="4E81CA0F" w14:textId="77777777" w:rsidTr="00DC4144">
        <w:tc>
          <w:tcPr>
            <w:tcW w:w="1053" w:type="dxa"/>
            <w:shd w:val="clear" w:color="auto" w:fill="auto"/>
          </w:tcPr>
          <w:p w14:paraId="5D12B3D8" w14:textId="77777777" w:rsidR="00CB2E81" w:rsidRPr="00DC4144" w:rsidRDefault="00CB2E81" w:rsidP="00D10A52">
            <w:pPr>
              <w:pStyle w:val="Tabletext"/>
              <w:rPr>
                <w:b/>
              </w:rPr>
            </w:pPr>
            <w:r w:rsidRPr="00DC4144">
              <w:rPr>
                <w:b/>
              </w:rPr>
              <w:t>41701</w:t>
            </w:r>
          </w:p>
        </w:tc>
        <w:tc>
          <w:tcPr>
            <w:tcW w:w="4947" w:type="dxa"/>
            <w:shd w:val="clear" w:color="auto" w:fill="auto"/>
          </w:tcPr>
          <w:p w14:paraId="318A3D10" w14:textId="77777777" w:rsidR="00CB2E81" w:rsidRPr="008F7A8E" w:rsidRDefault="00CB2E81" w:rsidP="006A406F">
            <w:pPr>
              <w:pStyle w:val="Tabletext"/>
            </w:pPr>
            <w:r w:rsidRPr="008F7A8E">
              <w:t>MAXILLARY ANTRUM, proof puncture and lavage of, under general anaesthesia (requiring admission to hospital) not being a service associated with a service to which another item in this Group applies (</w:t>
            </w:r>
            <w:proofErr w:type="spellStart"/>
            <w:r w:rsidRPr="008F7A8E">
              <w:t>Anaes</w:t>
            </w:r>
            <w:proofErr w:type="spellEnd"/>
            <w:r w:rsidRPr="008F7A8E">
              <w:t xml:space="preserve">.) </w:t>
            </w:r>
          </w:p>
        </w:tc>
        <w:tc>
          <w:tcPr>
            <w:tcW w:w="1530" w:type="dxa"/>
          </w:tcPr>
          <w:p w14:paraId="1F554F41" w14:textId="77777777" w:rsidR="00CB2E81" w:rsidRPr="008F7A8E" w:rsidRDefault="002D460B" w:rsidP="00D10A52">
            <w:pPr>
              <w:pStyle w:val="Tabletext"/>
              <w:rPr>
                <w:color w:val="000000"/>
              </w:rPr>
            </w:pPr>
            <w:r w:rsidRPr="008F7A8E">
              <w:t>$91.90</w:t>
            </w:r>
          </w:p>
        </w:tc>
        <w:tc>
          <w:tcPr>
            <w:tcW w:w="1530" w:type="dxa"/>
          </w:tcPr>
          <w:p w14:paraId="26CE2C2F" w14:textId="77777777" w:rsidR="00CB2E81" w:rsidRPr="008F7A8E" w:rsidRDefault="002D460B" w:rsidP="00D10A52">
            <w:pPr>
              <w:pStyle w:val="Tabletext"/>
              <w:rPr>
                <w:color w:val="000000"/>
              </w:rPr>
            </w:pPr>
            <w:r w:rsidRPr="008F7A8E">
              <w:t>75% = $68.95</w:t>
            </w:r>
          </w:p>
        </w:tc>
      </w:tr>
      <w:tr w:rsidR="00CB2E81" w:rsidRPr="008F7A8E" w14:paraId="73FB4F2C" w14:textId="77777777" w:rsidTr="00DC4144">
        <w:tc>
          <w:tcPr>
            <w:tcW w:w="1053" w:type="dxa"/>
            <w:shd w:val="clear" w:color="auto" w:fill="auto"/>
          </w:tcPr>
          <w:p w14:paraId="64318A1F" w14:textId="77777777" w:rsidR="00CB2E81" w:rsidRPr="00DC4144" w:rsidRDefault="00CB2E81" w:rsidP="00D10A52">
            <w:pPr>
              <w:pStyle w:val="Tabletext"/>
              <w:rPr>
                <w:b/>
              </w:rPr>
            </w:pPr>
            <w:r w:rsidRPr="00DC4144">
              <w:rPr>
                <w:b/>
              </w:rPr>
              <w:t>41704</w:t>
            </w:r>
          </w:p>
        </w:tc>
        <w:tc>
          <w:tcPr>
            <w:tcW w:w="4947" w:type="dxa"/>
            <w:shd w:val="clear" w:color="auto" w:fill="auto"/>
          </w:tcPr>
          <w:p w14:paraId="5B8CBDF2" w14:textId="77777777" w:rsidR="00CB2E81" w:rsidRPr="008F7A8E" w:rsidRDefault="00CB2E81" w:rsidP="006A406F">
            <w:pPr>
              <w:pStyle w:val="Tabletext"/>
            </w:pPr>
            <w:r w:rsidRPr="008F7A8E">
              <w:t>MAXILLARY ANTRUM, LAVAGE OF each attendance at which the procedure is performed, including any associated consultation (</w:t>
            </w:r>
            <w:proofErr w:type="spellStart"/>
            <w:r w:rsidRPr="008F7A8E">
              <w:t>Anaes</w:t>
            </w:r>
            <w:proofErr w:type="spellEnd"/>
            <w:r w:rsidRPr="008F7A8E">
              <w:t xml:space="preserve">.) </w:t>
            </w:r>
          </w:p>
        </w:tc>
        <w:tc>
          <w:tcPr>
            <w:tcW w:w="1530" w:type="dxa"/>
          </w:tcPr>
          <w:p w14:paraId="415FE254" w14:textId="77777777" w:rsidR="00CB2E81" w:rsidRPr="008F7A8E" w:rsidRDefault="002D460B" w:rsidP="00D10A52">
            <w:pPr>
              <w:pStyle w:val="Tabletext"/>
              <w:rPr>
                <w:color w:val="000000"/>
              </w:rPr>
            </w:pPr>
            <w:r w:rsidRPr="008F7A8E">
              <w:t>$36.30</w:t>
            </w:r>
          </w:p>
        </w:tc>
        <w:tc>
          <w:tcPr>
            <w:tcW w:w="1530" w:type="dxa"/>
          </w:tcPr>
          <w:p w14:paraId="167A7C32" w14:textId="77777777" w:rsidR="00CB2E81" w:rsidRPr="008F7A8E" w:rsidRDefault="002D460B" w:rsidP="00D10A52">
            <w:pPr>
              <w:pStyle w:val="Tabletext"/>
              <w:rPr>
                <w:color w:val="000000"/>
              </w:rPr>
            </w:pPr>
            <w:r w:rsidRPr="008F7A8E">
              <w:t>75% = $27.25</w:t>
            </w:r>
            <w:r>
              <w:t xml:space="preserve">; </w:t>
            </w:r>
            <w:r w:rsidRPr="008F7A8E">
              <w:t>85% = $30.90</w:t>
            </w:r>
          </w:p>
        </w:tc>
      </w:tr>
      <w:tr w:rsidR="00CB2E81" w:rsidRPr="008F7A8E" w14:paraId="75299DF0" w14:textId="77777777" w:rsidTr="00DC4144">
        <w:tc>
          <w:tcPr>
            <w:tcW w:w="1053" w:type="dxa"/>
            <w:shd w:val="clear" w:color="auto" w:fill="auto"/>
          </w:tcPr>
          <w:p w14:paraId="0B192FFE" w14:textId="77777777" w:rsidR="00CB2E81" w:rsidRPr="00DC4144" w:rsidRDefault="00CB2E81" w:rsidP="00D10A52">
            <w:pPr>
              <w:pStyle w:val="Tabletext"/>
              <w:rPr>
                <w:b/>
              </w:rPr>
            </w:pPr>
            <w:r w:rsidRPr="00DC4144">
              <w:rPr>
                <w:b/>
              </w:rPr>
              <w:t>41707</w:t>
            </w:r>
          </w:p>
        </w:tc>
        <w:tc>
          <w:tcPr>
            <w:tcW w:w="4947" w:type="dxa"/>
            <w:shd w:val="clear" w:color="auto" w:fill="auto"/>
          </w:tcPr>
          <w:p w14:paraId="6052D10E" w14:textId="77777777" w:rsidR="00CB2E81" w:rsidRPr="008F7A8E" w:rsidRDefault="00CB2E81" w:rsidP="006A406F">
            <w:pPr>
              <w:pStyle w:val="Tabletext"/>
            </w:pPr>
            <w:r w:rsidRPr="008F7A8E">
              <w:t xml:space="preserve">MAXILLARY ARTERY, </w:t>
            </w:r>
            <w:proofErr w:type="spellStart"/>
            <w:r w:rsidRPr="008F7A8E">
              <w:t>transantral</w:t>
            </w:r>
            <w:proofErr w:type="spellEnd"/>
            <w:r w:rsidRPr="008F7A8E">
              <w:t xml:space="preserve"> ligation of (</w:t>
            </w:r>
            <w:proofErr w:type="spellStart"/>
            <w:r w:rsidRPr="008F7A8E">
              <w:t>Anaes</w:t>
            </w:r>
            <w:proofErr w:type="spellEnd"/>
            <w:r w:rsidRPr="008F7A8E">
              <w:t xml:space="preserve">.) (Assist.) </w:t>
            </w:r>
          </w:p>
        </w:tc>
        <w:tc>
          <w:tcPr>
            <w:tcW w:w="1530" w:type="dxa"/>
          </w:tcPr>
          <w:p w14:paraId="642ADF40" w14:textId="77777777" w:rsidR="00CB2E81" w:rsidRPr="008F7A8E" w:rsidRDefault="002D460B" w:rsidP="00D10A52">
            <w:pPr>
              <w:pStyle w:val="Tabletext"/>
              <w:rPr>
                <w:color w:val="000000"/>
              </w:rPr>
            </w:pPr>
            <w:r w:rsidRPr="008F7A8E">
              <w:t>$448.55</w:t>
            </w:r>
          </w:p>
        </w:tc>
        <w:tc>
          <w:tcPr>
            <w:tcW w:w="1530" w:type="dxa"/>
          </w:tcPr>
          <w:p w14:paraId="5BC379EF" w14:textId="77777777" w:rsidR="00CB2E81" w:rsidRPr="008F7A8E" w:rsidRDefault="002D460B" w:rsidP="00D10A52">
            <w:pPr>
              <w:pStyle w:val="Tabletext"/>
              <w:rPr>
                <w:color w:val="000000"/>
              </w:rPr>
            </w:pPr>
            <w:r w:rsidRPr="008F7A8E">
              <w:t>75% = $336.45</w:t>
            </w:r>
          </w:p>
        </w:tc>
      </w:tr>
      <w:tr w:rsidR="00CB2E81" w:rsidRPr="008F7A8E" w14:paraId="17CDEABF" w14:textId="77777777" w:rsidTr="00DC4144">
        <w:tc>
          <w:tcPr>
            <w:tcW w:w="1053" w:type="dxa"/>
            <w:shd w:val="clear" w:color="auto" w:fill="auto"/>
          </w:tcPr>
          <w:p w14:paraId="589CF167" w14:textId="77777777" w:rsidR="00CB2E81" w:rsidRPr="00DC4144" w:rsidRDefault="00CB2E81" w:rsidP="00D10A52">
            <w:pPr>
              <w:pStyle w:val="Tabletext"/>
              <w:rPr>
                <w:b/>
              </w:rPr>
            </w:pPr>
            <w:r w:rsidRPr="00DC4144">
              <w:rPr>
                <w:b/>
              </w:rPr>
              <w:t>41710</w:t>
            </w:r>
          </w:p>
        </w:tc>
        <w:tc>
          <w:tcPr>
            <w:tcW w:w="4947" w:type="dxa"/>
            <w:shd w:val="clear" w:color="auto" w:fill="auto"/>
          </w:tcPr>
          <w:p w14:paraId="17E5E7F1" w14:textId="77777777" w:rsidR="00CB2E81" w:rsidRPr="008F7A8E" w:rsidRDefault="00CB2E81" w:rsidP="006A406F">
            <w:pPr>
              <w:pStyle w:val="Tabletext"/>
            </w:pPr>
            <w:r w:rsidRPr="008F7A8E">
              <w:t>ANTROSTOMY (RADICAL) (</w:t>
            </w:r>
            <w:proofErr w:type="spellStart"/>
            <w:r w:rsidRPr="008F7A8E">
              <w:t>Anaes</w:t>
            </w:r>
            <w:proofErr w:type="spellEnd"/>
            <w:r w:rsidRPr="008F7A8E">
              <w:t xml:space="preserve">.) (Assist.) </w:t>
            </w:r>
          </w:p>
        </w:tc>
        <w:tc>
          <w:tcPr>
            <w:tcW w:w="1530" w:type="dxa"/>
          </w:tcPr>
          <w:p w14:paraId="69FFD520" w14:textId="77777777" w:rsidR="00CB2E81" w:rsidRPr="008F7A8E" w:rsidRDefault="002D460B" w:rsidP="00D10A52">
            <w:pPr>
              <w:pStyle w:val="Tabletext"/>
              <w:rPr>
                <w:color w:val="000000"/>
              </w:rPr>
            </w:pPr>
            <w:r w:rsidRPr="008F7A8E">
              <w:t>$521.25</w:t>
            </w:r>
          </w:p>
        </w:tc>
        <w:tc>
          <w:tcPr>
            <w:tcW w:w="1530" w:type="dxa"/>
          </w:tcPr>
          <w:p w14:paraId="16A01EE5" w14:textId="77777777" w:rsidR="00CB2E81" w:rsidRPr="008F7A8E" w:rsidRDefault="002D460B" w:rsidP="00D10A52">
            <w:pPr>
              <w:pStyle w:val="Tabletext"/>
              <w:rPr>
                <w:color w:val="000000"/>
              </w:rPr>
            </w:pPr>
            <w:r w:rsidRPr="008F7A8E">
              <w:t>75% = $390.95</w:t>
            </w:r>
          </w:p>
        </w:tc>
      </w:tr>
      <w:tr w:rsidR="00CB2E81" w:rsidRPr="008F7A8E" w14:paraId="52F40C38" w14:textId="77777777" w:rsidTr="00DC4144">
        <w:tc>
          <w:tcPr>
            <w:tcW w:w="1053" w:type="dxa"/>
            <w:shd w:val="clear" w:color="auto" w:fill="auto"/>
          </w:tcPr>
          <w:p w14:paraId="51B353AA" w14:textId="77777777" w:rsidR="00CB2E81" w:rsidRPr="00DC4144" w:rsidRDefault="00CB2E81" w:rsidP="00D10A52">
            <w:pPr>
              <w:pStyle w:val="Tabletext"/>
              <w:rPr>
                <w:b/>
              </w:rPr>
            </w:pPr>
            <w:r w:rsidRPr="00DC4144">
              <w:rPr>
                <w:b/>
              </w:rPr>
              <w:t>41713</w:t>
            </w:r>
          </w:p>
        </w:tc>
        <w:tc>
          <w:tcPr>
            <w:tcW w:w="4947" w:type="dxa"/>
            <w:shd w:val="clear" w:color="auto" w:fill="auto"/>
          </w:tcPr>
          <w:p w14:paraId="679D7606" w14:textId="77777777" w:rsidR="00CB2E81" w:rsidRPr="008F7A8E" w:rsidRDefault="00CB2E81" w:rsidP="006A406F">
            <w:pPr>
              <w:pStyle w:val="Tabletext"/>
            </w:pPr>
            <w:r w:rsidRPr="008F7A8E">
              <w:t xml:space="preserve">ANTROSTOMY (RADICAL) with </w:t>
            </w:r>
            <w:proofErr w:type="spellStart"/>
            <w:r w:rsidRPr="008F7A8E">
              <w:t>transantral</w:t>
            </w:r>
            <w:proofErr w:type="spellEnd"/>
            <w:r w:rsidRPr="008F7A8E">
              <w:t xml:space="preserve"> ethmoidectomy or </w:t>
            </w:r>
            <w:proofErr w:type="spellStart"/>
            <w:r w:rsidRPr="008F7A8E">
              <w:t>transantral</w:t>
            </w:r>
            <w:proofErr w:type="spellEnd"/>
            <w:r w:rsidRPr="008F7A8E">
              <w:t xml:space="preserve"> </w:t>
            </w:r>
            <w:proofErr w:type="spellStart"/>
            <w:r w:rsidRPr="008F7A8E">
              <w:t>vidian</w:t>
            </w:r>
            <w:proofErr w:type="spellEnd"/>
            <w:r w:rsidRPr="008F7A8E">
              <w:t xml:space="preserve"> neurectomy (</w:t>
            </w:r>
            <w:proofErr w:type="spellStart"/>
            <w:r w:rsidRPr="008F7A8E">
              <w:t>Anaes</w:t>
            </w:r>
            <w:proofErr w:type="spellEnd"/>
            <w:r w:rsidRPr="008F7A8E">
              <w:t xml:space="preserve">.) (Assist.) </w:t>
            </w:r>
          </w:p>
        </w:tc>
        <w:tc>
          <w:tcPr>
            <w:tcW w:w="1530" w:type="dxa"/>
          </w:tcPr>
          <w:p w14:paraId="1EC5B925" w14:textId="77777777" w:rsidR="00CB2E81" w:rsidRPr="008F7A8E" w:rsidRDefault="002D460B" w:rsidP="00D10A52">
            <w:pPr>
              <w:pStyle w:val="Tabletext"/>
              <w:rPr>
                <w:color w:val="000000"/>
              </w:rPr>
            </w:pPr>
            <w:r w:rsidRPr="008F7A8E">
              <w:t>$606.50</w:t>
            </w:r>
          </w:p>
        </w:tc>
        <w:tc>
          <w:tcPr>
            <w:tcW w:w="1530" w:type="dxa"/>
          </w:tcPr>
          <w:p w14:paraId="225C88AD" w14:textId="77777777" w:rsidR="00CB2E81" w:rsidRPr="008F7A8E" w:rsidRDefault="002D460B" w:rsidP="00D10A52">
            <w:pPr>
              <w:pStyle w:val="Tabletext"/>
              <w:rPr>
                <w:color w:val="000000"/>
              </w:rPr>
            </w:pPr>
            <w:r w:rsidRPr="008F7A8E">
              <w:t>75% = $454.90</w:t>
            </w:r>
          </w:p>
        </w:tc>
      </w:tr>
      <w:tr w:rsidR="00CB2E81" w:rsidRPr="008F7A8E" w14:paraId="3DDA9EDF" w14:textId="77777777" w:rsidTr="00DC4144">
        <w:tc>
          <w:tcPr>
            <w:tcW w:w="1053" w:type="dxa"/>
            <w:shd w:val="clear" w:color="auto" w:fill="auto"/>
          </w:tcPr>
          <w:p w14:paraId="7785A319" w14:textId="77777777" w:rsidR="00CB2E81" w:rsidRPr="00DC4144" w:rsidRDefault="00CB2E81" w:rsidP="00D10A52">
            <w:pPr>
              <w:pStyle w:val="Tabletext"/>
              <w:rPr>
                <w:b/>
              </w:rPr>
            </w:pPr>
            <w:r w:rsidRPr="00DC4144">
              <w:rPr>
                <w:b/>
              </w:rPr>
              <w:t>41716</w:t>
            </w:r>
          </w:p>
        </w:tc>
        <w:tc>
          <w:tcPr>
            <w:tcW w:w="4947" w:type="dxa"/>
            <w:shd w:val="clear" w:color="auto" w:fill="auto"/>
          </w:tcPr>
          <w:p w14:paraId="5CCEDF5B" w14:textId="77777777" w:rsidR="00CB2E81" w:rsidRPr="008F7A8E" w:rsidRDefault="00CB2E81" w:rsidP="006A406F">
            <w:pPr>
              <w:pStyle w:val="Tabletext"/>
            </w:pPr>
            <w:r w:rsidRPr="008F7A8E">
              <w:t>ANTRUM, intranasal operation on, or removal of foreign body from (</w:t>
            </w:r>
            <w:proofErr w:type="spellStart"/>
            <w:r w:rsidRPr="008F7A8E">
              <w:t>Anaes</w:t>
            </w:r>
            <w:proofErr w:type="spellEnd"/>
            <w:r w:rsidRPr="008F7A8E">
              <w:t xml:space="preserve">.) (Assist.) </w:t>
            </w:r>
          </w:p>
        </w:tc>
        <w:tc>
          <w:tcPr>
            <w:tcW w:w="1530" w:type="dxa"/>
          </w:tcPr>
          <w:p w14:paraId="075B87D8" w14:textId="77777777" w:rsidR="00CB2E81" w:rsidRPr="008F7A8E" w:rsidRDefault="002D460B" w:rsidP="00D10A52">
            <w:pPr>
              <w:pStyle w:val="Tabletext"/>
              <w:rPr>
                <w:color w:val="000000"/>
              </w:rPr>
            </w:pPr>
            <w:r w:rsidRPr="008F7A8E">
              <w:t>$295.70</w:t>
            </w:r>
          </w:p>
        </w:tc>
        <w:tc>
          <w:tcPr>
            <w:tcW w:w="1530" w:type="dxa"/>
          </w:tcPr>
          <w:p w14:paraId="5D771E84" w14:textId="77777777" w:rsidR="00CB2E81" w:rsidRPr="008F7A8E" w:rsidRDefault="002D460B" w:rsidP="00D10A52">
            <w:pPr>
              <w:pStyle w:val="Tabletext"/>
              <w:rPr>
                <w:color w:val="000000"/>
              </w:rPr>
            </w:pPr>
            <w:r w:rsidRPr="008F7A8E">
              <w:t>75% = $221.80</w:t>
            </w:r>
          </w:p>
        </w:tc>
      </w:tr>
      <w:tr w:rsidR="00CB2E81" w:rsidRPr="008F7A8E" w14:paraId="0E673F20" w14:textId="77777777" w:rsidTr="00DC4144">
        <w:tc>
          <w:tcPr>
            <w:tcW w:w="1053" w:type="dxa"/>
            <w:shd w:val="clear" w:color="auto" w:fill="auto"/>
          </w:tcPr>
          <w:p w14:paraId="070DA097" w14:textId="77777777" w:rsidR="00CB2E81" w:rsidRPr="00DC4144" w:rsidRDefault="00CB2E81" w:rsidP="00D10A52">
            <w:pPr>
              <w:pStyle w:val="Tabletext"/>
              <w:rPr>
                <w:b/>
              </w:rPr>
            </w:pPr>
            <w:r w:rsidRPr="00DC4144">
              <w:rPr>
                <w:b/>
              </w:rPr>
              <w:t>41719</w:t>
            </w:r>
          </w:p>
        </w:tc>
        <w:tc>
          <w:tcPr>
            <w:tcW w:w="4947" w:type="dxa"/>
            <w:shd w:val="clear" w:color="auto" w:fill="auto"/>
          </w:tcPr>
          <w:p w14:paraId="30D67096" w14:textId="77777777" w:rsidR="00CB2E81" w:rsidRPr="008F7A8E" w:rsidRDefault="00CB2E81" w:rsidP="006A406F">
            <w:pPr>
              <w:pStyle w:val="Tabletext"/>
            </w:pPr>
            <w:r w:rsidRPr="008F7A8E">
              <w:t>ANTRUM, drainage of, through tooth socket (</w:t>
            </w:r>
            <w:proofErr w:type="spellStart"/>
            <w:r w:rsidRPr="008F7A8E">
              <w:t>Anaes</w:t>
            </w:r>
            <w:proofErr w:type="spellEnd"/>
            <w:r w:rsidRPr="008F7A8E">
              <w:t xml:space="preserve">.) </w:t>
            </w:r>
          </w:p>
        </w:tc>
        <w:tc>
          <w:tcPr>
            <w:tcW w:w="1530" w:type="dxa"/>
          </w:tcPr>
          <w:p w14:paraId="2DA9F905" w14:textId="77777777" w:rsidR="00CB2E81" w:rsidRPr="008F7A8E" w:rsidRDefault="002D460B" w:rsidP="00D10A52">
            <w:pPr>
              <w:pStyle w:val="Tabletext"/>
              <w:rPr>
                <w:color w:val="000000"/>
              </w:rPr>
            </w:pPr>
            <w:r w:rsidRPr="008F7A8E">
              <w:t>$117.55</w:t>
            </w:r>
          </w:p>
        </w:tc>
        <w:tc>
          <w:tcPr>
            <w:tcW w:w="1530" w:type="dxa"/>
          </w:tcPr>
          <w:p w14:paraId="6CC2F614" w14:textId="77777777" w:rsidR="00CB2E81" w:rsidRPr="008F7A8E" w:rsidRDefault="002D460B" w:rsidP="00D10A52">
            <w:pPr>
              <w:pStyle w:val="Tabletext"/>
              <w:rPr>
                <w:color w:val="000000"/>
              </w:rPr>
            </w:pPr>
            <w:r w:rsidRPr="008F7A8E">
              <w:t>75% = $88.20</w:t>
            </w:r>
            <w:r>
              <w:t xml:space="preserve">; </w:t>
            </w:r>
            <w:r w:rsidRPr="008F7A8E">
              <w:t>85% = $99.95</w:t>
            </w:r>
          </w:p>
        </w:tc>
      </w:tr>
      <w:tr w:rsidR="00CB2E81" w:rsidRPr="008F7A8E" w14:paraId="1EBB72BB" w14:textId="77777777" w:rsidTr="00DC4144">
        <w:tc>
          <w:tcPr>
            <w:tcW w:w="1053" w:type="dxa"/>
            <w:shd w:val="clear" w:color="auto" w:fill="auto"/>
          </w:tcPr>
          <w:p w14:paraId="29ED6ACB" w14:textId="77777777" w:rsidR="00CB2E81" w:rsidRPr="00DC4144" w:rsidRDefault="00CB2E81" w:rsidP="00D10A52">
            <w:pPr>
              <w:pStyle w:val="Tabletext"/>
              <w:rPr>
                <w:b/>
              </w:rPr>
            </w:pPr>
            <w:r w:rsidRPr="00DC4144">
              <w:rPr>
                <w:b/>
              </w:rPr>
              <w:t>41722</w:t>
            </w:r>
          </w:p>
        </w:tc>
        <w:tc>
          <w:tcPr>
            <w:tcW w:w="4947" w:type="dxa"/>
            <w:shd w:val="clear" w:color="auto" w:fill="auto"/>
          </w:tcPr>
          <w:p w14:paraId="1426C21E" w14:textId="77777777" w:rsidR="00CB2E81" w:rsidRPr="008F7A8E" w:rsidRDefault="00CB2E81" w:rsidP="006A406F">
            <w:pPr>
              <w:pStyle w:val="Tabletext"/>
            </w:pPr>
            <w:r w:rsidRPr="008F7A8E">
              <w:t>OROANTRAL FISTULA, plastic closure of (</w:t>
            </w:r>
            <w:proofErr w:type="spellStart"/>
            <w:r w:rsidRPr="008F7A8E">
              <w:t>Anaes</w:t>
            </w:r>
            <w:proofErr w:type="spellEnd"/>
            <w:r w:rsidRPr="008F7A8E">
              <w:t xml:space="preserve">.) (Assist.) </w:t>
            </w:r>
          </w:p>
        </w:tc>
        <w:tc>
          <w:tcPr>
            <w:tcW w:w="1530" w:type="dxa"/>
          </w:tcPr>
          <w:p w14:paraId="2DF1C09B" w14:textId="77777777" w:rsidR="00CB2E81" w:rsidRPr="008F7A8E" w:rsidRDefault="002D460B" w:rsidP="00D10A52">
            <w:pPr>
              <w:pStyle w:val="Tabletext"/>
              <w:rPr>
                <w:color w:val="000000"/>
              </w:rPr>
            </w:pPr>
            <w:r w:rsidRPr="008F7A8E">
              <w:t>$587.60</w:t>
            </w:r>
          </w:p>
        </w:tc>
        <w:tc>
          <w:tcPr>
            <w:tcW w:w="1530" w:type="dxa"/>
          </w:tcPr>
          <w:p w14:paraId="2E76CDA1" w14:textId="77777777" w:rsidR="00CB2E81" w:rsidRPr="008F7A8E" w:rsidRDefault="002D460B" w:rsidP="00D10A52">
            <w:pPr>
              <w:pStyle w:val="Tabletext"/>
              <w:rPr>
                <w:color w:val="000000"/>
              </w:rPr>
            </w:pPr>
            <w:r w:rsidRPr="008F7A8E">
              <w:t>75% = $440.70</w:t>
            </w:r>
            <w:r>
              <w:t xml:space="preserve">; </w:t>
            </w:r>
            <w:r w:rsidRPr="008F7A8E">
              <w:t>85% = $509.20</w:t>
            </w:r>
          </w:p>
        </w:tc>
      </w:tr>
      <w:tr w:rsidR="00CB2E81" w:rsidRPr="008F7A8E" w14:paraId="6D7D5284" w14:textId="77777777" w:rsidTr="00DC4144">
        <w:tc>
          <w:tcPr>
            <w:tcW w:w="1053" w:type="dxa"/>
            <w:shd w:val="clear" w:color="auto" w:fill="auto"/>
          </w:tcPr>
          <w:p w14:paraId="182D303A" w14:textId="77777777" w:rsidR="00CB2E81" w:rsidRPr="00DC4144" w:rsidRDefault="00CB2E81" w:rsidP="00D10A52">
            <w:pPr>
              <w:pStyle w:val="Tabletext"/>
              <w:rPr>
                <w:b/>
              </w:rPr>
            </w:pPr>
            <w:r w:rsidRPr="00DC4144">
              <w:rPr>
                <w:b/>
              </w:rPr>
              <w:t>41725</w:t>
            </w:r>
          </w:p>
        </w:tc>
        <w:tc>
          <w:tcPr>
            <w:tcW w:w="4947" w:type="dxa"/>
            <w:shd w:val="clear" w:color="auto" w:fill="auto"/>
          </w:tcPr>
          <w:p w14:paraId="189FCEB4" w14:textId="77777777" w:rsidR="00CB2E81" w:rsidRPr="008F7A8E" w:rsidRDefault="00CB2E81" w:rsidP="006A406F">
            <w:pPr>
              <w:pStyle w:val="Tabletext"/>
            </w:pPr>
            <w:r w:rsidRPr="008F7A8E">
              <w:t>ETHMOIDAL ARTERY OR ARTERIES, transorbital ligation of (unilateral) (</w:t>
            </w:r>
            <w:proofErr w:type="spellStart"/>
            <w:r w:rsidRPr="008F7A8E">
              <w:t>Anaes</w:t>
            </w:r>
            <w:proofErr w:type="spellEnd"/>
            <w:r w:rsidRPr="008F7A8E">
              <w:t xml:space="preserve">.) (Assist.) </w:t>
            </w:r>
          </w:p>
        </w:tc>
        <w:tc>
          <w:tcPr>
            <w:tcW w:w="1530" w:type="dxa"/>
          </w:tcPr>
          <w:p w14:paraId="45C99A9E" w14:textId="77777777" w:rsidR="00CB2E81" w:rsidRPr="008F7A8E" w:rsidRDefault="002D460B" w:rsidP="00D10A52">
            <w:pPr>
              <w:pStyle w:val="Tabletext"/>
              <w:rPr>
                <w:color w:val="000000"/>
              </w:rPr>
            </w:pPr>
            <w:r w:rsidRPr="008F7A8E">
              <w:t>$448.55</w:t>
            </w:r>
          </w:p>
        </w:tc>
        <w:tc>
          <w:tcPr>
            <w:tcW w:w="1530" w:type="dxa"/>
          </w:tcPr>
          <w:p w14:paraId="623D8752" w14:textId="77777777" w:rsidR="00CB2E81" w:rsidRPr="008F7A8E" w:rsidRDefault="002D460B" w:rsidP="00D10A52">
            <w:pPr>
              <w:pStyle w:val="Tabletext"/>
              <w:rPr>
                <w:color w:val="000000"/>
              </w:rPr>
            </w:pPr>
            <w:r w:rsidRPr="008F7A8E">
              <w:t>75% = $336.45</w:t>
            </w:r>
          </w:p>
        </w:tc>
      </w:tr>
      <w:tr w:rsidR="00CB2E81" w:rsidRPr="008F7A8E" w14:paraId="23D92648" w14:textId="77777777" w:rsidTr="00DC4144">
        <w:tc>
          <w:tcPr>
            <w:tcW w:w="1053" w:type="dxa"/>
            <w:shd w:val="clear" w:color="auto" w:fill="auto"/>
          </w:tcPr>
          <w:p w14:paraId="7BD38A36" w14:textId="77777777" w:rsidR="00CB2E81" w:rsidRPr="00DC4144" w:rsidRDefault="00CB2E81" w:rsidP="00D10A52">
            <w:pPr>
              <w:pStyle w:val="Tabletext"/>
              <w:rPr>
                <w:b/>
              </w:rPr>
            </w:pPr>
            <w:r w:rsidRPr="00DC4144">
              <w:rPr>
                <w:b/>
              </w:rPr>
              <w:t>41728</w:t>
            </w:r>
          </w:p>
        </w:tc>
        <w:tc>
          <w:tcPr>
            <w:tcW w:w="4947" w:type="dxa"/>
            <w:shd w:val="clear" w:color="auto" w:fill="auto"/>
          </w:tcPr>
          <w:p w14:paraId="7D6A27FC" w14:textId="77777777" w:rsidR="00CB2E81" w:rsidRPr="008F7A8E" w:rsidRDefault="00CB2E81" w:rsidP="006A406F">
            <w:pPr>
              <w:pStyle w:val="Tabletext"/>
            </w:pPr>
            <w:r w:rsidRPr="008F7A8E">
              <w:t>LATERAL RHINOTOMY with removal of tumour (</w:t>
            </w:r>
            <w:proofErr w:type="spellStart"/>
            <w:r w:rsidRPr="008F7A8E">
              <w:t>Anaes</w:t>
            </w:r>
            <w:proofErr w:type="spellEnd"/>
            <w:r w:rsidRPr="008F7A8E">
              <w:t xml:space="preserve">.) (Assist.) </w:t>
            </w:r>
          </w:p>
        </w:tc>
        <w:tc>
          <w:tcPr>
            <w:tcW w:w="1530" w:type="dxa"/>
          </w:tcPr>
          <w:p w14:paraId="6C8CDDD0" w14:textId="77777777" w:rsidR="00CB2E81" w:rsidRPr="008F7A8E" w:rsidRDefault="002D460B" w:rsidP="00D10A52">
            <w:pPr>
              <w:pStyle w:val="Tabletext"/>
              <w:rPr>
                <w:color w:val="000000"/>
              </w:rPr>
            </w:pPr>
            <w:r w:rsidRPr="008F7A8E">
              <w:t>$897.30</w:t>
            </w:r>
          </w:p>
        </w:tc>
        <w:tc>
          <w:tcPr>
            <w:tcW w:w="1530" w:type="dxa"/>
          </w:tcPr>
          <w:p w14:paraId="73266AB9" w14:textId="77777777" w:rsidR="00CB2E81" w:rsidRPr="008F7A8E" w:rsidRDefault="002D460B" w:rsidP="00D10A52">
            <w:pPr>
              <w:pStyle w:val="Tabletext"/>
              <w:rPr>
                <w:color w:val="000000"/>
              </w:rPr>
            </w:pPr>
            <w:r w:rsidRPr="008F7A8E">
              <w:t>75% = $673.00</w:t>
            </w:r>
          </w:p>
        </w:tc>
      </w:tr>
      <w:tr w:rsidR="00CB2E81" w:rsidRPr="008F7A8E" w14:paraId="6572351D" w14:textId="77777777" w:rsidTr="00DC4144">
        <w:tc>
          <w:tcPr>
            <w:tcW w:w="1053" w:type="dxa"/>
            <w:shd w:val="clear" w:color="auto" w:fill="auto"/>
          </w:tcPr>
          <w:p w14:paraId="5C9E615C" w14:textId="77777777" w:rsidR="00CB2E81" w:rsidRPr="00DC4144" w:rsidRDefault="00CB2E81" w:rsidP="00D10A52">
            <w:pPr>
              <w:pStyle w:val="Tabletext"/>
              <w:rPr>
                <w:b/>
              </w:rPr>
            </w:pPr>
            <w:r w:rsidRPr="00DC4144">
              <w:rPr>
                <w:b/>
              </w:rPr>
              <w:lastRenderedPageBreak/>
              <w:t>41729</w:t>
            </w:r>
          </w:p>
        </w:tc>
        <w:tc>
          <w:tcPr>
            <w:tcW w:w="4947" w:type="dxa"/>
            <w:shd w:val="clear" w:color="auto" w:fill="auto"/>
          </w:tcPr>
          <w:p w14:paraId="4309F205" w14:textId="77777777" w:rsidR="00CB2E81" w:rsidRPr="008F7A8E" w:rsidRDefault="00CB2E81" w:rsidP="006A406F">
            <w:pPr>
              <w:pStyle w:val="Tabletext"/>
            </w:pPr>
            <w:r w:rsidRPr="008F7A8E">
              <w:t>DERMOID OF NOSE, excision of, with intranasal extension (</w:t>
            </w:r>
            <w:proofErr w:type="spellStart"/>
            <w:r w:rsidRPr="008F7A8E">
              <w:t>Anaes</w:t>
            </w:r>
            <w:proofErr w:type="spellEnd"/>
            <w:r w:rsidRPr="008F7A8E">
              <w:t xml:space="preserve">.) (Assist.) </w:t>
            </w:r>
          </w:p>
        </w:tc>
        <w:tc>
          <w:tcPr>
            <w:tcW w:w="1530" w:type="dxa"/>
          </w:tcPr>
          <w:p w14:paraId="6F967D5C" w14:textId="77777777" w:rsidR="00CB2E81" w:rsidRPr="008F7A8E" w:rsidRDefault="002D460B" w:rsidP="00D10A52">
            <w:pPr>
              <w:pStyle w:val="Tabletext"/>
              <w:rPr>
                <w:color w:val="000000"/>
              </w:rPr>
            </w:pPr>
            <w:r w:rsidRPr="008F7A8E">
              <w:t>$568.65</w:t>
            </w:r>
          </w:p>
        </w:tc>
        <w:tc>
          <w:tcPr>
            <w:tcW w:w="1530" w:type="dxa"/>
          </w:tcPr>
          <w:p w14:paraId="7B542090" w14:textId="77777777" w:rsidR="00CB2E81" w:rsidRPr="008F7A8E" w:rsidRDefault="002D460B" w:rsidP="00D10A52">
            <w:pPr>
              <w:pStyle w:val="Tabletext"/>
              <w:rPr>
                <w:color w:val="000000"/>
              </w:rPr>
            </w:pPr>
            <w:r w:rsidRPr="008F7A8E">
              <w:t>75% = $426.50</w:t>
            </w:r>
          </w:p>
        </w:tc>
      </w:tr>
      <w:tr w:rsidR="00CB2E81" w:rsidRPr="008F7A8E" w14:paraId="263288D3" w14:textId="77777777" w:rsidTr="00DC4144">
        <w:tc>
          <w:tcPr>
            <w:tcW w:w="1053" w:type="dxa"/>
            <w:shd w:val="clear" w:color="auto" w:fill="auto"/>
          </w:tcPr>
          <w:p w14:paraId="696C7CAA" w14:textId="77777777" w:rsidR="00CB2E81" w:rsidRPr="00DC4144" w:rsidRDefault="00CB2E81" w:rsidP="00D10A52">
            <w:pPr>
              <w:pStyle w:val="Tabletext"/>
              <w:rPr>
                <w:b/>
              </w:rPr>
            </w:pPr>
            <w:r w:rsidRPr="00DC4144">
              <w:rPr>
                <w:b/>
              </w:rPr>
              <w:t>41731</w:t>
            </w:r>
          </w:p>
        </w:tc>
        <w:tc>
          <w:tcPr>
            <w:tcW w:w="4947" w:type="dxa"/>
            <w:shd w:val="clear" w:color="auto" w:fill="auto"/>
          </w:tcPr>
          <w:p w14:paraId="01F76B84" w14:textId="77777777" w:rsidR="00CB2E81" w:rsidRPr="008F7A8E" w:rsidRDefault="00CB2E81" w:rsidP="006A406F">
            <w:pPr>
              <w:pStyle w:val="Tabletext"/>
            </w:pPr>
            <w:r w:rsidRPr="008F7A8E">
              <w:t xml:space="preserve">FRONTONASAL ETHMOIDECTOMY by external approach with or without </w:t>
            </w:r>
            <w:proofErr w:type="spellStart"/>
            <w:r w:rsidRPr="008F7A8E">
              <w:t>sphenoidectomy</w:t>
            </w:r>
            <w:proofErr w:type="spellEnd"/>
            <w:r w:rsidRPr="008F7A8E">
              <w:t xml:space="preserve"> (</w:t>
            </w:r>
            <w:proofErr w:type="spellStart"/>
            <w:r w:rsidRPr="008F7A8E">
              <w:t>Anaes</w:t>
            </w:r>
            <w:proofErr w:type="spellEnd"/>
            <w:r w:rsidRPr="008F7A8E">
              <w:t xml:space="preserve">.) (Assist.) </w:t>
            </w:r>
          </w:p>
        </w:tc>
        <w:tc>
          <w:tcPr>
            <w:tcW w:w="1530" w:type="dxa"/>
          </w:tcPr>
          <w:p w14:paraId="0BE44DB2" w14:textId="77777777" w:rsidR="00CB2E81" w:rsidRPr="008F7A8E" w:rsidRDefault="002D460B" w:rsidP="00D10A52">
            <w:pPr>
              <w:pStyle w:val="Tabletext"/>
              <w:rPr>
                <w:color w:val="000000"/>
              </w:rPr>
            </w:pPr>
            <w:r w:rsidRPr="008F7A8E">
              <w:t>$777.10</w:t>
            </w:r>
          </w:p>
        </w:tc>
        <w:tc>
          <w:tcPr>
            <w:tcW w:w="1530" w:type="dxa"/>
          </w:tcPr>
          <w:p w14:paraId="5085559F" w14:textId="77777777" w:rsidR="00CB2E81" w:rsidRPr="008F7A8E" w:rsidRDefault="002D460B" w:rsidP="00D10A52">
            <w:pPr>
              <w:pStyle w:val="Tabletext"/>
              <w:rPr>
                <w:color w:val="000000"/>
              </w:rPr>
            </w:pPr>
            <w:r w:rsidRPr="008F7A8E">
              <w:t>75% = $582.85</w:t>
            </w:r>
          </w:p>
        </w:tc>
      </w:tr>
      <w:tr w:rsidR="00CB2E81" w:rsidRPr="008F7A8E" w14:paraId="4F43D8A7" w14:textId="77777777" w:rsidTr="00DC4144">
        <w:tc>
          <w:tcPr>
            <w:tcW w:w="1053" w:type="dxa"/>
            <w:shd w:val="clear" w:color="auto" w:fill="auto"/>
          </w:tcPr>
          <w:p w14:paraId="7BB7C98F" w14:textId="77777777" w:rsidR="00CB2E81" w:rsidRPr="00DC4144" w:rsidRDefault="00CB2E81" w:rsidP="00D10A52">
            <w:pPr>
              <w:pStyle w:val="Tabletext"/>
              <w:rPr>
                <w:b/>
              </w:rPr>
            </w:pPr>
            <w:r w:rsidRPr="00DC4144">
              <w:rPr>
                <w:b/>
              </w:rPr>
              <w:t>41734</w:t>
            </w:r>
          </w:p>
        </w:tc>
        <w:tc>
          <w:tcPr>
            <w:tcW w:w="4947" w:type="dxa"/>
            <w:shd w:val="clear" w:color="auto" w:fill="auto"/>
          </w:tcPr>
          <w:p w14:paraId="54BC7B05" w14:textId="77777777" w:rsidR="00CB2E81" w:rsidRPr="008F7A8E" w:rsidRDefault="00CB2E81" w:rsidP="006A406F">
            <w:pPr>
              <w:pStyle w:val="Tabletext"/>
            </w:pPr>
            <w:r w:rsidRPr="008F7A8E">
              <w:t>RADICAL FRONTOETHMOIDECTOMY with osteoplastic flap (</w:t>
            </w:r>
            <w:proofErr w:type="spellStart"/>
            <w:r w:rsidRPr="008F7A8E">
              <w:t>Anaes</w:t>
            </w:r>
            <w:proofErr w:type="spellEnd"/>
            <w:r w:rsidRPr="008F7A8E">
              <w:t xml:space="preserve">.) (Assist.) </w:t>
            </w:r>
          </w:p>
        </w:tc>
        <w:tc>
          <w:tcPr>
            <w:tcW w:w="1530" w:type="dxa"/>
          </w:tcPr>
          <w:p w14:paraId="5DC84342" w14:textId="77777777" w:rsidR="00CB2E81" w:rsidRPr="008F7A8E" w:rsidRDefault="002D460B" w:rsidP="00D10A52">
            <w:pPr>
              <w:pStyle w:val="Tabletext"/>
              <w:rPr>
                <w:color w:val="000000"/>
              </w:rPr>
            </w:pPr>
            <w:r w:rsidRPr="008F7A8E">
              <w:t>$1,014.05</w:t>
            </w:r>
          </w:p>
        </w:tc>
        <w:tc>
          <w:tcPr>
            <w:tcW w:w="1530" w:type="dxa"/>
          </w:tcPr>
          <w:p w14:paraId="66C93003" w14:textId="77777777" w:rsidR="00CB2E81" w:rsidRPr="008F7A8E" w:rsidRDefault="002D460B" w:rsidP="00D10A52">
            <w:pPr>
              <w:pStyle w:val="Tabletext"/>
              <w:rPr>
                <w:color w:val="000000"/>
              </w:rPr>
            </w:pPr>
            <w:r w:rsidRPr="008F7A8E">
              <w:t>75% = $760.55</w:t>
            </w:r>
          </w:p>
        </w:tc>
      </w:tr>
      <w:tr w:rsidR="00CB2E81" w:rsidRPr="008F7A8E" w14:paraId="67A7C2C3" w14:textId="77777777" w:rsidTr="00DC4144">
        <w:tc>
          <w:tcPr>
            <w:tcW w:w="1053" w:type="dxa"/>
            <w:shd w:val="clear" w:color="auto" w:fill="auto"/>
          </w:tcPr>
          <w:p w14:paraId="78DB5847" w14:textId="77777777" w:rsidR="00CB2E81" w:rsidRPr="00DC4144" w:rsidRDefault="00CB2E81" w:rsidP="00D10A52">
            <w:pPr>
              <w:pStyle w:val="Tabletext"/>
              <w:rPr>
                <w:b/>
              </w:rPr>
            </w:pPr>
            <w:r w:rsidRPr="00DC4144">
              <w:rPr>
                <w:b/>
              </w:rPr>
              <w:t>41737</w:t>
            </w:r>
          </w:p>
        </w:tc>
        <w:tc>
          <w:tcPr>
            <w:tcW w:w="4947" w:type="dxa"/>
            <w:shd w:val="clear" w:color="auto" w:fill="auto"/>
          </w:tcPr>
          <w:p w14:paraId="11D6A54A" w14:textId="77777777" w:rsidR="00CB2E81" w:rsidRPr="008F7A8E" w:rsidRDefault="00CB2E81" w:rsidP="006A406F">
            <w:pPr>
              <w:pStyle w:val="Tabletext"/>
            </w:pPr>
            <w:r w:rsidRPr="008F7A8E">
              <w:t>FRONTAL SINUS, OR ETHMOIDAL SINUSES ON THE ONE SIDE, intranasal operation on (</w:t>
            </w:r>
            <w:proofErr w:type="spellStart"/>
            <w:r w:rsidRPr="008F7A8E">
              <w:t>Anaes</w:t>
            </w:r>
            <w:proofErr w:type="spellEnd"/>
            <w:r w:rsidRPr="008F7A8E">
              <w:t xml:space="preserve">.) (Assist.) </w:t>
            </w:r>
          </w:p>
        </w:tc>
        <w:tc>
          <w:tcPr>
            <w:tcW w:w="1530" w:type="dxa"/>
          </w:tcPr>
          <w:p w14:paraId="728FC758" w14:textId="77777777" w:rsidR="00CB2E81" w:rsidRPr="008F7A8E" w:rsidRDefault="002D460B" w:rsidP="00D10A52">
            <w:pPr>
              <w:pStyle w:val="Tabletext"/>
              <w:rPr>
                <w:color w:val="000000"/>
              </w:rPr>
            </w:pPr>
            <w:r w:rsidRPr="008F7A8E">
              <w:t>$483.25</w:t>
            </w:r>
          </w:p>
        </w:tc>
        <w:tc>
          <w:tcPr>
            <w:tcW w:w="1530" w:type="dxa"/>
          </w:tcPr>
          <w:p w14:paraId="10DF7568" w14:textId="77777777" w:rsidR="00CB2E81" w:rsidRPr="008F7A8E" w:rsidRDefault="002D460B" w:rsidP="00D10A52">
            <w:pPr>
              <w:pStyle w:val="Tabletext"/>
              <w:rPr>
                <w:color w:val="000000"/>
              </w:rPr>
            </w:pPr>
            <w:r w:rsidRPr="008F7A8E">
              <w:t>75% = $362.45</w:t>
            </w:r>
          </w:p>
        </w:tc>
      </w:tr>
      <w:tr w:rsidR="00CB2E81" w:rsidRPr="008F7A8E" w14:paraId="7F248989" w14:textId="77777777" w:rsidTr="00DC4144">
        <w:tc>
          <w:tcPr>
            <w:tcW w:w="1053" w:type="dxa"/>
            <w:shd w:val="clear" w:color="auto" w:fill="auto"/>
          </w:tcPr>
          <w:p w14:paraId="29E7A495" w14:textId="77777777" w:rsidR="00CB2E81" w:rsidRPr="00DC4144" w:rsidRDefault="00CB2E81" w:rsidP="00D10A52">
            <w:pPr>
              <w:pStyle w:val="Tabletext"/>
              <w:rPr>
                <w:b/>
              </w:rPr>
            </w:pPr>
            <w:r w:rsidRPr="00DC4144">
              <w:rPr>
                <w:b/>
              </w:rPr>
              <w:t>41740</w:t>
            </w:r>
          </w:p>
        </w:tc>
        <w:tc>
          <w:tcPr>
            <w:tcW w:w="4947" w:type="dxa"/>
            <w:shd w:val="clear" w:color="auto" w:fill="auto"/>
          </w:tcPr>
          <w:p w14:paraId="36A1B7A1" w14:textId="77777777" w:rsidR="00CB2E81" w:rsidRPr="008F7A8E" w:rsidRDefault="00CB2E81" w:rsidP="006A406F">
            <w:pPr>
              <w:pStyle w:val="Tabletext"/>
            </w:pPr>
            <w:r w:rsidRPr="008F7A8E">
              <w:t>FRONTAL SINUS, catheterisation of (</w:t>
            </w:r>
            <w:proofErr w:type="spellStart"/>
            <w:r w:rsidRPr="008F7A8E">
              <w:t>Anaes</w:t>
            </w:r>
            <w:proofErr w:type="spellEnd"/>
            <w:r w:rsidRPr="008F7A8E">
              <w:t xml:space="preserve">.) </w:t>
            </w:r>
          </w:p>
        </w:tc>
        <w:tc>
          <w:tcPr>
            <w:tcW w:w="1530" w:type="dxa"/>
          </w:tcPr>
          <w:p w14:paraId="750E6A9C" w14:textId="77777777" w:rsidR="00CB2E81" w:rsidRPr="008F7A8E" w:rsidRDefault="002D460B" w:rsidP="00D10A52">
            <w:pPr>
              <w:pStyle w:val="Tabletext"/>
              <w:rPr>
                <w:color w:val="000000"/>
              </w:rPr>
            </w:pPr>
            <w:r w:rsidRPr="008F7A8E">
              <w:t>$58.80</w:t>
            </w:r>
          </w:p>
        </w:tc>
        <w:tc>
          <w:tcPr>
            <w:tcW w:w="1530" w:type="dxa"/>
          </w:tcPr>
          <w:p w14:paraId="451CDBAE" w14:textId="77777777" w:rsidR="00CB2E81" w:rsidRPr="008F7A8E" w:rsidRDefault="002D460B" w:rsidP="00D10A52">
            <w:pPr>
              <w:pStyle w:val="Tabletext"/>
              <w:rPr>
                <w:color w:val="000000"/>
              </w:rPr>
            </w:pPr>
            <w:r w:rsidRPr="008F7A8E">
              <w:t>75% = $44.10</w:t>
            </w:r>
          </w:p>
        </w:tc>
      </w:tr>
      <w:tr w:rsidR="00CB2E81" w:rsidRPr="008F7A8E" w14:paraId="6997C46B" w14:textId="77777777" w:rsidTr="00DC4144">
        <w:tc>
          <w:tcPr>
            <w:tcW w:w="1053" w:type="dxa"/>
            <w:shd w:val="clear" w:color="auto" w:fill="auto"/>
          </w:tcPr>
          <w:p w14:paraId="37BD391E" w14:textId="77777777" w:rsidR="00CB2E81" w:rsidRPr="00DC4144" w:rsidRDefault="00CB2E81" w:rsidP="00D10A52">
            <w:pPr>
              <w:pStyle w:val="Tabletext"/>
              <w:rPr>
                <w:b/>
              </w:rPr>
            </w:pPr>
            <w:r w:rsidRPr="00DC4144">
              <w:rPr>
                <w:b/>
              </w:rPr>
              <w:t>41743</w:t>
            </w:r>
          </w:p>
        </w:tc>
        <w:tc>
          <w:tcPr>
            <w:tcW w:w="4947" w:type="dxa"/>
            <w:shd w:val="clear" w:color="auto" w:fill="auto"/>
          </w:tcPr>
          <w:p w14:paraId="7145008C" w14:textId="77777777" w:rsidR="00CB2E81" w:rsidRPr="008F7A8E" w:rsidRDefault="00CB2E81" w:rsidP="006A406F">
            <w:pPr>
              <w:pStyle w:val="Tabletext"/>
            </w:pPr>
            <w:r w:rsidRPr="008F7A8E">
              <w:t>FRONTAL SINUS, trephine of (</w:t>
            </w:r>
            <w:proofErr w:type="spellStart"/>
            <w:r w:rsidRPr="008F7A8E">
              <w:t>Anaes</w:t>
            </w:r>
            <w:proofErr w:type="spellEnd"/>
            <w:r w:rsidRPr="008F7A8E">
              <w:t xml:space="preserve">.) (Assist.) </w:t>
            </w:r>
          </w:p>
        </w:tc>
        <w:tc>
          <w:tcPr>
            <w:tcW w:w="1530" w:type="dxa"/>
          </w:tcPr>
          <w:p w14:paraId="7F32F417" w14:textId="77777777" w:rsidR="00CB2E81" w:rsidRPr="008F7A8E" w:rsidRDefault="002D460B" w:rsidP="00D10A52">
            <w:pPr>
              <w:pStyle w:val="Tabletext"/>
              <w:rPr>
                <w:color w:val="000000"/>
              </w:rPr>
            </w:pPr>
            <w:r w:rsidRPr="008F7A8E">
              <w:t>$337.45</w:t>
            </w:r>
          </w:p>
        </w:tc>
        <w:tc>
          <w:tcPr>
            <w:tcW w:w="1530" w:type="dxa"/>
          </w:tcPr>
          <w:p w14:paraId="60CB12A9" w14:textId="77777777" w:rsidR="00CB2E81" w:rsidRPr="008F7A8E" w:rsidRDefault="002D460B" w:rsidP="00D10A52">
            <w:pPr>
              <w:pStyle w:val="Tabletext"/>
              <w:rPr>
                <w:color w:val="000000"/>
              </w:rPr>
            </w:pPr>
            <w:r w:rsidRPr="008F7A8E">
              <w:t>75% = $253.10</w:t>
            </w:r>
          </w:p>
        </w:tc>
      </w:tr>
      <w:tr w:rsidR="00CB2E81" w:rsidRPr="008F7A8E" w14:paraId="04BFF0DA" w14:textId="77777777" w:rsidTr="00DC4144">
        <w:tc>
          <w:tcPr>
            <w:tcW w:w="1053" w:type="dxa"/>
            <w:shd w:val="clear" w:color="auto" w:fill="auto"/>
          </w:tcPr>
          <w:p w14:paraId="7E5733B4" w14:textId="77777777" w:rsidR="00CB2E81" w:rsidRPr="00DC4144" w:rsidRDefault="00CB2E81" w:rsidP="00D10A52">
            <w:pPr>
              <w:pStyle w:val="Tabletext"/>
              <w:rPr>
                <w:b/>
              </w:rPr>
            </w:pPr>
            <w:r w:rsidRPr="00DC4144">
              <w:rPr>
                <w:b/>
              </w:rPr>
              <w:t>41746</w:t>
            </w:r>
          </w:p>
        </w:tc>
        <w:tc>
          <w:tcPr>
            <w:tcW w:w="4947" w:type="dxa"/>
            <w:shd w:val="clear" w:color="auto" w:fill="auto"/>
          </w:tcPr>
          <w:p w14:paraId="726783BD" w14:textId="77777777" w:rsidR="00CB2E81" w:rsidRPr="008F7A8E" w:rsidRDefault="00CB2E81" w:rsidP="006A406F">
            <w:pPr>
              <w:pStyle w:val="Tabletext"/>
            </w:pPr>
            <w:r w:rsidRPr="008F7A8E">
              <w:t>FRONTAL SINUS, radical obliteration of (</w:t>
            </w:r>
            <w:proofErr w:type="spellStart"/>
            <w:r w:rsidRPr="008F7A8E">
              <w:t>Anaes</w:t>
            </w:r>
            <w:proofErr w:type="spellEnd"/>
            <w:r w:rsidRPr="008F7A8E">
              <w:t xml:space="preserve">.) (Assist.) </w:t>
            </w:r>
          </w:p>
        </w:tc>
        <w:tc>
          <w:tcPr>
            <w:tcW w:w="1530" w:type="dxa"/>
          </w:tcPr>
          <w:p w14:paraId="0835D38A" w14:textId="77777777" w:rsidR="00CB2E81" w:rsidRPr="008F7A8E" w:rsidRDefault="002D460B" w:rsidP="00D10A52">
            <w:pPr>
              <w:pStyle w:val="Tabletext"/>
              <w:rPr>
                <w:color w:val="000000"/>
              </w:rPr>
            </w:pPr>
            <w:r w:rsidRPr="008F7A8E">
              <w:t>$777.10</w:t>
            </w:r>
          </w:p>
        </w:tc>
        <w:tc>
          <w:tcPr>
            <w:tcW w:w="1530" w:type="dxa"/>
          </w:tcPr>
          <w:p w14:paraId="1400FB93" w14:textId="77777777" w:rsidR="00CB2E81" w:rsidRPr="008F7A8E" w:rsidRDefault="002D460B" w:rsidP="00D10A52">
            <w:pPr>
              <w:pStyle w:val="Tabletext"/>
              <w:rPr>
                <w:color w:val="000000"/>
              </w:rPr>
            </w:pPr>
            <w:r w:rsidRPr="008F7A8E">
              <w:t>75% = $582.85</w:t>
            </w:r>
            <w:r>
              <w:t xml:space="preserve">; </w:t>
            </w:r>
            <w:r w:rsidRPr="008F7A8E">
              <w:t>85% = $698.70</w:t>
            </w:r>
          </w:p>
        </w:tc>
      </w:tr>
      <w:tr w:rsidR="00CB2E81" w:rsidRPr="008F7A8E" w14:paraId="17DD049B" w14:textId="77777777" w:rsidTr="00DC4144">
        <w:tc>
          <w:tcPr>
            <w:tcW w:w="1053" w:type="dxa"/>
            <w:shd w:val="clear" w:color="auto" w:fill="auto"/>
          </w:tcPr>
          <w:p w14:paraId="52878262" w14:textId="77777777" w:rsidR="00CB2E81" w:rsidRPr="00DC4144" w:rsidRDefault="00CB2E81" w:rsidP="00D10A52">
            <w:pPr>
              <w:pStyle w:val="Tabletext"/>
              <w:rPr>
                <w:b/>
              </w:rPr>
            </w:pPr>
            <w:r w:rsidRPr="00DC4144">
              <w:rPr>
                <w:b/>
              </w:rPr>
              <w:t>41749</w:t>
            </w:r>
          </w:p>
        </w:tc>
        <w:tc>
          <w:tcPr>
            <w:tcW w:w="4947" w:type="dxa"/>
            <w:shd w:val="clear" w:color="auto" w:fill="auto"/>
          </w:tcPr>
          <w:p w14:paraId="33A1C35E" w14:textId="77777777" w:rsidR="00CB2E81" w:rsidRPr="008F7A8E" w:rsidRDefault="00CB2E81" w:rsidP="00D10A52">
            <w:pPr>
              <w:pStyle w:val="Tabletext"/>
            </w:pPr>
            <w:r w:rsidRPr="006A406F">
              <w:t>ETHMOIDAL SINUSES, external operation on (</w:t>
            </w:r>
            <w:proofErr w:type="spellStart"/>
            <w:r w:rsidRPr="006A406F">
              <w:t>Anaes</w:t>
            </w:r>
            <w:proofErr w:type="spellEnd"/>
            <w:r w:rsidRPr="006A406F">
              <w:t>.) (Assist.)</w:t>
            </w:r>
            <w:r w:rsidRPr="008F7A8E">
              <w:t xml:space="preserve">: </w:t>
            </w:r>
          </w:p>
        </w:tc>
        <w:tc>
          <w:tcPr>
            <w:tcW w:w="1530" w:type="dxa"/>
          </w:tcPr>
          <w:p w14:paraId="5FD0B7DA" w14:textId="77777777" w:rsidR="00CB2E81" w:rsidRPr="008F7A8E" w:rsidRDefault="002D460B" w:rsidP="00D10A52">
            <w:pPr>
              <w:pStyle w:val="Tabletext"/>
              <w:rPr>
                <w:color w:val="000000"/>
              </w:rPr>
            </w:pPr>
            <w:r w:rsidRPr="008F7A8E">
              <w:t>$606.50</w:t>
            </w:r>
          </w:p>
        </w:tc>
        <w:tc>
          <w:tcPr>
            <w:tcW w:w="1530" w:type="dxa"/>
          </w:tcPr>
          <w:p w14:paraId="652A03B4" w14:textId="77777777" w:rsidR="00CB2E81" w:rsidRPr="008F7A8E" w:rsidRDefault="002D460B" w:rsidP="00D10A52">
            <w:pPr>
              <w:pStyle w:val="Tabletext"/>
              <w:rPr>
                <w:color w:val="000000"/>
              </w:rPr>
            </w:pPr>
            <w:r w:rsidRPr="008F7A8E">
              <w:t>75% = $454.90</w:t>
            </w:r>
          </w:p>
        </w:tc>
      </w:tr>
      <w:tr w:rsidR="00CB2E81" w:rsidRPr="008F7A8E" w14:paraId="6C9A20B1" w14:textId="77777777" w:rsidTr="00DC4144">
        <w:tc>
          <w:tcPr>
            <w:tcW w:w="1053" w:type="dxa"/>
            <w:shd w:val="clear" w:color="auto" w:fill="auto"/>
          </w:tcPr>
          <w:p w14:paraId="15067D96" w14:textId="77777777" w:rsidR="00CB2E81" w:rsidRPr="00DC4144" w:rsidRDefault="00CB2E81" w:rsidP="00D10A52">
            <w:pPr>
              <w:pStyle w:val="Tabletext"/>
              <w:rPr>
                <w:b/>
              </w:rPr>
            </w:pPr>
            <w:r w:rsidRPr="00DC4144">
              <w:rPr>
                <w:b/>
              </w:rPr>
              <w:t>41752</w:t>
            </w:r>
          </w:p>
        </w:tc>
        <w:tc>
          <w:tcPr>
            <w:tcW w:w="4947" w:type="dxa"/>
            <w:shd w:val="clear" w:color="auto" w:fill="auto"/>
          </w:tcPr>
          <w:p w14:paraId="350C9DB6" w14:textId="77777777" w:rsidR="00CB2E81" w:rsidRPr="008F7A8E" w:rsidRDefault="00CB2E81" w:rsidP="006A406F">
            <w:pPr>
              <w:pStyle w:val="Tabletext"/>
            </w:pPr>
            <w:r w:rsidRPr="008F7A8E">
              <w:t>SPHENOIDAL SINUS, intranasal operation on (</w:t>
            </w:r>
            <w:proofErr w:type="spellStart"/>
            <w:r w:rsidRPr="008F7A8E">
              <w:t>Anaes</w:t>
            </w:r>
            <w:proofErr w:type="spellEnd"/>
            <w:r w:rsidRPr="008F7A8E">
              <w:t xml:space="preserve">.) (Assist.) </w:t>
            </w:r>
          </w:p>
        </w:tc>
        <w:tc>
          <w:tcPr>
            <w:tcW w:w="1530" w:type="dxa"/>
          </w:tcPr>
          <w:p w14:paraId="400B2E20" w14:textId="77777777" w:rsidR="00CB2E81" w:rsidRPr="008F7A8E" w:rsidRDefault="002D460B" w:rsidP="00D10A52">
            <w:pPr>
              <w:pStyle w:val="Tabletext"/>
              <w:rPr>
                <w:color w:val="000000"/>
              </w:rPr>
            </w:pPr>
            <w:r w:rsidRPr="008F7A8E">
              <w:t>$295.70</w:t>
            </w:r>
          </w:p>
        </w:tc>
        <w:tc>
          <w:tcPr>
            <w:tcW w:w="1530" w:type="dxa"/>
          </w:tcPr>
          <w:p w14:paraId="07F567C2" w14:textId="77777777" w:rsidR="00CB2E81" w:rsidRPr="008F7A8E" w:rsidRDefault="002D460B" w:rsidP="00D10A52">
            <w:pPr>
              <w:pStyle w:val="Tabletext"/>
              <w:rPr>
                <w:color w:val="000000"/>
              </w:rPr>
            </w:pPr>
            <w:r w:rsidRPr="008F7A8E">
              <w:t>75% = $221.80</w:t>
            </w:r>
          </w:p>
        </w:tc>
      </w:tr>
      <w:tr w:rsidR="00CB2E81" w:rsidRPr="008F7A8E" w14:paraId="70CA7A4A" w14:textId="77777777" w:rsidTr="00DC4144">
        <w:tc>
          <w:tcPr>
            <w:tcW w:w="1053" w:type="dxa"/>
            <w:shd w:val="clear" w:color="auto" w:fill="auto"/>
          </w:tcPr>
          <w:p w14:paraId="6FE50E60" w14:textId="77777777" w:rsidR="00CB2E81" w:rsidRPr="00DC4144" w:rsidRDefault="00CB2E81" w:rsidP="00D10A52">
            <w:pPr>
              <w:pStyle w:val="Tabletext"/>
              <w:rPr>
                <w:b/>
              </w:rPr>
            </w:pPr>
            <w:r w:rsidRPr="00DC4144">
              <w:rPr>
                <w:b/>
              </w:rPr>
              <w:t>41755</w:t>
            </w:r>
          </w:p>
        </w:tc>
        <w:tc>
          <w:tcPr>
            <w:tcW w:w="4947" w:type="dxa"/>
            <w:shd w:val="clear" w:color="auto" w:fill="auto"/>
          </w:tcPr>
          <w:p w14:paraId="41655E41" w14:textId="77777777" w:rsidR="00CB2E81" w:rsidRPr="008F7A8E" w:rsidRDefault="00CB2E81" w:rsidP="006A406F">
            <w:pPr>
              <w:pStyle w:val="Tabletext"/>
            </w:pPr>
            <w:r w:rsidRPr="008F7A8E">
              <w:t>EUSTACHIAN TUBE, catheterisation of (</w:t>
            </w:r>
            <w:proofErr w:type="spellStart"/>
            <w:r w:rsidRPr="008F7A8E">
              <w:t>Anaes</w:t>
            </w:r>
            <w:proofErr w:type="spellEnd"/>
            <w:r w:rsidRPr="008F7A8E">
              <w:t>.)</w:t>
            </w:r>
          </w:p>
        </w:tc>
        <w:tc>
          <w:tcPr>
            <w:tcW w:w="1530" w:type="dxa"/>
          </w:tcPr>
          <w:p w14:paraId="68DDB44F" w14:textId="77777777" w:rsidR="00CB2E81" w:rsidRPr="008F7A8E" w:rsidRDefault="002D460B" w:rsidP="00D10A52">
            <w:pPr>
              <w:pStyle w:val="Tabletext"/>
              <w:rPr>
                <w:color w:val="000000"/>
              </w:rPr>
            </w:pPr>
            <w:r w:rsidRPr="008F7A8E">
              <w:t>$46.50</w:t>
            </w:r>
          </w:p>
        </w:tc>
        <w:tc>
          <w:tcPr>
            <w:tcW w:w="1530" w:type="dxa"/>
          </w:tcPr>
          <w:p w14:paraId="1C5B2C98" w14:textId="77777777" w:rsidR="00CB2E81" w:rsidRPr="008F7A8E" w:rsidRDefault="002D460B" w:rsidP="00D10A52">
            <w:pPr>
              <w:pStyle w:val="Tabletext"/>
              <w:rPr>
                <w:color w:val="000000"/>
              </w:rPr>
            </w:pPr>
            <w:r w:rsidRPr="008F7A8E">
              <w:t>75% = $34.90</w:t>
            </w:r>
            <w:r>
              <w:t xml:space="preserve">; </w:t>
            </w:r>
            <w:r w:rsidRPr="008F7A8E">
              <w:t>85% = $39.55</w:t>
            </w:r>
          </w:p>
        </w:tc>
      </w:tr>
      <w:tr w:rsidR="00CB2E81" w:rsidRPr="008F7A8E" w14:paraId="70B7BBB5" w14:textId="77777777" w:rsidTr="00DC4144">
        <w:tc>
          <w:tcPr>
            <w:tcW w:w="1053" w:type="dxa"/>
            <w:shd w:val="clear" w:color="auto" w:fill="auto"/>
          </w:tcPr>
          <w:p w14:paraId="22C25621" w14:textId="77777777" w:rsidR="00CB2E81" w:rsidRPr="00DC4144" w:rsidRDefault="00CB2E81" w:rsidP="00D10A52">
            <w:pPr>
              <w:pStyle w:val="Tabletext"/>
              <w:rPr>
                <w:b/>
              </w:rPr>
            </w:pPr>
            <w:r w:rsidRPr="00DC4144">
              <w:rPr>
                <w:b/>
              </w:rPr>
              <w:t>41758</w:t>
            </w:r>
          </w:p>
        </w:tc>
        <w:tc>
          <w:tcPr>
            <w:tcW w:w="4947" w:type="dxa"/>
            <w:shd w:val="clear" w:color="auto" w:fill="auto"/>
          </w:tcPr>
          <w:p w14:paraId="146F0389" w14:textId="77777777" w:rsidR="00CB2E81" w:rsidRPr="008F7A8E" w:rsidRDefault="00CB2E81" w:rsidP="006A406F">
            <w:pPr>
              <w:pStyle w:val="Tabletext"/>
            </w:pPr>
            <w:r w:rsidRPr="008F7A8E">
              <w:t>DIVISION OF PHARYNGEAL ADHESIONS (</w:t>
            </w:r>
            <w:proofErr w:type="spellStart"/>
            <w:r w:rsidRPr="008F7A8E">
              <w:t>Anaes</w:t>
            </w:r>
            <w:proofErr w:type="spellEnd"/>
            <w:r w:rsidRPr="008F7A8E">
              <w:t xml:space="preserve">.) </w:t>
            </w:r>
          </w:p>
        </w:tc>
        <w:tc>
          <w:tcPr>
            <w:tcW w:w="1530" w:type="dxa"/>
          </w:tcPr>
          <w:p w14:paraId="01E7668E" w14:textId="77777777" w:rsidR="00CB2E81" w:rsidRPr="008F7A8E" w:rsidRDefault="002D460B" w:rsidP="00D10A52">
            <w:pPr>
              <w:pStyle w:val="Tabletext"/>
              <w:rPr>
                <w:color w:val="000000"/>
              </w:rPr>
            </w:pPr>
            <w:r w:rsidRPr="008F7A8E">
              <w:t>$117.55</w:t>
            </w:r>
          </w:p>
        </w:tc>
        <w:tc>
          <w:tcPr>
            <w:tcW w:w="1530" w:type="dxa"/>
          </w:tcPr>
          <w:p w14:paraId="25560983" w14:textId="77777777" w:rsidR="00CB2E81" w:rsidRPr="008F7A8E" w:rsidRDefault="002D460B" w:rsidP="00D10A52">
            <w:pPr>
              <w:pStyle w:val="Tabletext"/>
              <w:rPr>
                <w:color w:val="000000"/>
              </w:rPr>
            </w:pPr>
            <w:r w:rsidRPr="008F7A8E">
              <w:t>75% = $88.20</w:t>
            </w:r>
            <w:r>
              <w:t xml:space="preserve">; </w:t>
            </w:r>
            <w:r w:rsidRPr="008F7A8E">
              <w:t>85% = $99.95</w:t>
            </w:r>
          </w:p>
        </w:tc>
      </w:tr>
      <w:tr w:rsidR="00CB2E81" w:rsidRPr="008F7A8E" w14:paraId="09DE526D" w14:textId="77777777" w:rsidTr="00DC4144">
        <w:tc>
          <w:tcPr>
            <w:tcW w:w="1053" w:type="dxa"/>
            <w:shd w:val="clear" w:color="auto" w:fill="auto"/>
          </w:tcPr>
          <w:p w14:paraId="53A90CC8" w14:textId="77777777" w:rsidR="00CB2E81" w:rsidRPr="00DC4144" w:rsidRDefault="00CB2E81" w:rsidP="00D10A52">
            <w:pPr>
              <w:pStyle w:val="Tabletext"/>
              <w:rPr>
                <w:b/>
              </w:rPr>
            </w:pPr>
            <w:r w:rsidRPr="00DC4144">
              <w:rPr>
                <w:b/>
              </w:rPr>
              <w:t>41761</w:t>
            </w:r>
          </w:p>
        </w:tc>
        <w:tc>
          <w:tcPr>
            <w:tcW w:w="4947" w:type="dxa"/>
            <w:shd w:val="clear" w:color="auto" w:fill="auto"/>
          </w:tcPr>
          <w:p w14:paraId="175C4294" w14:textId="77777777" w:rsidR="00CB2E81" w:rsidRPr="008F7A8E" w:rsidRDefault="00CB2E81" w:rsidP="006A406F">
            <w:pPr>
              <w:pStyle w:val="Tabletext"/>
            </w:pPr>
            <w:r w:rsidRPr="008F7A8E">
              <w:t>POSTNASAL SPACE, direct examination of, with or without biopsy (</w:t>
            </w:r>
            <w:proofErr w:type="spellStart"/>
            <w:r w:rsidRPr="008F7A8E">
              <w:t>Anaes</w:t>
            </w:r>
            <w:proofErr w:type="spellEnd"/>
            <w:r w:rsidRPr="008F7A8E">
              <w:t xml:space="preserve">.) </w:t>
            </w:r>
          </w:p>
        </w:tc>
        <w:tc>
          <w:tcPr>
            <w:tcW w:w="1530" w:type="dxa"/>
          </w:tcPr>
          <w:p w14:paraId="4972ED26" w14:textId="77777777" w:rsidR="00CB2E81" w:rsidRPr="008F7A8E" w:rsidRDefault="002D460B" w:rsidP="00D10A52">
            <w:pPr>
              <w:pStyle w:val="Tabletext"/>
              <w:rPr>
                <w:color w:val="000000"/>
              </w:rPr>
            </w:pPr>
            <w:r w:rsidRPr="008F7A8E">
              <w:t>$122.85</w:t>
            </w:r>
          </w:p>
        </w:tc>
        <w:tc>
          <w:tcPr>
            <w:tcW w:w="1530" w:type="dxa"/>
          </w:tcPr>
          <w:p w14:paraId="5900AC49" w14:textId="77777777" w:rsidR="00CB2E81" w:rsidRPr="008F7A8E" w:rsidRDefault="002D460B" w:rsidP="00D10A52">
            <w:pPr>
              <w:pStyle w:val="Tabletext"/>
              <w:rPr>
                <w:color w:val="000000"/>
              </w:rPr>
            </w:pPr>
            <w:r w:rsidRPr="008F7A8E">
              <w:t>75% = $92.15</w:t>
            </w:r>
            <w:r>
              <w:t xml:space="preserve">; </w:t>
            </w:r>
            <w:r w:rsidRPr="008F7A8E">
              <w:t>85% = $104.45</w:t>
            </w:r>
          </w:p>
        </w:tc>
      </w:tr>
      <w:tr w:rsidR="00CB2E81" w:rsidRPr="008F7A8E" w14:paraId="72A6BC1C" w14:textId="77777777" w:rsidTr="00DC4144">
        <w:tc>
          <w:tcPr>
            <w:tcW w:w="1053" w:type="dxa"/>
            <w:shd w:val="clear" w:color="auto" w:fill="auto"/>
          </w:tcPr>
          <w:p w14:paraId="310CD446" w14:textId="77777777" w:rsidR="00CB2E81" w:rsidRPr="00DC4144" w:rsidRDefault="00CB2E81" w:rsidP="00D10A52">
            <w:pPr>
              <w:pStyle w:val="Tabletext"/>
              <w:rPr>
                <w:b/>
              </w:rPr>
            </w:pPr>
            <w:r w:rsidRPr="00DC4144">
              <w:rPr>
                <w:b/>
              </w:rPr>
              <w:t>41764</w:t>
            </w:r>
          </w:p>
        </w:tc>
        <w:tc>
          <w:tcPr>
            <w:tcW w:w="4947" w:type="dxa"/>
            <w:shd w:val="clear" w:color="auto" w:fill="auto"/>
          </w:tcPr>
          <w:p w14:paraId="54384F81" w14:textId="77777777" w:rsidR="00CB2E81" w:rsidRPr="008F7A8E" w:rsidRDefault="00CB2E81" w:rsidP="006A406F">
            <w:pPr>
              <w:pStyle w:val="Tabletext"/>
            </w:pPr>
            <w:r w:rsidRPr="008F7A8E">
              <w:t>NASENDOSCOPY or SINOSCOPY or FIBREOPTIC EXAMINATION of NASOPHARYNX and LARYNX, one or more of these procedures, unilateral or bilateral examination (</w:t>
            </w:r>
            <w:proofErr w:type="spellStart"/>
            <w:r w:rsidRPr="008F7A8E">
              <w:t>Anaes</w:t>
            </w:r>
            <w:proofErr w:type="spellEnd"/>
            <w:r w:rsidRPr="008F7A8E">
              <w:t xml:space="preserve">.) </w:t>
            </w:r>
          </w:p>
        </w:tc>
        <w:tc>
          <w:tcPr>
            <w:tcW w:w="1530" w:type="dxa"/>
          </w:tcPr>
          <w:p w14:paraId="0F4EEC0C" w14:textId="77777777" w:rsidR="00CB2E81" w:rsidRPr="008F7A8E" w:rsidRDefault="002D460B" w:rsidP="00D10A52">
            <w:pPr>
              <w:pStyle w:val="Tabletext"/>
              <w:rPr>
                <w:color w:val="000000"/>
              </w:rPr>
            </w:pPr>
            <w:r w:rsidRPr="008F7A8E">
              <w:t>$122.85</w:t>
            </w:r>
          </w:p>
        </w:tc>
        <w:tc>
          <w:tcPr>
            <w:tcW w:w="1530" w:type="dxa"/>
          </w:tcPr>
          <w:p w14:paraId="61C23637" w14:textId="77777777" w:rsidR="00CB2E81" w:rsidRPr="008F7A8E" w:rsidRDefault="002D460B" w:rsidP="00D10A52">
            <w:pPr>
              <w:pStyle w:val="Tabletext"/>
              <w:rPr>
                <w:color w:val="000000"/>
              </w:rPr>
            </w:pPr>
            <w:r w:rsidRPr="008F7A8E">
              <w:t>75% = $92.15</w:t>
            </w:r>
            <w:r>
              <w:t xml:space="preserve">; </w:t>
            </w:r>
            <w:r w:rsidRPr="008F7A8E">
              <w:t>85% = $104.45</w:t>
            </w:r>
          </w:p>
        </w:tc>
      </w:tr>
      <w:tr w:rsidR="00CB2E81" w:rsidRPr="008F7A8E" w14:paraId="1FD2E12E" w14:textId="77777777" w:rsidTr="00DC4144">
        <w:tc>
          <w:tcPr>
            <w:tcW w:w="1053" w:type="dxa"/>
            <w:shd w:val="clear" w:color="auto" w:fill="auto"/>
          </w:tcPr>
          <w:p w14:paraId="018B801A" w14:textId="77777777" w:rsidR="00CB2E81" w:rsidRPr="00DC4144" w:rsidRDefault="00CB2E81" w:rsidP="00D10A52">
            <w:pPr>
              <w:pStyle w:val="Tabletext"/>
              <w:rPr>
                <w:b/>
              </w:rPr>
            </w:pPr>
            <w:r w:rsidRPr="00DC4144">
              <w:rPr>
                <w:b/>
              </w:rPr>
              <w:t>41767</w:t>
            </w:r>
          </w:p>
        </w:tc>
        <w:tc>
          <w:tcPr>
            <w:tcW w:w="4947" w:type="dxa"/>
            <w:shd w:val="clear" w:color="auto" w:fill="auto"/>
          </w:tcPr>
          <w:p w14:paraId="5FBE17B8" w14:textId="77777777" w:rsidR="00CB2E81" w:rsidRPr="008F7A8E" w:rsidRDefault="00CB2E81" w:rsidP="006A406F">
            <w:pPr>
              <w:pStyle w:val="Tabletext"/>
            </w:pPr>
            <w:r w:rsidRPr="008F7A8E">
              <w:t>NASOPHARYNGEAL ANGIOFIBROMA, removal of (</w:t>
            </w:r>
            <w:proofErr w:type="spellStart"/>
            <w:r w:rsidRPr="008F7A8E">
              <w:t>Anaes</w:t>
            </w:r>
            <w:proofErr w:type="spellEnd"/>
            <w:r w:rsidRPr="008F7A8E">
              <w:t xml:space="preserve">.) (Assist.) </w:t>
            </w:r>
          </w:p>
        </w:tc>
        <w:tc>
          <w:tcPr>
            <w:tcW w:w="1530" w:type="dxa"/>
          </w:tcPr>
          <w:p w14:paraId="1AA0E97B" w14:textId="77777777" w:rsidR="00CB2E81" w:rsidRPr="008F7A8E" w:rsidRDefault="002D460B" w:rsidP="00D10A52">
            <w:pPr>
              <w:pStyle w:val="Tabletext"/>
              <w:rPr>
                <w:color w:val="000000"/>
              </w:rPr>
            </w:pPr>
            <w:r w:rsidRPr="008F7A8E">
              <w:t>$737.00</w:t>
            </w:r>
          </w:p>
        </w:tc>
        <w:tc>
          <w:tcPr>
            <w:tcW w:w="1530" w:type="dxa"/>
          </w:tcPr>
          <w:p w14:paraId="2A29C763" w14:textId="77777777" w:rsidR="00CB2E81" w:rsidRPr="008F7A8E" w:rsidRDefault="002D460B" w:rsidP="00D10A52">
            <w:pPr>
              <w:pStyle w:val="Tabletext"/>
              <w:rPr>
                <w:color w:val="000000"/>
              </w:rPr>
            </w:pPr>
            <w:r w:rsidRPr="008F7A8E">
              <w:t>75% = $552.75</w:t>
            </w:r>
            <w:r>
              <w:t xml:space="preserve">; </w:t>
            </w:r>
            <w:r w:rsidRPr="008F7A8E">
              <w:t>85% = $658.60</w:t>
            </w:r>
          </w:p>
        </w:tc>
      </w:tr>
      <w:tr w:rsidR="00CB2E81" w:rsidRPr="008F7A8E" w14:paraId="3F8A759B" w14:textId="77777777" w:rsidTr="00DC4144">
        <w:tc>
          <w:tcPr>
            <w:tcW w:w="1053" w:type="dxa"/>
            <w:shd w:val="clear" w:color="auto" w:fill="auto"/>
          </w:tcPr>
          <w:p w14:paraId="78156EBC" w14:textId="77777777" w:rsidR="00CB2E81" w:rsidRPr="00DC4144" w:rsidRDefault="00CB2E81" w:rsidP="00D10A52">
            <w:pPr>
              <w:pStyle w:val="Tabletext"/>
              <w:rPr>
                <w:b/>
              </w:rPr>
            </w:pPr>
            <w:r w:rsidRPr="00DC4144">
              <w:rPr>
                <w:b/>
              </w:rPr>
              <w:t>41770</w:t>
            </w:r>
          </w:p>
        </w:tc>
        <w:tc>
          <w:tcPr>
            <w:tcW w:w="4947" w:type="dxa"/>
            <w:shd w:val="clear" w:color="auto" w:fill="auto"/>
          </w:tcPr>
          <w:p w14:paraId="69461802" w14:textId="77777777" w:rsidR="00CB2E81" w:rsidRPr="008F7A8E" w:rsidRDefault="00CB2E81" w:rsidP="006A406F">
            <w:pPr>
              <w:pStyle w:val="Tabletext"/>
            </w:pPr>
            <w:r w:rsidRPr="008F7A8E">
              <w:t>PHARYNGEAL POUCH, removal of, with or without cricopharyngeal myotomy (</w:t>
            </w:r>
            <w:proofErr w:type="spellStart"/>
            <w:r w:rsidRPr="008F7A8E">
              <w:t>Anaes</w:t>
            </w:r>
            <w:proofErr w:type="spellEnd"/>
            <w:r w:rsidRPr="008F7A8E">
              <w:t xml:space="preserve">.) (Assist.) </w:t>
            </w:r>
          </w:p>
        </w:tc>
        <w:tc>
          <w:tcPr>
            <w:tcW w:w="1530" w:type="dxa"/>
          </w:tcPr>
          <w:p w14:paraId="4113EC5A" w14:textId="77777777" w:rsidR="00CB2E81" w:rsidRPr="008F7A8E" w:rsidRDefault="002D460B" w:rsidP="00D10A52">
            <w:pPr>
              <w:pStyle w:val="Tabletext"/>
              <w:rPr>
                <w:color w:val="000000"/>
              </w:rPr>
            </w:pPr>
            <w:r w:rsidRPr="008F7A8E">
              <w:t>$701.30</w:t>
            </w:r>
          </w:p>
        </w:tc>
        <w:tc>
          <w:tcPr>
            <w:tcW w:w="1530" w:type="dxa"/>
          </w:tcPr>
          <w:p w14:paraId="345F1A8D" w14:textId="77777777" w:rsidR="00CB2E81" w:rsidRPr="008F7A8E" w:rsidRDefault="002D460B" w:rsidP="00D10A52">
            <w:pPr>
              <w:pStyle w:val="Tabletext"/>
              <w:rPr>
                <w:color w:val="000000"/>
              </w:rPr>
            </w:pPr>
            <w:r w:rsidRPr="008F7A8E">
              <w:t>75% = $526.00</w:t>
            </w:r>
          </w:p>
        </w:tc>
      </w:tr>
      <w:tr w:rsidR="00CB2E81" w:rsidRPr="008F7A8E" w14:paraId="47047827" w14:textId="77777777" w:rsidTr="00DC4144">
        <w:tc>
          <w:tcPr>
            <w:tcW w:w="1053" w:type="dxa"/>
            <w:shd w:val="clear" w:color="auto" w:fill="auto"/>
          </w:tcPr>
          <w:p w14:paraId="3DCE81BE" w14:textId="77777777" w:rsidR="00CB2E81" w:rsidRPr="00DC4144" w:rsidRDefault="00CB2E81" w:rsidP="00D10A52">
            <w:pPr>
              <w:pStyle w:val="Tabletext"/>
              <w:rPr>
                <w:b/>
              </w:rPr>
            </w:pPr>
            <w:r w:rsidRPr="00DC4144">
              <w:rPr>
                <w:b/>
              </w:rPr>
              <w:t>41773</w:t>
            </w:r>
          </w:p>
        </w:tc>
        <w:tc>
          <w:tcPr>
            <w:tcW w:w="4947" w:type="dxa"/>
            <w:shd w:val="clear" w:color="auto" w:fill="auto"/>
          </w:tcPr>
          <w:p w14:paraId="365425F9" w14:textId="77777777" w:rsidR="00CB2E81" w:rsidRPr="008F7A8E" w:rsidRDefault="00CB2E81" w:rsidP="006A406F">
            <w:pPr>
              <w:pStyle w:val="Tabletext"/>
            </w:pPr>
            <w:r w:rsidRPr="008F7A8E">
              <w:t>PHARYNGEAL POUCH, ENDOSCOPIC RESECTION OF (</w:t>
            </w:r>
            <w:proofErr w:type="spellStart"/>
            <w:r w:rsidRPr="008F7A8E">
              <w:t>Dohlman's</w:t>
            </w:r>
            <w:proofErr w:type="spellEnd"/>
            <w:r w:rsidRPr="008F7A8E">
              <w:t xml:space="preserve"> operation) (</w:t>
            </w:r>
            <w:proofErr w:type="spellStart"/>
            <w:r w:rsidRPr="008F7A8E">
              <w:t>Anaes</w:t>
            </w:r>
            <w:proofErr w:type="spellEnd"/>
            <w:r w:rsidRPr="008F7A8E">
              <w:t xml:space="preserve">.) (Assist.) </w:t>
            </w:r>
          </w:p>
        </w:tc>
        <w:tc>
          <w:tcPr>
            <w:tcW w:w="1530" w:type="dxa"/>
          </w:tcPr>
          <w:p w14:paraId="55419407" w14:textId="77777777" w:rsidR="00CB2E81" w:rsidRPr="008F7A8E" w:rsidRDefault="002D460B" w:rsidP="00D10A52">
            <w:pPr>
              <w:pStyle w:val="Tabletext"/>
              <w:rPr>
                <w:color w:val="000000"/>
              </w:rPr>
            </w:pPr>
            <w:r w:rsidRPr="008F7A8E">
              <w:t>$587.60</w:t>
            </w:r>
          </w:p>
        </w:tc>
        <w:tc>
          <w:tcPr>
            <w:tcW w:w="1530" w:type="dxa"/>
          </w:tcPr>
          <w:p w14:paraId="4FD8B0D3" w14:textId="77777777" w:rsidR="00CB2E81" w:rsidRPr="008F7A8E" w:rsidRDefault="002D460B" w:rsidP="00D10A52">
            <w:pPr>
              <w:pStyle w:val="Tabletext"/>
              <w:rPr>
                <w:color w:val="000000"/>
              </w:rPr>
            </w:pPr>
            <w:r w:rsidRPr="008F7A8E">
              <w:t>75% = $440.70</w:t>
            </w:r>
          </w:p>
        </w:tc>
      </w:tr>
      <w:tr w:rsidR="00CB2E81" w:rsidRPr="008F7A8E" w14:paraId="784DD919" w14:textId="77777777" w:rsidTr="00DC4144">
        <w:tc>
          <w:tcPr>
            <w:tcW w:w="1053" w:type="dxa"/>
            <w:shd w:val="clear" w:color="auto" w:fill="auto"/>
          </w:tcPr>
          <w:p w14:paraId="1182406B" w14:textId="77777777" w:rsidR="00CB2E81" w:rsidRPr="00DC4144" w:rsidRDefault="00CB2E81" w:rsidP="00D10A52">
            <w:pPr>
              <w:pStyle w:val="Tabletext"/>
              <w:rPr>
                <w:b/>
              </w:rPr>
            </w:pPr>
            <w:r w:rsidRPr="00DC4144">
              <w:rPr>
                <w:b/>
              </w:rPr>
              <w:t>41776</w:t>
            </w:r>
          </w:p>
        </w:tc>
        <w:tc>
          <w:tcPr>
            <w:tcW w:w="4947" w:type="dxa"/>
            <w:shd w:val="clear" w:color="auto" w:fill="auto"/>
          </w:tcPr>
          <w:p w14:paraId="4CEE10F4" w14:textId="77777777" w:rsidR="00CB2E81" w:rsidRPr="008F7A8E" w:rsidRDefault="00CB2E81" w:rsidP="006A406F">
            <w:pPr>
              <w:pStyle w:val="Tabletext"/>
            </w:pPr>
            <w:r w:rsidRPr="008F7A8E">
              <w:t>CRICOPHARYNGEAL MYOTOMY with or without inversion of pharyngeal pouch (</w:t>
            </w:r>
            <w:proofErr w:type="spellStart"/>
            <w:r w:rsidRPr="008F7A8E">
              <w:t>Anaes</w:t>
            </w:r>
            <w:proofErr w:type="spellEnd"/>
            <w:r w:rsidRPr="008F7A8E">
              <w:t xml:space="preserve">.) (Assist.) </w:t>
            </w:r>
          </w:p>
        </w:tc>
        <w:tc>
          <w:tcPr>
            <w:tcW w:w="1530" w:type="dxa"/>
          </w:tcPr>
          <w:p w14:paraId="640D3070" w14:textId="77777777" w:rsidR="00CB2E81" w:rsidRPr="008F7A8E" w:rsidRDefault="002D460B" w:rsidP="00D10A52">
            <w:pPr>
              <w:pStyle w:val="Tabletext"/>
              <w:rPr>
                <w:color w:val="000000"/>
              </w:rPr>
            </w:pPr>
            <w:r w:rsidRPr="008F7A8E">
              <w:t>$585.90</w:t>
            </w:r>
          </w:p>
        </w:tc>
        <w:tc>
          <w:tcPr>
            <w:tcW w:w="1530" w:type="dxa"/>
          </w:tcPr>
          <w:p w14:paraId="690823AF" w14:textId="77777777" w:rsidR="00CB2E81" w:rsidRPr="008F7A8E" w:rsidRDefault="002D460B" w:rsidP="00D10A52">
            <w:pPr>
              <w:pStyle w:val="Tabletext"/>
              <w:rPr>
                <w:color w:val="000000"/>
              </w:rPr>
            </w:pPr>
            <w:r w:rsidRPr="008F7A8E">
              <w:t>75% = $439.45</w:t>
            </w:r>
          </w:p>
        </w:tc>
      </w:tr>
      <w:tr w:rsidR="00CB2E81" w:rsidRPr="008F7A8E" w14:paraId="50F60B34" w14:textId="77777777" w:rsidTr="00DC4144">
        <w:tc>
          <w:tcPr>
            <w:tcW w:w="1053" w:type="dxa"/>
            <w:shd w:val="clear" w:color="auto" w:fill="auto"/>
          </w:tcPr>
          <w:p w14:paraId="5D8E7CD5" w14:textId="77777777" w:rsidR="00CB2E81" w:rsidRPr="00DC4144" w:rsidRDefault="00CB2E81" w:rsidP="00D10A52">
            <w:pPr>
              <w:pStyle w:val="Tabletext"/>
              <w:rPr>
                <w:b/>
              </w:rPr>
            </w:pPr>
            <w:r w:rsidRPr="00DC4144">
              <w:rPr>
                <w:b/>
              </w:rPr>
              <w:t>41779</w:t>
            </w:r>
          </w:p>
        </w:tc>
        <w:tc>
          <w:tcPr>
            <w:tcW w:w="4947" w:type="dxa"/>
            <w:shd w:val="clear" w:color="auto" w:fill="auto"/>
          </w:tcPr>
          <w:p w14:paraId="3E57CED2" w14:textId="77777777" w:rsidR="00CB2E81" w:rsidRPr="008F7A8E" w:rsidRDefault="00CB2E81" w:rsidP="006A406F">
            <w:pPr>
              <w:pStyle w:val="Tabletext"/>
            </w:pPr>
            <w:r w:rsidRPr="008F7A8E">
              <w:t>PHARYNGOTOMY (lateral), with or without total excision of tongue (</w:t>
            </w:r>
            <w:proofErr w:type="spellStart"/>
            <w:r w:rsidRPr="008F7A8E">
              <w:t>Anaes</w:t>
            </w:r>
            <w:proofErr w:type="spellEnd"/>
            <w:r w:rsidRPr="008F7A8E">
              <w:t xml:space="preserve">.) (Assist.) </w:t>
            </w:r>
          </w:p>
        </w:tc>
        <w:tc>
          <w:tcPr>
            <w:tcW w:w="1530" w:type="dxa"/>
          </w:tcPr>
          <w:p w14:paraId="49A62727" w14:textId="77777777" w:rsidR="00CB2E81" w:rsidRPr="008F7A8E" w:rsidRDefault="002D460B" w:rsidP="00D10A52">
            <w:pPr>
              <w:pStyle w:val="Tabletext"/>
              <w:rPr>
                <w:color w:val="000000"/>
              </w:rPr>
            </w:pPr>
            <w:r w:rsidRPr="008F7A8E">
              <w:t>$701.30</w:t>
            </w:r>
          </w:p>
        </w:tc>
        <w:tc>
          <w:tcPr>
            <w:tcW w:w="1530" w:type="dxa"/>
          </w:tcPr>
          <w:p w14:paraId="0638ED58" w14:textId="77777777" w:rsidR="00CB2E81" w:rsidRPr="008F7A8E" w:rsidRDefault="002D460B" w:rsidP="00D10A52">
            <w:pPr>
              <w:pStyle w:val="Tabletext"/>
              <w:rPr>
                <w:color w:val="000000"/>
              </w:rPr>
            </w:pPr>
            <w:r w:rsidRPr="008F7A8E">
              <w:t>75% = $526.00</w:t>
            </w:r>
          </w:p>
        </w:tc>
      </w:tr>
      <w:tr w:rsidR="00CB2E81" w:rsidRPr="008F7A8E" w14:paraId="34AABEFC" w14:textId="77777777" w:rsidTr="00DC4144">
        <w:tc>
          <w:tcPr>
            <w:tcW w:w="1053" w:type="dxa"/>
            <w:shd w:val="clear" w:color="auto" w:fill="auto"/>
          </w:tcPr>
          <w:p w14:paraId="0A18B99D" w14:textId="77777777" w:rsidR="00CB2E81" w:rsidRPr="00DC4144" w:rsidRDefault="00CB2E81" w:rsidP="00D10A52">
            <w:pPr>
              <w:pStyle w:val="Tabletext"/>
              <w:rPr>
                <w:b/>
              </w:rPr>
            </w:pPr>
            <w:r w:rsidRPr="00DC4144">
              <w:rPr>
                <w:b/>
              </w:rPr>
              <w:t>41782</w:t>
            </w:r>
          </w:p>
        </w:tc>
        <w:tc>
          <w:tcPr>
            <w:tcW w:w="4947" w:type="dxa"/>
            <w:shd w:val="clear" w:color="auto" w:fill="auto"/>
          </w:tcPr>
          <w:p w14:paraId="719568D7" w14:textId="77777777" w:rsidR="00CB2E81" w:rsidRPr="008F7A8E" w:rsidRDefault="00CB2E81" w:rsidP="006A406F">
            <w:pPr>
              <w:pStyle w:val="Tabletext"/>
            </w:pPr>
            <w:r w:rsidRPr="008F7A8E">
              <w:t>PARTIAL PHARYNGECTOMY via PHARYNGOTOMY (</w:t>
            </w:r>
            <w:proofErr w:type="spellStart"/>
            <w:r w:rsidRPr="008F7A8E">
              <w:t>Anaes</w:t>
            </w:r>
            <w:proofErr w:type="spellEnd"/>
            <w:r w:rsidRPr="008F7A8E">
              <w:t xml:space="preserve">.) (Assist.) </w:t>
            </w:r>
          </w:p>
        </w:tc>
        <w:tc>
          <w:tcPr>
            <w:tcW w:w="1530" w:type="dxa"/>
          </w:tcPr>
          <w:p w14:paraId="0BE3F1C6" w14:textId="77777777" w:rsidR="00CB2E81" w:rsidRPr="008F7A8E" w:rsidRDefault="002D460B" w:rsidP="00D10A52">
            <w:pPr>
              <w:pStyle w:val="Tabletext"/>
              <w:rPr>
                <w:color w:val="000000"/>
              </w:rPr>
            </w:pPr>
            <w:r w:rsidRPr="008F7A8E">
              <w:t>$952.10</w:t>
            </w:r>
          </w:p>
        </w:tc>
        <w:tc>
          <w:tcPr>
            <w:tcW w:w="1530" w:type="dxa"/>
          </w:tcPr>
          <w:p w14:paraId="42BF0189" w14:textId="77777777" w:rsidR="00CB2E81" w:rsidRPr="008F7A8E" w:rsidRDefault="002D460B" w:rsidP="00D10A52">
            <w:pPr>
              <w:pStyle w:val="Tabletext"/>
              <w:rPr>
                <w:color w:val="000000"/>
              </w:rPr>
            </w:pPr>
            <w:r w:rsidRPr="008F7A8E">
              <w:t>75% = $714.10</w:t>
            </w:r>
            <w:r>
              <w:t xml:space="preserve">; </w:t>
            </w:r>
            <w:r w:rsidRPr="008F7A8E">
              <w:t>85% = $873.70</w:t>
            </w:r>
          </w:p>
        </w:tc>
      </w:tr>
      <w:tr w:rsidR="00CB2E81" w:rsidRPr="008F7A8E" w14:paraId="177049F6" w14:textId="77777777" w:rsidTr="00DC4144">
        <w:tc>
          <w:tcPr>
            <w:tcW w:w="1053" w:type="dxa"/>
            <w:shd w:val="clear" w:color="auto" w:fill="auto"/>
          </w:tcPr>
          <w:p w14:paraId="156D97B3" w14:textId="77777777" w:rsidR="00CB2E81" w:rsidRPr="00DC4144" w:rsidRDefault="00CB2E81" w:rsidP="00D10A52">
            <w:pPr>
              <w:pStyle w:val="Tabletext"/>
              <w:rPr>
                <w:b/>
              </w:rPr>
            </w:pPr>
            <w:r w:rsidRPr="00DC4144">
              <w:rPr>
                <w:b/>
              </w:rPr>
              <w:lastRenderedPageBreak/>
              <w:t>41785</w:t>
            </w:r>
          </w:p>
        </w:tc>
        <w:tc>
          <w:tcPr>
            <w:tcW w:w="4947" w:type="dxa"/>
            <w:shd w:val="clear" w:color="auto" w:fill="auto"/>
          </w:tcPr>
          <w:p w14:paraId="286172D0" w14:textId="77777777" w:rsidR="00CB2E81" w:rsidRPr="008F7A8E" w:rsidRDefault="00CB2E81" w:rsidP="006A406F">
            <w:pPr>
              <w:pStyle w:val="Tabletext"/>
            </w:pPr>
            <w:r w:rsidRPr="008F7A8E">
              <w:t>PARTIAL PHARYNGECTOMY via PHARYNGOTOMY with partial or total glossectomy (</w:t>
            </w:r>
            <w:proofErr w:type="spellStart"/>
            <w:r w:rsidRPr="008F7A8E">
              <w:t>Anaes</w:t>
            </w:r>
            <w:proofErr w:type="spellEnd"/>
            <w:r w:rsidRPr="008F7A8E">
              <w:t xml:space="preserve">.) (Assist.) </w:t>
            </w:r>
          </w:p>
        </w:tc>
        <w:tc>
          <w:tcPr>
            <w:tcW w:w="1530" w:type="dxa"/>
          </w:tcPr>
          <w:p w14:paraId="3D7E65A9" w14:textId="77777777" w:rsidR="00CB2E81" w:rsidRPr="008F7A8E" w:rsidRDefault="002D460B" w:rsidP="00D10A52">
            <w:pPr>
              <w:pStyle w:val="Tabletext"/>
              <w:rPr>
                <w:color w:val="000000"/>
              </w:rPr>
            </w:pPr>
            <w:r w:rsidRPr="008F7A8E">
              <w:t>$1,181.15</w:t>
            </w:r>
          </w:p>
        </w:tc>
        <w:tc>
          <w:tcPr>
            <w:tcW w:w="1530" w:type="dxa"/>
          </w:tcPr>
          <w:p w14:paraId="350EE4E7" w14:textId="77777777" w:rsidR="00CB2E81" w:rsidRPr="008F7A8E" w:rsidRDefault="002D460B" w:rsidP="00D10A52">
            <w:pPr>
              <w:pStyle w:val="Tabletext"/>
              <w:rPr>
                <w:color w:val="000000"/>
              </w:rPr>
            </w:pPr>
            <w:r w:rsidRPr="008F7A8E">
              <w:t>75% = $885.90</w:t>
            </w:r>
          </w:p>
        </w:tc>
      </w:tr>
      <w:tr w:rsidR="00CB2E81" w:rsidRPr="008F7A8E" w14:paraId="7E3A49D9" w14:textId="77777777" w:rsidTr="00DC4144">
        <w:tc>
          <w:tcPr>
            <w:tcW w:w="1053" w:type="dxa"/>
            <w:shd w:val="clear" w:color="auto" w:fill="auto"/>
          </w:tcPr>
          <w:p w14:paraId="49D22640" w14:textId="77777777" w:rsidR="00CB2E81" w:rsidRPr="00DC4144" w:rsidRDefault="00CB2E81" w:rsidP="00D10A52">
            <w:pPr>
              <w:pStyle w:val="Tabletext"/>
              <w:rPr>
                <w:b/>
              </w:rPr>
            </w:pPr>
            <w:r w:rsidRPr="00DC4144">
              <w:rPr>
                <w:b/>
              </w:rPr>
              <w:t>41786</w:t>
            </w:r>
          </w:p>
        </w:tc>
        <w:tc>
          <w:tcPr>
            <w:tcW w:w="4947" w:type="dxa"/>
            <w:shd w:val="clear" w:color="auto" w:fill="auto"/>
          </w:tcPr>
          <w:p w14:paraId="1E1254D2" w14:textId="77777777" w:rsidR="00CB2E81" w:rsidRPr="008F7A8E" w:rsidRDefault="00CB2E81" w:rsidP="006A406F">
            <w:pPr>
              <w:pStyle w:val="Tabletext"/>
            </w:pPr>
            <w:r w:rsidRPr="008F7A8E">
              <w:t>UVULOPALATOPHARYNGOPLASTY, with or without tonsillectomy, by any means (</w:t>
            </w:r>
            <w:proofErr w:type="spellStart"/>
            <w:r w:rsidRPr="008F7A8E">
              <w:t>Anaes</w:t>
            </w:r>
            <w:proofErr w:type="spellEnd"/>
            <w:r w:rsidRPr="008F7A8E">
              <w:t xml:space="preserve">.) (Assist.) </w:t>
            </w:r>
          </w:p>
        </w:tc>
        <w:tc>
          <w:tcPr>
            <w:tcW w:w="1530" w:type="dxa"/>
          </w:tcPr>
          <w:p w14:paraId="404CC186" w14:textId="77777777" w:rsidR="00CB2E81" w:rsidRPr="008F7A8E" w:rsidRDefault="002D460B" w:rsidP="00D10A52">
            <w:pPr>
              <w:pStyle w:val="Tabletext"/>
              <w:rPr>
                <w:color w:val="000000"/>
              </w:rPr>
            </w:pPr>
            <w:r w:rsidRPr="008F7A8E">
              <w:t>$737.00</w:t>
            </w:r>
          </w:p>
        </w:tc>
        <w:tc>
          <w:tcPr>
            <w:tcW w:w="1530" w:type="dxa"/>
          </w:tcPr>
          <w:p w14:paraId="5BA90539" w14:textId="77777777" w:rsidR="00CB2E81" w:rsidRPr="008F7A8E" w:rsidRDefault="002D460B" w:rsidP="00D10A52">
            <w:pPr>
              <w:pStyle w:val="Tabletext"/>
              <w:rPr>
                <w:color w:val="000000"/>
              </w:rPr>
            </w:pPr>
            <w:r w:rsidRPr="008F7A8E">
              <w:t>75% = $552.75</w:t>
            </w:r>
          </w:p>
        </w:tc>
      </w:tr>
      <w:tr w:rsidR="00CB2E81" w:rsidRPr="008F7A8E" w14:paraId="11477B8A" w14:textId="77777777" w:rsidTr="00DC4144">
        <w:tc>
          <w:tcPr>
            <w:tcW w:w="1053" w:type="dxa"/>
            <w:shd w:val="clear" w:color="auto" w:fill="auto"/>
          </w:tcPr>
          <w:p w14:paraId="1D300A7D" w14:textId="77777777" w:rsidR="00CB2E81" w:rsidRPr="00DC4144" w:rsidRDefault="00CB2E81" w:rsidP="00D10A52">
            <w:pPr>
              <w:pStyle w:val="Tabletext"/>
              <w:rPr>
                <w:b/>
              </w:rPr>
            </w:pPr>
            <w:r w:rsidRPr="00DC4144">
              <w:rPr>
                <w:b/>
              </w:rPr>
              <w:t>41787</w:t>
            </w:r>
          </w:p>
        </w:tc>
        <w:tc>
          <w:tcPr>
            <w:tcW w:w="4947" w:type="dxa"/>
            <w:shd w:val="clear" w:color="auto" w:fill="auto"/>
          </w:tcPr>
          <w:p w14:paraId="570F0C3D" w14:textId="77777777" w:rsidR="00CB2E81" w:rsidRPr="008F7A8E" w:rsidRDefault="00CB2E81" w:rsidP="006A406F">
            <w:pPr>
              <w:pStyle w:val="Tabletext"/>
            </w:pPr>
            <w:r w:rsidRPr="008F7A8E">
              <w:t>UVULECTOMY AND PARTIAL PALATECTOMY WITH LASER INCISION OF THE PALATE, with or without tonsillectomy, 1 or more stages, including any revision procedures within 12 months (</w:t>
            </w:r>
            <w:proofErr w:type="spellStart"/>
            <w:r w:rsidRPr="008F7A8E">
              <w:t>Anaes</w:t>
            </w:r>
            <w:proofErr w:type="spellEnd"/>
            <w:r w:rsidRPr="008F7A8E">
              <w:t xml:space="preserve">.) (Assist.) </w:t>
            </w:r>
          </w:p>
        </w:tc>
        <w:tc>
          <w:tcPr>
            <w:tcW w:w="1530" w:type="dxa"/>
          </w:tcPr>
          <w:p w14:paraId="77556E27" w14:textId="77777777" w:rsidR="00CB2E81" w:rsidRPr="008F7A8E" w:rsidRDefault="002D460B" w:rsidP="00D10A52">
            <w:pPr>
              <w:pStyle w:val="Tabletext"/>
              <w:rPr>
                <w:color w:val="000000"/>
              </w:rPr>
            </w:pPr>
            <w:r w:rsidRPr="008F7A8E">
              <w:t>$568.65</w:t>
            </w:r>
          </w:p>
        </w:tc>
        <w:tc>
          <w:tcPr>
            <w:tcW w:w="1530" w:type="dxa"/>
          </w:tcPr>
          <w:p w14:paraId="236FC0E3" w14:textId="77777777" w:rsidR="00CB2E81" w:rsidRPr="008F7A8E" w:rsidRDefault="002D460B" w:rsidP="00D10A52">
            <w:pPr>
              <w:pStyle w:val="Tabletext"/>
              <w:rPr>
                <w:color w:val="000000"/>
              </w:rPr>
            </w:pPr>
            <w:r w:rsidRPr="008F7A8E">
              <w:t>75% = $426.50</w:t>
            </w:r>
            <w:r>
              <w:t xml:space="preserve">; </w:t>
            </w:r>
            <w:r w:rsidRPr="008F7A8E">
              <w:t>85% = $490.25</w:t>
            </w:r>
          </w:p>
        </w:tc>
      </w:tr>
      <w:tr w:rsidR="00CB2E81" w:rsidRPr="008F7A8E" w14:paraId="10DBF085" w14:textId="77777777" w:rsidTr="00DC4144">
        <w:tc>
          <w:tcPr>
            <w:tcW w:w="1053" w:type="dxa"/>
            <w:shd w:val="clear" w:color="auto" w:fill="auto"/>
          </w:tcPr>
          <w:p w14:paraId="7E5B2403" w14:textId="77777777" w:rsidR="00CB2E81" w:rsidRPr="00DC4144" w:rsidRDefault="00CB2E81" w:rsidP="00D10A52">
            <w:pPr>
              <w:pStyle w:val="Tabletext"/>
              <w:rPr>
                <w:b/>
              </w:rPr>
            </w:pPr>
            <w:r w:rsidRPr="00DC4144">
              <w:rPr>
                <w:b/>
              </w:rPr>
              <w:t>41788 G</w:t>
            </w:r>
          </w:p>
        </w:tc>
        <w:tc>
          <w:tcPr>
            <w:tcW w:w="4947" w:type="dxa"/>
            <w:shd w:val="clear" w:color="auto" w:fill="auto"/>
          </w:tcPr>
          <w:p w14:paraId="098180DA" w14:textId="77777777" w:rsidR="00CB2E81" w:rsidRPr="008F7A8E" w:rsidRDefault="00CB2E81" w:rsidP="006A406F">
            <w:pPr>
              <w:pStyle w:val="Tabletext"/>
            </w:pPr>
            <w:r w:rsidRPr="008F7A8E">
              <w:t>TONSILS OR TONSILS AND ADENOIDS, removal of, in a person aged LESS THAN 12 YEARS (</w:t>
            </w:r>
            <w:proofErr w:type="spellStart"/>
            <w:r w:rsidRPr="008F7A8E">
              <w:t>Anaes</w:t>
            </w:r>
            <w:proofErr w:type="spellEnd"/>
            <w:r w:rsidRPr="008F7A8E">
              <w:t xml:space="preserve">.) </w:t>
            </w:r>
          </w:p>
        </w:tc>
        <w:tc>
          <w:tcPr>
            <w:tcW w:w="1530" w:type="dxa"/>
          </w:tcPr>
          <w:p w14:paraId="4838E51D" w14:textId="77777777" w:rsidR="00CB2E81" w:rsidRPr="008F7A8E" w:rsidRDefault="002D460B" w:rsidP="00D10A52">
            <w:pPr>
              <w:pStyle w:val="Tabletext"/>
              <w:rPr>
                <w:color w:val="000000"/>
              </w:rPr>
            </w:pPr>
            <w:r w:rsidRPr="008F7A8E">
              <w:t>$219.95</w:t>
            </w:r>
          </w:p>
        </w:tc>
        <w:tc>
          <w:tcPr>
            <w:tcW w:w="1530" w:type="dxa"/>
          </w:tcPr>
          <w:p w14:paraId="49BA7309" w14:textId="77777777" w:rsidR="00CB2E81" w:rsidRPr="008F7A8E" w:rsidRDefault="002D460B" w:rsidP="00D10A52">
            <w:pPr>
              <w:pStyle w:val="Tabletext"/>
              <w:rPr>
                <w:color w:val="000000"/>
              </w:rPr>
            </w:pPr>
            <w:r w:rsidRPr="008F7A8E">
              <w:t>75% = $165.00</w:t>
            </w:r>
          </w:p>
        </w:tc>
      </w:tr>
      <w:tr w:rsidR="002D460B" w:rsidRPr="008F7A8E" w14:paraId="6C959CE6" w14:textId="77777777" w:rsidTr="00DC4144">
        <w:tc>
          <w:tcPr>
            <w:tcW w:w="1053" w:type="dxa"/>
            <w:shd w:val="clear" w:color="auto" w:fill="auto"/>
          </w:tcPr>
          <w:p w14:paraId="60A6E665" w14:textId="77777777" w:rsidR="002D460B" w:rsidRPr="00DC4144" w:rsidRDefault="002D460B" w:rsidP="00D10A52">
            <w:pPr>
              <w:pStyle w:val="Tabletext"/>
              <w:rPr>
                <w:b/>
              </w:rPr>
            </w:pPr>
            <w:r w:rsidRPr="00DC4144">
              <w:rPr>
                <w:b/>
              </w:rPr>
              <w:t>41789 S</w:t>
            </w:r>
          </w:p>
        </w:tc>
        <w:tc>
          <w:tcPr>
            <w:tcW w:w="4947" w:type="dxa"/>
            <w:shd w:val="clear" w:color="auto" w:fill="auto"/>
          </w:tcPr>
          <w:p w14:paraId="7DE1A6DA" w14:textId="77777777" w:rsidR="002D460B" w:rsidRPr="008F7A8E" w:rsidRDefault="002D460B" w:rsidP="006A406F">
            <w:pPr>
              <w:pStyle w:val="Tabletext"/>
            </w:pPr>
            <w:r w:rsidRPr="008F7A8E">
              <w:t>TONSILS OR TONSILS AND ADENOIDS, removal of, in a person aged LESS THAN 12 YEARS (</w:t>
            </w:r>
            <w:proofErr w:type="spellStart"/>
            <w:r w:rsidRPr="008F7A8E">
              <w:t>Anaes</w:t>
            </w:r>
            <w:proofErr w:type="spellEnd"/>
            <w:r w:rsidRPr="008F7A8E">
              <w:t>.)</w:t>
            </w:r>
          </w:p>
        </w:tc>
        <w:tc>
          <w:tcPr>
            <w:tcW w:w="1530" w:type="dxa"/>
          </w:tcPr>
          <w:p w14:paraId="54CAE431" w14:textId="77777777" w:rsidR="002D460B" w:rsidRPr="008F7A8E" w:rsidRDefault="002D460B" w:rsidP="00D10A52">
            <w:pPr>
              <w:pStyle w:val="Tabletext"/>
              <w:rPr>
                <w:color w:val="000000"/>
              </w:rPr>
            </w:pPr>
            <w:r w:rsidRPr="008F7A8E">
              <w:t>$295.70</w:t>
            </w:r>
          </w:p>
        </w:tc>
        <w:tc>
          <w:tcPr>
            <w:tcW w:w="1530" w:type="dxa"/>
          </w:tcPr>
          <w:p w14:paraId="06A11454" w14:textId="77777777" w:rsidR="002D460B" w:rsidRPr="008F7A8E" w:rsidRDefault="002D460B" w:rsidP="00D10A52">
            <w:pPr>
              <w:pStyle w:val="Tabletext"/>
              <w:rPr>
                <w:color w:val="000000"/>
              </w:rPr>
            </w:pPr>
            <w:r w:rsidRPr="008F7A8E">
              <w:t>75% = $221.80</w:t>
            </w:r>
          </w:p>
        </w:tc>
      </w:tr>
      <w:tr w:rsidR="00CB2E81" w:rsidRPr="008F7A8E" w14:paraId="038543BE" w14:textId="77777777" w:rsidTr="00DC4144">
        <w:tc>
          <w:tcPr>
            <w:tcW w:w="1053" w:type="dxa"/>
            <w:shd w:val="clear" w:color="auto" w:fill="auto"/>
          </w:tcPr>
          <w:p w14:paraId="42B12136" w14:textId="77777777" w:rsidR="00CB2E81" w:rsidRPr="00DC4144" w:rsidRDefault="00CB2E81" w:rsidP="00D10A52">
            <w:pPr>
              <w:pStyle w:val="Tabletext"/>
              <w:rPr>
                <w:b/>
              </w:rPr>
            </w:pPr>
            <w:r w:rsidRPr="00DC4144">
              <w:rPr>
                <w:b/>
              </w:rPr>
              <w:t>41792 G</w:t>
            </w:r>
          </w:p>
        </w:tc>
        <w:tc>
          <w:tcPr>
            <w:tcW w:w="4947" w:type="dxa"/>
            <w:shd w:val="clear" w:color="auto" w:fill="auto"/>
          </w:tcPr>
          <w:p w14:paraId="2053DF9F" w14:textId="77777777" w:rsidR="00CB2E81" w:rsidRPr="008F7A8E" w:rsidRDefault="00CB2E81" w:rsidP="006A406F">
            <w:pPr>
              <w:pStyle w:val="Tabletext"/>
            </w:pPr>
            <w:r w:rsidRPr="008F7A8E">
              <w:t>TONSILS OR TONSILS AND ADENOIDS, removal of, in a person 12 YEARS OF AGE OR OVER (</w:t>
            </w:r>
            <w:proofErr w:type="spellStart"/>
            <w:r w:rsidRPr="008F7A8E">
              <w:t>Anaes</w:t>
            </w:r>
            <w:proofErr w:type="spellEnd"/>
            <w:r w:rsidRPr="008F7A8E">
              <w:t xml:space="preserve">.) </w:t>
            </w:r>
          </w:p>
        </w:tc>
        <w:tc>
          <w:tcPr>
            <w:tcW w:w="1530" w:type="dxa"/>
          </w:tcPr>
          <w:p w14:paraId="4CB6A9C8" w14:textId="77777777" w:rsidR="00CB2E81" w:rsidRPr="008F7A8E" w:rsidRDefault="002D460B" w:rsidP="00D10A52">
            <w:pPr>
              <w:pStyle w:val="Tabletext"/>
              <w:rPr>
                <w:color w:val="000000"/>
              </w:rPr>
            </w:pPr>
            <w:r w:rsidRPr="008F7A8E">
              <w:t>$276.80</w:t>
            </w:r>
          </w:p>
        </w:tc>
        <w:tc>
          <w:tcPr>
            <w:tcW w:w="1530" w:type="dxa"/>
          </w:tcPr>
          <w:p w14:paraId="169C4163" w14:textId="77777777" w:rsidR="00CB2E81" w:rsidRPr="008F7A8E" w:rsidRDefault="002D460B" w:rsidP="00D10A52">
            <w:pPr>
              <w:pStyle w:val="Tabletext"/>
              <w:rPr>
                <w:color w:val="000000"/>
              </w:rPr>
            </w:pPr>
            <w:r w:rsidRPr="008F7A8E">
              <w:t>75% = $207.60</w:t>
            </w:r>
          </w:p>
        </w:tc>
      </w:tr>
      <w:tr w:rsidR="002D460B" w:rsidRPr="008F7A8E" w14:paraId="4DD9B830" w14:textId="77777777" w:rsidTr="00DC4144">
        <w:tc>
          <w:tcPr>
            <w:tcW w:w="1053" w:type="dxa"/>
            <w:shd w:val="clear" w:color="auto" w:fill="auto"/>
          </w:tcPr>
          <w:p w14:paraId="2A847C28" w14:textId="77777777" w:rsidR="002D460B" w:rsidRPr="00DC4144" w:rsidRDefault="002D460B" w:rsidP="00D10A52">
            <w:pPr>
              <w:pStyle w:val="Tabletext"/>
              <w:rPr>
                <w:b/>
              </w:rPr>
            </w:pPr>
            <w:r w:rsidRPr="00DC4144">
              <w:rPr>
                <w:b/>
              </w:rPr>
              <w:t>41793 S</w:t>
            </w:r>
          </w:p>
        </w:tc>
        <w:tc>
          <w:tcPr>
            <w:tcW w:w="4947" w:type="dxa"/>
            <w:shd w:val="clear" w:color="auto" w:fill="auto"/>
          </w:tcPr>
          <w:p w14:paraId="379BE3D9" w14:textId="77777777" w:rsidR="002D460B" w:rsidRPr="008F7A8E" w:rsidRDefault="002D460B" w:rsidP="006A406F">
            <w:pPr>
              <w:pStyle w:val="Tabletext"/>
            </w:pPr>
            <w:r w:rsidRPr="008F7A8E">
              <w:t>TONSILS OR TONSILS AND ADENOIDS, removal of, in a person 12 YEARS OF AGE OR OVER (</w:t>
            </w:r>
            <w:proofErr w:type="spellStart"/>
            <w:r w:rsidRPr="008F7A8E">
              <w:t>Anaes</w:t>
            </w:r>
            <w:proofErr w:type="spellEnd"/>
            <w:r w:rsidRPr="008F7A8E">
              <w:t>.)</w:t>
            </w:r>
          </w:p>
        </w:tc>
        <w:tc>
          <w:tcPr>
            <w:tcW w:w="1530" w:type="dxa"/>
          </w:tcPr>
          <w:p w14:paraId="7280C316" w14:textId="77777777" w:rsidR="002D460B" w:rsidRPr="008F7A8E" w:rsidRDefault="002D460B" w:rsidP="00D10A52">
            <w:pPr>
              <w:pStyle w:val="Tabletext"/>
              <w:rPr>
                <w:color w:val="000000"/>
              </w:rPr>
            </w:pPr>
            <w:r w:rsidRPr="008F7A8E">
              <w:t>$371.50</w:t>
            </w:r>
          </w:p>
        </w:tc>
        <w:tc>
          <w:tcPr>
            <w:tcW w:w="1530" w:type="dxa"/>
          </w:tcPr>
          <w:p w14:paraId="50C9193A" w14:textId="77777777" w:rsidR="002D460B" w:rsidRPr="008F7A8E" w:rsidRDefault="002D460B" w:rsidP="00D10A52">
            <w:pPr>
              <w:pStyle w:val="Tabletext"/>
              <w:rPr>
                <w:color w:val="000000"/>
              </w:rPr>
            </w:pPr>
            <w:r w:rsidRPr="008F7A8E">
              <w:t>75% = $278.65</w:t>
            </w:r>
          </w:p>
        </w:tc>
      </w:tr>
      <w:tr w:rsidR="00CB2E81" w:rsidRPr="008F7A8E" w14:paraId="3C0EC966" w14:textId="77777777" w:rsidTr="00DC4144">
        <w:tc>
          <w:tcPr>
            <w:tcW w:w="1053" w:type="dxa"/>
            <w:shd w:val="clear" w:color="auto" w:fill="auto"/>
          </w:tcPr>
          <w:p w14:paraId="347BD56A" w14:textId="77777777" w:rsidR="00CB2E81" w:rsidRPr="00DC4144" w:rsidRDefault="00CB2E81" w:rsidP="00D10A52">
            <w:pPr>
              <w:pStyle w:val="Tabletext"/>
              <w:rPr>
                <w:b/>
              </w:rPr>
            </w:pPr>
            <w:r w:rsidRPr="00DC4144">
              <w:rPr>
                <w:b/>
              </w:rPr>
              <w:t>41796 G</w:t>
            </w:r>
          </w:p>
        </w:tc>
        <w:tc>
          <w:tcPr>
            <w:tcW w:w="4947" w:type="dxa"/>
            <w:shd w:val="clear" w:color="auto" w:fill="auto"/>
          </w:tcPr>
          <w:p w14:paraId="0DB72465" w14:textId="77777777" w:rsidR="00CB2E81" w:rsidRPr="008F7A8E" w:rsidRDefault="00CB2E81" w:rsidP="006A406F">
            <w:pPr>
              <w:pStyle w:val="Tabletext"/>
            </w:pPr>
            <w:r w:rsidRPr="008F7A8E">
              <w:t>TONSILS OR TONSILS AND ADENOIDS, ARREST OF HAEMORRHAGE requiring general anaesthesia, following removal of (</w:t>
            </w:r>
            <w:proofErr w:type="spellStart"/>
            <w:r w:rsidRPr="008F7A8E">
              <w:t>Anaes</w:t>
            </w:r>
            <w:proofErr w:type="spellEnd"/>
            <w:r w:rsidRPr="008F7A8E">
              <w:t xml:space="preserve">.) </w:t>
            </w:r>
          </w:p>
        </w:tc>
        <w:tc>
          <w:tcPr>
            <w:tcW w:w="1530" w:type="dxa"/>
          </w:tcPr>
          <w:p w14:paraId="45FBE4D9" w14:textId="77777777" w:rsidR="00CB2E81" w:rsidRPr="008F7A8E" w:rsidRDefault="002D460B" w:rsidP="00D10A52">
            <w:pPr>
              <w:pStyle w:val="Tabletext"/>
              <w:rPr>
                <w:color w:val="000000"/>
              </w:rPr>
            </w:pPr>
            <w:r w:rsidRPr="008F7A8E">
              <w:t>$113.70</w:t>
            </w:r>
          </w:p>
        </w:tc>
        <w:tc>
          <w:tcPr>
            <w:tcW w:w="1530" w:type="dxa"/>
          </w:tcPr>
          <w:p w14:paraId="6B872E79" w14:textId="77777777" w:rsidR="00CB2E81" w:rsidRPr="008F7A8E" w:rsidRDefault="002D460B" w:rsidP="00D10A52">
            <w:pPr>
              <w:pStyle w:val="Tabletext"/>
              <w:rPr>
                <w:color w:val="000000"/>
              </w:rPr>
            </w:pPr>
            <w:r w:rsidRPr="008F7A8E">
              <w:t>75% = $85.30</w:t>
            </w:r>
          </w:p>
        </w:tc>
      </w:tr>
      <w:tr w:rsidR="002D460B" w:rsidRPr="008F7A8E" w14:paraId="09466122" w14:textId="77777777" w:rsidTr="00DC4144">
        <w:tc>
          <w:tcPr>
            <w:tcW w:w="1053" w:type="dxa"/>
            <w:shd w:val="clear" w:color="auto" w:fill="auto"/>
          </w:tcPr>
          <w:p w14:paraId="1E512832" w14:textId="77777777" w:rsidR="002D460B" w:rsidRPr="00DC4144" w:rsidRDefault="002D460B" w:rsidP="00D10A52">
            <w:pPr>
              <w:pStyle w:val="Tabletext"/>
              <w:rPr>
                <w:b/>
              </w:rPr>
            </w:pPr>
            <w:r w:rsidRPr="00DC4144">
              <w:rPr>
                <w:b/>
              </w:rPr>
              <w:t>41797 S</w:t>
            </w:r>
          </w:p>
        </w:tc>
        <w:tc>
          <w:tcPr>
            <w:tcW w:w="4947" w:type="dxa"/>
            <w:shd w:val="clear" w:color="auto" w:fill="auto"/>
          </w:tcPr>
          <w:p w14:paraId="2A7FCD59" w14:textId="77777777" w:rsidR="002D460B" w:rsidRPr="008F7A8E" w:rsidRDefault="002D460B" w:rsidP="006A406F">
            <w:pPr>
              <w:pStyle w:val="Tabletext"/>
            </w:pPr>
            <w:r w:rsidRPr="008F7A8E">
              <w:t>TONSILS OR TONSILS AND ADENOIDS, ARREST OF HAEMORRHAGE requiring general anaesthesia, following removal of (</w:t>
            </w:r>
            <w:proofErr w:type="spellStart"/>
            <w:r w:rsidRPr="008F7A8E">
              <w:t>Anaes</w:t>
            </w:r>
            <w:proofErr w:type="spellEnd"/>
            <w:r w:rsidRPr="008F7A8E">
              <w:t>.)</w:t>
            </w:r>
          </w:p>
        </w:tc>
        <w:tc>
          <w:tcPr>
            <w:tcW w:w="1530" w:type="dxa"/>
          </w:tcPr>
          <w:p w14:paraId="03F5983E" w14:textId="77777777" w:rsidR="002D460B" w:rsidRPr="008F7A8E" w:rsidRDefault="002D460B" w:rsidP="00D10A52">
            <w:pPr>
              <w:pStyle w:val="Tabletext"/>
              <w:rPr>
                <w:color w:val="000000"/>
              </w:rPr>
            </w:pPr>
            <w:r w:rsidRPr="008F7A8E">
              <w:t>$144.00</w:t>
            </w:r>
          </w:p>
        </w:tc>
        <w:tc>
          <w:tcPr>
            <w:tcW w:w="1530" w:type="dxa"/>
          </w:tcPr>
          <w:p w14:paraId="7FDE2BE1" w14:textId="77777777" w:rsidR="002D460B" w:rsidRPr="008F7A8E" w:rsidRDefault="002D460B" w:rsidP="00D10A52">
            <w:pPr>
              <w:pStyle w:val="Tabletext"/>
              <w:rPr>
                <w:color w:val="000000"/>
              </w:rPr>
            </w:pPr>
            <w:r w:rsidRPr="008F7A8E">
              <w:t>75% = $108.00</w:t>
            </w:r>
          </w:p>
        </w:tc>
      </w:tr>
      <w:tr w:rsidR="00CB2E81" w:rsidRPr="008F7A8E" w14:paraId="3DA2A48B" w14:textId="77777777" w:rsidTr="00DC4144">
        <w:tc>
          <w:tcPr>
            <w:tcW w:w="1053" w:type="dxa"/>
            <w:shd w:val="clear" w:color="auto" w:fill="auto"/>
          </w:tcPr>
          <w:p w14:paraId="6C091BB5" w14:textId="77777777" w:rsidR="00CB2E81" w:rsidRPr="00DC4144" w:rsidRDefault="00CB2E81" w:rsidP="00D10A52">
            <w:pPr>
              <w:pStyle w:val="Tabletext"/>
              <w:rPr>
                <w:b/>
              </w:rPr>
            </w:pPr>
            <w:r w:rsidRPr="00DC4144">
              <w:rPr>
                <w:b/>
              </w:rPr>
              <w:t>41800 G</w:t>
            </w:r>
          </w:p>
        </w:tc>
        <w:tc>
          <w:tcPr>
            <w:tcW w:w="4947" w:type="dxa"/>
            <w:shd w:val="clear" w:color="auto" w:fill="auto"/>
          </w:tcPr>
          <w:p w14:paraId="3478DE19" w14:textId="77777777" w:rsidR="00CB2E81" w:rsidRPr="008F7A8E" w:rsidRDefault="00CB2E81" w:rsidP="006A406F">
            <w:pPr>
              <w:pStyle w:val="Tabletext"/>
            </w:pPr>
            <w:r w:rsidRPr="008F7A8E">
              <w:t>ADENOIDS, removal of (</w:t>
            </w:r>
            <w:proofErr w:type="spellStart"/>
            <w:r w:rsidRPr="008F7A8E">
              <w:t>Anaes</w:t>
            </w:r>
            <w:proofErr w:type="spellEnd"/>
            <w:r w:rsidRPr="008F7A8E">
              <w:t xml:space="preserve">.) </w:t>
            </w:r>
          </w:p>
        </w:tc>
        <w:tc>
          <w:tcPr>
            <w:tcW w:w="1530" w:type="dxa"/>
          </w:tcPr>
          <w:p w14:paraId="1BED3BED" w14:textId="77777777" w:rsidR="00CB2E81" w:rsidRPr="008F7A8E" w:rsidRDefault="002D460B" w:rsidP="00D10A52">
            <w:pPr>
              <w:pStyle w:val="Tabletext"/>
              <w:rPr>
                <w:color w:val="000000"/>
              </w:rPr>
            </w:pPr>
            <w:r w:rsidRPr="008F7A8E">
              <w:t>$117.55</w:t>
            </w:r>
          </w:p>
        </w:tc>
        <w:tc>
          <w:tcPr>
            <w:tcW w:w="1530" w:type="dxa"/>
          </w:tcPr>
          <w:p w14:paraId="7720BA94" w14:textId="77777777" w:rsidR="00CB2E81" w:rsidRPr="008F7A8E" w:rsidRDefault="002D460B" w:rsidP="00D10A52">
            <w:pPr>
              <w:pStyle w:val="Tabletext"/>
              <w:rPr>
                <w:color w:val="000000"/>
              </w:rPr>
            </w:pPr>
            <w:r w:rsidRPr="008F7A8E">
              <w:t>75% = $88.20</w:t>
            </w:r>
          </w:p>
        </w:tc>
      </w:tr>
      <w:tr w:rsidR="002D460B" w:rsidRPr="008F7A8E" w14:paraId="68FEFD35" w14:textId="77777777" w:rsidTr="00DC4144">
        <w:tc>
          <w:tcPr>
            <w:tcW w:w="1053" w:type="dxa"/>
            <w:shd w:val="clear" w:color="auto" w:fill="auto"/>
          </w:tcPr>
          <w:p w14:paraId="238F4E2D" w14:textId="77777777" w:rsidR="002D460B" w:rsidRPr="00DC4144" w:rsidRDefault="002D460B" w:rsidP="00D10A52">
            <w:pPr>
              <w:pStyle w:val="Tabletext"/>
              <w:rPr>
                <w:b/>
              </w:rPr>
            </w:pPr>
            <w:r w:rsidRPr="00DC4144">
              <w:rPr>
                <w:b/>
              </w:rPr>
              <w:t>41801 S</w:t>
            </w:r>
          </w:p>
        </w:tc>
        <w:tc>
          <w:tcPr>
            <w:tcW w:w="4947" w:type="dxa"/>
            <w:shd w:val="clear" w:color="auto" w:fill="auto"/>
          </w:tcPr>
          <w:p w14:paraId="4BB6DA7B" w14:textId="77777777" w:rsidR="002D460B" w:rsidRPr="008F7A8E" w:rsidRDefault="002D460B" w:rsidP="006A406F">
            <w:pPr>
              <w:pStyle w:val="Tabletext"/>
            </w:pPr>
            <w:r w:rsidRPr="008F7A8E">
              <w:t>ADENOIDS, removal of (</w:t>
            </w:r>
            <w:proofErr w:type="spellStart"/>
            <w:r w:rsidRPr="008F7A8E">
              <w:t>Anaes</w:t>
            </w:r>
            <w:proofErr w:type="spellEnd"/>
            <w:r w:rsidRPr="008F7A8E">
              <w:t>.)</w:t>
            </w:r>
          </w:p>
        </w:tc>
        <w:tc>
          <w:tcPr>
            <w:tcW w:w="1530" w:type="dxa"/>
          </w:tcPr>
          <w:p w14:paraId="40E87B1F" w14:textId="77777777" w:rsidR="002D460B" w:rsidRPr="008F7A8E" w:rsidRDefault="002D460B" w:rsidP="00D10A52">
            <w:pPr>
              <w:pStyle w:val="Tabletext"/>
              <w:rPr>
                <w:color w:val="000000"/>
              </w:rPr>
            </w:pPr>
            <w:r w:rsidRPr="008F7A8E">
              <w:t>$162.95</w:t>
            </w:r>
          </w:p>
        </w:tc>
        <w:tc>
          <w:tcPr>
            <w:tcW w:w="1530" w:type="dxa"/>
          </w:tcPr>
          <w:p w14:paraId="31C83751" w14:textId="77777777" w:rsidR="002D460B" w:rsidRPr="008F7A8E" w:rsidRDefault="002D460B" w:rsidP="00D10A52">
            <w:pPr>
              <w:pStyle w:val="Tabletext"/>
              <w:rPr>
                <w:color w:val="000000"/>
              </w:rPr>
            </w:pPr>
            <w:r w:rsidRPr="008F7A8E">
              <w:t>75% = $122.25</w:t>
            </w:r>
          </w:p>
        </w:tc>
      </w:tr>
      <w:tr w:rsidR="00CB2E81" w:rsidRPr="008F7A8E" w14:paraId="7C4F0A2A" w14:textId="77777777" w:rsidTr="00DC4144">
        <w:tc>
          <w:tcPr>
            <w:tcW w:w="1053" w:type="dxa"/>
            <w:shd w:val="clear" w:color="auto" w:fill="auto"/>
          </w:tcPr>
          <w:p w14:paraId="1944D1D8" w14:textId="77777777" w:rsidR="00CB2E81" w:rsidRPr="00DC4144" w:rsidRDefault="00CB2E81" w:rsidP="00D10A52">
            <w:pPr>
              <w:pStyle w:val="Tabletext"/>
              <w:rPr>
                <w:b/>
              </w:rPr>
            </w:pPr>
            <w:r w:rsidRPr="00DC4144">
              <w:rPr>
                <w:b/>
              </w:rPr>
              <w:t>41804</w:t>
            </w:r>
          </w:p>
        </w:tc>
        <w:tc>
          <w:tcPr>
            <w:tcW w:w="4947" w:type="dxa"/>
            <w:shd w:val="clear" w:color="auto" w:fill="auto"/>
          </w:tcPr>
          <w:p w14:paraId="0032FB0D" w14:textId="77777777" w:rsidR="00CB2E81" w:rsidRPr="008F7A8E" w:rsidRDefault="00CB2E81" w:rsidP="006A406F">
            <w:pPr>
              <w:pStyle w:val="Tabletext"/>
            </w:pPr>
            <w:r w:rsidRPr="008F7A8E">
              <w:t>LINGUAL TONSIL OR LATERAL PHARYNGEAL BANDS, removal of (</w:t>
            </w:r>
            <w:proofErr w:type="spellStart"/>
            <w:r w:rsidRPr="008F7A8E">
              <w:t>Anaes</w:t>
            </w:r>
            <w:proofErr w:type="spellEnd"/>
            <w:r w:rsidRPr="008F7A8E">
              <w:t xml:space="preserve">.) </w:t>
            </w:r>
          </w:p>
        </w:tc>
        <w:tc>
          <w:tcPr>
            <w:tcW w:w="1530" w:type="dxa"/>
          </w:tcPr>
          <w:p w14:paraId="3ED5E250" w14:textId="77777777" w:rsidR="00CB2E81" w:rsidRPr="008F7A8E" w:rsidRDefault="00F463AD" w:rsidP="00D10A52">
            <w:pPr>
              <w:pStyle w:val="Tabletext"/>
              <w:rPr>
                <w:color w:val="000000"/>
              </w:rPr>
            </w:pPr>
            <w:r w:rsidRPr="008F7A8E">
              <w:t>$90.00</w:t>
            </w:r>
          </w:p>
        </w:tc>
        <w:tc>
          <w:tcPr>
            <w:tcW w:w="1530" w:type="dxa"/>
          </w:tcPr>
          <w:p w14:paraId="2E57E092" w14:textId="77777777" w:rsidR="00CB2E81" w:rsidRPr="008F7A8E" w:rsidRDefault="00F463AD" w:rsidP="00D10A52">
            <w:pPr>
              <w:pStyle w:val="Tabletext"/>
              <w:rPr>
                <w:color w:val="000000"/>
              </w:rPr>
            </w:pPr>
            <w:r w:rsidRPr="008F7A8E">
              <w:t>75% = $67.50</w:t>
            </w:r>
          </w:p>
        </w:tc>
      </w:tr>
      <w:tr w:rsidR="00CB2E81" w:rsidRPr="008F7A8E" w14:paraId="50C18543" w14:textId="77777777" w:rsidTr="00DC4144">
        <w:tc>
          <w:tcPr>
            <w:tcW w:w="1053" w:type="dxa"/>
            <w:shd w:val="clear" w:color="auto" w:fill="auto"/>
          </w:tcPr>
          <w:p w14:paraId="7F45F83F" w14:textId="77777777" w:rsidR="00CB2E81" w:rsidRPr="00DC4144" w:rsidRDefault="00CB2E81" w:rsidP="00D10A52">
            <w:pPr>
              <w:pStyle w:val="Tabletext"/>
              <w:rPr>
                <w:b/>
              </w:rPr>
            </w:pPr>
            <w:r w:rsidRPr="00DC4144">
              <w:rPr>
                <w:b/>
              </w:rPr>
              <w:t>41807</w:t>
            </w:r>
          </w:p>
        </w:tc>
        <w:tc>
          <w:tcPr>
            <w:tcW w:w="4947" w:type="dxa"/>
            <w:shd w:val="clear" w:color="auto" w:fill="auto"/>
          </w:tcPr>
          <w:p w14:paraId="3A5186FE" w14:textId="77777777" w:rsidR="00CB2E81" w:rsidRPr="008F7A8E" w:rsidRDefault="00CB2E81" w:rsidP="006A406F">
            <w:pPr>
              <w:pStyle w:val="Tabletext"/>
            </w:pPr>
            <w:r w:rsidRPr="008F7A8E">
              <w:t>PERITONSILLAR ABSCESS (quinsy), incision of (</w:t>
            </w:r>
            <w:proofErr w:type="spellStart"/>
            <w:r w:rsidRPr="008F7A8E">
              <w:t>Anaes</w:t>
            </w:r>
            <w:proofErr w:type="spellEnd"/>
            <w:r w:rsidRPr="008F7A8E">
              <w:t xml:space="preserve">.) </w:t>
            </w:r>
          </w:p>
        </w:tc>
        <w:tc>
          <w:tcPr>
            <w:tcW w:w="1530" w:type="dxa"/>
          </w:tcPr>
          <w:p w14:paraId="64B48CB9" w14:textId="77777777" w:rsidR="00CB2E81" w:rsidRPr="008F7A8E" w:rsidRDefault="00F463AD" w:rsidP="00D10A52">
            <w:pPr>
              <w:pStyle w:val="Tabletext"/>
              <w:rPr>
                <w:color w:val="000000"/>
              </w:rPr>
            </w:pPr>
            <w:r w:rsidRPr="008F7A8E">
              <w:t>$70.10</w:t>
            </w:r>
          </w:p>
        </w:tc>
        <w:tc>
          <w:tcPr>
            <w:tcW w:w="1530" w:type="dxa"/>
          </w:tcPr>
          <w:p w14:paraId="7D8775DC" w14:textId="77777777" w:rsidR="00CB2E81" w:rsidRPr="008F7A8E" w:rsidRDefault="00F463AD" w:rsidP="00D10A52">
            <w:pPr>
              <w:pStyle w:val="Tabletext"/>
              <w:rPr>
                <w:color w:val="000000"/>
              </w:rPr>
            </w:pPr>
            <w:r w:rsidRPr="008F7A8E">
              <w:t>75% = $52.60</w:t>
            </w:r>
            <w:r>
              <w:t xml:space="preserve">; </w:t>
            </w:r>
            <w:r w:rsidRPr="008F7A8E">
              <w:t>85% = $59.60</w:t>
            </w:r>
          </w:p>
        </w:tc>
      </w:tr>
      <w:tr w:rsidR="00CB2E81" w:rsidRPr="008F7A8E" w14:paraId="0083C5D9" w14:textId="77777777" w:rsidTr="00DC4144">
        <w:tc>
          <w:tcPr>
            <w:tcW w:w="1053" w:type="dxa"/>
            <w:shd w:val="clear" w:color="auto" w:fill="auto"/>
          </w:tcPr>
          <w:p w14:paraId="2B223D6C" w14:textId="77777777" w:rsidR="00CB2E81" w:rsidRPr="00DC4144" w:rsidRDefault="00CB2E81" w:rsidP="00D10A52">
            <w:pPr>
              <w:pStyle w:val="Tabletext"/>
              <w:rPr>
                <w:b/>
              </w:rPr>
            </w:pPr>
            <w:r w:rsidRPr="00DC4144">
              <w:rPr>
                <w:b/>
              </w:rPr>
              <w:t>41810</w:t>
            </w:r>
          </w:p>
        </w:tc>
        <w:tc>
          <w:tcPr>
            <w:tcW w:w="4947" w:type="dxa"/>
            <w:shd w:val="clear" w:color="auto" w:fill="auto"/>
          </w:tcPr>
          <w:p w14:paraId="5B9B2928" w14:textId="77777777" w:rsidR="00CB2E81" w:rsidRPr="008F7A8E" w:rsidRDefault="00CB2E81" w:rsidP="006A406F">
            <w:pPr>
              <w:pStyle w:val="Tabletext"/>
            </w:pPr>
            <w:r w:rsidRPr="008F7A8E">
              <w:t>UVULOTOMY or UVULECTOMY (</w:t>
            </w:r>
            <w:proofErr w:type="spellStart"/>
            <w:r w:rsidRPr="008F7A8E">
              <w:t>Anaes</w:t>
            </w:r>
            <w:proofErr w:type="spellEnd"/>
            <w:r w:rsidRPr="008F7A8E">
              <w:t xml:space="preserve">.) </w:t>
            </w:r>
          </w:p>
        </w:tc>
        <w:tc>
          <w:tcPr>
            <w:tcW w:w="1530" w:type="dxa"/>
          </w:tcPr>
          <w:p w14:paraId="6A86C3F6" w14:textId="77777777" w:rsidR="00CB2E81" w:rsidRPr="008F7A8E" w:rsidRDefault="00F463AD" w:rsidP="00D10A52">
            <w:pPr>
              <w:pStyle w:val="Tabletext"/>
              <w:rPr>
                <w:color w:val="000000"/>
              </w:rPr>
            </w:pPr>
            <w:r w:rsidRPr="008F7A8E">
              <w:t>$35.60</w:t>
            </w:r>
          </w:p>
        </w:tc>
        <w:tc>
          <w:tcPr>
            <w:tcW w:w="1530" w:type="dxa"/>
          </w:tcPr>
          <w:p w14:paraId="4F18ABCD" w14:textId="77777777" w:rsidR="00CB2E81" w:rsidRPr="008F7A8E" w:rsidRDefault="00F463AD" w:rsidP="00D10A52">
            <w:pPr>
              <w:pStyle w:val="Tabletext"/>
              <w:rPr>
                <w:color w:val="000000"/>
              </w:rPr>
            </w:pPr>
            <w:r w:rsidRPr="008F7A8E">
              <w:t>75% = $26.70</w:t>
            </w:r>
            <w:r>
              <w:t xml:space="preserve">; </w:t>
            </w:r>
            <w:r w:rsidRPr="008F7A8E">
              <w:t>85% = $30.30</w:t>
            </w:r>
          </w:p>
        </w:tc>
      </w:tr>
      <w:tr w:rsidR="00CB2E81" w:rsidRPr="008F7A8E" w14:paraId="4766C1B4" w14:textId="77777777" w:rsidTr="00DC4144">
        <w:tc>
          <w:tcPr>
            <w:tcW w:w="1053" w:type="dxa"/>
            <w:shd w:val="clear" w:color="auto" w:fill="auto"/>
          </w:tcPr>
          <w:p w14:paraId="5A49B84C" w14:textId="77777777" w:rsidR="00CB2E81" w:rsidRPr="00DC4144" w:rsidRDefault="00CB2E81" w:rsidP="00D10A52">
            <w:pPr>
              <w:pStyle w:val="Tabletext"/>
              <w:rPr>
                <w:b/>
              </w:rPr>
            </w:pPr>
            <w:r w:rsidRPr="00DC4144">
              <w:rPr>
                <w:b/>
              </w:rPr>
              <w:t>41813</w:t>
            </w:r>
          </w:p>
        </w:tc>
        <w:tc>
          <w:tcPr>
            <w:tcW w:w="4947" w:type="dxa"/>
            <w:shd w:val="clear" w:color="auto" w:fill="auto"/>
          </w:tcPr>
          <w:p w14:paraId="59302ABA" w14:textId="77777777" w:rsidR="00CB2E81" w:rsidRPr="008F7A8E" w:rsidRDefault="00CB2E81" w:rsidP="006A406F">
            <w:pPr>
              <w:pStyle w:val="Tabletext"/>
            </w:pPr>
            <w:r w:rsidRPr="008F7A8E">
              <w:t>VALLECULAR OR PHARYNGEAL CYSTS, removal of (</w:t>
            </w:r>
            <w:proofErr w:type="spellStart"/>
            <w:r w:rsidRPr="008F7A8E">
              <w:t>Anaes</w:t>
            </w:r>
            <w:proofErr w:type="spellEnd"/>
            <w:r w:rsidRPr="008F7A8E">
              <w:t xml:space="preserve">.) (Assist.) </w:t>
            </w:r>
          </w:p>
        </w:tc>
        <w:tc>
          <w:tcPr>
            <w:tcW w:w="1530" w:type="dxa"/>
          </w:tcPr>
          <w:p w14:paraId="27E41530" w14:textId="77777777" w:rsidR="00CB2E81" w:rsidRPr="008F7A8E" w:rsidRDefault="00F463AD" w:rsidP="00D10A52">
            <w:pPr>
              <w:pStyle w:val="Tabletext"/>
              <w:rPr>
                <w:color w:val="000000"/>
              </w:rPr>
            </w:pPr>
            <w:r w:rsidRPr="008F7A8E">
              <w:t>$356.35</w:t>
            </w:r>
          </w:p>
        </w:tc>
        <w:tc>
          <w:tcPr>
            <w:tcW w:w="1530" w:type="dxa"/>
          </w:tcPr>
          <w:p w14:paraId="740D9053" w14:textId="77777777" w:rsidR="00CB2E81" w:rsidRPr="008F7A8E" w:rsidRDefault="00F463AD" w:rsidP="00D10A52">
            <w:pPr>
              <w:pStyle w:val="Tabletext"/>
              <w:rPr>
                <w:color w:val="000000"/>
              </w:rPr>
            </w:pPr>
            <w:r w:rsidRPr="008F7A8E">
              <w:t>75% = $267.30</w:t>
            </w:r>
          </w:p>
        </w:tc>
      </w:tr>
      <w:tr w:rsidR="00CB2E81" w:rsidRPr="008F7A8E" w14:paraId="636A6915" w14:textId="77777777" w:rsidTr="00DC4144">
        <w:tc>
          <w:tcPr>
            <w:tcW w:w="1053" w:type="dxa"/>
            <w:shd w:val="clear" w:color="auto" w:fill="auto"/>
          </w:tcPr>
          <w:p w14:paraId="4C21F27A" w14:textId="77777777" w:rsidR="00CB2E81" w:rsidRPr="00DC4144" w:rsidRDefault="00CB2E81" w:rsidP="00D10A52">
            <w:pPr>
              <w:pStyle w:val="Tabletext"/>
              <w:rPr>
                <w:b/>
              </w:rPr>
            </w:pPr>
            <w:r w:rsidRPr="00DC4144">
              <w:rPr>
                <w:b/>
              </w:rPr>
              <w:t>41816</w:t>
            </w:r>
          </w:p>
        </w:tc>
        <w:tc>
          <w:tcPr>
            <w:tcW w:w="4947" w:type="dxa"/>
            <w:shd w:val="clear" w:color="auto" w:fill="auto"/>
          </w:tcPr>
          <w:p w14:paraId="4D60153A" w14:textId="77777777" w:rsidR="00CB2E81" w:rsidRPr="008F7A8E" w:rsidRDefault="00CB2E81" w:rsidP="006A406F">
            <w:pPr>
              <w:pStyle w:val="Tabletext"/>
            </w:pPr>
            <w:r w:rsidRPr="008F7A8E">
              <w:t>OESOPHAGOSCOPY (with rigid oesophagoscope) (</w:t>
            </w:r>
            <w:proofErr w:type="spellStart"/>
            <w:r w:rsidRPr="008F7A8E">
              <w:t>Anaes</w:t>
            </w:r>
            <w:proofErr w:type="spellEnd"/>
            <w:r w:rsidRPr="008F7A8E">
              <w:t xml:space="preserve">.) </w:t>
            </w:r>
          </w:p>
        </w:tc>
        <w:tc>
          <w:tcPr>
            <w:tcW w:w="1530" w:type="dxa"/>
          </w:tcPr>
          <w:p w14:paraId="7A1B22EA" w14:textId="77777777" w:rsidR="00CB2E81" w:rsidRPr="008F7A8E" w:rsidRDefault="00F463AD" w:rsidP="00D10A52">
            <w:pPr>
              <w:pStyle w:val="Tabletext"/>
              <w:rPr>
                <w:color w:val="000000"/>
              </w:rPr>
            </w:pPr>
            <w:r w:rsidRPr="008F7A8E">
              <w:t>$185.60</w:t>
            </w:r>
          </w:p>
        </w:tc>
        <w:tc>
          <w:tcPr>
            <w:tcW w:w="1530" w:type="dxa"/>
          </w:tcPr>
          <w:p w14:paraId="7E176AD5" w14:textId="77777777" w:rsidR="00CB2E81" w:rsidRPr="008F7A8E" w:rsidRDefault="00F463AD" w:rsidP="00D10A52">
            <w:pPr>
              <w:pStyle w:val="Tabletext"/>
              <w:rPr>
                <w:color w:val="000000"/>
              </w:rPr>
            </w:pPr>
            <w:r w:rsidRPr="008F7A8E">
              <w:t>75% = $139.20</w:t>
            </w:r>
            <w:r>
              <w:t xml:space="preserve">; </w:t>
            </w:r>
            <w:r w:rsidRPr="008F7A8E">
              <w:t>85% = $157.80</w:t>
            </w:r>
          </w:p>
        </w:tc>
      </w:tr>
      <w:tr w:rsidR="00CB2E81" w:rsidRPr="008F7A8E" w14:paraId="6E4BFCED" w14:textId="77777777" w:rsidTr="00DC4144">
        <w:tc>
          <w:tcPr>
            <w:tcW w:w="1053" w:type="dxa"/>
            <w:shd w:val="clear" w:color="auto" w:fill="auto"/>
          </w:tcPr>
          <w:p w14:paraId="044E46A4" w14:textId="77777777" w:rsidR="00CB2E81" w:rsidRPr="00DC4144" w:rsidRDefault="00CB2E81" w:rsidP="00D10A52">
            <w:pPr>
              <w:pStyle w:val="Tabletext"/>
              <w:rPr>
                <w:b/>
              </w:rPr>
            </w:pPr>
            <w:r w:rsidRPr="00DC4144">
              <w:rPr>
                <w:b/>
              </w:rPr>
              <w:t>41822</w:t>
            </w:r>
          </w:p>
        </w:tc>
        <w:tc>
          <w:tcPr>
            <w:tcW w:w="4947" w:type="dxa"/>
            <w:shd w:val="clear" w:color="auto" w:fill="auto"/>
          </w:tcPr>
          <w:p w14:paraId="49F8A64B" w14:textId="77777777" w:rsidR="00CB2E81" w:rsidRPr="008F7A8E" w:rsidRDefault="00CB2E81" w:rsidP="006A406F">
            <w:pPr>
              <w:pStyle w:val="Tabletext"/>
            </w:pPr>
            <w:r w:rsidRPr="008F7A8E">
              <w:t>OESOPHAGOSCOPY (with rigid oesophagoscope), with biopsy (</w:t>
            </w:r>
            <w:proofErr w:type="spellStart"/>
            <w:r w:rsidRPr="008F7A8E">
              <w:t>Anaes</w:t>
            </w:r>
            <w:proofErr w:type="spellEnd"/>
            <w:r w:rsidRPr="008F7A8E">
              <w:t xml:space="preserve">.) </w:t>
            </w:r>
          </w:p>
        </w:tc>
        <w:tc>
          <w:tcPr>
            <w:tcW w:w="1530" w:type="dxa"/>
          </w:tcPr>
          <w:p w14:paraId="6310653C" w14:textId="77777777" w:rsidR="00CB2E81" w:rsidRPr="008F7A8E" w:rsidRDefault="00F463AD" w:rsidP="00D10A52">
            <w:pPr>
              <w:pStyle w:val="Tabletext"/>
              <w:rPr>
                <w:color w:val="000000"/>
              </w:rPr>
            </w:pPr>
            <w:r w:rsidRPr="008F7A8E">
              <w:t>$238.80</w:t>
            </w:r>
          </w:p>
        </w:tc>
        <w:tc>
          <w:tcPr>
            <w:tcW w:w="1530" w:type="dxa"/>
          </w:tcPr>
          <w:p w14:paraId="07088E69" w14:textId="77777777" w:rsidR="00CB2E81" w:rsidRPr="008F7A8E" w:rsidRDefault="00F463AD" w:rsidP="00D10A52">
            <w:pPr>
              <w:pStyle w:val="Tabletext"/>
              <w:rPr>
                <w:color w:val="000000"/>
              </w:rPr>
            </w:pPr>
            <w:r w:rsidRPr="008F7A8E">
              <w:t>75% = $179.10</w:t>
            </w:r>
          </w:p>
        </w:tc>
      </w:tr>
      <w:tr w:rsidR="00CB2E81" w:rsidRPr="008F7A8E" w14:paraId="2578A681" w14:textId="77777777" w:rsidTr="00DC4144">
        <w:tc>
          <w:tcPr>
            <w:tcW w:w="1053" w:type="dxa"/>
            <w:shd w:val="clear" w:color="auto" w:fill="auto"/>
          </w:tcPr>
          <w:p w14:paraId="7433056F" w14:textId="77777777" w:rsidR="00CB2E81" w:rsidRPr="00DC4144" w:rsidRDefault="00CB2E81" w:rsidP="00D10A52">
            <w:pPr>
              <w:pStyle w:val="Tabletext"/>
              <w:rPr>
                <w:b/>
              </w:rPr>
            </w:pPr>
            <w:r w:rsidRPr="00DC4144">
              <w:rPr>
                <w:b/>
              </w:rPr>
              <w:t>41825</w:t>
            </w:r>
          </w:p>
        </w:tc>
        <w:tc>
          <w:tcPr>
            <w:tcW w:w="4947" w:type="dxa"/>
            <w:shd w:val="clear" w:color="auto" w:fill="auto"/>
          </w:tcPr>
          <w:p w14:paraId="64645E8B" w14:textId="77777777" w:rsidR="00CB2E81" w:rsidRPr="008F7A8E" w:rsidRDefault="00CB2E81" w:rsidP="006A406F">
            <w:pPr>
              <w:pStyle w:val="Tabletext"/>
            </w:pPr>
            <w:r w:rsidRPr="008F7A8E">
              <w:t>OESOPHAGOSCOPY (with rigid oesophagoscope), with removal of foreign body (</w:t>
            </w:r>
            <w:proofErr w:type="spellStart"/>
            <w:r w:rsidRPr="008F7A8E">
              <w:t>Anaes</w:t>
            </w:r>
            <w:proofErr w:type="spellEnd"/>
            <w:r w:rsidRPr="008F7A8E">
              <w:t xml:space="preserve">.) (Assist.) </w:t>
            </w:r>
          </w:p>
        </w:tc>
        <w:tc>
          <w:tcPr>
            <w:tcW w:w="1530" w:type="dxa"/>
          </w:tcPr>
          <w:p w14:paraId="798BF7FF" w14:textId="77777777" w:rsidR="00CB2E81" w:rsidRPr="008F7A8E" w:rsidRDefault="00F463AD" w:rsidP="00D10A52">
            <w:pPr>
              <w:pStyle w:val="Tabletext"/>
              <w:rPr>
                <w:color w:val="000000"/>
              </w:rPr>
            </w:pPr>
            <w:r w:rsidRPr="008F7A8E">
              <w:t>$356.35</w:t>
            </w:r>
          </w:p>
        </w:tc>
        <w:tc>
          <w:tcPr>
            <w:tcW w:w="1530" w:type="dxa"/>
          </w:tcPr>
          <w:p w14:paraId="09B5FB5C" w14:textId="77777777" w:rsidR="00CB2E81" w:rsidRPr="008F7A8E" w:rsidRDefault="00F463AD" w:rsidP="00D10A52">
            <w:pPr>
              <w:pStyle w:val="Tabletext"/>
              <w:rPr>
                <w:color w:val="000000"/>
              </w:rPr>
            </w:pPr>
            <w:r w:rsidRPr="008F7A8E">
              <w:t>75% = $267.30</w:t>
            </w:r>
          </w:p>
        </w:tc>
      </w:tr>
      <w:tr w:rsidR="00CB2E81" w:rsidRPr="008F7A8E" w14:paraId="0BE12FAD" w14:textId="77777777" w:rsidTr="00DC4144">
        <w:tc>
          <w:tcPr>
            <w:tcW w:w="1053" w:type="dxa"/>
            <w:shd w:val="clear" w:color="auto" w:fill="auto"/>
          </w:tcPr>
          <w:p w14:paraId="2098718A" w14:textId="77777777" w:rsidR="00CB2E81" w:rsidRPr="00DC4144" w:rsidRDefault="00CB2E81" w:rsidP="00D10A52">
            <w:pPr>
              <w:pStyle w:val="Tabletext"/>
              <w:rPr>
                <w:b/>
              </w:rPr>
            </w:pPr>
            <w:r w:rsidRPr="00DC4144">
              <w:rPr>
                <w:b/>
              </w:rPr>
              <w:t>41834</w:t>
            </w:r>
          </w:p>
        </w:tc>
        <w:tc>
          <w:tcPr>
            <w:tcW w:w="4947" w:type="dxa"/>
            <w:shd w:val="clear" w:color="auto" w:fill="auto"/>
          </w:tcPr>
          <w:p w14:paraId="13488A56" w14:textId="77777777" w:rsidR="00CB2E81" w:rsidRPr="008F7A8E" w:rsidRDefault="00CB2E81" w:rsidP="006A406F">
            <w:pPr>
              <w:pStyle w:val="Tabletext"/>
            </w:pPr>
            <w:r w:rsidRPr="008F7A8E">
              <w:t>LARYNGECTOMY (TOTAL) (</w:t>
            </w:r>
            <w:proofErr w:type="spellStart"/>
            <w:r w:rsidRPr="008F7A8E">
              <w:t>Anaes</w:t>
            </w:r>
            <w:proofErr w:type="spellEnd"/>
            <w:r w:rsidRPr="008F7A8E">
              <w:t xml:space="preserve">.) (Assist.) </w:t>
            </w:r>
          </w:p>
        </w:tc>
        <w:tc>
          <w:tcPr>
            <w:tcW w:w="1530" w:type="dxa"/>
          </w:tcPr>
          <w:p w14:paraId="60EFB87E" w14:textId="77777777" w:rsidR="00CB2E81" w:rsidRPr="008F7A8E" w:rsidRDefault="00F463AD" w:rsidP="00D10A52">
            <w:pPr>
              <w:pStyle w:val="Tabletext"/>
              <w:rPr>
                <w:color w:val="000000"/>
              </w:rPr>
            </w:pPr>
            <w:r w:rsidRPr="008F7A8E">
              <w:t>$1,289.15</w:t>
            </w:r>
          </w:p>
        </w:tc>
        <w:tc>
          <w:tcPr>
            <w:tcW w:w="1530" w:type="dxa"/>
          </w:tcPr>
          <w:p w14:paraId="67859CE7" w14:textId="77777777" w:rsidR="00CB2E81" w:rsidRPr="008F7A8E" w:rsidRDefault="00F463AD" w:rsidP="00D10A52">
            <w:pPr>
              <w:pStyle w:val="Tabletext"/>
              <w:rPr>
                <w:color w:val="000000"/>
              </w:rPr>
            </w:pPr>
            <w:r w:rsidRPr="008F7A8E">
              <w:t>75% = $966.90</w:t>
            </w:r>
          </w:p>
        </w:tc>
      </w:tr>
      <w:tr w:rsidR="00CB2E81" w:rsidRPr="008F7A8E" w14:paraId="3A6C15BB" w14:textId="77777777" w:rsidTr="00DC4144">
        <w:tc>
          <w:tcPr>
            <w:tcW w:w="1053" w:type="dxa"/>
            <w:shd w:val="clear" w:color="auto" w:fill="auto"/>
          </w:tcPr>
          <w:p w14:paraId="58EEA696" w14:textId="77777777" w:rsidR="00CB2E81" w:rsidRPr="00DC4144" w:rsidRDefault="00CB2E81" w:rsidP="00D10A52">
            <w:pPr>
              <w:pStyle w:val="Tabletext"/>
              <w:rPr>
                <w:b/>
              </w:rPr>
            </w:pPr>
            <w:r w:rsidRPr="00DC4144">
              <w:rPr>
                <w:b/>
              </w:rPr>
              <w:lastRenderedPageBreak/>
              <w:t>41837</w:t>
            </w:r>
          </w:p>
        </w:tc>
        <w:tc>
          <w:tcPr>
            <w:tcW w:w="4947" w:type="dxa"/>
            <w:shd w:val="clear" w:color="auto" w:fill="auto"/>
          </w:tcPr>
          <w:p w14:paraId="56799ECF" w14:textId="77777777" w:rsidR="00CB2E81" w:rsidRPr="008F7A8E" w:rsidRDefault="00CB2E81" w:rsidP="006A406F">
            <w:pPr>
              <w:pStyle w:val="Tabletext"/>
            </w:pPr>
            <w:r w:rsidRPr="008F7A8E">
              <w:t>VERTICAL HEMILARYNGECTOMY including tracheostomy (</w:t>
            </w:r>
            <w:proofErr w:type="spellStart"/>
            <w:r w:rsidRPr="008F7A8E">
              <w:t>Anaes</w:t>
            </w:r>
            <w:proofErr w:type="spellEnd"/>
            <w:r w:rsidRPr="008F7A8E">
              <w:t xml:space="preserve">.) (Assist.) </w:t>
            </w:r>
          </w:p>
        </w:tc>
        <w:tc>
          <w:tcPr>
            <w:tcW w:w="1530" w:type="dxa"/>
          </w:tcPr>
          <w:p w14:paraId="12CE4EA2" w14:textId="77777777" w:rsidR="00CB2E81" w:rsidRPr="008F7A8E" w:rsidRDefault="00F463AD" w:rsidP="00D10A52">
            <w:pPr>
              <w:pStyle w:val="Tabletext"/>
              <w:rPr>
                <w:color w:val="000000"/>
              </w:rPr>
            </w:pPr>
            <w:r w:rsidRPr="008F7A8E">
              <w:t>$1,236.05</w:t>
            </w:r>
          </w:p>
        </w:tc>
        <w:tc>
          <w:tcPr>
            <w:tcW w:w="1530" w:type="dxa"/>
          </w:tcPr>
          <w:p w14:paraId="0FAB51C1" w14:textId="77777777" w:rsidR="00CB2E81" w:rsidRPr="008F7A8E" w:rsidRDefault="00F463AD" w:rsidP="00D10A52">
            <w:pPr>
              <w:pStyle w:val="Tabletext"/>
              <w:rPr>
                <w:color w:val="000000"/>
              </w:rPr>
            </w:pPr>
            <w:r w:rsidRPr="008F7A8E">
              <w:t>75% = $927.05</w:t>
            </w:r>
          </w:p>
        </w:tc>
      </w:tr>
      <w:tr w:rsidR="00CB2E81" w:rsidRPr="008F7A8E" w14:paraId="33006376" w14:textId="77777777" w:rsidTr="00DC4144">
        <w:tc>
          <w:tcPr>
            <w:tcW w:w="1053" w:type="dxa"/>
            <w:shd w:val="clear" w:color="auto" w:fill="auto"/>
          </w:tcPr>
          <w:p w14:paraId="5F8A7EBF" w14:textId="77777777" w:rsidR="00CB2E81" w:rsidRPr="00DC4144" w:rsidRDefault="00CB2E81" w:rsidP="00D10A52">
            <w:pPr>
              <w:pStyle w:val="Tabletext"/>
              <w:rPr>
                <w:b/>
              </w:rPr>
            </w:pPr>
            <w:r w:rsidRPr="00DC4144">
              <w:rPr>
                <w:b/>
              </w:rPr>
              <w:t>41840</w:t>
            </w:r>
          </w:p>
        </w:tc>
        <w:tc>
          <w:tcPr>
            <w:tcW w:w="4947" w:type="dxa"/>
            <w:shd w:val="clear" w:color="auto" w:fill="auto"/>
          </w:tcPr>
          <w:p w14:paraId="5F2D6117" w14:textId="77777777" w:rsidR="00CB2E81" w:rsidRPr="008F7A8E" w:rsidRDefault="00CB2E81" w:rsidP="006A406F">
            <w:pPr>
              <w:pStyle w:val="Tabletext"/>
            </w:pPr>
            <w:r w:rsidRPr="008F7A8E">
              <w:t>SUPRAGLOTTIC LARYNGECTOMY including tracheostomy (</w:t>
            </w:r>
            <w:proofErr w:type="spellStart"/>
            <w:r w:rsidRPr="008F7A8E">
              <w:t>Anaes</w:t>
            </w:r>
            <w:proofErr w:type="spellEnd"/>
            <w:r w:rsidRPr="008F7A8E">
              <w:t xml:space="preserve">.) (Assist.) </w:t>
            </w:r>
          </w:p>
        </w:tc>
        <w:tc>
          <w:tcPr>
            <w:tcW w:w="1530" w:type="dxa"/>
          </w:tcPr>
          <w:p w14:paraId="6AF2AB49" w14:textId="77777777" w:rsidR="00CB2E81" w:rsidRPr="008F7A8E" w:rsidRDefault="00F463AD" w:rsidP="00D10A52">
            <w:pPr>
              <w:pStyle w:val="Tabletext"/>
              <w:rPr>
                <w:color w:val="000000"/>
              </w:rPr>
            </w:pPr>
            <w:r w:rsidRPr="008F7A8E">
              <w:t>$1,519.80</w:t>
            </w:r>
          </w:p>
        </w:tc>
        <w:tc>
          <w:tcPr>
            <w:tcW w:w="1530" w:type="dxa"/>
          </w:tcPr>
          <w:p w14:paraId="7AA1F9FD" w14:textId="77777777" w:rsidR="00CB2E81" w:rsidRPr="008F7A8E" w:rsidRDefault="00F463AD" w:rsidP="00D10A52">
            <w:pPr>
              <w:pStyle w:val="Tabletext"/>
              <w:rPr>
                <w:color w:val="000000"/>
              </w:rPr>
            </w:pPr>
            <w:r w:rsidRPr="008F7A8E">
              <w:t>75% = $1,139.85</w:t>
            </w:r>
          </w:p>
        </w:tc>
      </w:tr>
      <w:tr w:rsidR="00CB2E81" w:rsidRPr="008F7A8E" w14:paraId="4B0F4ECB" w14:textId="77777777" w:rsidTr="00DC4144">
        <w:tc>
          <w:tcPr>
            <w:tcW w:w="1053" w:type="dxa"/>
            <w:shd w:val="clear" w:color="auto" w:fill="auto"/>
          </w:tcPr>
          <w:p w14:paraId="30F465C8" w14:textId="77777777" w:rsidR="00CB2E81" w:rsidRPr="00DC4144" w:rsidRDefault="00CB2E81" w:rsidP="00D10A52">
            <w:pPr>
              <w:pStyle w:val="Tabletext"/>
              <w:rPr>
                <w:b/>
              </w:rPr>
            </w:pPr>
            <w:r w:rsidRPr="00DC4144">
              <w:rPr>
                <w:b/>
              </w:rPr>
              <w:t>41843</w:t>
            </w:r>
          </w:p>
        </w:tc>
        <w:tc>
          <w:tcPr>
            <w:tcW w:w="4947" w:type="dxa"/>
            <w:shd w:val="clear" w:color="auto" w:fill="auto"/>
          </w:tcPr>
          <w:p w14:paraId="2AF1812D" w14:textId="77777777" w:rsidR="00CB2E81" w:rsidRPr="008F7A8E" w:rsidRDefault="00CB2E81" w:rsidP="006A406F">
            <w:pPr>
              <w:pStyle w:val="Tabletext"/>
            </w:pPr>
            <w:r w:rsidRPr="008F7A8E">
              <w:t xml:space="preserve">LARYNGOPHARYNGECTOMY or PRIMARY RESTORATION OF ALIMENTARY CONTINUITY after </w:t>
            </w:r>
            <w:proofErr w:type="spellStart"/>
            <w:r w:rsidRPr="008F7A8E">
              <w:t>laryngopharyngectomy</w:t>
            </w:r>
            <w:proofErr w:type="spellEnd"/>
            <w:r w:rsidRPr="008F7A8E">
              <w:t xml:space="preserve"> USING STOMACH OR BOWEL (</w:t>
            </w:r>
            <w:proofErr w:type="spellStart"/>
            <w:r w:rsidRPr="008F7A8E">
              <w:t>Anaes</w:t>
            </w:r>
            <w:proofErr w:type="spellEnd"/>
            <w:r w:rsidRPr="008F7A8E">
              <w:t xml:space="preserve">.) (Assist.) </w:t>
            </w:r>
          </w:p>
        </w:tc>
        <w:tc>
          <w:tcPr>
            <w:tcW w:w="1530" w:type="dxa"/>
          </w:tcPr>
          <w:p w14:paraId="0DF554D2" w14:textId="77777777" w:rsidR="00CB2E81" w:rsidRPr="008F7A8E" w:rsidRDefault="00F463AD" w:rsidP="00D10A52">
            <w:pPr>
              <w:pStyle w:val="Tabletext"/>
              <w:rPr>
                <w:color w:val="000000"/>
              </w:rPr>
            </w:pPr>
            <w:r w:rsidRPr="008F7A8E">
              <w:t>$1,336.45</w:t>
            </w:r>
          </w:p>
        </w:tc>
        <w:tc>
          <w:tcPr>
            <w:tcW w:w="1530" w:type="dxa"/>
          </w:tcPr>
          <w:p w14:paraId="17C3BBFB" w14:textId="77777777" w:rsidR="00CB2E81" w:rsidRPr="008F7A8E" w:rsidRDefault="00F463AD" w:rsidP="00D10A52">
            <w:pPr>
              <w:pStyle w:val="Tabletext"/>
              <w:rPr>
                <w:color w:val="000000"/>
              </w:rPr>
            </w:pPr>
            <w:r w:rsidRPr="008F7A8E">
              <w:t>75% = $1,002.35</w:t>
            </w:r>
          </w:p>
        </w:tc>
      </w:tr>
      <w:tr w:rsidR="00CB2E81" w:rsidRPr="008F7A8E" w14:paraId="5BC8CB90" w14:textId="77777777" w:rsidTr="00DC4144">
        <w:tc>
          <w:tcPr>
            <w:tcW w:w="1053" w:type="dxa"/>
            <w:shd w:val="clear" w:color="auto" w:fill="auto"/>
          </w:tcPr>
          <w:p w14:paraId="254EADF2" w14:textId="77777777" w:rsidR="00CB2E81" w:rsidRPr="00DC4144" w:rsidRDefault="00CB2E81" w:rsidP="00D10A52">
            <w:pPr>
              <w:pStyle w:val="Tabletext"/>
              <w:rPr>
                <w:b/>
              </w:rPr>
            </w:pPr>
            <w:r w:rsidRPr="00DC4144">
              <w:rPr>
                <w:b/>
              </w:rPr>
              <w:t>41846</w:t>
            </w:r>
          </w:p>
        </w:tc>
        <w:tc>
          <w:tcPr>
            <w:tcW w:w="4947" w:type="dxa"/>
            <w:shd w:val="clear" w:color="auto" w:fill="auto"/>
          </w:tcPr>
          <w:p w14:paraId="5673DB7A" w14:textId="77777777" w:rsidR="00F463AD" w:rsidRPr="008F7A8E" w:rsidRDefault="00CB2E81" w:rsidP="00FB142B">
            <w:pPr>
              <w:pStyle w:val="Tabletext"/>
            </w:pPr>
            <w:r w:rsidRPr="008F7A8E">
              <w:t xml:space="preserve">LARYNX, direct examination of the supraglottic, glottic and subglottic regions, not being a service associated with any other </w:t>
            </w:r>
            <w:r w:rsidRPr="00D10A52">
              <w:t>procedure</w:t>
            </w:r>
            <w:r w:rsidRPr="008F7A8E">
              <w:t xml:space="preserve"> on the larynx or with the administration of a general anaesthetic (</w:t>
            </w:r>
            <w:proofErr w:type="spellStart"/>
            <w:r w:rsidRPr="008F7A8E">
              <w:t>Anaes</w:t>
            </w:r>
            <w:proofErr w:type="spellEnd"/>
            <w:r w:rsidRPr="008F7A8E">
              <w:t>.)</w:t>
            </w:r>
            <w:r w:rsidR="00F463AD">
              <w:t xml:space="preserve"> </w:t>
            </w:r>
          </w:p>
        </w:tc>
        <w:tc>
          <w:tcPr>
            <w:tcW w:w="1530" w:type="dxa"/>
          </w:tcPr>
          <w:p w14:paraId="35B7CADC" w14:textId="77777777" w:rsidR="00CB2E81" w:rsidRPr="008F7A8E" w:rsidRDefault="00F463AD" w:rsidP="00422EC8">
            <w:pPr>
              <w:pStyle w:val="Tabletext"/>
              <w:rPr>
                <w:color w:val="000000"/>
              </w:rPr>
            </w:pPr>
            <w:r w:rsidRPr="008F7A8E">
              <w:t>$185.60</w:t>
            </w:r>
          </w:p>
        </w:tc>
        <w:tc>
          <w:tcPr>
            <w:tcW w:w="1530" w:type="dxa"/>
          </w:tcPr>
          <w:p w14:paraId="66EE3735" w14:textId="77777777" w:rsidR="00CB2E81" w:rsidRPr="008F7A8E" w:rsidRDefault="00F463AD" w:rsidP="00422EC8">
            <w:pPr>
              <w:pStyle w:val="Tabletext"/>
              <w:rPr>
                <w:color w:val="000000"/>
              </w:rPr>
            </w:pPr>
            <w:r w:rsidRPr="008F7A8E">
              <w:t>75% = $139.20</w:t>
            </w:r>
            <w:r>
              <w:t xml:space="preserve">; </w:t>
            </w:r>
            <w:r w:rsidRPr="008F7A8E">
              <w:t>85% = $157.80</w:t>
            </w:r>
          </w:p>
        </w:tc>
      </w:tr>
      <w:tr w:rsidR="00CB2E81" w:rsidRPr="008F7A8E" w14:paraId="292E0D65" w14:textId="77777777" w:rsidTr="00DC4144">
        <w:tc>
          <w:tcPr>
            <w:tcW w:w="1053" w:type="dxa"/>
            <w:shd w:val="clear" w:color="auto" w:fill="auto"/>
          </w:tcPr>
          <w:p w14:paraId="41362EF3" w14:textId="77777777" w:rsidR="00CB2E81" w:rsidRPr="00DC4144" w:rsidRDefault="00CB2E81" w:rsidP="00D10A52">
            <w:pPr>
              <w:pStyle w:val="Tabletext"/>
              <w:rPr>
                <w:b/>
              </w:rPr>
            </w:pPr>
            <w:r w:rsidRPr="00DC4144">
              <w:rPr>
                <w:b/>
              </w:rPr>
              <w:t>41849</w:t>
            </w:r>
          </w:p>
        </w:tc>
        <w:tc>
          <w:tcPr>
            <w:tcW w:w="4947" w:type="dxa"/>
            <w:shd w:val="clear" w:color="auto" w:fill="auto"/>
          </w:tcPr>
          <w:p w14:paraId="56B3FFBC" w14:textId="77777777" w:rsidR="00CB2E81" w:rsidRPr="008F7A8E" w:rsidRDefault="00CB2E81" w:rsidP="006A406F">
            <w:pPr>
              <w:pStyle w:val="Tabletext"/>
            </w:pPr>
            <w:r w:rsidRPr="008F7A8E">
              <w:t>LARYNX, direct examination of, with biopsy (</w:t>
            </w:r>
            <w:proofErr w:type="spellStart"/>
            <w:r w:rsidRPr="008F7A8E">
              <w:t>Anaes</w:t>
            </w:r>
            <w:proofErr w:type="spellEnd"/>
            <w:r w:rsidRPr="008F7A8E">
              <w:t xml:space="preserve">.) (Assist.) </w:t>
            </w:r>
          </w:p>
        </w:tc>
        <w:tc>
          <w:tcPr>
            <w:tcW w:w="1530" w:type="dxa"/>
          </w:tcPr>
          <w:p w14:paraId="5266B8DF" w14:textId="77777777" w:rsidR="00CB2E81" w:rsidRPr="008F7A8E" w:rsidRDefault="00F463AD" w:rsidP="00D10A52">
            <w:pPr>
              <w:pStyle w:val="Tabletext"/>
              <w:rPr>
                <w:color w:val="000000"/>
              </w:rPr>
            </w:pPr>
            <w:r w:rsidRPr="008F7A8E">
              <w:t>$272.90</w:t>
            </w:r>
          </w:p>
        </w:tc>
        <w:tc>
          <w:tcPr>
            <w:tcW w:w="1530" w:type="dxa"/>
          </w:tcPr>
          <w:p w14:paraId="49CF1A3A" w14:textId="77777777" w:rsidR="00CB2E81" w:rsidRPr="008F7A8E" w:rsidRDefault="00F463AD" w:rsidP="00D10A52">
            <w:pPr>
              <w:pStyle w:val="Tabletext"/>
              <w:rPr>
                <w:color w:val="000000"/>
              </w:rPr>
            </w:pPr>
            <w:r w:rsidRPr="008F7A8E">
              <w:t>75% = $204.70</w:t>
            </w:r>
          </w:p>
        </w:tc>
      </w:tr>
      <w:tr w:rsidR="00CB2E81" w:rsidRPr="008F7A8E" w14:paraId="09E9B422" w14:textId="77777777" w:rsidTr="00DC4144">
        <w:tc>
          <w:tcPr>
            <w:tcW w:w="1053" w:type="dxa"/>
            <w:shd w:val="clear" w:color="auto" w:fill="auto"/>
          </w:tcPr>
          <w:p w14:paraId="66C4ABDD" w14:textId="77777777" w:rsidR="00CB2E81" w:rsidRPr="00DC4144" w:rsidRDefault="00CB2E81" w:rsidP="00D10A52">
            <w:pPr>
              <w:pStyle w:val="Tabletext"/>
              <w:rPr>
                <w:b/>
              </w:rPr>
            </w:pPr>
            <w:r w:rsidRPr="00DC4144">
              <w:rPr>
                <w:b/>
              </w:rPr>
              <w:t>41852</w:t>
            </w:r>
          </w:p>
        </w:tc>
        <w:tc>
          <w:tcPr>
            <w:tcW w:w="4947" w:type="dxa"/>
            <w:shd w:val="clear" w:color="auto" w:fill="auto"/>
          </w:tcPr>
          <w:p w14:paraId="220224C3" w14:textId="77777777" w:rsidR="00CB2E81" w:rsidRPr="008F7A8E" w:rsidRDefault="00CB2E81" w:rsidP="006A406F">
            <w:pPr>
              <w:pStyle w:val="Tabletext"/>
            </w:pPr>
            <w:r w:rsidRPr="008F7A8E">
              <w:t>LARYNX, direct examination of, WITH REMOVAL OF TUMOUR (</w:t>
            </w:r>
            <w:proofErr w:type="spellStart"/>
            <w:r w:rsidRPr="008F7A8E">
              <w:t>Anaes</w:t>
            </w:r>
            <w:proofErr w:type="spellEnd"/>
            <w:r w:rsidRPr="008F7A8E">
              <w:t xml:space="preserve">.) (Assist.) </w:t>
            </w:r>
          </w:p>
        </w:tc>
        <w:tc>
          <w:tcPr>
            <w:tcW w:w="1530" w:type="dxa"/>
          </w:tcPr>
          <w:p w14:paraId="474920C2" w14:textId="77777777" w:rsidR="00CB2E81" w:rsidRPr="008F7A8E" w:rsidRDefault="00F463AD" w:rsidP="00D10A52">
            <w:pPr>
              <w:pStyle w:val="Tabletext"/>
              <w:rPr>
                <w:color w:val="000000"/>
              </w:rPr>
            </w:pPr>
            <w:r w:rsidRPr="008F7A8E">
              <w:t>$295.70</w:t>
            </w:r>
          </w:p>
        </w:tc>
        <w:tc>
          <w:tcPr>
            <w:tcW w:w="1530" w:type="dxa"/>
          </w:tcPr>
          <w:p w14:paraId="5B7A9D19" w14:textId="77777777" w:rsidR="00CB2E81" w:rsidRPr="008F7A8E" w:rsidRDefault="00F463AD" w:rsidP="00D10A52">
            <w:pPr>
              <w:pStyle w:val="Tabletext"/>
              <w:rPr>
                <w:color w:val="000000"/>
              </w:rPr>
            </w:pPr>
            <w:r w:rsidRPr="008F7A8E">
              <w:t>75% = $221.80</w:t>
            </w:r>
          </w:p>
        </w:tc>
      </w:tr>
      <w:tr w:rsidR="00CB2E81" w:rsidRPr="008F7A8E" w14:paraId="5109AEC1" w14:textId="77777777" w:rsidTr="00DC4144">
        <w:tc>
          <w:tcPr>
            <w:tcW w:w="1053" w:type="dxa"/>
            <w:shd w:val="clear" w:color="auto" w:fill="auto"/>
          </w:tcPr>
          <w:p w14:paraId="65B02CFA" w14:textId="77777777" w:rsidR="00CB2E81" w:rsidRPr="00DC4144" w:rsidRDefault="00CB2E81" w:rsidP="00D10A52">
            <w:pPr>
              <w:pStyle w:val="Tabletext"/>
              <w:rPr>
                <w:b/>
              </w:rPr>
            </w:pPr>
            <w:r w:rsidRPr="00DC4144">
              <w:rPr>
                <w:b/>
              </w:rPr>
              <w:t>41855</w:t>
            </w:r>
          </w:p>
        </w:tc>
        <w:tc>
          <w:tcPr>
            <w:tcW w:w="4947" w:type="dxa"/>
            <w:shd w:val="clear" w:color="auto" w:fill="auto"/>
          </w:tcPr>
          <w:p w14:paraId="32BA6E9A" w14:textId="77777777" w:rsidR="00CB2E81" w:rsidRPr="008F7A8E" w:rsidRDefault="00CB2E81" w:rsidP="006A406F">
            <w:pPr>
              <w:pStyle w:val="Tabletext"/>
            </w:pPr>
            <w:r w:rsidRPr="008F7A8E">
              <w:t>MICROLARYNGOSCOPY (</w:t>
            </w:r>
            <w:proofErr w:type="spellStart"/>
            <w:r w:rsidRPr="008F7A8E">
              <w:t>Anaes</w:t>
            </w:r>
            <w:proofErr w:type="spellEnd"/>
            <w:r w:rsidRPr="008F7A8E">
              <w:t xml:space="preserve">.) (Assist.) </w:t>
            </w:r>
          </w:p>
        </w:tc>
        <w:tc>
          <w:tcPr>
            <w:tcW w:w="1530" w:type="dxa"/>
          </w:tcPr>
          <w:p w14:paraId="3531E67C" w14:textId="77777777" w:rsidR="00CB2E81" w:rsidRPr="008F7A8E" w:rsidRDefault="00F463AD" w:rsidP="00D10A52">
            <w:pPr>
              <w:pStyle w:val="Tabletext"/>
              <w:rPr>
                <w:color w:val="000000"/>
              </w:rPr>
            </w:pPr>
            <w:r w:rsidRPr="008F7A8E">
              <w:t>$288.20</w:t>
            </w:r>
          </w:p>
        </w:tc>
        <w:tc>
          <w:tcPr>
            <w:tcW w:w="1530" w:type="dxa"/>
          </w:tcPr>
          <w:p w14:paraId="5663E309" w14:textId="77777777" w:rsidR="00CB2E81" w:rsidRPr="008F7A8E" w:rsidRDefault="00F463AD" w:rsidP="00D10A52">
            <w:pPr>
              <w:pStyle w:val="Tabletext"/>
              <w:rPr>
                <w:color w:val="000000"/>
              </w:rPr>
            </w:pPr>
            <w:r w:rsidRPr="008F7A8E">
              <w:t>75% = $216.15</w:t>
            </w:r>
          </w:p>
        </w:tc>
      </w:tr>
      <w:tr w:rsidR="00CB2E81" w:rsidRPr="008F7A8E" w14:paraId="2E4D9F05" w14:textId="77777777" w:rsidTr="00DC4144">
        <w:tc>
          <w:tcPr>
            <w:tcW w:w="1053" w:type="dxa"/>
            <w:shd w:val="clear" w:color="auto" w:fill="auto"/>
          </w:tcPr>
          <w:p w14:paraId="7B81FDD2" w14:textId="77777777" w:rsidR="00CB2E81" w:rsidRPr="00DC4144" w:rsidRDefault="00CB2E81" w:rsidP="00D10A52">
            <w:pPr>
              <w:pStyle w:val="Tabletext"/>
              <w:rPr>
                <w:b/>
              </w:rPr>
            </w:pPr>
            <w:r w:rsidRPr="00DC4144">
              <w:rPr>
                <w:b/>
              </w:rPr>
              <w:t>41858</w:t>
            </w:r>
          </w:p>
        </w:tc>
        <w:tc>
          <w:tcPr>
            <w:tcW w:w="4947" w:type="dxa"/>
            <w:shd w:val="clear" w:color="auto" w:fill="auto"/>
          </w:tcPr>
          <w:p w14:paraId="44F36E14" w14:textId="77777777" w:rsidR="00F463AD" w:rsidRPr="008F7A8E" w:rsidRDefault="00CB2E81" w:rsidP="00FB142B">
            <w:pPr>
              <w:pStyle w:val="Tabletext"/>
            </w:pPr>
            <w:r w:rsidRPr="008F7A8E">
              <w:t>MICROLARYNGOSCOPY with removal of juvenile papillomata (</w:t>
            </w:r>
            <w:proofErr w:type="spellStart"/>
            <w:r w:rsidRPr="008F7A8E">
              <w:t>Anaes</w:t>
            </w:r>
            <w:proofErr w:type="spellEnd"/>
            <w:r w:rsidRPr="008F7A8E">
              <w:t>.) (Assist.)</w:t>
            </w:r>
            <w:r w:rsidR="00F463AD">
              <w:t xml:space="preserve"> </w:t>
            </w:r>
          </w:p>
        </w:tc>
        <w:tc>
          <w:tcPr>
            <w:tcW w:w="1530" w:type="dxa"/>
          </w:tcPr>
          <w:p w14:paraId="49D2DACB" w14:textId="77777777" w:rsidR="00CB2E81" w:rsidRPr="008F7A8E" w:rsidRDefault="00F463AD" w:rsidP="00422EC8">
            <w:pPr>
              <w:pStyle w:val="Tabletext"/>
              <w:rPr>
                <w:color w:val="000000"/>
              </w:rPr>
            </w:pPr>
            <w:r w:rsidRPr="008F7A8E">
              <w:t>$494.15</w:t>
            </w:r>
          </w:p>
        </w:tc>
        <w:tc>
          <w:tcPr>
            <w:tcW w:w="1530" w:type="dxa"/>
          </w:tcPr>
          <w:p w14:paraId="39207C4E" w14:textId="77777777" w:rsidR="00CB2E81" w:rsidRPr="008F7A8E" w:rsidRDefault="00F463AD" w:rsidP="00422EC8">
            <w:pPr>
              <w:pStyle w:val="Tabletext"/>
              <w:rPr>
                <w:color w:val="000000"/>
              </w:rPr>
            </w:pPr>
            <w:r w:rsidRPr="008F7A8E">
              <w:t>75% = $370.65</w:t>
            </w:r>
          </w:p>
        </w:tc>
      </w:tr>
      <w:tr w:rsidR="00CB2E81" w:rsidRPr="008F7A8E" w14:paraId="02784985" w14:textId="77777777" w:rsidTr="00DC4144">
        <w:tc>
          <w:tcPr>
            <w:tcW w:w="1053" w:type="dxa"/>
            <w:shd w:val="clear" w:color="auto" w:fill="auto"/>
          </w:tcPr>
          <w:p w14:paraId="72DA3EC2" w14:textId="77777777" w:rsidR="00CB2E81" w:rsidRPr="00DC4144" w:rsidRDefault="00CB2E81" w:rsidP="00D10A52">
            <w:pPr>
              <w:pStyle w:val="Tabletext"/>
              <w:rPr>
                <w:b/>
              </w:rPr>
            </w:pPr>
            <w:r w:rsidRPr="00DC4144">
              <w:rPr>
                <w:b/>
              </w:rPr>
              <w:t>41861</w:t>
            </w:r>
          </w:p>
        </w:tc>
        <w:tc>
          <w:tcPr>
            <w:tcW w:w="4947" w:type="dxa"/>
            <w:shd w:val="clear" w:color="auto" w:fill="auto"/>
          </w:tcPr>
          <w:p w14:paraId="39A67E4E" w14:textId="77777777" w:rsidR="00CB2E81" w:rsidRPr="008F7A8E" w:rsidRDefault="00CB2E81" w:rsidP="006A406F">
            <w:pPr>
              <w:pStyle w:val="Tabletext"/>
            </w:pPr>
            <w:r w:rsidRPr="008F7A8E">
              <w:t>MICROLARYNGOSCOPY with removal of benign lesions of the larynx by laser surgery (</w:t>
            </w:r>
            <w:proofErr w:type="spellStart"/>
            <w:r w:rsidRPr="008F7A8E">
              <w:t>Anaes</w:t>
            </w:r>
            <w:proofErr w:type="spellEnd"/>
            <w:r w:rsidRPr="008F7A8E">
              <w:t xml:space="preserve">.) (Assist.) </w:t>
            </w:r>
          </w:p>
        </w:tc>
        <w:tc>
          <w:tcPr>
            <w:tcW w:w="1530" w:type="dxa"/>
          </w:tcPr>
          <w:p w14:paraId="43484A7B" w14:textId="77777777" w:rsidR="00CB2E81" w:rsidRPr="008F7A8E" w:rsidRDefault="00F463AD" w:rsidP="00D10A52">
            <w:pPr>
              <w:pStyle w:val="Tabletext"/>
              <w:rPr>
                <w:color w:val="000000"/>
              </w:rPr>
            </w:pPr>
            <w:r w:rsidRPr="008F7A8E">
              <w:t>$604.30</w:t>
            </w:r>
          </w:p>
        </w:tc>
        <w:tc>
          <w:tcPr>
            <w:tcW w:w="1530" w:type="dxa"/>
          </w:tcPr>
          <w:p w14:paraId="475E29D9" w14:textId="77777777" w:rsidR="00CB2E81" w:rsidRPr="008F7A8E" w:rsidRDefault="00F463AD" w:rsidP="00D10A52">
            <w:pPr>
              <w:pStyle w:val="Tabletext"/>
              <w:rPr>
                <w:color w:val="000000"/>
              </w:rPr>
            </w:pPr>
            <w:r w:rsidRPr="008F7A8E">
              <w:t>75% = $453.25</w:t>
            </w:r>
          </w:p>
        </w:tc>
      </w:tr>
      <w:tr w:rsidR="00CB2E81" w:rsidRPr="008F7A8E" w14:paraId="70E66160" w14:textId="77777777" w:rsidTr="00DC4144">
        <w:tc>
          <w:tcPr>
            <w:tcW w:w="1053" w:type="dxa"/>
            <w:shd w:val="clear" w:color="auto" w:fill="auto"/>
          </w:tcPr>
          <w:p w14:paraId="5BA92511" w14:textId="77777777" w:rsidR="00CB2E81" w:rsidRPr="00DC4144" w:rsidRDefault="00CB2E81" w:rsidP="00D10A52">
            <w:pPr>
              <w:pStyle w:val="Tabletext"/>
              <w:rPr>
                <w:b/>
              </w:rPr>
            </w:pPr>
            <w:r w:rsidRPr="00DC4144">
              <w:rPr>
                <w:b/>
              </w:rPr>
              <w:t>41864</w:t>
            </w:r>
          </w:p>
        </w:tc>
        <w:tc>
          <w:tcPr>
            <w:tcW w:w="4947" w:type="dxa"/>
            <w:shd w:val="clear" w:color="auto" w:fill="auto"/>
          </w:tcPr>
          <w:p w14:paraId="02FFEE66" w14:textId="77777777" w:rsidR="00CB2E81" w:rsidRPr="008F7A8E" w:rsidRDefault="00CB2E81" w:rsidP="006A406F">
            <w:pPr>
              <w:pStyle w:val="Tabletext"/>
            </w:pPr>
            <w:r w:rsidRPr="008F7A8E">
              <w:t>MICROLARYNGOSCOPY WITH REMOVAL OF TUMOUR (</w:t>
            </w:r>
            <w:proofErr w:type="spellStart"/>
            <w:r w:rsidRPr="008F7A8E">
              <w:t>Anaes</w:t>
            </w:r>
            <w:proofErr w:type="spellEnd"/>
            <w:r w:rsidRPr="008F7A8E">
              <w:t xml:space="preserve">.) (Assist.) </w:t>
            </w:r>
          </w:p>
        </w:tc>
        <w:tc>
          <w:tcPr>
            <w:tcW w:w="1530" w:type="dxa"/>
          </w:tcPr>
          <w:p w14:paraId="2F6974C8" w14:textId="77777777" w:rsidR="00CB2E81" w:rsidRPr="008F7A8E" w:rsidRDefault="00F463AD" w:rsidP="00D10A52">
            <w:pPr>
              <w:pStyle w:val="Tabletext"/>
              <w:rPr>
                <w:color w:val="000000"/>
              </w:rPr>
            </w:pPr>
            <w:r w:rsidRPr="008F7A8E">
              <w:t>$407.50</w:t>
            </w:r>
          </w:p>
        </w:tc>
        <w:tc>
          <w:tcPr>
            <w:tcW w:w="1530" w:type="dxa"/>
          </w:tcPr>
          <w:p w14:paraId="7BB1D933" w14:textId="77777777" w:rsidR="00CB2E81" w:rsidRPr="008F7A8E" w:rsidRDefault="00F463AD" w:rsidP="00D10A52">
            <w:pPr>
              <w:pStyle w:val="Tabletext"/>
              <w:rPr>
                <w:color w:val="000000"/>
              </w:rPr>
            </w:pPr>
            <w:r w:rsidRPr="008F7A8E">
              <w:t>75% = $305.65</w:t>
            </w:r>
          </w:p>
        </w:tc>
      </w:tr>
      <w:tr w:rsidR="00CB2E81" w:rsidRPr="008F7A8E" w14:paraId="02F5097A" w14:textId="77777777" w:rsidTr="00DC4144">
        <w:tc>
          <w:tcPr>
            <w:tcW w:w="1053" w:type="dxa"/>
            <w:shd w:val="clear" w:color="auto" w:fill="auto"/>
          </w:tcPr>
          <w:p w14:paraId="513296C9" w14:textId="77777777" w:rsidR="00CB2E81" w:rsidRPr="00DC4144" w:rsidRDefault="00CB2E81" w:rsidP="00D10A52">
            <w:pPr>
              <w:pStyle w:val="Tabletext"/>
              <w:rPr>
                <w:b/>
              </w:rPr>
            </w:pPr>
            <w:r w:rsidRPr="00DC4144">
              <w:rPr>
                <w:b/>
              </w:rPr>
              <w:t>41867</w:t>
            </w:r>
          </w:p>
        </w:tc>
        <w:tc>
          <w:tcPr>
            <w:tcW w:w="4947" w:type="dxa"/>
            <w:shd w:val="clear" w:color="auto" w:fill="auto"/>
          </w:tcPr>
          <w:p w14:paraId="1CCF810D" w14:textId="77777777" w:rsidR="00CB2E81" w:rsidRPr="008F7A8E" w:rsidRDefault="00CB2E81" w:rsidP="006A406F">
            <w:pPr>
              <w:pStyle w:val="Tabletext"/>
            </w:pPr>
            <w:r w:rsidRPr="008F7A8E">
              <w:t xml:space="preserve">MICROLARYNGOSCOPY with </w:t>
            </w:r>
            <w:proofErr w:type="spellStart"/>
            <w:r w:rsidRPr="008F7A8E">
              <w:t>arytenoidectomy</w:t>
            </w:r>
            <w:proofErr w:type="spellEnd"/>
            <w:r w:rsidRPr="008F7A8E">
              <w:t xml:space="preserve"> (</w:t>
            </w:r>
            <w:proofErr w:type="spellStart"/>
            <w:r w:rsidRPr="008F7A8E">
              <w:t>Anaes</w:t>
            </w:r>
            <w:proofErr w:type="spellEnd"/>
            <w:r w:rsidRPr="008F7A8E">
              <w:t xml:space="preserve">.) (Assist.) </w:t>
            </w:r>
          </w:p>
        </w:tc>
        <w:tc>
          <w:tcPr>
            <w:tcW w:w="1530" w:type="dxa"/>
          </w:tcPr>
          <w:p w14:paraId="5F969601" w14:textId="77777777" w:rsidR="00CB2E81" w:rsidRPr="008F7A8E" w:rsidRDefault="00F463AD" w:rsidP="00D10A52">
            <w:pPr>
              <w:pStyle w:val="Tabletext"/>
              <w:rPr>
                <w:color w:val="000000"/>
              </w:rPr>
            </w:pPr>
            <w:r w:rsidRPr="008F7A8E">
              <w:t>$613.40</w:t>
            </w:r>
          </w:p>
        </w:tc>
        <w:tc>
          <w:tcPr>
            <w:tcW w:w="1530" w:type="dxa"/>
          </w:tcPr>
          <w:p w14:paraId="2F058CBD" w14:textId="77777777" w:rsidR="00CB2E81" w:rsidRPr="008F7A8E" w:rsidRDefault="00F463AD" w:rsidP="00D10A52">
            <w:pPr>
              <w:pStyle w:val="Tabletext"/>
              <w:rPr>
                <w:color w:val="000000"/>
              </w:rPr>
            </w:pPr>
            <w:r w:rsidRPr="008F7A8E">
              <w:t>75% = $460.05</w:t>
            </w:r>
          </w:p>
        </w:tc>
      </w:tr>
      <w:tr w:rsidR="00CB2E81" w:rsidRPr="008F7A8E" w14:paraId="3F154156" w14:textId="77777777" w:rsidTr="00DC4144">
        <w:tc>
          <w:tcPr>
            <w:tcW w:w="1053" w:type="dxa"/>
            <w:shd w:val="clear" w:color="auto" w:fill="auto"/>
          </w:tcPr>
          <w:p w14:paraId="0D79467E" w14:textId="77777777" w:rsidR="00CB2E81" w:rsidRPr="00DC4144" w:rsidRDefault="00CB2E81" w:rsidP="00D10A52">
            <w:pPr>
              <w:pStyle w:val="Tabletext"/>
              <w:rPr>
                <w:b/>
              </w:rPr>
            </w:pPr>
            <w:r w:rsidRPr="00DC4144">
              <w:rPr>
                <w:b/>
              </w:rPr>
              <w:t>41868</w:t>
            </w:r>
          </w:p>
        </w:tc>
        <w:tc>
          <w:tcPr>
            <w:tcW w:w="4947" w:type="dxa"/>
            <w:shd w:val="clear" w:color="auto" w:fill="auto"/>
          </w:tcPr>
          <w:p w14:paraId="009219F6" w14:textId="77777777" w:rsidR="00CB2E81" w:rsidRPr="008F7A8E" w:rsidRDefault="00CB2E81" w:rsidP="006A406F">
            <w:pPr>
              <w:pStyle w:val="Tabletext"/>
            </w:pPr>
            <w:r w:rsidRPr="008F7A8E">
              <w:t xml:space="preserve">LARYNGEAL WEB, division of, using </w:t>
            </w:r>
            <w:proofErr w:type="spellStart"/>
            <w:r w:rsidRPr="008F7A8E">
              <w:t>microlarygoscopic</w:t>
            </w:r>
            <w:proofErr w:type="spellEnd"/>
            <w:r w:rsidRPr="008F7A8E">
              <w:t xml:space="preserve"> techniques (</w:t>
            </w:r>
            <w:proofErr w:type="spellStart"/>
            <w:r w:rsidRPr="008F7A8E">
              <w:t>Anaes</w:t>
            </w:r>
            <w:proofErr w:type="spellEnd"/>
            <w:r w:rsidRPr="008F7A8E">
              <w:t xml:space="preserve">.) </w:t>
            </w:r>
          </w:p>
        </w:tc>
        <w:tc>
          <w:tcPr>
            <w:tcW w:w="1530" w:type="dxa"/>
          </w:tcPr>
          <w:p w14:paraId="7FFA8FBC" w14:textId="77777777" w:rsidR="00CB2E81" w:rsidRPr="008F7A8E" w:rsidRDefault="00F463AD" w:rsidP="00D10A52">
            <w:pPr>
              <w:pStyle w:val="Tabletext"/>
              <w:rPr>
                <w:color w:val="000000"/>
              </w:rPr>
            </w:pPr>
            <w:r w:rsidRPr="008F7A8E">
              <w:t>$388.70</w:t>
            </w:r>
          </w:p>
        </w:tc>
        <w:tc>
          <w:tcPr>
            <w:tcW w:w="1530" w:type="dxa"/>
          </w:tcPr>
          <w:p w14:paraId="4A69274B" w14:textId="77777777" w:rsidR="00CB2E81" w:rsidRPr="008F7A8E" w:rsidRDefault="00F463AD" w:rsidP="00D10A52">
            <w:pPr>
              <w:pStyle w:val="Tabletext"/>
              <w:rPr>
                <w:color w:val="000000"/>
              </w:rPr>
            </w:pPr>
            <w:r w:rsidRPr="008F7A8E">
              <w:t>75% = $291.55</w:t>
            </w:r>
          </w:p>
        </w:tc>
      </w:tr>
      <w:tr w:rsidR="00CB2E81" w:rsidRPr="008F7A8E" w14:paraId="0D8D6E0D" w14:textId="77777777" w:rsidTr="00DC4144">
        <w:tc>
          <w:tcPr>
            <w:tcW w:w="1053" w:type="dxa"/>
            <w:shd w:val="clear" w:color="auto" w:fill="auto"/>
          </w:tcPr>
          <w:p w14:paraId="2D7858F5" w14:textId="77777777" w:rsidR="00CB2E81" w:rsidRPr="00DC4144" w:rsidRDefault="00CB2E81" w:rsidP="00D10A52">
            <w:pPr>
              <w:pStyle w:val="Tabletext"/>
              <w:rPr>
                <w:b/>
              </w:rPr>
            </w:pPr>
            <w:r w:rsidRPr="00DC4144">
              <w:rPr>
                <w:b/>
              </w:rPr>
              <w:t>41870</w:t>
            </w:r>
          </w:p>
        </w:tc>
        <w:tc>
          <w:tcPr>
            <w:tcW w:w="4947" w:type="dxa"/>
            <w:shd w:val="clear" w:color="auto" w:fill="auto"/>
          </w:tcPr>
          <w:p w14:paraId="7CF98B3D" w14:textId="77777777" w:rsidR="00CB2E81" w:rsidRPr="008F7A8E" w:rsidRDefault="00CB2E81" w:rsidP="006A406F">
            <w:pPr>
              <w:pStyle w:val="Tabletext"/>
            </w:pPr>
            <w:r w:rsidRPr="008F7A8E">
              <w:t>INJECTION OF VOCAL CORD BY TEFLON, FAT, COLLAGEN OR GELFOAM (</w:t>
            </w:r>
            <w:proofErr w:type="spellStart"/>
            <w:r w:rsidRPr="008F7A8E">
              <w:t>Anaes</w:t>
            </w:r>
            <w:proofErr w:type="spellEnd"/>
            <w:r w:rsidRPr="008F7A8E">
              <w:t xml:space="preserve">.) (Assist.) </w:t>
            </w:r>
          </w:p>
        </w:tc>
        <w:tc>
          <w:tcPr>
            <w:tcW w:w="1530" w:type="dxa"/>
          </w:tcPr>
          <w:p w14:paraId="0C5F9401" w14:textId="77777777" w:rsidR="00CB2E81" w:rsidRPr="008F7A8E" w:rsidRDefault="00F463AD" w:rsidP="00D10A52">
            <w:pPr>
              <w:pStyle w:val="Tabletext"/>
              <w:rPr>
                <w:color w:val="000000"/>
              </w:rPr>
            </w:pPr>
            <w:r w:rsidRPr="008F7A8E">
              <w:t>$454.85</w:t>
            </w:r>
          </w:p>
        </w:tc>
        <w:tc>
          <w:tcPr>
            <w:tcW w:w="1530" w:type="dxa"/>
          </w:tcPr>
          <w:p w14:paraId="49BDB31E" w14:textId="77777777" w:rsidR="00CB2E81" w:rsidRPr="008F7A8E" w:rsidRDefault="00F463AD" w:rsidP="00D10A52">
            <w:pPr>
              <w:pStyle w:val="Tabletext"/>
              <w:rPr>
                <w:color w:val="000000"/>
              </w:rPr>
            </w:pPr>
            <w:r w:rsidRPr="008F7A8E">
              <w:t>75% = $341.15</w:t>
            </w:r>
          </w:p>
        </w:tc>
      </w:tr>
      <w:tr w:rsidR="00CB2E81" w:rsidRPr="008F7A8E" w14:paraId="4F4E4E1B" w14:textId="77777777" w:rsidTr="00DC4144">
        <w:tc>
          <w:tcPr>
            <w:tcW w:w="1053" w:type="dxa"/>
            <w:shd w:val="clear" w:color="auto" w:fill="auto"/>
          </w:tcPr>
          <w:p w14:paraId="05C3AEA2" w14:textId="77777777" w:rsidR="00CB2E81" w:rsidRPr="00DC4144" w:rsidRDefault="00CB2E81" w:rsidP="00D10A52">
            <w:pPr>
              <w:pStyle w:val="Tabletext"/>
              <w:rPr>
                <w:b/>
              </w:rPr>
            </w:pPr>
            <w:r w:rsidRPr="00DC4144">
              <w:rPr>
                <w:b/>
              </w:rPr>
              <w:t>41873</w:t>
            </w:r>
          </w:p>
        </w:tc>
        <w:tc>
          <w:tcPr>
            <w:tcW w:w="4947" w:type="dxa"/>
            <w:shd w:val="clear" w:color="auto" w:fill="auto"/>
          </w:tcPr>
          <w:p w14:paraId="3F0F4263" w14:textId="77777777" w:rsidR="00CB2E81" w:rsidRPr="008F7A8E" w:rsidRDefault="00CB2E81" w:rsidP="006A406F">
            <w:pPr>
              <w:pStyle w:val="Tabletext"/>
            </w:pPr>
            <w:r w:rsidRPr="008F7A8E">
              <w:t>LARYNX, FRACTURED, operation for (</w:t>
            </w:r>
            <w:proofErr w:type="spellStart"/>
            <w:r w:rsidRPr="008F7A8E">
              <w:t>Anaes</w:t>
            </w:r>
            <w:proofErr w:type="spellEnd"/>
            <w:r w:rsidRPr="008F7A8E">
              <w:t xml:space="preserve">.) (Assist.) </w:t>
            </w:r>
          </w:p>
        </w:tc>
        <w:tc>
          <w:tcPr>
            <w:tcW w:w="1530" w:type="dxa"/>
          </w:tcPr>
          <w:p w14:paraId="47729905" w14:textId="77777777" w:rsidR="00CB2E81" w:rsidRPr="008F7A8E" w:rsidRDefault="00F463AD" w:rsidP="00D10A52">
            <w:pPr>
              <w:pStyle w:val="Tabletext"/>
              <w:rPr>
                <w:color w:val="000000"/>
              </w:rPr>
            </w:pPr>
            <w:r w:rsidRPr="008F7A8E">
              <w:t>$587.60</w:t>
            </w:r>
          </w:p>
        </w:tc>
        <w:tc>
          <w:tcPr>
            <w:tcW w:w="1530" w:type="dxa"/>
          </w:tcPr>
          <w:p w14:paraId="1265327B" w14:textId="77777777" w:rsidR="00CB2E81" w:rsidRPr="008F7A8E" w:rsidRDefault="00F463AD" w:rsidP="00D10A52">
            <w:pPr>
              <w:pStyle w:val="Tabletext"/>
              <w:rPr>
                <w:color w:val="000000"/>
              </w:rPr>
            </w:pPr>
            <w:r w:rsidRPr="008F7A8E">
              <w:t>75% = $440.70</w:t>
            </w:r>
            <w:r>
              <w:t xml:space="preserve">; </w:t>
            </w:r>
            <w:r w:rsidRPr="008F7A8E">
              <w:t>85% = $509.20</w:t>
            </w:r>
          </w:p>
        </w:tc>
      </w:tr>
      <w:tr w:rsidR="00CB2E81" w:rsidRPr="008F7A8E" w14:paraId="50075E87" w14:textId="77777777" w:rsidTr="00DC4144">
        <w:tc>
          <w:tcPr>
            <w:tcW w:w="1053" w:type="dxa"/>
            <w:shd w:val="clear" w:color="auto" w:fill="auto"/>
          </w:tcPr>
          <w:p w14:paraId="0A174F35" w14:textId="77777777" w:rsidR="00CB2E81" w:rsidRPr="00DC4144" w:rsidRDefault="00CB2E81" w:rsidP="00D10A52">
            <w:pPr>
              <w:pStyle w:val="Tabletext"/>
              <w:rPr>
                <w:b/>
              </w:rPr>
            </w:pPr>
            <w:r w:rsidRPr="00DC4144">
              <w:rPr>
                <w:b/>
              </w:rPr>
              <w:t>41876</w:t>
            </w:r>
          </w:p>
        </w:tc>
        <w:tc>
          <w:tcPr>
            <w:tcW w:w="4947" w:type="dxa"/>
            <w:shd w:val="clear" w:color="auto" w:fill="auto"/>
          </w:tcPr>
          <w:p w14:paraId="3B465F39" w14:textId="77777777" w:rsidR="00CB2E81" w:rsidRPr="008F7A8E" w:rsidRDefault="00CB2E81" w:rsidP="006A406F">
            <w:pPr>
              <w:pStyle w:val="Tabletext"/>
            </w:pPr>
            <w:r w:rsidRPr="008F7A8E">
              <w:t>LARYNX, external operation on, OR LARYNGOFISSURE with or without cordectomy (</w:t>
            </w:r>
            <w:proofErr w:type="spellStart"/>
            <w:r w:rsidRPr="008F7A8E">
              <w:t>Anaes</w:t>
            </w:r>
            <w:proofErr w:type="spellEnd"/>
            <w:r w:rsidRPr="008F7A8E">
              <w:t xml:space="preserve">.) (Assist.) </w:t>
            </w:r>
          </w:p>
        </w:tc>
        <w:tc>
          <w:tcPr>
            <w:tcW w:w="1530" w:type="dxa"/>
          </w:tcPr>
          <w:p w14:paraId="15BFE5AD" w14:textId="77777777" w:rsidR="00CB2E81" w:rsidRPr="008F7A8E" w:rsidRDefault="00F463AD" w:rsidP="00D10A52">
            <w:pPr>
              <w:pStyle w:val="Tabletext"/>
              <w:rPr>
                <w:color w:val="000000"/>
              </w:rPr>
            </w:pPr>
            <w:r w:rsidRPr="008F7A8E">
              <w:t>$587.60</w:t>
            </w:r>
          </w:p>
        </w:tc>
        <w:tc>
          <w:tcPr>
            <w:tcW w:w="1530" w:type="dxa"/>
          </w:tcPr>
          <w:p w14:paraId="7DDADAC3" w14:textId="77777777" w:rsidR="00CB2E81" w:rsidRPr="008F7A8E" w:rsidRDefault="00F463AD" w:rsidP="00D10A52">
            <w:pPr>
              <w:pStyle w:val="Tabletext"/>
              <w:rPr>
                <w:color w:val="000000"/>
              </w:rPr>
            </w:pPr>
            <w:r w:rsidRPr="008F7A8E">
              <w:t>75% = $440.70</w:t>
            </w:r>
            <w:r>
              <w:t xml:space="preserve">; </w:t>
            </w:r>
            <w:r w:rsidRPr="008F7A8E">
              <w:t>85% = $509.20</w:t>
            </w:r>
          </w:p>
        </w:tc>
      </w:tr>
      <w:tr w:rsidR="00CB2E81" w:rsidRPr="008F7A8E" w14:paraId="389A7CD0" w14:textId="77777777" w:rsidTr="00DC4144">
        <w:tc>
          <w:tcPr>
            <w:tcW w:w="1053" w:type="dxa"/>
            <w:shd w:val="clear" w:color="auto" w:fill="auto"/>
          </w:tcPr>
          <w:p w14:paraId="45C24C44" w14:textId="77777777" w:rsidR="00CB2E81" w:rsidRPr="00DC4144" w:rsidRDefault="00CB2E81" w:rsidP="00D10A52">
            <w:pPr>
              <w:pStyle w:val="Tabletext"/>
              <w:rPr>
                <w:b/>
              </w:rPr>
            </w:pPr>
            <w:r w:rsidRPr="00DC4144">
              <w:rPr>
                <w:b/>
              </w:rPr>
              <w:t>41879</w:t>
            </w:r>
          </w:p>
        </w:tc>
        <w:tc>
          <w:tcPr>
            <w:tcW w:w="4947" w:type="dxa"/>
            <w:shd w:val="clear" w:color="auto" w:fill="auto"/>
          </w:tcPr>
          <w:p w14:paraId="49F4A3C5" w14:textId="77777777" w:rsidR="00CB2E81" w:rsidRPr="008F7A8E" w:rsidRDefault="00CB2E81" w:rsidP="006A406F">
            <w:pPr>
              <w:pStyle w:val="Tabletext"/>
            </w:pPr>
            <w:r w:rsidRPr="008F7A8E">
              <w:t>LARYNGOPLASTY or TRACHEOPLASTY, including tracheostomy (</w:t>
            </w:r>
            <w:proofErr w:type="spellStart"/>
            <w:r w:rsidRPr="008F7A8E">
              <w:t>Anaes</w:t>
            </w:r>
            <w:proofErr w:type="spellEnd"/>
            <w:r w:rsidRPr="008F7A8E">
              <w:t xml:space="preserve">.) (Assist.) </w:t>
            </w:r>
          </w:p>
        </w:tc>
        <w:tc>
          <w:tcPr>
            <w:tcW w:w="1530" w:type="dxa"/>
          </w:tcPr>
          <w:p w14:paraId="493B98F4" w14:textId="77777777" w:rsidR="00CB2E81" w:rsidRPr="008F7A8E" w:rsidRDefault="00F463AD" w:rsidP="00D10A52">
            <w:pPr>
              <w:pStyle w:val="Tabletext"/>
              <w:rPr>
                <w:color w:val="000000"/>
              </w:rPr>
            </w:pPr>
            <w:r w:rsidRPr="008F7A8E">
              <w:t>$952.10</w:t>
            </w:r>
          </w:p>
        </w:tc>
        <w:tc>
          <w:tcPr>
            <w:tcW w:w="1530" w:type="dxa"/>
          </w:tcPr>
          <w:p w14:paraId="0E67A10F" w14:textId="77777777" w:rsidR="00CB2E81" w:rsidRPr="008F7A8E" w:rsidRDefault="00F463AD" w:rsidP="00D10A52">
            <w:pPr>
              <w:pStyle w:val="Tabletext"/>
              <w:rPr>
                <w:color w:val="000000"/>
              </w:rPr>
            </w:pPr>
            <w:r w:rsidRPr="008F7A8E">
              <w:t>75% = $714.10</w:t>
            </w:r>
          </w:p>
        </w:tc>
      </w:tr>
      <w:tr w:rsidR="00CB2E81" w:rsidRPr="008F7A8E" w14:paraId="13529353" w14:textId="77777777" w:rsidTr="00DC4144">
        <w:tc>
          <w:tcPr>
            <w:tcW w:w="1053" w:type="dxa"/>
            <w:shd w:val="clear" w:color="auto" w:fill="auto"/>
          </w:tcPr>
          <w:p w14:paraId="19B31287" w14:textId="77777777" w:rsidR="00CB2E81" w:rsidRPr="00DC4144" w:rsidRDefault="00CB2E81" w:rsidP="00D10A52">
            <w:pPr>
              <w:pStyle w:val="Tabletext"/>
              <w:rPr>
                <w:b/>
              </w:rPr>
            </w:pPr>
            <w:r w:rsidRPr="00DC4144">
              <w:rPr>
                <w:b/>
              </w:rPr>
              <w:t>41880</w:t>
            </w:r>
          </w:p>
        </w:tc>
        <w:tc>
          <w:tcPr>
            <w:tcW w:w="4947" w:type="dxa"/>
            <w:shd w:val="clear" w:color="auto" w:fill="auto"/>
          </w:tcPr>
          <w:p w14:paraId="05DA8C27" w14:textId="77777777" w:rsidR="00CB2E81" w:rsidRPr="008F7A8E" w:rsidRDefault="00CB2E81" w:rsidP="006A406F">
            <w:pPr>
              <w:pStyle w:val="Tabletext"/>
            </w:pPr>
            <w:r w:rsidRPr="008F7A8E">
              <w:t>TRACHEOSTOMY by a percutaneous technique using sequential dilatation or partial splitting method to allow insertion of a cuffed tracheostomy tube (</w:t>
            </w:r>
            <w:proofErr w:type="spellStart"/>
            <w:r w:rsidRPr="008F7A8E">
              <w:t>Anaes</w:t>
            </w:r>
            <w:proofErr w:type="spellEnd"/>
            <w:r w:rsidRPr="008F7A8E">
              <w:t xml:space="preserve">.) </w:t>
            </w:r>
          </w:p>
        </w:tc>
        <w:tc>
          <w:tcPr>
            <w:tcW w:w="1530" w:type="dxa"/>
          </w:tcPr>
          <w:p w14:paraId="2C3F761B" w14:textId="77777777" w:rsidR="00CB2E81" w:rsidRPr="008F7A8E" w:rsidRDefault="00F463AD" w:rsidP="00D10A52">
            <w:pPr>
              <w:pStyle w:val="Tabletext"/>
              <w:rPr>
                <w:color w:val="000000"/>
              </w:rPr>
            </w:pPr>
            <w:r w:rsidRPr="008F7A8E">
              <w:t>$254.15</w:t>
            </w:r>
          </w:p>
        </w:tc>
        <w:tc>
          <w:tcPr>
            <w:tcW w:w="1530" w:type="dxa"/>
          </w:tcPr>
          <w:p w14:paraId="19A2BDA8" w14:textId="77777777" w:rsidR="00CB2E81" w:rsidRPr="008F7A8E" w:rsidRDefault="00F463AD" w:rsidP="00D10A52">
            <w:pPr>
              <w:pStyle w:val="Tabletext"/>
              <w:rPr>
                <w:color w:val="000000"/>
              </w:rPr>
            </w:pPr>
            <w:r w:rsidRPr="008F7A8E">
              <w:t>75% = $190.65</w:t>
            </w:r>
          </w:p>
        </w:tc>
      </w:tr>
      <w:tr w:rsidR="00CB2E81" w:rsidRPr="008F7A8E" w14:paraId="62710290" w14:textId="77777777" w:rsidTr="00DC4144">
        <w:tc>
          <w:tcPr>
            <w:tcW w:w="1053" w:type="dxa"/>
            <w:shd w:val="clear" w:color="auto" w:fill="auto"/>
          </w:tcPr>
          <w:p w14:paraId="61EAA0F4" w14:textId="77777777" w:rsidR="00CB2E81" w:rsidRPr="00DC4144" w:rsidRDefault="00CB2E81" w:rsidP="00D10A52">
            <w:pPr>
              <w:pStyle w:val="Tabletext"/>
              <w:rPr>
                <w:b/>
              </w:rPr>
            </w:pPr>
            <w:r w:rsidRPr="00DC4144">
              <w:rPr>
                <w:b/>
              </w:rPr>
              <w:lastRenderedPageBreak/>
              <w:t>41881</w:t>
            </w:r>
          </w:p>
        </w:tc>
        <w:tc>
          <w:tcPr>
            <w:tcW w:w="4947" w:type="dxa"/>
            <w:shd w:val="clear" w:color="auto" w:fill="auto"/>
          </w:tcPr>
          <w:p w14:paraId="012DADA0" w14:textId="77777777" w:rsidR="00CB2E81" w:rsidRPr="008F7A8E" w:rsidRDefault="00CB2E81" w:rsidP="006A406F">
            <w:pPr>
              <w:pStyle w:val="Tabletext"/>
            </w:pPr>
            <w:r w:rsidRPr="008F7A8E">
              <w:t>TRACHEOSTOMY by open exposure of the trachea, including separation of the strap muscles or division of the thyroid isthmus, where performed (</w:t>
            </w:r>
            <w:proofErr w:type="spellStart"/>
            <w:r w:rsidRPr="008F7A8E">
              <w:t>Anaes</w:t>
            </w:r>
            <w:proofErr w:type="spellEnd"/>
            <w:r w:rsidRPr="008F7A8E">
              <w:t xml:space="preserve">.) (Assist.) </w:t>
            </w:r>
          </w:p>
        </w:tc>
        <w:tc>
          <w:tcPr>
            <w:tcW w:w="1530" w:type="dxa"/>
          </w:tcPr>
          <w:p w14:paraId="506A85B3" w14:textId="77777777" w:rsidR="00CB2E81" w:rsidRPr="008F7A8E" w:rsidRDefault="00F463AD" w:rsidP="00D10A52">
            <w:pPr>
              <w:pStyle w:val="Tabletext"/>
              <w:rPr>
                <w:color w:val="000000"/>
              </w:rPr>
            </w:pPr>
            <w:r w:rsidRPr="008F7A8E">
              <w:t>$401.75</w:t>
            </w:r>
          </w:p>
        </w:tc>
        <w:tc>
          <w:tcPr>
            <w:tcW w:w="1530" w:type="dxa"/>
          </w:tcPr>
          <w:p w14:paraId="2198152C" w14:textId="77777777" w:rsidR="00CB2E81" w:rsidRPr="008F7A8E" w:rsidRDefault="00F463AD" w:rsidP="00D10A52">
            <w:pPr>
              <w:pStyle w:val="Tabletext"/>
              <w:rPr>
                <w:color w:val="000000"/>
              </w:rPr>
            </w:pPr>
            <w:r w:rsidRPr="008F7A8E">
              <w:t>75% = $301.35</w:t>
            </w:r>
          </w:p>
        </w:tc>
      </w:tr>
      <w:tr w:rsidR="00CB2E81" w:rsidRPr="008F7A8E" w14:paraId="09989FA7" w14:textId="77777777" w:rsidTr="00DC4144">
        <w:tc>
          <w:tcPr>
            <w:tcW w:w="1053" w:type="dxa"/>
            <w:tcBorders>
              <w:bottom w:val="single" w:sz="4" w:space="0" w:color="B5601D"/>
            </w:tcBorders>
            <w:shd w:val="clear" w:color="auto" w:fill="auto"/>
          </w:tcPr>
          <w:p w14:paraId="247C3664" w14:textId="77777777" w:rsidR="00CB2E81" w:rsidRPr="0000062D" w:rsidRDefault="00CB2E81" w:rsidP="0000062D">
            <w:pPr>
              <w:pStyle w:val="Tabletext"/>
              <w:rPr>
                <w:b/>
              </w:rPr>
            </w:pPr>
            <w:r w:rsidRPr="0000062D">
              <w:rPr>
                <w:b/>
              </w:rPr>
              <w:t>41884</w:t>
            </w:r>
          </w:p>
        </w:tc>
        <w:tc>
          <w:tcPr>
            <w:tcW w:w="4947" w:type="dxa"/>
            <w:tcBorders>
              <w:bottom w:val="single" w:sz="4" w:space="0" w:color="B5601D"/>
            </w:tcBorders>
            <w:shd w:val="clear" w:color="auto" w:fill="auto"/>
          </w:tcPr>
          <w:p w14:paraId="4C3F5944" w14:textId="77777777" w:rsidR="00997758" w:rsidRPr="002A1D98" w:rsidRDefault="00CB2E81" w:rsidP="002A1D98">
            <w:pPr>
              <w:pStyle w:val="Tabletext"/>
              <w:rPr>
                <w:b/>
              </w:rPr>
            </w:pPr>
            <w:r w:rsidRPr="008F7A8E">
              <w:t xml:space="preserve">CRICOTHYROSTOMY by direct stab or </w:t>
            </w:r>
            <w:proofErr w:type="spellStart"/>
            <w:r w:rsidRPr="008F7A8E">
              <w:t>Seldinger</w:t>
            </w:r>
            <w:proofErr w:type="spellEnd"/>
            <w:r w:rsidRPr="008F7A8E">
              <w:t xml:space="preserve"> technique, using mini tracheostomy device (</w:t>
            </w:r>
            <w:proofErr w:type="spellStart"/>
            <w:r w:rsidRPr="008F7A8E">
              <w:t>Anaes</w:t>
            </w:r>
            <w:proofErr w:type="spellEnd"/>
            <w:r w:rsidRPr="008F7A8E">
              <w:t>.)</w:t>
            </w:r>
            <w:r w:rsidR="00F463AD">
              <w:t xml:space="preserve"> </w:t>
            </w:r>
          </w:p>
        </w:tc>
        <w:tc>
          <w:tcPr>
            <w:tcW w:w="1530" w:type="dxa"/>
            <w:tcBorders>
              <w:bottom w:val="single" w:sz="4" w:space="0" w:color="B5601D"/>
            </w:tcBorders>
          </w:tcPr>
          <w:p w14:paraId="355075B9" w14:textId="77777777" w:rsidR="00CB2E81" w:rsidRPr="008F7A8E" w:rsidRDefault="00F463AD" w:rsidP="00422EC8">
            <w:pPr>
              <w:pStyle w:val="Tabletext"/>
              <w:rPr>
                <w:color w:val="000000"/>
              </w:rPr>
            </w:pPr>
            <w:r w:rsidRPr="008F7A8E">
              <w:t>$91.05</w:t>
            </w:r>
          </w:p>
        </w:tc>
        <w:tc>
          <w:tcPr>
            <w:tcW w:w="1530" w:type="dxa"/>
            <w:tcBorders>
              <w:bottom w:val="single" w:sz="4" w:space="0" w:color="B5601D"/>
            </w:tcBorders>
          </w:tcPr>
          <w:p w14:paraId="6AC102E3" w14:textId="77777777" w:rsidR="00CB2E81" w:rsidRPr="008F7A8E" w:rsidRDefault="00F463AD" w:rsidP="00422EC8">
            <w:pPr>
              <w:pStyle w:val="Tabletext"/>
              <w:rPr>
                <w:color w:val="000000"/>
              </w:rPr>
            </w:pPr>
            <w:r w:rsidRPr="008F7A8E">
              <w:t>75% = $68.30</w:t>
            </w:r>
          </w:p>
        </w:tc>
      </w:tr>
      <w:tr w:rsidR="00CB2E81" w:rsidRPr="008F7A8E" w14:paraId="59A3DA0C" w14:textId="77777777" w:rsidTr="00DC4144">
        <w:tc>
          <w:tcPr>
            <w:tcW w:w="1053" w:type="dxa"/>
            <w:tcBorders>
              <w:top w:val="single" w:sz="4" w:space="0" w:color="B5601D"/>
            </w:tcBorders>
            <w:shd w:val="clear" w:color="auto" w:fill="auto"/>
          </w:tcPr>
          <w:p w14:paraId="3F316D56" w14:textId="77777777" w:rsidR="00CB2E81" w:rsidRPr="00DC4144" w:rsidRDefault="00CB2E81" w:rsidP="00D10A52">
            <w:pPr>
              <w:pStyle w:val="Tabletext"/>
              <w:rPr>
                <w:b/>
              </w:rPr>
            </w:pPr>
            <w:r w:rsidRPr="00DC4144">
              <w:rPr>
                <w:b/>
              </w:rPr>
              <w:t>41885</w:t>
            </w:r>
          </w:p>
        </w:tc>
        <w:tc>
          <w:tcPr>
            <w:tcW w:w="4947" w:type="dxa"/>
            <w:tcBorders>
              <w:top w:val="single" w:sz="4" w:space="0" w:color="B5601D"/>
            </w:tcBorders>
            <w:shd w:val="clear" w:color="auto" w:fill="auto"/>
          </w:tcPr>
          <w:p w14:paraId="663C4166" w14:textId="77777777" w:rsidR="00CB2E81" w:rsidRPr="008F7A8E" w:rsidRDefault="00CB2E81" w:rsidP="006A406F">
            <w:pPr>
              <w:pStyle w:val="Tabletext"/>
            </w:pPr>
            <w:r w:rsidRPr="008F7A8E">
              <w:t>TRACHE-OESOPHAGEAL FISTULA, formation of, as a secondary procedure following laryngectomy, including associated endoscopic procedures (</w:t>
            </w:r>
            <w:proofErr w:type="spellStart"/>
            <w:r w:rsidRPr="008F7A8E">
              <w:t>Anaes</w:t>
            </w:r>
            <w:proofErr w:type="spellEnd"/>
            <w:r w:rsidRPr="008F7A8E">
              <w:t xml:space="preserve">.) (Assist.) </w:t>
            </w:r>
          </w:p>
        </w:tc>
        <w:tc>
          <w:tcPr>
            <w:tcW w:w="1530" w:type="dxa"/>
            <w:tcBorders>
              <w:top w:val="single" w:sz="4" w:space="0" w:color="B5601D"/>
            </w:tcBorders>
          </w:tcPr>
          <w:p w14:paraId="30A5D8FF" w14:textId="77777777" w:rsidR="00CB2E81" w:rsidRPr="008F7A8E" w:rsidRDefault="00F463AD" w:rsidP="00D10A52">
            <w:pPr>
              <w:pStyle w:val="Tabletext"/>
              <w:rPr>
                <w:color w:val="000000"/>
              </w:rPr>
            </w:pPr>
            <w:r w:rsidRPr="008F7A8E">
              <w:t>$287.90</w:t>
            </w:r>
          </w:p>
        </w:tc>
        <w:tc>
          <w:tcPr>
            <w:tcW w:w="1530" w:type="dxa"/>
            <w:tcBorders>
              <w:top w:val="single" w:sz="4" w:space="0" w:color="B5601D"/>
            </w:tcBorders>
          </w:tcPr>
          <w:p w14:paraId="65827A8A" w14:textId="77777777" w:rsidR="00CB2E81" w:rsidRPr="008F7A8E" w:rsidRDefault="00F463AD" w:rsidP="00D10A52">
            <w:pPr>
              <w:pStyle w:val="Tabletext"/>
              <w:rPr>
                <w:color w:val="000000"/>
              </w:rPr>
            </w:pPr>
            <w:r w:rsidRPr="008F7A8E">
              <w:t>75% = $215.95</w:t>
            </w:r>
            <w:r>
              <w:t xml:space="preserve">; </w:t>
            </w:r>
            <w:r w:rsidRPr="008F7A8E">
              <w:t>85% = $244.75</w:t>
            </w:r>
          </w:p>
        </w:tc>
      </w:tr>
      <w:tr w:rsidR="00CB2E81" w:rsidRPr="008F7A8E" w14:paraId="3350B35D" w14:textId="77777777" w:rsidTr="00DC4144">
        <w:tc>
          <w:tcPr>
            <w:tcW w:w="1053" w:type="dxa"/>
            <w:shd w:val="clear" w:color="auto" w:fill="auto"/>
          </w:tcPr>
          <w:p w14:paraId="7DF0D6FF" w14:textId="77777777" w:rsidR="00CB2E81" w:rsidRPr="00DC4144" w:rsidRDefault="00CB2E81" w:rsidP="00D10A52">
            <w:pPr>
              <w:pStyle w:val="Tabletext"/>
              <w:rPr>
                <w:b/>
              </w:rPr>
            </w:pPr>
            <w:r w:rsidRPr="00DC4144">
              <w:rPr>
                <w:b/>
              </w:rPr>
              <w:t>41886</w:t>
            </w:r>
          </w:p>
        </w:tc>
        <w:tc>
          <w:tcPr>
            <w:tcW w:w="4947" w:type="dxa"/>
            <w:shd w:val="clear" w:color="auto" w:fill="auto"/>
          </w:tcPr>
          <w:p w14:paraId="1B74F045" w14:textId="77777777" w:rsidR="00CB2E81" w:rsidRPr="008F7A8E" w:rsidRDefault="00CB2E81" w:rsidP="006A406F">
            <w:pPr>
              <w:pStyle w:val="Tabletext"/>
            </w:pPr>
            <w:r w:rsidRPr="008F7A8E">
              <w:t>TRACHEA, removal of foreign body in (</w:t>
            </w:r>
            <w:proofErr w:type="spellStart"/>
            <w:r w:rsidRPr="008F7A8E">
              <w:t>Anaes</w:t>
            </w:r>
            <w:proofErr w:type="spellEnd"/>
            <w:r w:rsidRPr="008F7A8E">
              <w:t xml:space="preserve">.) </w:t>
            </w:r>
          </w:p>
        </w:tc>
        <w:tc>
          <w:tcPr>
            <w:tcW w:w="1530" w:type="dxa"/>
          </w:tcPr>
          <w:p w14:paraId="703255D0" w14:textId="77777777" w:rsidR="00CB2E81" w:rsidRPr="008F7A8E" w:rsidRDefault="00F463AD" w:rsidP="00D10A52">
            <w:pPr>
              <w:pStyle w:val="Tabletext"/>
              <w:rPr>
                <w:color w:val="000000"/>
              </w:rPr>
            </w:pPr>
            <w:r w:rsidRPr="008F7A8E">
              <w:t>$178.05</w:t>
            </w:r>
          </w:p>
        </w:tc>
        <w:tc>
          <w:tcPr>
            <w:tcW w:w="1530" w:type="dxa"/>
          </w:tcPr>
          <w:p w14:paraId="56130918" w14:textId="77777777" w:rsidR="00CB2E81" w:rsidRPr="008F7A8E" w:rsidRDefault="00F463AD" w:rsidP="00D10A52">
            <w:pPr>
              <w:pStyle w:val="Tabletext"/>
              <w:rPr>
                <w:color w:val="000000"/>
              </w:rPr>
            </w:pPr>
            <w:r w:rsidRPr="008F7A8E">
              <w:t>75% = $133.55</w:t>
            </w:r>
            <w:r>
              <w:t xml:space="preserve">; </w:t>
            </w:r>
            <w:r w:rsidRPr="008F7A8E">
              <w:t>85% = $151.35</w:t>
            </w:r>
          </w:p>
        </w:tc>
      </w:tr>
      <w:tr w:rsidR="00CB2E81" w:rsidRPr="008F7A8E" w14:paraId="61B645A1" w14:textId="77777777" w:rsidTr="00DC4144">
        <w:tc>
          <w:tcPr>
            <w:tcW w:w="1053" w:type="dxa"/>
            <w:shd w:val="clear" w:color="auto" w:fill="auto"/>
          </w:tcPr>
          <w:p w14:paraId="39FDC1DD" w14:textId="77777777" w:rsidR="00CB2E81" w:rsidRPr="00DC4144" w:rsidRDefault="00CB2E81" w:rsidP="00D10A52">
            <w:pPr>
              <w:pStyle w:val="Tabletext"/>
              <w:rPr>
                <w:b/>
              </w:rPr>
            </w:pPr>
            <w:r w:rsidRPr="00DC4144">
              <w:rPr>
                <w:b/>
              </w:rPr>
              <w:t>41904</w:t>
            </w:r>
          </w:p>
        </w:tc>
        <w:tc>
          <w:tcPr>
            <w:tcW w:w="4947" w:type="dxa"/>
            <w:shd w:val="clear" w:color="auto" w:fill="auto"/>
          </w:tcPr>
          <w:p w14:paraId="57031546" w14:textId="77777777" w:rsidR="00CB2E81" w:rsidRPr="008F7A8E" w:rsidRDefault="00CB2E81" w:rsidP="006A406F">
            <w:pPr>
              <w:pStyle w:val="Tabletext"/>
            </w:pPr>
            <w:r w:rsidRPr="008F7A8E">
              <w:t>BRONCHOSCOPY with dilatation of tracheal stricture (</w:t>
            </w:r>
            <w:proofErr w:type="spellStart"/>
            <w:r w:rsidRPr="008F7A8E">
              <w:t>Anaes</w:t>
            </w:r>
            <w:proofErr w:type="spellEnd"/>
            <w:r w:rsidRPr="008F7A8E">
              <w:t xml:space="preserve">.) </w:t>
            </w:r>
          </w:p>
        </w:tc>
        <w:tc>
          <w:tcPr>
            <w:tcW w:w="1530" w:type="dxa"/>
          </w:tcPr>
          <w:p w14:paraId="2C53FE0A" w14:textId="77777777" w:rsidR="00CB2E81" w:rsidRPr="008F7A8E" w:rsidRDefault="00F463AD" w:rsidP="00D10A52">
            <w:pPr>
              <w:pStyle w:val="Tabletext"/>
              <w:rPr>
                <w:color w:val="000000"/>
              </w:rPr>
            </w:pPr>
            <w:r w:rsidRPr="008F7A8E">
              <w:t>$246.50</w:t>
            </w:r>
          </w:p>
        </w:tc>
        <w:tc>
          <w:tcPr>
            <w:tcW w:w="1530" w:type="dxa"/>
          </w:tcPr>
          <w:p w14:paraId="2D4596C8" w14:textId="77777777" w:rsidR="00CB2E81" w:rsidRPr="008F7A8E" w:rsidRDefault="00F463AD" w:rsidP="00D10A52">
            <w:pPr>
              <w:pStyle w:val="Tabletext"/>
              <w:rPr>
                <w:color w:val="000000"/>
              </w:rPr>
            </w:pPr>
            <w:r w:rsidRPr="008F7A8E">
              <w:t>75% = $184.90</w:t>
            </w:r>
            <w:r>
              <w:t xml:space="preserve">; </w:t>
            </w:r>
            <w:r w:rsidRPr="008F7A8E">
              <w:t>85% = $209.55</w:t>
            </w:r>
          </w:p>
        </w:tc>
      </w:tr>
      <w:tr w:rsidR="00CB2E81" w:rsidRPr="008F7A8E" w14:paraId="29A7D926" w14:textId="77777777" w:rsidTr="00DC4144">
        <w:tc>
          <w:tcPr>
            <w:tcW w:w="1053" w:type="dxa"/>
            <w:shd w:val="clear" w:color="auto" w:fill="auto"/>
          </w:tcPr>
          <w:p w14:paraId="289A1C90" w14:textId="77777777" w:rsidR="00CB2E81" w:rsidRPr="00DC4144" w:rsidRDefault="00CB2E81" w:rsidP="00D10A52">
            <w:pPr>
              <w:pStyle w:val="Tabletext"/>
              <w:rPr>
                <w:b/>
              </w:rPr>
            </w:pPr>
            <w:r w:rsidRPr="00DC4144">
              <w:rPr>
                <w:b/>
              </w:rPr>
              <w:t>41907</w:t>
            </w:r>
          </w:p>
        </w:tc>
        <w:tc>
          <w:tcPr>
            <w:tcW w:w="4947" w:type="dxa"/>
            <w:shd w:val="clear" w:color="auto" w:fill="auto"/>
          </w:tcPr>
          <w:p w14:paraId="3B468971" w14:textId="77777777" w:rsidR="00CB2E81" w:rsidRPr="008F7A8E" w:rsidRDefault="00CB2E81" w:rsidP="006A406F">
            <w:pPr>
              <w:pStyle w:val="Tabletext"/>
            </w:pPr>
            <w:r w:rsidRPr="008F7A8E">
              <w:t>NASAL SEPTUM BUTTON, insertion of (</w:t>
            </w:r>
            <w:proofErr w:type="spellStart"/>
            <w:r w:rsidRPr="008F7A8E">
              <w:t>Anaes</w:t>
            </w:r>
            <w:proofErr w:type="spellEnd"/>
            <w:r w:rsidRPr="008F7A8E">
              <w:t xml:space="preserve">.) </w:t>
            </w:r>
          </w:p>
        </w:tc>
        <w:tc>
          <w:tcPr>
            <w:tcW w:w="1530" w:type="dxa"/>
          </w:tcPr>
          <w:p w14:paraId="1C1398AF" w14:textId="77777777" w:rsidR="00CB2E81" w:rsidRPr="008F7A8E" w:rsidRDefault="00F463AD" w:rsidP="00D10A52">
            <w:pPr>
              <w:pStyle w:val="Tabletext"/>
              <w:rPr>
                <w:color w:val="000000"/>
              </w:rPr>
            </w:pPr>
            <w:r w:rsidRPr="008F7A8E">
              <w:t>$122.85</w:t>
            </w:r>
          </w:p>
        </w:tc>
        <w:tc>
          <w:tcPr>
            <w:tcW w:w="1530" w:type="dxa"/>
          </w:tcPr>
          <w:p w14:paraId="36D522E1" w14:textId="77777777" w:rsidR="00CB2E81" w:rsidRPr="008F7A8E" w:rsidRDefault="00F463AD" w:rsidP="00D10A52">
            <w:pPr>
              <w:pStyle w:val="Tabletext"/>
              <w:rPr>
                <w:color w:val="000000"/>
              </w:rPr>
            </w:pPr>
            <w:r w:rsidRPr="008F7A8E">
              <w:t>75% = $92.15</w:t>
            </w:r>
            <w:r>
              <w:t xml:space="preserve">; </w:t>
            </w:r>
            <w:r w:rsidRPr="008F7A8E">
              <w:t>85% = $104.45</w:t>
            </w:r>
          </w:p>
        </w:tc>
      </w:tr>
      <w:tr w:rsidR="00CB2E81" w:rsidRPr="008F7A8E" w14:paraId="5F257209" w14:textId="77777777" w:rsidTr="00DC4144">
        <w:tc>
          <w:tcPr>
            <w:tcW w:w="1053" w:type="dxa"/>
            <w:shd w:val="clear" w:color="auto" w:fill="auto"/>
          </w:tcPr>
          <w:p w14:paraId="27423E41" w14:textId="77777777" w:rsidR="00CB2E81" w:rsidRPr="00DC4144" w:rsidRDefault="00CB2E81" w:rsidP="00D10A52">
            <w:pPr>
              <w:pStyle w:val="Tabletext"/>
              <w:rPr>
                <w:b/>
              </w:rPr>
            </w:pPr>
            <w:r w:rsidRPr="00DC4144">
              <w:rPr>
                <w:b/>
              </w:rPr>
              <w:t>41910</w:t>
            </w:r>
          </w:p>
        </w:tc>
        <w:tc>
          <w:tcPr>
            <w:tcW w:w="4947" w:type="dxa"/>
            <w:shd w:val="clear" w:color="auto" w:fill="auto"/>
          </w:tcPr>
          <w:p w14:paraId="335B06FA" w14:textId="77777777" w:rsidR="00CB2E81" w:rsidRPr="008F7A8E" w:rsidRDefault="00CB2E81" w:rsidP="006A406F">
            <w:pPr>
              <w:pStyle w:val="Tabletext"/>
            </w:pPr>
            <w:r w:rsidRPr="008F7A8E">
              <w:t>DUCT OF MAJOR SALIVARY GLAND, transposition of (</w:t>
            </w:r>
            <w:proofErr w:type="spellStart"/>
            <w:r w:rsidRPr="008F7A8E">
              <w:t>Anaes</w:t>
            </w:r>
            <w:proofErr w:type="spellEnd"/>
            <w:r w:rsidRPr="008F7A8E">
              <w:t xml:space="preserve">.) (Assist.) </w:t>
            </w:r>
          </w:p>
        </w:tc>
        <w:tc>
          <w:tcPr>
            <w:tcW w:w="1530" w:type="dxa"/>
          </w:tcPr>
          <w:p w14:paraId="4627639C" w14:textId="77777777" w:rsidR="00CB2E81" w:rsidRPr="008F7A8E" w:rsidRDefault="00F463AD" w:rsidP="00D10A52">
            <w:pPr>
              <w:pStyle w:val="Tabletext"/>
              <w:rPr>
                <w:color w:val="000000"/>
              </w:rPr>
            </w:pPr>
            <w:r w:rsidRPr="008F7A8E">
              <w:t>$390.25</w:t>
            </w:r>
          </w:p>
        </w:tc>
        <w:tc>
          <w:tcPr>
            <w:tcW w:w="1530" w:type="dxa"/>
          </w:tcPr>
          <w:p w14:paraId="702539C0" w14:textId="77777777" w:rsidR="00CB2E81" w:rsidRPr="008F7A8E" w:rsidRDefault="00F463AD" w:rsidP="00D10A52">
            <w:pPr>
              <w:pStyle w:val="Tabletext"/>
              <w:rPr>
                <w:color w:val="000000"/>
              </w:rPr>
            </w:pPr>
            <w:r w:rsidRPr="008F7A8E">
              <w:t>75% = $292.70</w:t>
            </w:r>
          </w:p>
        </w:tc>
      </w:tr>
    </w:tbl>
    <w:p w14:paraId="3A94A3B4" w14:textId="77777777" w:rsidR="00F85147" w:rsidRPr="00BC0C1D" w:rsidRDefault="00F85147" w:rsidP="00F463AD">
      <w:pPr>
        <w:pStyle w:val="AppendixStyle2"/>
      </w:pPr>
      <w:r w:rsidRPr="00BC0C1D">
        <w:t>Audiology- Miscellaneous 82300-82332</w:t>
      </w:r>
    </w:p>
    <w:p w14:paraId="73590176" w14:textId="77777777" w:rsidR="00F85147" w:rsidRDefault="00C572FF" w:rsidP="00F463AD">
      <w:pPr>
        <w:pStyle w:val="Heading3"/>
      </w:pPr>
      <w:bookmarkStart w:id="114" w:name="_Toc428478291"/>
      <w:r>
        <w:t xml:space="preserve">Explanatory note </w:t>
      </w:r>
      <w:r w:rsidR="00F85147">
        <w:t xml:space="preserve">M.15.1. Brain Stem Evoked Response Audiometry </w:t>
      </w:r>
      <w:r w:rsidR="00C50295">
        <w:t>–</w:t>
      </w:r>
      <w:r w:rsidR="00F85147">
        <w:t xml:space="preserve"> (Item 82300)</w:t>
      </w:r>
      <w:bookmarkEnd w:id="114"/>
    </w:p>
    <w:p w14:paraId="3899FA3D" w14:textId="77777777" w:rsidR="00F85147" w:rsidRPr="00D91D7C" w:rsidRDefault="00F85147" w:rsidP="00F85147">
      <w:r>
        <w:t>Item 82300 can be claimed for the programming of a cochlear speech processor.</w:t>
      </w:r>
    </w:p>
    <w:p w14:paraId="0621BF12" w14:textId="77777777" w:rsidR="00F85147" w:rsidRDefault="00C572FF" w:rsidP="00F463AD">
      <w:pPr>
        <w:pStyle w:val="Heading3"/>
      </w:pPr>
      <w:bookmarkStart w:id="115" w:name="_Toc428478292"/>
      <w:r>
        <w:t xml:space="preserve">Explanatory note </w:t>
      </w:r>
      <w:r w:rsidR="00F85147">
        <w:t xml:space="preserve">M.15.2. Non-Determinate Audiometry </w:t>
      </w:r>
      <w:r w:rsidR="00C50295">
        <w:t>–</w:t>
      </w:r>
      <w:r w:rsidR="00F85147">
        <w:t xml:space="preserve"> (Item 82306)</w:t>
      </w:r>
      <w:bookmarkEnd w:id="115"/>
    </w:p>
    <w:p w14:paraId="57ABBEE6" w14:textId="77777777" w:rsidR="00F85147" w:rsidRDefault="00F85147" w:rsidP="00F85147">
      <w:r>
        <w:t>This refers to audiometry covering those services, one or more, referred to in Items 82309</w:t>
      </w:r>
      <w:r>
        <w:noBreakHyphen/>
        <w:t>82318 when not performed under the conditi</w:t>
      </w:r>
      <w:r w:rsidR="007F3ACE">
        <w:t>ons set out in paragraph M15.3.</w:t>
      </w:r>
    </w:p>
    <w:p w14:paraId="72C76195" w14:textId="77777777" w:rsidR="00F85147" w:rsidRDefault="00C572FF" w:rsidP="00F463AD">
      <w:pPr>
        <w:pStyle w:val="Heading3"/>
      </w:pPr>
      <w:bookmarkStart w:id="116" w:name="_Toc428478293"/>
      <w:r>
        <w:t xml:space="preserve">Explanatory note </w:t>
      </w:r>
      <w:r w:rsidR="00F85147">
        <w:t xml:space="preserve">M.15.3. Conditions for Audiology Services </w:t>
      </w:r>
      <w:r w:rsidR="00C50295">
        <w:t>–</w:t>
      </w:r>
      <w:r w:rsidR="00F85147">
        <w:t xml:space="preserve"> (Items 82309 to 82318)</w:t>
      </w:r>
      <w:bookmarkEnd w:id="116"/>
    </w:p>
    <w:p w14:paraId="65F77DC6" w14:textId="77777777" w:rsidR="00F819AE" w:rsidRPr="00F819AE" w:rsidRDefault="00F85147" w:rsidP="00F819AE">
      <w:r>
        <w:t xml:space="preserve">A service specified in Items 82309 to 82318 shall be taken to be a service for the purposes of </w:t>
      </w:r>
      <w:r w:rsidRPr="00F819AE">
        <w:t xml:space="preserve">payment of benefits if, and only if, it is rendered: </w:t>
      </w:r>
    </w:p>
    <w:p w14:paraId="62A0FD74" w14:textId="77777777" w:rsidR="00F85147" w:rsidRDefault="00F85147" w:rsidP="00F819AE">
      <w:pPr>
        <w:pStyle w:val="NormalBulleteda"/>
        <w:numPr>
          <w:ilvl w:val="3"/>
          <w:numId w:val="6"/>
        </w:numPr>
        <w:ind w:left="426" w:hanging="426"/>
      </w:pPr>
      <w:r w:rsidRPr="00F819AE">
        <w:t xml:space="preserve">in conditions that allow the establishment of determinate </w:t>
      </w:r>
      <w:proofErr w:type="gramStart"/>
      <w:r w:rsidRPr="00F819AE">
        <w:t>thresholds;</w:t>
      </w:r>
      <w:proofErr w:type="gramEnd"/>
      <w:r w:rsidRPr="00F819AE">
        <w:t xml:space="preserve"> </w:t>
      </w:r>
    </w:p>
    <w:p w14:paraId="552833E4" w14:textId="77777777" w:rsidR="007F3ACE" w:rsidRDefault="00F85147" w:rsidP="00F819AE">
      <w:pPr>
        <w:pStyle w:val="NormalBulleteda"/>
        <w:numPr>
          <w:ilvl w:val="3"/>
          <w:numId w:val="6"/>
        </w:numPr>
        <w:ind w:left="426" w:hanging="426"/>
      </w:pPr>
      <w:r w:rsidRPr="00F819AE">
        <w:t>in a sound attenuated environment with background noise conditions that comply with Australian Standard</w:t>
      </w:r>
      <w:r w:rsidR="007F3ACE" w:rsidRPr="00F819AE">
        <w:t xml:space="preserve"> </w:t>
      </w:r>
      <w:r w:rsidRPr="00F819AE">
        <w:t xml:space="preserve">AS/NZS 1269.3-2005; and </w:t>
      </w:r>
    </w:p>
    <w:p w14:paraId="025B8920" w14:textId="77777777" w:rsidR="00F85147" w:rsidRDefault="00F85147" w:rsidP="00F819AE">
      <w:pPr>
        <w:pStyle w:val="NormalBulleteda"/>
        <w:numPr>
          <w:ilvl w:val="3"/>
          <w:numId w:val="6"/>
        </w:numPr>
        <w:ind w:left="426" w:hanging="426"/>
      </w:pPr>
      <w:r w:rsidRPr="00F819AE">
        <w:t xml:space="preserve">using calibrated equipment that complies with Australian Standard AS IEC 60645.1-22002, </w:t>
      </w:r>
      <w:r>
        <w:t>AS IEC 60645.2-2002 and AS IEC 60645.3-2002.</w:t>
      </w:r>
    </w:p>
    <w:p w14:paraId="0CA83532" w14:textId="77777777" w:rsidR="00F85147" w:rsidRDefault="00C572FF" w:rsidP="00F463AD">
      <w:pPr>
        <w:pStyle w:val="Heading3"/>
      </w:pPr>
      <w:bookmarkStart w:id="117" w:name="_Toc428478294"/>
      <w:r>
        <w:lastRenderedPageBreak/>
        <w:t xml:space="preserve">Explanatory note </w:t>
      </w:r>
      <w:r w:rsidR="00F85147">
        <w:t xml:space="preserve">M.15.4. Oto-Acoustic Emission Audiometry </w:t>
      </w:r>
      <w:r w:rsidR="00C50295">
        <w:t>–</w:t>
      </w:r>
      <w:r w:rsidR="00F85147">
        <w:t xml:space="preserve"> (Item 82332)</w:t>
      </w:r>
      <w:bookmarkEnd w:id="117"/>
    </w:p>
    <w:p w14:paraId="2C0D64DB" w14:textId="77777777" w:rsidR="00F85147" w:rsidRPr="00291295" w:rsidRDefault="00F85147" w:rsidP="00F85147">
      <w:r w:rsidRPr="00C94CC1">
        <w:t xml:space="preserve">Medicare benefits are not payable under Item 82332 for routine screening of infants. The equipment used to provide this service must be capable of displaying the recorded emission and </w:t>
      </w:r>
      <w:r>
        <w:t>not just a pass/fail indicator.</w:t>
      </w:r>
    </w:p>
    <w:p w14:paraId="18E2FE0B" w14:textId="77777777" w:rsidR="00F85147" w:rsidRDefault="00C572FF" w:rsidP="007E27AB">
      <w:pPr>
        <w:pStyle w:val="Heading3"/>
      </w:pPr>
      <w:bookmarkStart w:id="118" w:name="_Toc428478295"/>
      <w:r>
        <w:t xml:space="preserve">Explanatory note </w:t>
      </w:r>
      <w:r w:rsidR="00F85147">
        <w:t xml:space="preserve">M.15.5. Provision of Diagnostic Audiology Services by Audiologists </w:t>
      </w:r>
      <w:r w:rsidR="00C50295">
        <w:t>–</w:t>
      </w:r>
      <w:r w:rsidR="00F85147">
        <w:t xml:space="preserve"> (Items 82300 to 82332)</w:t>
      </w:r>
      <w:bookmarkEnd w:id="118"/>
    </w:p>
    <w:p w14:paraId="5738A414" w14:textId="77777777" w:rsidR="00F85147" w:rsidRDefault="007F3ACE" w:rsidP="007E27AB">
      <w:pPr>
        <w:pStyle w:val="Heading4"/>
      </w:pPr>
      <w:r>
        <w:t>Overview</w:t>
      </w:r>
    </w:p>
    <w:p w14:paraId="32FB7EAD" w14:textId="77777777" w:rsidR="00F85147" w:rsidRDefault="00F85147" w:rsidP="00F637C3">
      <w:pPr>
        <w:rPr>
          <w:lang w:val="en-US"/>
        </w:rPr>
      </w:pPr>
      <w:r>
        <w:rPr>
          <w:lang w:val="en-US"/>
        </w:rPr>
        <w:t xml:space="preserve">The diagnostic audiology services available through MBS items 82300 to 82332 enable an eligible audiologist to perform diagnostic tests upon written request from an Ear, Nose and Throat (ENT) specialist (a specialist in the specialty of otolaryngology head and neck surgery); or for some services, a written request from a neurologist </w:t>
      </w:r>
      <w:r>
        <w:t>(a specialist or consultant physician in the specialty of neurology)</w:t>
      </w:r>
      <w:r>
        <w:rPr>
          <w:lang w:val="en-US"/>
        </w:rPr>
        <w:t>.</w:t>
      </w:r>
    </w:p>
    <w:p w14:paraId="7537881D" w14:textId="77777777" w:rsidR="00F85147" w:rsidRDefault="00F85147" w:rsidP="00F85147">
      <w:pPr>
        <w:rPr>
          <w:lang w:val="en-US"/>
        </w:rPr>
      </w:pPr>
      <w:r>
        <w:rPr>
          <w:lang w:val="en-US"/>
        </w:rPr>
        <w:t>These diagnostic audiology services assist ENT specialists and neurologists in their medical diagnosis and/or treatment and/or management of ear disease or related disorders.</w:t>
      </w:r>
      <w:r w:rsidR="007736E8">
        <w:rPr>
          <w:lang w:val="en-US"/>
        </w:rPr>
        <w:t xml:space="preserve"> </w:t>
      </w:r>
      <w:r>
        <w:rPr>
          <w:lang w:val="en-US"/>
        </w:rPr>
        <w:t>The new diagnostic audiology items supplement the existing Otolaryngology items for services delivered by, or on behalf of medical practitioners (MBS items 11300 to 11339, excluding 11304).</w:t>
      </w:r>
      <w:r w:rsidR="007736E8">
        <w:rPr>
          <w:lang w:val="en-US"/>
        </w:rPr>
        <w:t xml:space="preserve"> </w:t>
      </w:r>
    </w:p>
    <w:p w14:paraId="6E6DB57F" w14:textId="77777777" w:rsidR="00F85147" w:rsidRDefault="00F85147" w:rsidP="00F637C3">
      <w:pPr>
        <w:pStyle w:val="Heading4"/>
      </w:pPr>
      <w:r>
        <w:t>Requesting arrangements</w:t>
      </w:r>
    </w:p>
    <w:p w14:paraId="01D8B7CF" w14:textId="77777777" w:rsidR="00F85147" w:rsidRDefault="00F85147" w:rsidP="00F637C3">
      <w:pPr>
        <w:rPr>
          <w:lang w:val="en-US"/>
        </w:rPr>
      </w:pPr>
      <w:r>
        <w:rPr>
          <w:lang w:val="en-US"/>
        </w:rPr>
        <w:t>Medicare benefits are payable only under the following circumstances:</w:t>
      </w:r>
    </w:p>
    <w:p w14:paraId="72103E9D" w14:textId="77777777" w:rsidR="00F85147" w:rsidRDefault="00F85147" w:rsidP="00226A36">
      <w:pPr>
        <w:pStyle w:val="NormalBulleted"/>
        <w:rPr>
          <w:lang w:val="en-US"/>
        </w:rPr>
      </w:pPr>
      <w:r>
        <w:rPr>
          <w:lang w:val="en-US"/>
        </w:rPr>
        <w:t xml:space="preserve">For items 82300 and 82306, the written request must be made by an eligible practitioner who is a specialist in the specialty of otolaryngology head and neck </w:t>
      </w:r>
      <w:proofErr w:type="gramStart"/>
      <w:r>
        <w:rPr>
          <w:lang w:val="en-US"/>
        </w:rPr>
        <w:t>surgery;</w:t>
      </w:r>
      <w:proofErr w:type="gramEnd"/>
      <w:r>
        <w:rPr>
          <w:lang w:val="en-US"/>
        </w:rPr>
        <w:t xml:space="preserve"> </w:t>
      </w:r>
    </w:p>
    <w:p w14:paraId="743EF2A3" w14:textId="77777777" w:rsidR="00F85147" w:rsidRPr="00F637C3" w:rsidRDefault="00F85147" w:rsidP="00226A36">
      <w:pPr>
        <w:pStyle w:val="NormalBulleted"/>
        <w:rPr>
          <w:lang w:val="en-US"/>
        </w:rPr>
      </w:pPr>
      <w:r>
        <w:rPr>
          <w:lang w:val="en-US"/>
        </w:rPr>
        <w:t>For items 82309 to 82332, the written request must be made by an eligible practitioner who is a specialist in the specialty of otolaryngology head and neck surgery or a specialist or consultant physician</w:t>
      </w:r>
      <w:r w:rsidR="00F637C3">
        <w:rPr>
          <w:lang w:val="en-US"/>
        </w:rPr>
        <w:t xml:space="preserve"> in the specialty of neurology.</w:t>
      </w:r>
    </w:p>
    <w:p w14:paraId="2DEF53D2" w14:textId="77777777" w:rsidR="00F85147" w:rsidRDefault="00F85147" w:rsidP="00F85147">
      <w:r>
        <w:t>The written request must be in writing and must contain:</w:t>
      </w:r>
    </w:p>
    <w:p w14:paraId="516F7BD3" w14:textId="77777777" w:rsidR="00F85147" w:rsidRDefault="00F85147" w:rsidP="002923D1">
      <w:pPr>
        <w:pStyle w:val="NormalBulleteda"/>
        <w:numPr>
          <w:ilvl w:val="1"/>
          <w:numId w:val="51"/>
        </w:numPr>
      </w:pPr>
      <w:r>
        <w:t xml:space="preserve">the date of the </w:t>
      </w:r>
      <w:r w:rsidRPr="002923D1">
        <w:t>request; and</w:t>
      </w:r>
    </w:p>
    <w:p w14:paraId="3CEE3401" w14:textId="77777777" w:rsidR="00F85147" w:rsidRDefault="00F85147" w:rsidP="00AA632A">
      <w:pPr>
        <w:pStyle w:val="NormalBulleteda"/>
        <w:numPr>
          <w:ilvl w:val="1"/>
          <w:numId w:val="51"/>
        </w:numPr>
      </w:pPr>
      <w:r w:rsidRPr="002923D1">
        <w:t>the name of the eligible practitioner who requested the service and either the address of his or her place of practice or the provider number in respect of his or her place of practice; and</w:t>
      </w:r>
    </w:p>
    <w:p w14:paraId="194DE8DA" w14:textId="77777777" w:rsidR="00F85147" w:rsidRDefault="00F85147" w:rsidP="00AA632A">
      <w:pPr>
        <w:pStyle w:val="NormalBulleteda"/>
        <w:numPr>
          <w:ilvl w:val="1"/>
          <w:numId w:val="51"/>
        </w:numPr>
      </w:pPr>
      <w:r w:rsidRPr="002923D1">
        <w:t>a description of the service which provides sufficient information to identify the service as relating to a particular item (but</w:t>
      </w:r>
      <w:r>
        <w:t xml:space="preserve"> need not specify the item number).</w:t>
      </w:r>
    </w:p>
    <w:p w14:paraId="5CEAA88B" w14:textId="77777777" w:rsidR="00F85147" w:rsidRDefault="00F85147" w:rsidP="00F85147">
      <w:r>
        <w:t xml:space="preserve">Written requests should, where possible, note the clinical indication/s for the requested service/s. </w:t>
      </w:r>
    </w:p>
    <w:p w14:paraId="3150C2ED" w14:textId="77777777" w:rsidR="00F85147" w:rsidRDefault="00F85147" w:rsidP="00F85147">
      <w:r>
        <w:t xml:space="preserve">A request may be for the performance of more than one diagnostic audiology service making up a single audiological </w:t>
      </w:r>
      <w:proofErr w:type="gramStart"/>
      <w:r>
        <w:t>assessment, but</w:t>
      </w:r>
      <w:proofErr w:type="gramEnd"/>
      <w:r>
        <w:t xml:space="preserve"> cannot be for more than one audiological assessment.</w:t>
      </w:r>
      <w:r w:rsidR="007736E8">
        <w:t xml:space="preserve"> </w:t>
      </w:r>
      <w:r>
        <w:t>This means that for Medicare benefits to be payable, any re-evaluation of the patient should be made at the discretion of the ENT specialist or neurologist through a separate request.</w:t>
      </w:r>
    </w:p>
    <w:p w14:paraId="0252BD31" w14:textId="77777777" w:rsidR="00F85147" w:rsidRDefault="00F85147" w:rsidP="00F85147">
      <w:pPr>
        <w:rPr>
          <w:lang w:val="en-US"/>
        </w:rPr>
      </w:pPr>
      <w:r>
        <w:rPr>
          <w:lang w:val="en-US"/>
        </w:rPr>
        <w:lastRenderedPageBreak/>
        <w:t>Audiologists do not have the discretion to self-determine diagnostic tests under items 82300 to 82332.</w:t>
      </w:r>
      <w:r w:rsidR="007736E8">
        <w:rPr>
          <w:lang w:val="en-US"/>
        </w:rPr>
        <w:t xml:space="preserve"> </w:t>
      </w:r>
      <w:r>
        <w:rPr>
          <w:lang w:val="en-US"/>
        </w:rPr>
        <w:t>If a written request is incomplete or requires clarification, the audiologist should contact the requesting ENT specialist or neurologist for further information.</w:t>
      </w:r>
      <w:r w:rsidR="007736E8">
        <w:rPr>
          <w:lang w:val="en-US"/>
        </w:rPr>
        <w:t xml:space="preserve"> </w:t>
      </w:r>
      <w:r>
        <w:rPr>
          <w:lang w:val="en-US"/>
        </w:rPr>
        <w:t>If an audiologist considers that additional tests may be necessary, the audiologist should contact the requesting ENT specialist or neurologist to discuss the need and if the requesting practitioner determines that additional tests are necessary, an amended or separate written request must be arranged.</w:t>
      </w:r>
    </w:p>
    <w:p w14:paraId="3B30B207" w14:textId="77777777" w:rsidR="00F85147" w:rsidRDefault="00F85147" w:rsidP="00F85147">
      <w:pPr>
        <w:rPr>
          <w:lang w:val="en-US"/>
        </w:rPr>
      </w:pPr>
      <w:r>
        <w:rPr>
          <w:lang w:val="en-US"/>
        </w:rPr>
        <w:t>It is recommended that audiologists retain the written request for 24 months from the date the service was rendered (for Medicare auditing purposes).</w:t>
      </w:r>
      <w:r w:rsidR="007736E8">
        <w:rPr>
          <w:lang w:val="en-US"/>
        </w:rPr>
        <w:t xml:space="preserve"> </w:t>
      </w:r>
      <w:r>
        <w:rPr>
          <w:lang w:val="en-US"/>
        </w:rPr>
        <w:t xml:space="preserve">A copy of the written request is </w:t>
      </w:r>
      <w:r>
        <w:rPr>
          <w:u w:val="single"/>
          <w:lang w:val="en-US"/>
        </w:rPr>
        <w:t>not</w:t>
      </w:r>
      <w:r>
        <w:rPr>
          <w:lang w:val="en-US"/>
        </w:rPr>
        <w:t xml:space="preserve"> required to accompany Medicare claims or be attached to patients' </w:t>
      </w:r>
      <w:r>
        <w:t>itemised</w:t>
      </w:r>
      <w:r>
        <w:rPr>
          <w:lang w:val="en-US"/>
        </w:rPr>
        <w:t xml:space="preserve"> accounts/receipts or assignment of benefit forms.</w:t>
      </w:r>
    </w:p>
    <w:p w14:paraId="562A9D59" w14:textId="77777777" w:rsidR="00F85147" w:rsidRDefault="00F85147" w:rsidP="00F637C3">
      <w:pPr>
        <w:pStyle w:val="Heading4"/>
      </w:pPr>
      <w:r>
        <w:t>Eligibility requirements for audiologists</w:t>
      </w:r>
    </w:p>
    <w:p w14:paraId="3BE331E7" w14:textId="77777777" w:rsidR="00F85147" w:rsidRDefault="00F85147" w:rsidP="00F85147">
      <w:pPr>
        <w:rPr>
          <w:lang w:val="en-US"/>
        </w:rPr>
      </w:pPr>
      <w:r>
        <w:rPr>
          <w:lang w:val="en-US"/>
        </w:rPr>
        <w:t>The diagnostic audiology items (82300 to 82332) can only be claimed by audiologists who are registered with the Department of Human Services.</w:t>
      </w:r>
      <w:r w:rsidR="007736E8">
        <w:rPr>
          <w:lang w:val="en-US"/>
        </w:rPr>
        <w:t xml:space="preserve"> </w:t>
      </w:r>
      <w:r>
        <w:rPr>
          <w:lang w:val="en-US"/>
        </w:rPr>
        <w:t>To be eligible to register with the Department of Human Services to provide these services, audiologists must meet the following requirements:</w:t>
      </w:r>
    </w:p>
    <w:p w14:paraId="15FE4B34" w14:textId="77777777" w:rsidR="00F85147" w:rsidRDefault="00F85147" w:rsidP="00F85147">
      <w:pPr>
        <w:rPr>
          <w:lang w:val="en-US"/>
        </w:rPr>
      </w:pPr>
      <w:r>
        <w:rPr>
          <w:lang w:val="en-US"/>
        </w:rPr>
        <w:t>Audiologists must be either:</w:t>
      </w:r>
    </w:p>
    <w:p w14:paraId="5797CD06" w14:textId="77777777" w:rsidR="00F85147" w:rsidRDefault="00F85147" w:rsidP="00226A36">
      <w:pPr>
        <w:pStyle w:val="NormalBulleted"/>
        <w:rPr>
          <w:lang w:val="en-US"/>
        </w:rPr>
      </w:pPr>
      <w:r>
        <w:rPr>
          <w:lang w:val="en-US"/>
        </w:rPr>
        <w:t xml:space="preserve">a 'Full Member' of the Audiological Society of Australia Inc (ASA), who holds a 'Certificate of Clinical Practice' issued by the ASA; or </w:t>
      </w:r>
    </w:p>
    <w:p w14:paraId="75A155CA" w14:textId="77777777" w:rsidR="00F85147" w:rsidRPr="00F637C3" w:rsidRDefault="00F85147" w:rsidP="00226A36">
      <w:pPr>
        <w:pStyle w:val="NormalBulleted"/>
        <w:rPr>
          <w:lang w:val="en-US"/>
        </w:rPr>
      </w:pPr>
      <w:r>
        <w:rPr>
          <w:lang w:val="en-US"/>
        </w:rPr>
        <w:t>an 'Ordinary Member - Audiologist' or 'Fellow Audiologist' of the Australian College of Audiology (</w:t>
      </w:r>
      <w:proofErr w:type="spellStart"/>
      <w:r>
        <w:rPr>
          <w:lang w:val="en-US"/>
        </w:rPr>
        <w:t>ACAud</w:t>
      </w:r>
      <w:proofErr w:type="spellEnd"/>
      <w:r>
        <w:rPr>
          <w:lang w:val="en-US"/>
        </w:rPr>
        <w:t>).</w:t>
      </w:r>
    </w:p>
    <w:p w14:paraId="496514D4" w14:textId="77777777" w:rsidR="00F85147" w:rsidRDefault="00F85147" w:rsidP="00F637C3">
      <w:pPr>
        <w:pStyle w:val="Heading4"/>
      </w:pPr>
      <w:r>
        <w:t>Registering with the Department of Human Services</w:t>
      </w:r>
    </w:p>
    <w:p w14:paraId="45DCD8F7" w14:textId="77777777" w:rsidR="00F85147" w:rsidRDefault="00F85147" w:rsidP="00F85147">
      <w:pPr>
        <w:rPr>
          <w:lang w:val="en-US"/>
        </w:rPr>
      </w:pPr>
      <w:r>
        <w:rPr>
          <w:lang w:val="en-US"/>
        </w:rPr>
        <w:t xml:space="preserve">Provider registration forms may be obtained from Medicare on 132 150 or at </w:t>
      </w:r>
      <w:r w:rsidR="007E27AB">
        <w:rPr>
          <w:lang w:val="en-US"/>
        </w:rPr>
        <w:t xml:space="preserve">the </w:t>
      </w:r>
      <w:hyperlink r:id="rId12" w:history="1">
        <w:r w:rsidR="007E27AB" w:rsidRPr="007E27AB">
          <w:rPr>
            <w:rStyle w:val="Hyperlink"/>
            <w:lang w:val="en-US"/>
          </w:rPr>
          <w:t>Department of Human Services</w:t>
        </w:r>
      </w:hyperlink>
      <w:r>
        <w:rPr>
          <w:lang w:val="en-US"/>
        </w:rPr>
        <w:t>.</w:t>
      </w:r>
    </w:p>
    <w:p w14:paraId="447C4E4D" w14:textId="77777777" w:rsidR="00F85147" w:rsidRDefault="00F85147" w:rsidP="00F637C3">
      <w:pPr>
        <w:pStyle w:val="Heading4"/>
      </w:pPr>
      <w:r>
        <w:t>Changes to provider details</w:t>
      </w:r>
    </w:p>
    <w:p w14:paraId="6FD4C041" w14:textId="77777777" w:rsidR="00F85147" w:rsidRDefault="00F85147" w:rsidP="00F85147">
      <w:pPr>
        <w:rPr>
          <w:lang w:val="en-US"/>
        </w:rPr>
      </w:pPr>
      <w:r>
        <w:rPr>
          <w:lang w:val="en-US"/>
        </w:rPr>
        <w:t>Audiologists must notify the Department of Human Services in writing of all changes to mailing details to ensure that they continue to receive information about Medicare services.</w:t>
      </w:r>
    </w:p>
    <w:p w14:paraId="4FE0671D" w14:textId="77777777" w:rsidR="00F85147" w:rsidRDefault="00F85147" w:rsidP="00F637C3">
      <w:pPr>
        <w:pStyle w:val="Heading4"/>
      </w:pPr>
      <w:r>
        <w:t>Reporting requirements</w:t>
      </w:r>
    </w:p>
    <w:p w14:paraId="6EE093C8" w14:textId="77777777" w:rsidR="00F85147" w:rsidRDefault="00F85147" w:rsidP="00F85147">
      <w:pPr>
        <w:rPr>
          <w:lang w:val="en-US"/>
        </w:rPr>
      </w:pPr>
      <w:r>
        <w:rPr>
          <w:lang w:val="en-US"/>
        </w:rPr>
        <w:t>Where an audiologist provides diagnostic audiology service/s to the patient under a written request, they must provide a copy of the results of the service/s performed together with relevant written comments on those results to the requesting ENT specialist or neurologist.</w:t>
      </w:r>
      <w:r w:rsidR="007736E8">
        <w:rPr>
          <w:lang w:val="en-US"/>
        </w:rPr>
        <w:t xml:space="preserve"> </w:t>
      </w:r>
      <w:r>
        <w:rPr>
          <w:lang w:val="en-US"/>
        </w:rPr>
        <w:t>It is recommended that these be provided within 7 days of the date the service was performed.</w:t>
      </w:r>
    </w:p>
    <w:p w14:paraId="38924E1A" w14:textId="77777777" w:rsidR="00F85147" w:rsidRDefault="00F85147" w:rsidP="00F637C3">
      <w:pPr>
        <w:pStyle w:val="Heading4"/>
      </w:pPr>
      <w:r>
        <w:t>Out-of-pocket expenses and Medicare Safety Net</w:t>
      </w:r>
    </w:p>
    <w:p w14:paraId="5FCB0B64" w14:textId="77777777" w:rsidR="00F85147" w:rsidRDefault="00F85147" w:rsidP="00F85147">
      <w:pPr>
        <w:rPr>
          <w:lang w:val="en-US"/>
        </w:rPr>
      </w:pPr>
      <w:r>
        <w:rPr>
          <w:lang w:val="en-US"/>
        </w:rPr>
        <w:t>Audiologists can determine their own fees for the professional service.</w:t>
      </w:r>
      <w:r w:rsidR="007736E8">
        <w:rPr>
          <w:lang w:val="en-US"/>
        </w:rPr>
        <w:t xml:space="preserve"> </w:t>
      </w:r>
      <w:r>
        <w:rPr>
          <w:lang w:val="en-US"/>
        </w:rPr>
        <w:t xml:space="preserve">Charges </w:t>
      </w:r>
      <w:proofErr w:type="gramStart"/>
      <w:r>
        <w:rPr>
          <w:lang w:val="en-US"/>
        </w:rPr>
        <w:t>in excess of</w:t>
      </w:r>
      <w:proofErr w:type="gramEnd"/>
      <w:r>
        <w:rPr>
          <w:lang w:val="en-US"/>
        </w:rPr>
        <w:t xml:space="preserve"> the Medicare benefit are the responsibility of the patient.</w:t>
      </w:r>
      <w:r w:rsidR="007736E8">
        <w:rPr>
          <w:lang w:val="en-US"/>
        </w:rPr>
        <w:t xml:space="preserve"> </w:t>
      </w:r>
      <w:r>
        <w:rPr>
          <w:lang w:val="en-US"/>
        </w:rPr>
        <w:t>However, out-of-pocket costs will count toward the Medicare Safety Net for that patient.</w:t>
      </w:r>
      <w:r w:rsidR="007736E8">
        <w:rPr>
          <w:lang w:val="en-US"/>
        </w:rPr>
        <w:t xml:space="preserve"> </w:t>
      </w:r>
    </w:p>
    <w:p w14:paraId="0B80F444" w14:textId="77777777" w:rsidR="00F85147" w:rsidRDefault="00F85147" w:rsidP="00F637C3">
      <w:pPr>
        <w:pStyle w:val="Heading4"/>
      </w:pPr>
      <w:r>
        <w:lastRenderedPageBreak/>
        <w:t>Publicly funded services</w:t>
      </w:r>
    </w:p>
    <w:p w14:paraId="6D278E9F" w14:textId="77777777" w:rsidR="00F85147" w:rsidRDefault="00F85147" w:rsidP="00F85147">
      <w:pPr>
        <w:rPr>
          <w:lang w:val="en-US"/>
        </w:rPr>
      </w:pPr>
      <w:r>
        <w:rPr>
          <w:lang w:val="en-US"/>
        </w:rPr>
        <w:t>Items 82300 to 82332 do not apply for services that are provided by any Commonwealth or state funded services or provided to an admitted patient of a hospital.</w:t>
      </w:r>
      <w:r w:rsidR="007736E8">
        <w:rPr>
          <w:lang w:val="en-US"/>
        </w:rPr>
        <w:t xml:space="preserve"> </w:t>
      </w:r>
      <w:r>
        <w:rPr>
          <w:lang w:val="en-US"/>
        </w:rPr>
        <w:t>However, where an exemption under subsection 19(2) of the Health Insurance Act 1973 has been granted to an Aboriginal Community Controlled Health Service or state/territory government health clinic, items 82300 to 82332 can be claimed for services provided by audiologists salaried by, or contracted to, the service or health clinic.</w:t>
      </w:r>
      <w:r w:rsidR="007736E8">
        <w:rPr>
          <w:lang w:val="en-US"/>
        </w:rPr>
        <w:t xml:space="preserve"> </w:t>
      </w:r>
      <w:r>
        <w:rPr>
          <w:lang w:val="en-US"/>
        </w:rPr>
        <w:t>All requirements of the relevant item must be met, including registration of the audiologist with the Department of Human Services.</w:t>
      </w:r>
      <w:r w:rsidR="007736E8">
        <w:rPr>
          <w:lang w:val="en-US"/>
        </w:rPr>
        <w:t xml:space="preserve"> </w:t>
      </w:r>
      <w:r>
        <w:rPr>
          <w:lang w:val="en-US"/>
        </w:rPr>
        <w:t>Medicare services provided under a subsection 19(2) exemption must be bulk billed (i.e. the Medicare rebate is accepted as full payment for services).</w:t>
      </w:r>
    </w:p>
    <w:p w14:paraId="21975343" w14:textId="77777777" w:rsidR="00F85147" w:rsidRDefault="00F85147" w:rsidP="00F637C3">
      <w:pPr>
        <w:pStyle w:val="Heading4"/>
      </w:pPr>
      <w:r>
        <w:t xml:space="preserve"> Private health insurance</w:t>
      </w:r>
    </w:p>
    <w:p w14:paraId="45620197" w14:textId="77777777" w:rsidR="00F85147" w:rsidRDefault="00F85147" w:rsidP="00270209">
      <w:pPr>
        <w:rPr>
          <w:lang w:val="en-US"/>
        </w:rPr>
      </w:pPr>
      <w:r>
        <w:rPr>
          <w:lang w:val="en-US"/>
        </w:rPr>
        <w:t>Patients need to decide if they will use Medicare or their private health insurance ancillary cover to pay for these services.</w:t>
      </w:r>
      <w:r w:rsidR="007736E8">
        <w:rPr>
          <w:lang w:val="en-US"/>
        </w:rPr>
        <w:t xml:space="preserve"> </w:t>
      </w:r>
      <w:r>
        <w:rPr>
          <w:lang w:val="en-US"/>
        </w:rPr>
        <w:t>Patients cannot use their private health insurance ancillary cover to 'top up' the Medicare rebate paid for the services.</w:t>
      </w:r>
    </w:p>
    <w:p w14:paraId="5BE3C5EF" w14:textId="77777777" w:rsidR="00F85147" w:rsidRPr="00A63803" w:rsidRDefault="00F85147" w:rsidP="00F637C3">
      <w:pPr>
        <w:pStyle w:val="Heading4"/>
      </w:pPr>
      <w:r w:rsidRPr="00A63803">
        <w:t>Schedules of Services</w:t>
      </w:r>
    </w:p>
    <w:p w14:paraId="4C2D57FC" w14:textId="77777777" w:rsidR="00F85147" w:rsidRPr="00A63803" w:rsidRDefault="00F85147" w:rsidP="00F85147">
      <w:pPr>
        <w:rPr>
          <w:lang w:val="en-US"/>
        </w:rPr>
      </w:pPr>
      <w:r w:rsidRPr="00A63803">
        <w:rPr>
          <w:lang w:val="en-US"/>
        </w:rPr>
        <w:t>Each professional service contained in the Schedule has been allocated a unique item number.</w:t>
      </w:r>
      <w:r w:rsidR="007736E8">
        <w:rPr>
          <w:lang w:val="en-US"/>
        </w:rPr>
        <w:t xml:space="preserve"> </w:t>
      </w:r>
      <w:r w:rsidRPr="00A63803">
        <w:rPr>
          <w:lang w:val="en-US"/>
        </w:rPr>
        <w:t>Located with the item number and description for each service is the Schedule fee and Medicare benefit, together with a reference to an explanatory note relating to the item (if applicable).</w:t>
      </w:r>
    </w:p>
    <w:p w14:paraId="0295498C" w14:textId="77777777" w:rsidR="00F85147" w:rsidRPr="00A63803" w:rsidRDefault="00F85147" w:rsidP="00F85147">
      <w:pPr>
        <w:rPr>
          <w:lang w:val="en-US"/>
        </w:rPr>
      </w:pPr>
      <w:r w:rsidRPr="00A63803">
        <w:rPr>
          <w:lang w:val="en-US"/>
        </w:rPr>
        <w:t xml:space="preserve">If the service attracts an </w:t>
      </w:r>
      <w:proofErr w:type="spellStart"/>
      <w:r w:rsidRPr="00A63803">
        <w:rPr>
          <w:lang w:val="en-US"/>
        </w:rPr>
        <w:t>anaesthetic</w:t>
      </w:r>
      <w:proofErr w:type="spellEnd"/>
      <w:r w:rsidRPr="00A63803">
        <w:rPr>
          <w:lang w:val="en-US"/>
        </w:rPr>
        <w:t>, the word (</w:t>
      </w:r>
      <w:proofErr w:type="spellStart"/>
      <w:r w:rsidRPr="00A63803">
        <w:rPr>
          <w:lang w:val="en-US"/>
        </w:rPr>
        <w:t>Anaes</w:t>
      </w:r>
      <w:proofErr w:type="spellEnd"/>
      <w:r w:rsidRPr="00A63803">
        <w:rPr>
          <w:lang w:val="en-US"/>
        </w:rPr>
        <w:t>.)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w:t>
      </w:r>
    </w:p>
    <w:p w14:paraId="34334206" w14:textId="77777777" w:rsidR="00F85147" w:rsidRPr="00A63803" w:rsidRDefault="00F85147" w:rsidP="00F85147">
      <w:pPr>
        <w:rPr>
          <w:lang w:val="en-US"/>
        </w:rPr>
      </w:pPr>
      <w:r w:rsidRPr="00A63803">
        <w:rPr>
          <w:lang w:val="en-US"/>
        </w:rPr>
        <w:t xml:space="preserve">In some </w:t>
      </w:r>
      <w:proofErr w:type="gramStart"/>
      <w:r w:rsidRPr="00A63803">
        <w:rPr>
          <w:lang w:val="en-US"/>
        </w:rPr>
        <w:t>cases</w:t>
      </w:r>
      <w:proofErr w:type="gramEnd"/>
      <w:r w:rsidRPr="00A63803">
        <w:rPr>
          <w:lang w:val="en-US"/>
        </w:rPr>
        <w:t xml:space="preserve"> two levels of fees are applied to the same service in General Medical Services, with each level of fee being allocated a separate item number.</w:t>
      </w:r>
      <w:r w:rsidR="007736E8">
        <w:rPr>
          <w:lang w:val="en-US"/>
        </w:rPr>
        <w:t xml:space="preserve"> </w:t>
      </w:r>
      <w:r w:rsidRPr="00A63803">
        <w:rPr>
          <w:lang w:val="en-US"/>
        </w:rPr>
        <w:t xml:space="preserve">The item identified by the letter "S" applies in the case where the procedure has been rendered by a </w:t>
      </w:r>
      <w:proofErr w:type="spellStart"/>
      <w:r w:rsidRPr="00A63803">
        <w:rPr>
          <w:lang w:val="en-US"/>
        </w:rPr>
        <w:t>recognised</w:t>
      </w:r>
      <w:proofErr w:type="spellEnd"/>
      <w:r w:rsidRPr="00A63803">
        <w:rPr>
          <w:lang w:val="en-US"/>
        </w:rPr>
        <w:t xml:space="preserve"> specialist in the practice of his or her specialty and the patient has been referred.</w:t>
      </w:r>
      <w:r w:rsidR="007736E8">
        <w:rPr>
          <w:lang w:val="en-US"/>
        </w:rPr>
        <w:t xml:space="preserve"> </w:t>
      </w:r>
      <w:r w:rsidRPr="00A63803">
        <w:rPr>
          <w:lang w:val="en-US"/>
        </w:rPr>
        <w:t>The item identified by the letter "G" applies in any other circumstance.</w:t>
      </w:r>
    </w:p>
    <w:p w14:paraId="2D78A292" w14:textId="77777777" w:rsidR="00F85147" w:rsidRPr="00A63803" w:rsidRDefault="00F85147" w:rsidP="00F85147">
      <w:pPr>
        <w:rPr>
          <w:lang w:val="en-US"/>
        </w:rPr>
      </w:pPr>
      <w:r w:rsidRPr="00A63803">
        <w:rPr>
          <w:lang w:val="en-US"/>
        </w:rPr>
        <w:t xml:space="preserve">Higher rates of benefits are also provided for consultations by a </w:t>
      </w:r>
      <w:proofErr w:type="spellStart"/>
      <w:r w:rsidRPr="00A63803">
        <w:rPr>
          <w:lang w:val="en-US"/>
        </w:rPr>
        <w:t>recognised</w:t>
      </w:r>
      <w:proofErr w:type="spellEnd"/>
      <w:r w:rsidRPr="00A63803">
        <w:rPr>
          <w:lang w:val="en-US"/>
        </w:rPr>
        <w:t xml:space="preserve"> consultant physician where the patient has been referred by another medical practitioner or an approved dental practitioner (oral surgeons). </w:t>
      </w:r>
    </w:p>
    <w:p w14:paraId="080182F9" w14:textId="77777777" w:rsidR="00F85147" w:rsidRPr="00A63803" w:rsidRDefault="00F85147" w:rsidP="00F85147">
      <w:pPr>
        <w:rPr>
          <w:lang w:val="en-US"/>
        </w:rPr>
      </w:pPr>
      <w:r w:rsidRPr="00A63803">
        <w:rPr>
          <w:lang w:val="en-US"/>
        </w:rPr>
        <w:t>Differential fees and benefits also apply to services listed in Category 5 (Diagnostic Imaging Services). The conditions relating to these services are set out in Category 5.</w:t>
      </w:r>
    </w:p>
    <w:p w14:paraId="3D0A4C52" w14:textId="77777777" w:rsidR="00F85147" w:rsidRPr="00A63803" w:rsidRDefault="00F85147" w:rsidP="00F637C3">
      <w:pPr>
        <w:pStyle w:val="Heading4"/>
      </w:pPr>
      <w:r w:rsidRPr="00A63803">
        <w:t>Explanatory Notes</w:t>
      </w:r>
    </w:p>
    <w:p w14:paraId="4F1EB2AA" w14:textId="77777777" w:rsidR="00E45611" w:rsidRDefault="00F85147" w:rsidP="00F85147">
      <w:pPr>
        <w:rPr>
          <w:lang w:val="en-US"/>
        </w:rPr>
        <w:sectPr w:rsidR="00E45611" w:rsidSect="00151F01">
          <w:endnotePr>
            <w:numFmt w:val="decimal"/>
          </w:endnotePr>
          <w:pgSz w:w="11906" w:h="16838" w:code="9"/>
          <w:pgMar w:top="1440" w:right="1440" w:bottom="1276" w:left="1440" w:header="720" w:footer="720" w:gutter="0"/>
          <w:paperSrc w:first="2" w:other="2"/>
          <w:cols w:space="720"/>
          <w:docGrid w:linePitch="326"/>
        </w:sectPr>
      </w:pPr>
      <w:r w:rsidRPr="00A63803">
        <w:rPr>
          <w:lang w:val="en-US"/>
        </w:rPr>
        <w:t xml:space="preserve">Explanatory notes relating to the Medicare benefit arrangements and notes that have general application to services are located at the beginning of the schedule, while notes relating to specific </w:t>
      </w:r>
      <w:r w:rsidRPr="00A63803">
        <w:rPr>
          <w:lang w:val="en-US"/>
        </w:rPr>
        <w:lastRenderedPageBreak/>
        <w:t>items are located at the beginning of each Category. While there may be a reference following the description of an item to specific notes relating to that item, there may also be general notes relating to each Group of items.</w:t>
      </w:r>
    </w:p>
    <w:p w14:paraId="67B90B88" w14:textId="77777777" w:rsidR="007E27AB" w:rsidRPr="00BD21CA" w:rsidRDefault="007E27AB" w:rsidP="007E27AB">
      <w:pPr>
        <w:pStyle w:val="Caption"/>
        <w:rPr>
          <w:lang w:val="en-US"/>
        </w:rPr>
      </w:pPr>
      <w:r w:rsidRPr="0065052C">
        <w:rPr>
          <w:lang w:val="en-US"/>
        </w:rPr>
        <w:lastRenderedPageBreak/>
        <w:t xml:space="preserve">Table </w:t>
      </w:r>
      <w:r w:rsidR="00725F6C" w:rsidRPr="0065052C">
        <w:rPr>
          <w:lang w:val="en-US"/>
        </w:rPr>
        <w:t>A6: Group M15 – diagnostic audiology services</w:t>
      </w:r>
    </w:p>
    <w:tbl>
      <w:tblPr>
        <w:tblW w:w="1419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A6 lists item numbers and descriptors for Group M15 – diagnostic audiology services that were considered by the Committee."/>
      </w:tblPr>
      <w:tblGrid>
        <w:gridCol w:w="870"/>
        <w:gridCol w:w="9000"/>
        <w:gridCol w:w="900"/>
        <w:gridCol w:w="1440"/>
        <w:gridCol w:w="1980"/>
      </w:tblGrid>
      <w:tr w:rsidR="00E45611" w:rsidRPr="00CE4663" w14:paraId="348398CA" w14:textId="77777777" w:rsidTr="00E45611">
        <w:trPr>
          <w:tblHeader/>
        </w:trPr>
        <w:tc>
          <w:tcPr>
            <w:tcW w:w="870" w:type="dxa"/>
            <w:shd w:val="clear" w:color="auto" w:fill="auto"/>
          </w:tcPr>
          <w:p w14:paraId="40FC5033" w14:textId="77777777" w:rsidR="00E45611" w:rsidRPr="00CE4663" w:rsidRDefault="00E45611" w:rsidP="00142254">
            <w:pPr>
              <w:pStyle w:val="Tableheading"/>
            </w:pPr>
            <w:r w:rsidRPr="00CE4663">
              <w:t>Item</w:t>
            </w:r>
          </w:p>
        </w:tc>
        <w:tc>
          <w:tcPr>
            <w:tcW w:w="9000" w:type="dxa"/>
            <w:shd w:val="clear" w:color="auto" w:fill="auto"/>
          </w:tcPr>
          <w:p w14:paraId="2A9D8EAB" w14:textId="77777777" w:rsidR="00E45611" w:rsidRPr="00CE4663" w:rsidRDefault="00E45611" w:rsidP="00142254">
            <w:pPr>
              <w:pStyle w:val="Tableheading"/>
            </w:pPr>
            <w:r w:rsidRPr="00CE4663">
              <w:t>Descriptor</w:t>
            </w:r>
          </w:p>
        </w:tc>
        <w:tc>
          <w:tcPr>
            <w:tcW w:w="900" w:type="dxa"/>
          </w:tcPr>
          <w:p w14:paraId="7976FD4D" w14:textId="77777777" w:rsidR="00E45611" w:rsidRPr="00CE4663" w:rsidRDefault="00E45611" w:rsidP="00142254">
            <w:pPr>
              <w:pStyle w:val="Tableheading"/>
            </w:pPr>
            <w:r w:rsidRPr="00BD21CA">
              <w:t>Fee</w:t>
            </w:r>
          </w:p>
        </w:tc>
        <w:tc>
          <w:tcPr>
            <w:tcW w:w="1440" w:type="dxa"/>
          </w:tcPr>
          <w:p w14:paraId="64E0623D" w14:textId="77777777" w:rsidR="00E45611" w:rsidRPr="00CE4663" w:rsidRDefault="00E45611" w:rsidP="00142254">
            <w:pPr>
              <w:pStyle w:val="Tableheading"/>
            </w:pPr>
            <w:r w:rsidRPr="00BD21CA">
              <w:t>Benefit</w:t>
            </w:r>
          </w:p>
        </w:tc>
        <w:tc>
          <w:tcPr>
            <w:tcW w:w="1980" w:type="dxa"/>
          </w:tcPr>
          <w:p w14:paraId="0F25B453" w14:textId="77777777" w:rsidR="00E45611" w:rsidRPr="00CE4663" w:rsidRDefault="00E45611" w:rsidP="00142254">
            <w:pPr>
              <w:pStyle w:val="Tableheading"/>
            </w:pPr>
            <w:r w:rsidRPr="00BD21CA">
              <w:t>Extended Medicare Safety Net Cap</w:t>
            </w:r>
          </w:p>
        </w:tc>
      </w:tr>
      <w:tr w:rsidR="00E45611" w:rsidRPr="00407D02" w14:paraId="67AE8B56" w14:textId="77777777" w:rsidTr="00E45611">
        <w:tc>
          <w:tcPr>
            <w:tcW w:w="870" w:type="dxa"/>
            <w:shd w:val="clear" w:color="auto" w:fill="auto"/>
          </w:tcPr>
          <w:p w14:paraId="37893F8C" w14:textId="77777777" w:rsidR="00E45611" w:rsidRPr="00B639F7" w:rsidRDefault="00E45611" w:rsidP="00B639F7">
            <w:pPr>
              <w:pStyle w:val="Tabletext"/>
              <w:rPr>
                <w:b/>
              </w:rPr>
            </w:pPr>
            <w:r w:rsidRPr="00B639F7">
              <w:rPr>
                <w:b/>
              </w:rPr>
              <w:t>82300</w:t>
            </w:r>
          </w:p>
        </w:tc>
        <w:tc>
          <w:tcPr>
            <w:tcW w:w="9000" w:type="dxa"/>
            <w:shd w:val="clear" w:color="auto" w:fill="auto"/>
          </w:tcPr>
          <w:p w14:paraId="2757A03F" w14:textId="77777777" w:rsidR="00E45611" w:rsidRPr="00226556" w:rsidRDefault="00E45611" w:rsidP="00422EC8">
            <w:pPr>
              <w:pStyle w:val="Tabletext"/>
            </w:pPr>
            <w:r w:rsidRPr="00226556">
              <w:t xml:space="preserve">Audiology health service, consisting of </w:t>
            </w:r>
            <w:r w:rsidRPr="00226556">
              <w:rPr>
                <w:b/>
                <w:bCs/>
              </w:rPr>
              <w:t>BRAIN STEM EVOKED RESPONSE AUDIOMETRY</w:t>
            </w:r>
            <w:r w:rsidRPr="00226556">
              <w:t>, performed on a person by an eligible audiologist if:</w:t>
            </w:r>
          </w:p>
          <w:p w14:paraId="67AB682D" w14:textId="77777777" w:rsidR="00E45611" w:rsidRDefault="00E45611" w:rsidP="00822601">
            <w:pPr>
              <w:pStyle w:val="NormalBulletedTablea"/>
              <w:numPr>
                <w:ilvl w:val="1"/>
                <w:numId w:val="50"/>
              </w:numPr>
            </w:pPr>
            <w:r w:rsidRPr="00226556">
              <w:t>the service is performed pursuant to a written request made by an eligible practitioner to assist the eligible practitioner in the diagnosis and/or treatment and/or management of ear disease or a related disorder in the person; and</w:t>
            </w:r>
          </w:p>
          <w:p w14:paraId="35C877A4" w14:textId="77777777" w:rsidR="00E45611" w:rsidRDefault="00E45611" w:rsidP="00822601">
            <w:pPr>
              <w:pStyle w:val="NormalBulletedTablea"/>
              <w:numPr>
                <w:ilvl w:val="1"/>
                <w:numId w:val="50"/>
              </w:numPr>
            </w:pPr>
            <w:r w:rsidRPr="00226556">
              <w:t>the eligible practitioner is a specialist in the specialty of otolaryngology head and neck surgery; and</w:t>
            </w:r>
          </w:p>
          <w:p w14:paraId="66A29AA1" w14:textId="77777777" w:rsidR="00E45611" w:rsidRDefault="00E45611" w:rsidP="00822601">
            <w:pPr>
              <w:pStyle w:val="NormalBulletedTablea"/>
              <w:numPr>
                <w:ilvl w:val="1"/>
                <w:numId w:val="50"/>
              </w:numPr>
            </w:pPr>
            <w:r w:rsidRPr="00226556">
              <w:t>the service is not performed for the purpose of a hearing screening; and</w:t>
            </w:r>
          </w:p>
          <w:p w14:paraId="0712FA58" w14:textId="77777777" w:rsidR="00E45611" w:rsidRDefault="00E45611" w:rsidP="00822601">
            <w:pPr>
              <w:pStyle w:val="NormalBulletedTablea"/>
              <w:numPr>
                <w:ilvl w:val="1"/>
                <w:numId w:val="50"/>
              </w:numPr>
            </w:pPr>
            <w:r w:rsidRPr="00226556">
              <w:t>the person is not an admitted patient of a hospital; and</w:t>
            </w:r>
          </w:p>
          <w:p w14:paraId="7E1AAC00" w14:textId="77777777" w:rsidR="00E45611" w:rsidRDefault="00E45611" w:rsidP="00822601">
            <w:pPr>
              <w:pStyle w:val="NormalBulletedTablea"/>
              <w:numPr>
                <w:ilvl w:val="1"/>
                <w:numId w:val="50"/>
              </w:numPr>
            </w:pPr>
            <w:r w:rsidRPr="00226556">
              <w:t>the service is performed on the person individually and in person; and</w:t>
            </w:r>
          </w:p>
          <w:p w14:paraId="60457861" w14:textId="77777777" w:rsidR="00E45611" w:rsidRDefault="00E45611" w:rsidP="00822601">
            <w:pPr>
              <w:pStyle w:val="NormalBulletedTablea"/>
              <w:numPr>
                <w:ilvl w:val="1"/>
                <w:numId w:val="50"/>
              </w:numPr>
            </w:pPr>
            <w:r w:rsidRPr="00226556">
              <w:t>after the service, the eligible audiologist provides a copy of the results of the service performed, together with relevant comments in writing that the eligible audiologist has on those results, to the eligible practitioner who requested the service; and</w:t>
            </w:r>
          </w:p>
          <w:p w14:paraId="64280F28" w14:textId="77777777" w:rsidR="00E45611" w:rsidRPr="00226556" w:rsidRDefault="00E45611" w:rsidP="00822601">
            <w:pPr>
              <w:pStyle w:val="NormalBulletedTablea"/>
              <w:numPr>
                <w:ilvl w:val="1"/>
                <w:numId w:val="50"/>
              </w:numPr>
            </w:pPr>
            <w:r w:rsidRPr="00226556">
              <w:t>a service to which item 11300 applies has not been performed on the person on the same day.</w:t>
            </w:r>
          </w:p>
          <w:p w14:paraId="6FDA5D47" w14:textId="77777777" w:rsidR="00E45611" w:rsidRPr="00BD21CA" w:rsidRDefault="00E45611" w:rsidP="00E45611">
            <w:pPr>
              <w:pStyle w:val="Tabletext"/>
            </w:pPr>
            <w:r w:rsidRPr="00BD21CA">
              <w:rPr>
                <w:i/>
              </w:rPr>
              <w:t>(See para M15.1 and M15.5 of explanatory notes to this Category)</w:t>
            </w:r>
            <w:r w:rsidRPr="00BD21CA">
              <w:rPr>
                <w:b/>
              </w:rPr>
              <w:t xml:space="preserve"> </w:t>
            </w:r>
          </w:p>
        </w:tc>
        <w:tc>
          <w:tcPr>
            <w:tcW w:w="900" w:type="dxa"/>
          </w:tcPr>
          <w:p w14:paraId="27394E47" w14:textId="77777777" w:rsidR="00E45611" w:rsidRPr="00422EC8" w:rsidRDefault="00E45611" w:rsidP="00422EC8">
            <w:pPr>
              <w:pStyle w:val="Tabletext"/>
              <w:rPr>
                <w:highlight w:val="yellow"/>
              </w:rPr>
            </w:pPr>
            <w:r w:rsidRPr="00422EC8">
              <w:t>$153.95</w:t>
            </w:r>
          </w:p>
        </w:tc>
        <w:tc>
          <w:tcPr>
            <w:tcW w:w="1440" w:type="dxa"/>
          </w:tcPr>
          <w:p w14:paraId="5C7CB968" w14:textId="77777777" w:rsidR="00E45611" w:rsidRPr="00422EC8" w:rsidRDefault="00E45611" w:rsidP="00422EC8">
            <w:pPr>
              <w:pStyle w:val="Tabletext"/>
              <w:rPr>
                <w:highlight w:val="yellow"/>
              </w:rPr>
            </w:pPr>
            <w:r w:rsidRPr="00422EC8">
              <w:t>85% = $130.90</w:t>
            </w:r>
          </w:p>
        </w:tc>
        <w:tc>
          <w:tcPr>
            <w:tcW w:w="1980" w:type="dxa"/>
          </w:tcPr>
          <w:p w14:paraId="37E1ACCA" w14:textId="77777777" w:rsidR="00E45611" w:rsidRPr="00422EC8" w:rsidRDefault="00E45611" w:rsidP="00422EC8">
            <w:pPr>
              <w:pStyle w:val="Tabletext"/>
              <w:rPr>
                <w:highlight w:val="yellow"/>
              </w:rPr>
            </w:pPr>
            <w:r w:rsidRPr="00422EC8">
              <w:t>$461.85</w:t>
            </w:r>
          </w:p>
        </w:tc>
      </w:tr>
      <w:tr w:rsidR="00E45611" w:rsidRPr="00407D02" w14:paraId="670B9232" w14:textId="77777777" w:rsidTr="00E45611">
        <w:tc>
          <w:tcPr>
            <w:tcW w:w="870" w:type="dxa"/>
            <w:shd w:val="clear" w:color="auto" w:fill="auto"/>
          </w:tcPr>
          <w:p w14:paraId="2E2446CC" w14:textId="77777777" w:rsidR="00E45611" w:rsidRPr="00B639F7" w:rsidRDefault="00E45611" w:rsidP="00B639F7">
            <w:pPr>
              <w:pStyle w:val="Tabletext"/>
              <w:rPr>
                <w:b/>
              </w:rPr>
            </w:pPr>
            <w:r w:rsidRPr="00B639F7">
              <w:rPr>
                <w:b/>
              </w:rPr>
              <w:t>82306</w:t>
            </w:r>
          </w:p>
        </w:tc>
        <w:tc>
          <w:tcPr>
            <w:tcW w:w="9000" w:type="dxa"/>
            <w:shd w:val="clear" w:color="auto" w:fill="auto"/>
          </w:tcPr>
          <w:p w14:paraId="40BCD0CF" w14:textId="77777777" w:rsidR="00E45611" w:rsidRPr="00422EC8" w:rsidRDefault="00E45611" w:rsidP="00422EC8">
            <w:pPr>
              <w:pStyle w:val="Tabletext"/>
            </w:pPr>
            <w:r w:rsidRPr="00422EC8">
              <w:t xml:space="preserve">Audiology health service, consisting of </w:t>
            </w:r>
            <w:r w:rsidRPr="00BD21CA">
              <w:rPr>
                <w:b/>
                <w:bCs/>
              </w:rPr>
              <w:t>NON-DETERMINATE AUDIOMETRY</w:t>
            </w:r>
            <w:r w:rsidRPr="00422EC8">
              <w:t xml:space="preserve"> performed on a person by an eligible audiologist if:</w:t>
            </w:r>
          </w:p>
          <w:p w14:paraId="26A360BB" w14:textId="77777777" w:rsidR="00822601" w:rsidRDefault="00822601" w:rsidP="00822601">
            <w:pPr>
              <w:pStyle w:val="NormalBulletedTablea"/>
            </w:pPr>
            <w:r>
              <w:t>(a)</w:t>
            </w:r>
            <w:r>
              <w:tab/>
            </w:r>
            <w:r w:rsidR="00E45611" w:rsidRPr="00822601">
              <w:t>the service is performed pursuant to a written request made by an eligible practitioner to assist the eligible practitioner in the diagnosis and/or treatment and/or management of ear disease or a related disorder in the person; and</w:t>
            </w:r>
          </w:p>
          <w:p w14:paraId="64C29D01" w14:textId="77777777" w:rsidR="00822601" w:rsidRDefault="00822601" w:rsidP="00822601">
            <w:pPr>
              <w:pStyle w:val="NormalBulletedTablea"/>
            </w:pPr>
            <w:r>
              <w:t>(b)</w:t>
            </w:r>
            <w:r>
              <w:tab/>
            </w:r>
            <w:r w:rsidR="00E45611" w:rsidRPr="00822601">
              <w:t>the eligible practitioner is a specialist in the specialty of otolaryngology head and neck surgery; and</w:t>
            </w:r>
          </w:p>
          <w:p w14:paraId="190E1C9D" w14:textId="77777777" w:rsidR="00E45611" w:rsidRDefault="00822601" w:rsidP="00822601">
            <w:pPr>
              <w:pStyle w:val="NormalBulletedTablea"/>
            </w:pPr>
            <w:r>
              <w:t>(c)</w:t>
            </w:r>
            <w:r>
              <w:tab/>
            </w:r>
            <w:r w:rsidR="00E45611" w:rsidRPr="00822601">
              <w:t>the service is not performed for the purpose of a hearing screening; and</w:t>
            </w:r>
          </w:p>
          <w:p w14:paraId="4D6C6011" w14:textId="77777777" w:rsidR="00E45611" w:rsidRDefault="00822601" w:rsidP="00822601">
            <w:pPr>
              <w:pStyle w:val="NormalBulletedTablea"/>
            </w:pPr>
            <w:r>
              <w:t>(d)</w:t>
            </w:r>
            <w:r>
              <w:tab/>
            </w:r>
            <w:r w:rsidR="00E45611" w:rsidRPr="00822601">
              <w:t>the person is not an adm</w:t>
            </w:r>
            <w:r w:rsidR="002923D1" w:rsidRPr="00822601">
              <w:t>itted patient of a hospital; and</w:t>
            </w:r>
          </w:p>
          <w:p w14:paraId="51AE4C62" w14:textId="77777777" w:rsidR="00E45611" w:rsidRDefault="00822601" w:rsidP="00822601">
            <w:pPr>
              <w:pStyle w:val="NormalBulletedTablea"/>
            </w:pPr>
            <w:r>
              <w:t>(e)</w:t>
            </w:r>
            <w:r>
              <w:tab/>
            </w:r>
            <w:r w:rsidR="00E45611" w:rsidRPr="00822601">
              <w:t>the service is performed on the person individually and in person; and</w:t>
            </w:r>
          </w:p>
          <w:p w14:paraId="26B52E22" w14:textId="77777777" w:rsidR="00E45611" w:rsidRDefault="00822601" w:rsidP="00822601">
            <w:pPr>
              <w:pStyle w:val="NormalBulletedTablea"/>
            </w:pPr>
            <w:r>
              <w:lastRenderedPageBreak/>
              <w:t>(f)</w:t>
            </w:r>
            <w:r>
              <w:tab/>
            </w:r>
            <w:r w:rsidR="00E45611" w:rsidRPr="00822601">
              <w:t>after the service, the eligible audiologist provides a copy of the results of the service performed, together with relevant comments in writing that the eligible audiologist has on those results, to the eligible practitioner who requested the service; and</w:t>
            </w:r>
          </w:p>
          <w:p w14:paraId="0FB7A2B9" w14:textId="77777777" w:rsidR="00E45611" w:rsidRPr="002923D1" w:rsidRDefault="00822601" w:rsidP="00822601">
            <w:pPr>
              <w:pStyle w:val="NormalBulletedTablea"/>
            </w:pPr>
            <w:r>
              <w:t>(g)</w:t>
            </w:r>
            <w:r>
              <w:tab/>
            </w:r>
            <w:r w:rsidR="00E45611" w:rsidRPr="00822601">
              <w:t>a service to which item</w:t>
            </w:r>
            <w:r w:rsidR="00E45611" w:rsidRPr="002923D1">
              <w:t xml:space="preserve"> 11306 applies has not been performed on the person on the same day.</w:t>
            </w:r>
          </w:p>
          <w:p w14:paraId="12EA5AEB" w14:textId="77777777" w:rsidR="00E45611" w:rsidRPr="00BD21CA" w:rsidRDefault="00E45611" w:rsidP="00E45611">
            <w:pPr>
              <w:pStyle w:val="Tabletext"/>
            </w:pPr>
            <w:r w:rsidRPr="00BD21CA">
              <w:rPr>
                <w:i/>
              </w:rPr>
              <w:t>(See para M15.2 and M15.5 of explanatory notes to this Category)</w:t>
            </w:r>
            <w:r w:rsidRPr="00BD21CA">
              <w:rPr>
                <w:b/>
              </w:rPr>
              <w:t xml:space="preserve"> </w:t>
            </w:r>
          </w:p>
        </w:tc>
        <w:tc>
          <w:tcPr>
            <w:tcW w:w="900" w:type="dxa"/>
          </w:tcPr>
          <w:p w14:paraId="43AE9654" w14:textId="77777777" w:rsidR="00E45611" w:rsidRPr="00422EC8" w:rsidRDefault="00E45611" w:rsidP="00422EC8">
            <w:pPr>
              <w:pStyle w:val="Tabletext"/>
            </w:pPr>
            <w:r w:rsidRPr="00422EC8">
              <w:lastRenderedPageBreak/>
              <w:t>$17.50</w:t>
            </w:r>
          </w:p>
        </w:tc>
        <w:tc>
          <w:tcPr>
            <w:tcW w:w="1440" w:type="dxa"/>
          </w:tcPr>
          <w:p w14:paraId="1BC9EDC2" w14:textId="77777777" w:rsidR="00E45611" w:rsidRPr="00422EC8" w:rsidRDefault="00E45611" w:rsidP="00422EC8">
            <w:pPr>
              <w:pStyle w:val="Tabletext"/>
            </w:pPr>
            <w:r w:rsidRPr="00422EC8">
              <w:t>85% = $14.90</w:t>
            </w:r>
          </w:p>
        </w:tc>
        <w:tc>
          <w:tcPr>
            <w:tcW w:w="1980" w:type="dxa"/>
          </w:tcPr>
          <w:p w14:paraId="2CB2EBC4" w14:textId="77777777" w:rsidR="00E45611" w:rsidRPr="00422EC8" w:rsidRDefault="00E45611" w:rsidP="00422EC8">
            <w:pPr>
              <w:pStyle w:val="Tabletext"/>
            </w:pPr>
            <w:r w:rsidRPr="00422EC8">
              <w:t>$52.50</w:t>
            </w:r>
          </w:p>
        </w:tc>
      </w:tr>
      <w:tr w:rsidR="00E45611" w:rsidRPr="00407D02" w14:paraId="147CB4EC" w14:textId="77777777" w:rsidTr="00E45611">
        <w:tc>
          <w:tcPr>
            <w:tcW w:w="870" w:type="dxa"/>
            <w:shd w:val="clear" w:color="auto" w:fill="auto"/>
          </w:tcPr>
          <w:p w14:paraId="41F479C1" w14:textId="77777777" w:rsidR="00E45611" w:rsidRPr="00B639F7" w:rsidRDefault="00E45611" w:rsidP="00B639F7">
            <w:pPr>
              <w:pStyle w:val="Tabletext"/>
              <w:rPr>
                <w:b/>
              </w:rPr>
            </w:pPr>
            <w:r w:rsidRPr="00B639F7">
              <w:rPr>
                <w:b/>
              </w:rPr>
              <w:t>82309</w:t>
            </w:r>
          </w:p>
        </w:tc>
        <w:tc>
          <w:tcPr>
            <w:tcW w:w="9000" w:type="dxa"/>
            <w:shd w:val="clear" w:color="auto" w:fill="auto"/>
          </w:tcPr>
          <w:p w14:paraId="5AEFC90A" w14:textId="77777777" w:rsidR="00E45611" w:rsidRPr="00422EC8" w:rsidRDefault="00E45611" w:rsidP="00422EC8">
            <w:pPr>
              <w:pStyle w:val="Tabletext"/>
            </w:pPr>
            <w:r w:rsidRPr="00422EC8">
              <w:t xml:space="preserve">Audiology health service, consisting of an </w:t>
            </w:r>
            <w:r w:rsidRPr="00BD21CA">
              <w:rPr>
                <w:b/>
                <w:bCs/>
              </w:rPr>
              <w:t>AIR CONDUCTION AUDIOGRAM</w:t>
            </w:r>
            <w:r w:rsidRPr="00422EC8">
              <w:t xml:space="preserve"> performed on a person by an eligible audiologist if:</w:t>
            </w:r>
          </w:p>
          <w:p w14:paraId="3C005C00" w14:textId="77777777" w:rsidR="00E45611" w:rsidRDefault="00E45611" w:rsidP="00AA632A">
            <w:pPr>
              <w:pStyle w:val="NormalBulletedTablea"/>
              <w:numPr>
                <w:ilvl w:val="0"/>
                <w:numId w:val="20"/>
              </w:numPr>
            </w:pPr>
            <w:r w:rsidRPr="002E6B81">
              <w:t>the service is performed pursuant to a written request made by an eligible practitioner to assist the eligible practitioner in the diagnosis and/or treatment and/or management of ear disease or a related disorder in the person; and</w:t>
            </w:r>
          </w:p>
          <w:p w14:paraId="74D63DE5" w14:textId="77777777" w:rsidR="00E45611" w:rsidRPr="00AA632A" w:rsidRDefault="00E45611" w:rsidP="00AA632A">
            <w:pPr>
              <w:pStyle w:val="NormalBulletedTablea"/>
              <w:numPr>
                <w:ilvl w:val="0"/>
                <w:numId w:val="20"/>
              </w:numPr>
            </w:pPr>
            <w:r w:rsidRPr="00AA632A">
              <w:t>the eligible practitioner is:</w:t>
            </w:r>
          </w:p>
          <w:p w14:paraId="5A11687C" w14:textId="77777777" w:rsidR="002923D1" w:rsidRPr="00BD21CA" w:rsidRDefault="00E45611" w:rsidP="002923D1">
            <w:pPr>
              <w:numPr>
                <w:ilvl w:val="0"/>
                <w:numId w:val="23"/>
              </w:numPr>
              <w:spacing w:before="60"/>
              <w:ind w:left="936"/>
              <w:jc w:val="both"/>
              <w:rPr>
                <w:sz w:val="20"/>
                <w:szCs w:val="20"/>
              </w:rPr>
            </w:pPr>
            <w:r w:rsidRPr="002E6B81">
              <w:rPr>
                <w:sz w:val="20"/>
                <w:szCs w:val="20"/>
              </w:rPr>
              <w:t xml:space="preserve">a specialist in the specialty of otolaryngology head and neck surgery; or </w:t>
            </w:r>
          </w:p>
          <w:p w14:paraId="68E24545" w14:textId="77777777" w:rsidR="002923D1" w:rsidRPr="00BD21CA" w:rsidRDefault="00E45611" w:rsidP="002923D1">
            <w:pPr>
              <w:numPr>
                <w:ilvl w:val="0"/>
                <w:numId w:val="23"/>
              </w:numPr>
              <w:spacing w:before="60"/>
              <w:ind w:left="936"/>
              <w:jc w:val="both"/>
              <w:rPr>
                <w:sz w:val="20"/>
                <w:szCs w:val="20"/>
              </w:rPr>
            </w:pPr>
            <w:r w:rsidRPr="002E6B81">
              <w:rPr>
                <w:sz w:val="20"/>
                <w:szCs w:val="20"/>
              </w:rPr>
              <w:t>a specialist or consultant physician in the specialty of neurology; and</w:t>
            </w:r>
          </w:p>
          <w:p w14:paraId="4B885B4E" w14:textId="77777777" w:rsidR="00E45611" w:rsidRDefault="00E45611" w:rsidP="00AA632A">
            <w:pPr>
              <w:pStyle w:val="NormalBulletedTablea"/>
              <w:numPr>
                <w:ilvl w:val="0"/>
                <w:numId w:val="20"/>
              </w:numPr>
            </w:pPr>
            <w:r w:rsidRPr="002E6B81">
              <w:t>the service is not performed for the purpose of a hearing screening; and</w:t>
            </w:r>
          </w:p>
          <w:p w14:paraId="4923A71D" w14:textId="77777777" w:rsidR="00E45611" w:rsidRDefault="00E45611" w:rsidP="00AA632A">
            <w:pPr>
              <w:pStyle w:val="NormalBulletedTablea"/>
              <w:numPr>
                <w:ilvl w:val="0"/>
                <w:numId w:val="20"/>
              </w:numPr>
            </w:pPr>
            <w:r w:rsidRPr="00AA632A">
              <w:t>the person is not an admitted patient of a hospital; and</w:t>
            </w:r>
          </w:p>
          <w:p w14:paraId="77CECCF6" w14:textId="77777777" w:rsidR="00E45611" w:rsidRDefault="00E45611" w:rsidP="00AA632A">
            <w:pPr>
              <w:pStyle w:val="NormalBulletedTablea"/>
              <w:numPr>
                <w:ilvl w:val="0"/>
                <w:numId w:val="20"/>
              </w:numPr>
            </w:pPr>
            <w:r w:rsidRPr="00AA632A">
              <w:t>the service is performed on the person individually and in person; and</w:t>
            </w:r>
          </w:p>
          <w:p w14:paraId="5399F9DE" w14:textId="77777777" w:rsidR="00E45611" w:rsidRDefault="00E45611" w:rsidP="00AA632A">
            <w:pPr>
              <w:pStyle w:val="NormalBulletedTablea"/>
              <w:numPr>
                <w:ilvl w:val="0"/>
                <w:numId w:val="20"/>
              </w:numPr>
            </w:pPr>
            <w:r w:rsidRPr="00AA632A">
              <w:t>after the service, the eligible audiologist provides a copy of the results of the service performed, together with relevant comments in writing that the eligible audiologist has on those results, to the eligible practitioner who requested the service; and</w:t>
            </w:r>
          </w:p>
          <w:p w14:paraId="5513A744" w14:textId="77777777" w:rsidR="00E45611" w:rsidRPr="0000062D" w:rsidRDefault="00E45611" w:rsidP="00AA632A">
            <w:pPr>
              <w:pStyle w:val="NormalBulletedTablea"/>
              <w:numPr>
                <w:ilvl w:val="0"/>
                <w:numId w:val="20"/>
              </w:numPr>
            </w:pPr>
            <w:r w:rsidRPr="0000062D">
              <w:t>a service to which item 11309 applies has not been performed on the person on the same day.</w:t>
            </w:r>
          </w:p>
          <w:p w14:paraId="6E04D1F0"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49F6D627" w14:textId="77777777" w:rsidR="00E45611" w:rsidRPr="00422EC8" w:rsidRDefault="00E45611" w:rsidP="00422EC8">
            <w:pPr>
              <w:pStyle w:val="Tabletext"/>
            </w:pPr>
            <w:r w:rsidRPr="00422EC8">
              <w:t>$21.05</w:t>
            </w:r>
          </w:p>
        </w:tc>
        <w:tc>
          <w:tcPr>
            <w:tcW w:w="1440" w:type="dxa"/>
          </w:tcPr>
          <w:p w14:paraId="1D827AA6" w14:textId="77777777" w:rsidR="00E45611" w:rsidRPr="00422EC8" w:rsidRDefault="00E45611" w:rsidP="00422EC8">
            <w:pPr>
              <w:pStyle w:val="Tabletext"/>
            </w:pPr>
            <w:r w:rsidRPr="00422EC8">
              <w:t>85% = $17.90</w:t>
            </w:r>
          </w:p>
        </w:tc>
        <w:tc>
          <w:tcPr>
            <w:tcW w:w="1980" w:type="dxa"/>
          </w:tcPr>
          <w:p w14:paraId="31A7FC09" w14:textId="77777777" w:rsidR="00E45611" w:rsidRPr="00422EC8" w:rsidRDefault="00E45611" w:rsidP="00422EC8">
            <w:pPr>
              <w:pStyle w:val="Tabletext"/>
            </w:pPr>
            <w:r w:rsidRPr="00422EC8">
              <w:t>$63.15</w:t>
            </w:r>
          </w:p>
        </w:tc>
      </w:tr>
      <w:tr w:rsidR="00E45611" w:rsidRPr="00407D02" w14:paraId="7E653559" w14:textId="77777777" w:rsidTr="00E45611">
        <w:tc>
          <w:tcPr>
            <w:tcW w:w="870" w:type="dxa"/>
            <w:shd w:val="clear" w:color="auto" w:fill="auto"/>
          </w:tcPr>
          <w:p w14:paraId="0F35786F" w14:textId="77777777" w:rsidR="00E45611" w:rsidRPr="00B639F7" w:rsidRDefault="00E45611" w:rsidP="00B639F7">
            <w:pPr>
              <w:pStyle w:val="Tabletext"/>
              <w:rPr>
                <w:b/>
              </w:rPr>
            </w:pPr>
            <w:r w:rsidRPr="00B639F7">
              <w:rPr>
                <w:b/>
              </w:rPr>
              <w:t>82312</w:t>
            </w:r>
          </w:p>
        </w:tc>
        <w:tc>
          <w:tcPr>
            <w:tcW w:w="9000" w:type="dxa"/>
            <w:shd w:val="clear" w:color="auto" w:fill="auto"/>
          </w:tcPr>
          <w:p w14:paraId="115A04BB" w14:textId="77777777" w:rsidR="00E45611" w:rsidRPr="00422EC8" w:rsidRDefault="00E45611" w:rsidP="00422EC8">
            <w:pPr>
              <w:pStyle w:val="Tabletext"/>
            </w:pPr>
            <w:r w:rsidRPr="00422EC8">
              <w:t xml:space="preserve">Audiology health service, consisting of an </w:t>
            </w:r>
            <w:r w:rsidRPr="00BD21CA">
              <w:rPr>
                <w:b/>
                <w:bCs/>
              </w:rPr>
              <w:t xml:space="preserve">AIR AND BONE CONDUCTION AUDIOGRAM OR AIR CONDUCTION AND SPEECH DISCRIMINATION AUDIOGRAM </w:t>
            </w:r>
            <w:r w:rsidRPr="00422EC8">
              <w:t>performed on a person by an eligible audiologist if:</w:t>
            </w:r>
          </w:p>
          <w:p w14:paraId="45743B92" w14:textId="77777777" w:rsidR="00E45611" w:rsidRPr="00BD21CA" w:rsidRDefault="00E45611" w:rsidP="00226556">
            <w:pPr>
              <w:numPr>
                <w:ilvl w:val="0"/>
                <w:numId w:val="53"/>
              </w:numPr>
              <w:spacing w:before="60"/>
              <w:jc w:val="both"/>
              <w:rPr>
                <w:sz w:val="20"/>
                <w:szCs w:val="20"/>
              </w:rPr>
            </w:pPr>
            <w:r w:rsidRPr="00BD21CA">
              <w:rPr>
                <w:sz w:val="20"/>
                <w:szCs w:val="20"/>
              </w:rPr>
              <w:lastRenderedPageBreak/>
              <w:t>the service is performed pursuant to a written request made by an eligible practitioner to assist the eligible practitioner in the diagnosis and/or treatment and/or management of ear disease or a related disorder in the person; and</w:t>
            </w:r>
          </w:p>
          <w:p w14:paraId="171E2E60" w14:textId="77777777" w:rsidR="00E45611" w:rsidRPr="00BD21CA" w:rsidRDefault="00E45611" w:rsidP="00226556">
            <w:pPr>
              <w:numPr>
                <w:ilvl w:val="0"/>
                <w:numId w:val="53"/>
              </w:numPr>
              <w:spacing w:before="60"/>
              <w:jc w:val="both"/>
              <w:rPr>
                <w:sz w:val="20"/>
                <w:szCs w:val="20"/>
              </w:rPr>
            </w:pPr>
            <w:r w:rsidRPr="00BD21CA">
              <w:rPr>
                <w:sz w:val="20"/>
                <w:szCs w:val="20"/>
              </w:rPr>
              <w:t>the eligible practitioner is:</w:t>
            </w:r>
          </w:p>
          <w:p w14:paraId="7BE5E6A6" w14:textId="77777777" w:rsidR="00E45611" w:rsidRPr="00BD21CA" w:rsidRDefault="00E45611" w:rsidP="00226556">
            <w:pPr>
              <w:numPr>
                <w:ilvl w:val="0"/>
                <w:numId w:val="23"/>
              </w:numPr>
              <w:spacing w:before="60"/>
              <w:ind w:left="936"/>
              <w:jc w:val="both"/>
              <w:rPr>
                <w:sz w:val="20"/>
                <w:szCs w:val="20"/>
              </w:rPr>
            </w:pPr>
            <w:r w:rsidRPr="00BD21CA">
              <w:rPr>
                <w:sz w:val="20"/>
                <w:szCs w:val="20"/>
              </w:rPr>
              <w:t xml:space="preserve">a specialist in the specialty of otolaryngology head and neck surgery; or </w:t>
            </w:r>
          </w:p>
          <w:p w14:paraId="3DCE5CF9" w14:textId="77777777" w:rsidR="00E45611" w:rsidRPr="00BD21CA" w:rsidRDefault="00E45611" w:rsidP="00226556">
            <w:pPr>
              <w:numPr>
                <w:ilvl w:val="0"/>
                <w:numId w:val="23"/>
              </w:numPr>
              <w:spacing w:before="60"/>
              <w:ind w:left="936"/>
              <w:jc w:val="both"/>
              <w:rPr>
                <w:sz w:val="20"/>
                <w:szCs w:val="20"/>
              </w:rPr>
            </w:pPr>
            <w:r w:rsidRPr="00BD21CA">
              <w:rPr>
                <w:sz w:val="20"/>
                <w:szCs w:val="20"/>
              </w:rPr>
              <w:t>a specialist or consultant physician in the specialty of neurology; and</w:t>
            </w:r>
          </w:p>
          <w:p w14:paraId="30D1A13D" w14:textId="77777777" w:rsidR="00E45611" w:rsidRPr="00BD21CA" w:rsidRDefault="00E45611" w:rsidP="00226556">
            <w:pPr>
              <w:numPr>
                <w:ilvl w:val="0"/>
                <w:numId w:val="53"/>
              </w:numPr>
              <w:spacing w:before="60"/>
              <w:jc w:val="both"/>
              <w:rPr>
                <w:sz w:val="20"/>
                <w:szCs w:val="20"/>
              </w:rPr>
            </w:pPr>
            <w:r w:rsidRPr="00BD21CA">
              <w:rPr>
                <w:sz w:val="20"/>
                <w:szCs w:val="20"/>
              </w:rPr>
              <w:t>the service is not performed for the purpose of a hearing screening; and</w:t>
            </w:r>
          </w:p>
          <w:p w14:paraId="75236066" w14:textId="77777777" w:rsidR="00E45611" w:rsidRPr="00BD21CA" w:rsidRDefault="00E45611" w:rsidP="00226556">
            <w:pPr>
              <w:numPr>
                <w:ilvl w:val="0"/>
                <w:numId w:val="53"/>
              </w:numPr>
              <w:spacing w:before="60"/>
              <w:jc w:val="both"/>
              <w:rPr>
                <w:sz w:val="20"/>
                <w:szCs w:val="20"/>
              </w:rPr>
            </w:pPr>
            <w:r w:rsidRPr="00BD21CA">
              <w:rPr>
                <w:sz w:val="20"/>
                <w:szCs w:val="20"/>
              </w:rPr>
              <w:t>the person is not an admitted patient of a hospital; and</w:t>
            </w:r>
          </w:p>
          <w:p w14:paraId="69360E95" w14:textId="77777777" w:rsidR="00E45611" w:rsidRPr="00BD21CA" w:rsidRDefault="00E45611" w:rsidP="00226556">
            <w:pPr>
              <w:numPr>
                <w:ilvl w:val="0"/>
                <w:numId w:val="53"/>
              </w:numPr>
              <w:spacing w:before="60"/>
              <w:jc w:val="both"/>
              <w:rPr>
                <w:sz w:val="20"/>
                <w:szCs w:val="20"/>
              </w:rPr>
            </w:pPr>
            <w:r w:rsidRPr="00BD21CA">
              <w:rPr>
                <w:sz w:val="20"/>
                <w:szCs w:val="20"/>
              </w:rPr>
              <w:t>the service is performed on the person individually and in person; and</w:t>
            </w:r>
          </w:p>
          <w:p w14:paraId="59DA48C3" w14:textId="77777777" w:rsidR="00E45611" w:rsidRPr="00BD21CA" w:rsidRDefault="00E45611" w:rsidP="00226556">
            <w:pPr>
              <w:numPr>
                <w:ilvl w:val="0"/>
                <w:numId w:val="53"/>
              </w:numPr>
              <w:spacing w:before="60"/>
              <w:jc w:val="both"/>
              <w:rPr>
                <w:sz w:val="20"/>
                <w:szCs w:val="20"/>
              </w:rPr>
            </w:pPr>
            <w:r w:rsidRPr="00BD21CA">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26264A7E" w14:textId="77777777" w:rsidR="00E45611" w:rsidRPr="00BD21CA" w:rsidRDefault="00E45611" w:rsidP="00226556">
            <w:pPr>
              <w:numPr>
                <w:ilvl w:val="0"/>
                <w:numId w:val="53"/>
              </w:numPr>
              <w:spacing w:before="60"/>
              <w:jc w:val="both"/>
              <w:rPr>
                <w:sz w:val="20"/>
                <w:szCs w:val="20"/>
              </w:rPr>
            </w:pPr>
            <w:r w:rsidRPr="00BD21CA">
              <w:rPr>
                <w:sz w:val="20"/>
                <w:szCs w:val="20"/>
              </w:rPr>
              <w:t>a service to which item 11312 applies has not been performed on the person on the same day.</w:t>
            </w:r>
          </w:p>
          <w:p w14:paraId="26047B99"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15065C6D" w14:textId="77777777" w:rsidR="00E45611" w:rsidRPr="00422EC8" w:rsidRDefault="00E45611" w:rsidP="00422EC8">
            <w:pPr>
              <w:pStyle w:val="Tabletext"/>
            </w:pPr>
            <w:r w:rsidRPr="00422EC8">
              <w:lastRenderedPageBreak/>
              <w:t>$29.70</w:t>
            </w:r>
          </w:p>
        </w:tc>
        <w:tc>
          <w:tcPr>
            <w:tcW w:w="1440" w:type="dxa"/>
          </w:tcPr>
          <w:p w14:paraId="30146BC9" w14:textId="77777777" w:rsidR="00E45611" w:rsidRPr="00422EC8" w:rsidRDefault="00E45611" w:rsidP="00422EC8">
            <w:pPr>
              <w:pStyle w:val="Tabletext"/>
            </w:pPr>
            <w:r w:rsidRPr="00422EC8">
              <w:t>85% = $25.25</w:t>
            </w:r>
          </w:p>
        </w:tc>
        <w:tc>
          <w:tcPr>
            <w:tcW w:w="1980" w:type="dxa"/>
          </w:tcPr>
          <w:p w14:paraId="1A77BB9D" w14:textId="77777777" w:rsidR="00E45611" w:rsidRPr="00422EC8" w:rsidRDefault="00E45611" w:rsidP="00422EC8">
            <w:pPr>
              <w:pStyle w:val="Tabletext"/>
            </w:pPr>
            <w:r w:rsidRPr="00422EC8">
              <w:t>$89.10</w:t>
            </w:r>
          </w:p>
        </w:tc>
      </w:tr>
      <w:tr w:rsidR="00E45611" w:rsidRPr="00407D02" w14:paraId="373FFEDB" w14:textId="77777777" w:rsidTr="00E45611">
        <w:tc>
          <w:tcPr>
            <w:tcW w:w="870" w:type="dxa"/>
            <w:shd w:val="clear" w:color="auto" w:fill="auto"/>
          </w:tcPr>
          <w:p w14:paraId="0BBC83D5" w14:textId="77777777" w:rsidR="00E45611" w:rsidRPr="00B639F7" w:rsidRDefault="00E45611" w:rsidP="00B639F7">
            <w:pPr>
              <w:pStyle w:val="Tabletext"/>
              <w:rPr>
                <w:b/>
              </w:rPr>
            </w:pPr>
            <w:r w:rsidRPr="00B639F7">
              <w:rPr>
                <w:b/>
              </w:rPr>
              <w:t>82315</w:t>
            </w:r>
          </w:p>
        </w:tc>
        <w:tc>
          <w:tcPr>
            <w:tcW w:w="9000" w:type="dxa"/>
            <w:shd w:val="clear" w:color="auto" w:fill="auto"/>
          </w:tcPr>
          <w:p w14:paraId="5A1A3674" w14:textId="77777777" w:rsidR="00E45611" w:rsidRPr="00422EC8" w:rsidRDefault="00E45611" w:rsidP="00422EC8">
            <w:pPr>
              <w:pStyle w:val="Tabletext"/>
            </w:pPr>
            <w:r w:rsidRPr="00422EC8">
              <w:t xml:space="preserve">Audiology health service, consisting of an </w:t>
            </w:r>
            <w:r w:rsidRPr="00BD21CA">
              <w:rPr>
                <w:b/>
                <w:bCs/>
              </w:rPr>
              <w:t>AIR AND BONE CONDUCTION AND SPEECH DISCRIMINATION AUDIOGRAM</w:t>
            </w:r>
            <w:r w:rsidRPr="00422EC8">
              <w:t xml:space="preserve"> performed on a person by an eligible audiologist if:</w:t>
            </w:r>
          </w:p>
          <w:p w14:paraId="3AA7E332" w14:textId="77777777" w:rsidR="00E45611" w:rsidRPr="00BD21CA" w:rsidRDefault="00E45611" w:rsidP="00530122">
            <w:pPr>
              <w:numPr>
                <w:ilvl w:val="0"/>
                <w:numId w:val="24"/>
              </w:numPr>
              <w:spacing w:before="60"/>
              <w:jc w:val="both"/>
              <w:rPr>
                <w:sz w:val="20"/>
                <w:szCs w:val="20"/>
              </w:rPr>
            </w:pPr>
            <w:r w:rsidRPr="00BD21CA">
              <w:rPr>
                <w:sz w:val="20"/>
                <w:szCs w:val="20"/>
              </w:rPr>
              <w:t xml:space="preserve"> the service is performed pursuant to a written request ma</w:t>
            </w:r>
            <w:r>
              <w:rPr>
                <w:sz w:val="20"/>
                <w:szCs w:val="20"/>
              </w:rPr>
              <w:t xml:space="preserve">de by an eligible practitioner </w:t>
            </w:r>
            <w:r w:rsidRPr="00BD21CA">
              <w:rPr>
                <w:sz w:val="20"/>
                <w:szCs w:val="20"/>
              </w:rPr>
              <w:t>to assist the eligible practitioner in the diagnosis and/or treatment and/or management of ear disease or a related disorder in the person; and</w:t>
            </w:r>
          </w:p>
          <w:p w14:paraId="55C3D3F3" w14:textId="77777777" w:rsidR="00E45611" w:rsidRPr="00BD21CA" w:rsidRDefault="00E45611" w:rsidP="00530122">
            <w:pPr>
              <w:numPr>
                <w:ilvl w:val="0"/>
                <w:numId w:val="24"/>
              </w:numPr>
              <w:spacing w:before="60"/>
              <w:jc w:val="both"/>
              <w:rPr>
                <w:sz w:val="20"/>
                <w:szCs w:val="20"/>
              </w:rPr>
            </w:pPr>
            <w:r w:rsidRPr="00BD21CA">
              <w:rPr>
                <w:sz w:val="20"/>
                <w:szCs w:val="20"/>
              </w:rPr>
              <w:t>the eligible practitioner is:</w:t>
            </w:r>
          </w:p>
          <w:p w14:paraId="54A6E280" w14:textId="77777777" w:rsidR="00E45611" w:rsidRPr="00BD21CA" w:rsidRDefault="00E45611" w:rsidP="00530122">
            <w:pPr>
              <w:numPr>
                <w:ilvl w:val="0"/>
                <w:numId w:val="25"/>
              </w:numPr>
              <w:spacing w:before="60"/>
              <w:ind w:left="936"/>
              <w:jc w:val="both"/>
              <w:rPr>
                <w:sz w:val="20"/>
                <w:szCs w:val="20"/>
              </w:rPr>
            </w:pPr>
            <w:r w:rsidRPr="00BD21CA">
              <w:rPr>
                <w:sz w:val="20"/>
                <w:szCs w:val="20"/>
              </w:rPr>
              <w:t xml:space="preserve">a specialist in the specialty of otolaryngology head and neck surgery; or </w:t>
            </w:r>
          </w:p>
          <w:p w14:paraId="214C1E72" w14:textId="77777777" w:rsidR="00E45611" w:rsidRPr="00BD21CA" w:rsidRDefault="00E45611" w:rsidP="00530122">
            <w:pPr>
              <w:numPr>
                <w:ilvl w:val="0"/>
                <w:numId w:val="23"/>
              </w:numPr>
              <w:spacing w:before="60"/>
              <w:ind w:left="936"/>
              <w:jc w:val="both"/>
              <w:rPr>
                <w:sz w:val="20"/>
                <w:szCs w:val="20"/>
              </w:rPr>
            </w:pPr>
            <w:r w:rsidRPr="00BD21CA">
              <w:rPr>
                <w:sz w:val="20"/>
                <w:szCs w:val="20"/>
              </w:rPr>
              <w:t>a specialist or consultant physician in the specialty of neurology; and</w:t>
            </w:r>
          </w:p>
          <w:p w14:paraId="0038BC02" w14:textId="77777777" w:rsidR="00E45611" w:rsidRPr="00BD21CA" w:rsidRDefault="00E45611" w:rsidP="00530122">
            <w:pPr>
              <w:numPr>
                <w:ilvl w:val="0"/>
                <w:numId w:val="24"/>
              </w:numPr>
              <w:spacing w:before="60"/>
              <w:jc w:val="both"/>
              <w:rPr>
                <w:sz w:val="20"/>
                <w:szCs w:val="20"/>
              </w:rPr>
            </w:pPr>
            <w:r w:rsidRPr="00BD21CA">
              <w:rPr>
                <w:sz w:val="20"/>
                <w:szCs w:val="20"/>
              </w:rPr>
              <w:t>the service is not performed for the purpose of a hearing screening; and</w:t>
            </w:r>
          </w:p>
          <w:p w14:paraId="1B913BDF" w14:textId="77777777" w:rsidR="00E45611" w:rsidRPr="00BD21CA" w:rsidRDefault="00E45611" w:rsidP="00530122">
            <w:pPr>
              <w:numPr>
                <w:ilvl w:val="0"/>
                <w:numId w:val="24"/>
              </w:numPr>
              <w:spacing w:before="60"/>
              <w:jc w:val="both"/>
              <w:rPr>
                <w:sz w:val="20"/>
                <w:szCs w:val="20"/>
              </w:rPr>
            </w:pPr>
            <w:r w:rsidRPr="00BD21CA">
              <w:rPr>
                <w:sz w:val="20"/>
                <w:szCs w:val="20"/>
              </w:rPr>
              <w:lastRenderedPageBreak/>
              <w:t>the person is not an admitted patient of a hospital; and</w:t>
            </w:r>
          </w:p>
          <w:p w14:paraId="2DB294C2" w14:textId="77777777" w:rsidR="00E45611" w:rsidRPr="00BD21CA" w:rsidRDefault="00E45611" w:rsidP="00530122">
            <w:pPr>
              <w:numPr>
                <w:ilvl w:val="0"/>
                <w:numId w:val="24"/>
              </w:numPr>
              <w:spacing w:before="60"/>
              <w:jc w:val="both"/>
              <w:rPr>
                <w:sz w:val="20"/>
                <w:szCs w:val="20"/>
              </w:rPr>
            </w:pPr>
            <w:r w:rsidRPr="00BD21CA">
              <w:rPr>
                <w:sz w:val="20"/>
                <w:szCs w:val="20"/>
              </w:rPr>
              <w:t>the service is performed on the person individually and in person; and</w:t>
            </w:r>
          </w:p>
          <w:p w14:paraId="3701A7ED" w14:textId="77777777" w:rsidR="00E45611" w:rsidRPr="00BD21CA" w:rsidRDefault="00E45611" w:rsidP="00530122">
            <w:pPr>
              <w:numPr>
                <w:ilvl w:val="0"/>
                <w:numId w:val="24"/>
              </w:numPr>
              <w:spacing w:before="60"/>
              <w:jc w:val="both"/>
              <w:rPr>
                <w:sz w:val="20"/>
                <w:szCs w:val="20"/>
              </w:rPr>
            </w:pPr>
            <w:r w:rsidRPr="00BD21CA">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5593F395" w14:textId="77777777" w:rsidR="00E45611" w:rsidRPr="00BD21CA" w:rsidRDefault="00E45611" w:rsidP="00530122">
            <w:pPr>
              <w:numPr>
                <w:ilvl w:val="0"/>
                <w:numId w:val="24"/>
              </w:numPr>
              <w:spacing w:before="60"/>
              <w:jc w:val="both"/>
              <w:rPr>
                <w:sz w:val="20"/>
                <w:szCs w:val="20"/>
              </w:rPr>
            </w:pPr>
            <w:r w:rsidRPr="00BD21CA">
              <w:rPr>
                <w:sz w:val="20"/>
                <w:szCs w:val="20"/>
              </w:rPr>
              <w:t>a service to which item 11315 applies has not been performed on the person on the same day.</w:t>
            </w:r>
          </w:p>
          <w:p w14:paraId="27F475B8"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6854DE78" w14:textId="77777777" w:rsidR="00E45611" w:rsidRPr="00422EC8" w:rsidRDefault="00E45611" w:rsidP="00422EC8">
            <w:pPr>
              <w:pStyle w:val="Tabletext"/>
            </w:pPr>
            <w:r w:rsidRPr="00422EC8">
              <w:lastRenderedPageBreak/>
              <w:t>$39.35</w:t>
            </w:r>
          </w:p>
        </w:tc>
        <w:tc>
          <w:tcPr>
            <w:tcW w:w="1440" w:type="dxa"/>
          </w:tcPr>
          <w:p w14:paraId="1AE79E80" w14:textId="77777777" w:rsidR="00E45611" w:rsidRPr="00422EC8" w:rsidRDefault="00E45611" w:rsidP="00422EC8">
            <w:pPr>
              <w:pStyle w:val="Tabletext"/>
            </w:pPr>
            <w:r w:rsidRPr="00422EC8">
              <w:t>85% = $33.45</w:t>
            </w:r>
          </w:p>
        </w:tc>
        <w:tc>
          <w:tcPr>
            <w:tcW w:w="1980" w:type="dxa"/>
          </w:tcPr>
          <w:p w14:paraId="42B86679" w14:textId="77777777" w:rsidR="00E45611" w:rsidRPr="00422EC8" w:rsidRDefault="00E45611" w:rsidP="00422EC8">
            <w:pPr>
              <w:pStyle w:val="Tabletext"/>
            </w:pPr>
            <w:r w:rsidRPr="00422EC8">
              <w:t>$118.05</w:t>
            </w:r>
          </w:p>
        </w:tc>
      </w:tr>
      <w:tr w:rsidR="00E45611" w:rsidRPr="00407D02" w14:paraId="3508838B" w14:textId="77777777" w:rsidTr="00E45611">
        <w:tc>
          <w:tcPr>
            <w:tcW w:w="870" w:type="dxa"/>
            <w:shd w:val="clear" w:color="auto" w:fill="auto"/>
          </w:tcPr>
          <w:p w14:paraId="2D20FBAA" w14:textId="77777777" w:rsidR="00E45611" w:rsidRPr="00B639F7" w:rsidRDefault="00E45611" w:rsidP="00B639F7">
            <w:pPr>
              <w:pStyle w:val="Tabletext"/>
              <w:rPr>
                <w:b/>
              </w:rPr>
            </w:pPr>
            <w:r w:rsidRPr="00B639F7">
              <w:rPr>
                <w:b/>
              </w:rPr>
              <w:t>82318</w:t>
            </w:r>
          </w:p>
        </w:tc>
        <w:tc>
          <w:tcPr>
            <w:tcW w:w="9000" w:type="dxa"/>
            <w:shd w:val="clear" w:color="auto" w:fill="auto"/>
          </w:tcPr>
          <w:p w14:paraId="65637602" w14:textId="77777777" w:rsidR="00E45611" w:rsidRPr="00422EC8" w:rsidRDefault="00E45611" w:rsidP="00422EC8">
            <w:pPr>
              <w:pStyle w:val="Tabletext"/>
            </w:pPr>
            <w:r w:rsidRPr="00422EC8">
              <w:t xml:space="preserve">Audiology health service, consisting of an </w:t>
            </w:r>
            <w:r w:rsidRPr="00BD21CA">
              <w:rPr>
                <w:b/>
                <w:bCs/>
              </w:rPr>
              <w:t>AIR AND BONE CONDUCTION AND SPEECH DISCRIMINATION AUDIOGRAM WITH OTHER COCHLEAR TESTS</w:t>
            </w:r>
            <w:r w:rsidRPr="00422EC8">
              <w:t xml:space="preserve"> performed on a person by an eligible audiologist if:</w:t>
            </w:r>
          </w:p>
          <w:p w14:paraId="33B30EFB" w14:textId="77777777" w:rsidR="00E45611" w:rsidRPr="00BD21CA" w:rsidRDefault="00E45611" w:rsidP="00530122">
            <w:pPr>
              <w:numPr>
                <w:ilvl w:val="0"/>
                <w:numId w:val="26"/>
              </w:numPr>
              <w:spacing w:before="60"/>
              <w:jc w:val="both"/>
              <w:rPr>
                <w:sz w:val="20"/>
                <w:szCs w:val="20"/>
              </w:rPr>
            </w:pPr>
            <w:r w:rsidRPr="00BD21CA">
              <w:rPr>
                <w:sz w:val="20"/>
                <w:szCs w:val="20"/>
              </w:rPr>
              <w:t>the service is performed pursuant to a written request made by an eligible practitioner to assist the eligible practitioner in the diagnosis and/or treatment and/or management of ear disease or a related disorder in the person; and</w:t>
            </w:r>
          </w:p>
          <w:p w14:paraId="77528E5E" w14:textId="77777777" w:rsidR="00E45611" w:rsidRPr="00BD21CA" w:rsidRDefault="00E45611" w:rsidP="00530122">
            <w:pPr>
              <w:numPr>
                <w:ilvl w:val="0"/>
                <w:numId w:val="26"/>
              </w:numPr>
              <w:spacing w:before="60"/>
              <w:jc w:val="both"/>
              <w:rPr>
                <w:sz w:val="20"/>
                <w:szCs w:val="20"/>
              </w:rPr>
            </w:pPr>
            <w:r w:rsidRPr="00BD21CA">
              <w:rPr>
                <w:sz w:val="20"/>
                <w:szCs w:val="20"/>
              </w:rPr>
              <w:t>the eligible practitioner is:</w:t>
            </w:r>
          </w:p>
          <w:p w14:paraId="352CAE86" w14:textId="77777777" w:rsidR="00E45611" w:rsidRPr="00BD21CA" w:rsidRDefault="00E45611" w:rsidP="00530122">
            <w:pPr>
              <w:numPr>
                <w:ilvl w:val="0"/>
                <w:numId w:val="27"/>
              </w:numPr>
              <w:spacing w:before="60"/>
              <w:ind w:left="936"/>
              <w:jc w:val="both"/>
              <w:rPr>
                <w:sz w:val="20"/>
                <w:szCs w:val="20"/>
              </w:rPr>
            </w:pPr>
            <w:r w:rsidRPr="00BD21CA">
              <w:rPr>
                <w:sz w:val="20"/>
                <w:szCs w:val="20"/>
              </w:rPr>
              <w:t xml:space="preserve">specialist in the specialty of otolaryngology head and neck surgery; or </w:t>
            </w:r>
          </w:p>
          <w:p w14:paraId="0E30269F" w14:textId="77777777" w:rsidR="00E45611" w:rsidRPr="00BD21CA" w:rsidRDefault="00E45611" w:rsidP="00530122">
            <w:pPr>
              <w:numPr>
                <w:ilvl w:val="0"/>
                <w:numId w:val="27"/>
              </w:numPr>
              <w:spacing w:before="60"/>
              <w:ind w:left="936"/>
              <w:jc w:val="both"/>
              <w:rPr>
                <w:sz w:val="20"/>
                <w:szCs w:val="20"/>
              </w:rPr>
            </w:pPr>
            <w:r w:rsidRPr="00BD21CA">
              <w:rPr>
                <w:sz w:val="20"/>
                <w:szCs w:val="20"/>
              </w:rPr>
              <w:t>a specialist or consultant physician in the specialty of neurology; and</w:t>
            </w:r>
          </w:p>
          <w:p w14:paraId="6846505D" w14:textId="77777777" w:rsidR="00E45611" w:rsidRPr="00BD21CA" w:rsidRDefault="00E45611" w:rsidP="00530122">
            <w:pPr>
              <w:numPr>
                <w:ilvl w:val="0"/>
                <w:numId w:val="26"/>
              </w:numPr>
              <w:spacing w:before="60"/>
              <w:jc w:val="both"/>
              <w:rPr>
                <w:sz w:val="20"/>
                <w:szCs w:val="20"/>
              </w:rPr>
            </w:pPr>
            <w:r w:rsidRPr="00BD21CA">
              <w:rPr>
                <w:sz w:val="20"/>
                <w:szCs w:val="20"/>
              </w:rPr>
              <w:t>the service is not performed for the purpose of a hearing screening; and</w:t>
            </w:r>
          </w:p>
          <w:p w14:paraId="6C85FF3C" w14:textId="77777777" w:rsidR="00E45611" w:rsidRPr="00BD21CA" w:rsidRDefault="00E45611" w:rsidP="00530122">
            <w:pPr>
              <w:numPr>
                <w:ilvl w:val="0"/>
                <w:numId w:val="26"/>
              </w:numPr>
              <w:spacing w:before="60"/>
              <w:jc w:val="both"/>
              <w:rPr>
                <w:sz w:val="20"/>
                <w:szCs w:val="20"/>
              </w:rPr>
            </w:pPr>
            <w:r w:rsidRPr="00BD21CA">
              <w:rPr>
                <w:sz w:val="20"/>
                <w:szCs w:val="20"/>
              </w:rPr>
              <w:t>the person is not an admitted patient of a hospital; and</w:t>
            </w:r>
          </w:p>
          <w:p w14:paraId="6B9D9FDF" w14:textId="77777777" w:rsidR="00E45611" w:rsidRPr="00BD21CA" w:rsidRDefault="00E45611" w:rsidP="00530122">
            <w:pPr>
              <w:numPr>
                <w:ilvl w:val="0"/>
                <w:numId w:val="26"/>
              </w:numPr>
              <w:spacing w:before="60"/>
              <w:jc w:val="both"/>
              <w:rPr>
                <w:sz w:val="20"/>
                <w:szCs w:val="20"/>
              </w:rPr>
            </w:pPr>
            <w:r w:rsidRPr="00BD21CA">
              <w:rPr>
                <w:sz w:val="20"/>
                <w:szCs w:val="20"/>
              </w:rPr>
              <w:t>the service is performed on the person individually and in person; and</w:t>
            </w:r>
          </w:p>
          <w:p w14:paraId="190B309D" w14:textId="77777777" w:rsidR="00E45611" w:rsidRPr="00BD21CA" w:rsidRDefault="00E45611" w:rsidP="00530122">
            <w:pPr>
              <w:numPr>
                <w:ilvl w:val="0"/>
                <w:numId w:val="26"/>
              </w:numPr>
              <w:spacing w:before="60"/>
              <w:jc w:val="both"/>
              <w:rPr>
                <w:sz w:val="20"/>
                <w:szCs w:val="20"/>
              </w:rPr>
            </w:pPr>
            <w:r w:rsidRPr="00BD21CA">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5D54C196" w14:textId="77777777" w:rsidR="00E45611" w:rsidRPr="00BD21CA" w:rsidRDefault="00E45611" w:rsidP="00530122">
            <w:pPr>
              <w:numPr>
                <w:ilvl w:val="0"/>
                <w:numId w:val="26"/>
              </w:numPr>
              <w:spacing w:before="60"/>
              <w:jc w:val="both"/>
              <w:rPr>
                <w:sz w:val="20"/>
                <w:szCs w:val="20"/>
              </w:rPr>
            </w:pPr>
            <w:r w:rsidRPr="00BD21CA">
              <w:rPr>
                <w:sz w:val="20"/>
                <w:szCs w:val="20"/>
              </w:rPr>
              <w:t>a service to which item 11318 applies has not been performed on the person on the same day.</w:t>
            </w:r>
          </w:p>
          <w:p w14:paraId="17938D6F"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12A58B0E" w14:textId="77777777" w:rsidR="00E45611" w:rsidRPr="00422EC8" w:rsidRDefault="00E45611" w:rsidP="00422EC8">
            <w:pPr>
              <w:pStyle w:val="Tabletext"/>
            </w:pPr>
            <w:r w:rsidRPr="00422EC8">
              <w:t>$48.60</w:t>
            </w:r>
          </w:p>
        </w:tc>
        <w:tc>
          <w:tcPr>
            <w:tcW w:w="1440" w:type="dxa"/>
          </w:tcPr>
          <w:p w14:paraId="73D4669C" w14:textId="77777777" w:rsidR="00E45611" w:rsidRPr="00422EC8" w:rsidRDefault="00E45611" w:rsidP="00422EC8">
            <w:pPr>
              <w:pStyle w:val="Tabletext"/>
            </w:pPr>
            <w:r w:rsidRPr="00422EC8">
              <w:t>85% = $41.35</w:t>
            </w:r>
          </w:p>
        </w:tc>
        <w:tc>
          <w:tcPr>
            <w:tcW w:w="1980" w:type="dxa"/>
          </w:tcPr>
          <w:p w14:paraId="3671564C" w14:textId="77777777" w:rsidR="00E45611" w:rsidRPr="00422EC8" w:rsidRDefault="00E45611" w:rsidP="00422EC8">
            <w:pPr>
              <w:pStyle w:val="Tabletext"/>
            </w:pPr>
            <w:r w:rsidRPr="00422EC8">
              <w:t>$145.80</w:t>
            </w:r>
          </w:p>
        </w:tc>
      </w:tr>
      <w:tr w:rsidR="00E45611" w:rsidRPr="00407D02" w14:paraId="0C3454E7" w14:textId="77777777" w:rsidTr="00E45611">
        <w:tc>
          <w:tcPr>
            <w:tcW w:w="870" w:type="dxa"/>
            <w:shd w:val="clear" w:color="auto" w:fill="auto"/>
          </w:tcPr>
          <w:p w14:paraId="22AB2E7C" w14:textId="77777777" w:rsidR="00E45611" w:rsidRPr="00B639F7" w:rsidRDefault="00E45611" w:rsidP="00B639F7">
            <w:pPr>
              <w:pStyle w:val="Tabletext"/>
              <w:rPr>
                <w:b/>
              </w:rPr>
            </w:pPr>
            <w:r w:rsidRPr="00B639F7">
              <w:rPr>
                <w:b/>
              </w:rPr>
              <w:lastRenderedPageBreak/>
              <w:t>82324</w:t>
            </w:r>
          </w:p>
        </w:tc>
        <w:tc>
          <w:tcPr>
            <w:tcW w:w="9000" w:type="dxa"/>
            <w:shd w:val="clear" w:color="auto" w:fill="auto"/>
          </w:tcPr>
          <w:p w14:paraId="1C230D5C" w14:textId="77777777" w:rsidR="00E45611" w:rsidRPr="00422EC8" w:rsidRDefault="00E45611" w:rsidP="00422EC8">
            <w:pPr>
              <w:pStyle w:val="Tabletext"/>
            </w:pPr>
            <w:r w:rsidRPr="00422EC8">
              <w:t xml:space="preserve">Audiology health service, consisting of an </w:t>
            </w:r>
            <w:r w:rsidRPr="00BD21CA">
              <w:rPr>
                <w:b/>
                <w:bCs/>
              </w:rPr>
              <w:t>IMPEDANCE AUDIOGRAM</w:t>
            </w:r>
            <w:r w:rsidRPr="00422EC8">
              <w:t xml:space="preserve"> involving tympanometry and measurement of static compliance and acoustic reflex performed on a person by an eligible audiologist (not being a service associated with a service to which item 82309, 82312, 82315 or 82318 applies) if:</w:t>
            </w:r>
          </w:p>
          <w:p w14:paraId="07C452C0" w14:textId="77777777" w:rsidR="00E45611" w:rsidRPr="00BD21CA" w:rsidRDefault="00E45611" w:rsidP="00530122">
            <w:pPr>
              <w:numPr>
                <w:ilvl w:val="0"/>
                <w:numId w:val="28"/>
              </w:numPr>
              <w:spacing w:before="60"/>
              <w:jc w:val="both"/>
              <w:rPr>
                <w:sz w:val="20"/>
                <w:szCs w:val="20"/>
              </w:rPr>
            </w:pPr>
            <w:r w:rsidRPr="00BD21CA">
              <w:rPr>
                <w:sz w:val="20"/>
                <w:szCs w:val="20"/>
              </w:rPr>
              <w:t>the service is performed pursuant to a written request made by an eligible practitioner to assist the eligible practitioner in the diagnosis and/or treatment and/or management of ear disease or a related disorder in the person; and</w:t>
            </w:r>
          </w:p>
          <w:p w14:paraId="11A73870" w14:textId="77777777" w:rsidR="00E45611" w:rsidRPr="00BD21CA" w:rsidRDefault="00E45611" w:rsidP="00530122">
            <w:pPr>
              <w:numPr>
                <w:ilvl w:val="0"/>
                <w:numId w:val="28"/>
              </w:numPr>
              <w:spacing w:before="60"/>
              <w:jc w:val="both"/>
              <w:rPr>
                <w:sz w:val="20"/>
                <w:szCs w:val="20"/>
              </w:rPr>
            </w:pPr>
            <w:r w:rsidRPr="00BD21CA">
              <w:rPr>
                <w:sz w:val="20"/>
                <w:szCs w:val="20"/>
              </w:rPr>
              <w:t>the eligible practitioner is:</w:t>
            </w:r>
          </w:p>
          <w:p w14:paraId="572CEC5D" w14:textId="77777777" w:rsidR="00E45611" w:rsidRPr="00BD21CA" w:rsidRDefault="00E45611" w:rsidP="00530122">
            <w:pPr>
              <w:numPr>
                <w:ilvl w:val="0"/>
                <w:numId w:val="29"/>
              </w:numPr>
              <w:spacing w:before="60"/>
              <w:ind w:left="936"/>
              <w:jc w:val="both"/>
              <w:rPr>
                <w:sz w:val="20"/>
                <w:szCs w:val="20"/>
              </w:rPr>
            </w:pPr>
            <w:r w:rsidRPr="00BD21CA">
              <w:rPr>
                <w:sz w:val="20"/>
                <w:szCs w:val="20"/>
              </w:rPr>
              <w:t xml:space="preserve">a specialist in the specialty of otolaryngology head and neck surgery; or </w:t>
            </w:r>
          </w:p>
          <w:p w14:paraId="71749728" w14:textId="77777777" w:rsidR="00E45611" w:rsidRPr="00BD21CA" w:rsidRDefault="00E45611" w:rsidP="00530122">
            <w:pPr>
              <w:numPr>
                <w:ilvl w:val="0"/>
                <w:numId w:val="29"/>
              </w:numPr>
              <w:spacing w:before="60"/>
              <w:ind w:left="936"/>
              <w:jc w:val="both"/>
              <w:rPr>
                <w:sz w:val="20"/>
                <w:szCs w:val="20"/>
              </w:rPr>
            </w:pPr>
            <w:r w:rsidRPr="00BD21CA">
              <w:rPr>
                <w:sz w:val="20"/>
                <w:szCs w:val="20"/>
              </w:rPr>
              <w:t>a specialist or consultant physician in the specialty of neurology; and</w:t>
            </w:r>
          </w:p>
          <w:p w14:paraId="20D7BE89" w14:textId="77777777" w:rsidR="00E45611" w:rsidRPr="00BD21CA" w:rsidRDefault="00E45611" w:rsidP="00530122">
            <w:pPr>
              <w:numPr>
                <w:ilvl w:val="0"/>
                <w:numId w:val="28"/>
              </w:numPr>
              <w:spacing w:before="60"/>
              <w:jc w:val="both"/>
              <w:rPr>
                <w:sz w:val="20"/>
                <w:szCs w:val="20"/>
              </w:rPr>
            </w:pPr>
            <w:r w:rsidRPr="00BD21CA">
              <w:rPr>
                <w:sz w:val="20"/>
                <w:szCs w:val="20"/>
              </w:rPr>
              <w:t>the service is not performed for the purpose of a hearing screening; and</w:t>
            </w:r>
          </w:p>
          <w:p w14:paraId="0FB561EB" w14:textId="77777777" w:rsidR="00E45611" w:rsidRPr="00BD21CA" w:rsidRDefault="00E45611" w:rsidP="00530122">
            <w:pPr>
              <w:numPr>
                <w:ilvl w:val="0"/>
                <w:numId w:val="28"/>
              </w:numPr>
              <w:spacing w:before="60"/>
              <w:jc w:val="both"/>
              <w:rPr>
                <w:sz w:val="20"/>
                <w:szCs w:val="20"/>
              </w:rPr>
            </w:pPr>
            <w:r w:rsidRPr="00BD21CA">
              <w:rPr>
                <w:sz w:val="20"/>
                <w:szCs w:val="20"/>
              </w:rPr>
              <w:t>the person is not an admitted patient of a hospital; and</w:t>
            </w:r>
          </w:p>
          <w:p w14:paraId="3C7A272C" w14:textId="77777777" w:rsidR="00E45611" w:rsidRPr="00BD21CA" w:rsidRDefault="00E45611" w:rsidP="00530122">
            <w:pPr>
              <w:numPr>
                <w:ilvl w:val="0"/>
                <w:numId w:val="28"/>
              </w:numPr>
              <w:spacing w:before="60"/>
              <w:jc w:val="both"/>
              <w:rPr>
                <w:sz w:val="20"/>
                <w:szCs w:val="20"/>
              </w:rPr>
            </w:pPr>
            <w:r w:rsidRPr="00BD21CA">
              <w:rPr>
                <w:sz w:val="20"/>
                <w:szCs w:val="20"/>
              </w:rPr>
              <w:t>the service is performed on the person individually and in person; and</w:t>
            </w:r>
          </w:p>
          <w:p w14:paraId="353DA2AB" w14:textId="77777777" w:rsidR="00E45611" w:rsidRPr="00BD21CA" w:rsidRDefault="00E45611" w:rsidP="00530122">
            <w:pPr>
              <w:numPr>
                <w:ilvl w:val="0"/>
                <w:numId w:val="28"/>
              </w:numPr>
              <w:spacing w:before="60"/>
              <w:jc w:val="both"/>
              <w:rPr>
                <w:sz w:val="20"/>
                <w:szCs w:val="20"/>
              </w:rPr>
            </w:pPr>
            <w:r w:rsidRPr="00BD21CA">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1896523D" w14:textId="77777777" w:rsidR="00E45611" w:rsidRPr="00BD21CA" w:rsidRDefault="00E45611" w:rsidP="00530122">
            <w:pPr>
              <w:numPr>
                <w:ilvl w:val="0"/>
                <w:numId w:val="28"/>
              </w:numPr>
              <w:spacing w:before="60"/>
              <w:jc w:val="both"/>
              <w:rPr>
                <w:sz w:val="20"/>
                <w:szCs w:val="20"/>
              </w:rPr>
            </w:pPr>
            <w:r w:rsidRPr="00BD21CA">
              <w:rPr>
                <w:sz w:val="20"/>
                <w:szCs w:val="20"/>
              </w:rPr>
              <w:t>a service to which item 11324 applies has not been performed on the person on the same day.</w:t>
            </w:r>
          </w:p>
          <w:p w14:paraId="59DDB903"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2A0F938A" w14:textId="77777777" w:rsidR="00E45611" w:rsidRPr="00422EC8" w:rsidRDefault="00E45611" w:rsidP="00422EC8">
            <w:pPr>
              <w:pStyle w:val="Tabletext"/>
            </w:pPr>
            <w:r w:rsidRPr="00422EC8">
              <w:t>$26.30</w:t>
            </w:r>
          </w:p>
        </w:tc>
        <w:tc>
          <w:tcPr>
            <w:tcW w:w="1440" w:type="dxa"/>
          </w:tcPr>
          <w:p w14:paraId="329BDABE" w14:textId="77777777" w:rsidR="00E45611" w:rsidRPr="00422EC8" w:rsidRDefault="00E45611" w:rsidP="00422EC8">
            <w:pPr>
              <w:pStyle w:val="Tabletext"/>
            </w:pPr>
            <w:r w:rsidRPr="00422EC8">
              <w:t>85% = $22.40</w:t>
            </w:r>
          </w:p>
        </w:tc>
        <w:tc>
          <w:tcPr>
            <w:tcW w:w="1980" w:type="dxa"/>
          </w:tcPr>
          <w:p w14:paraId="20237B0D" w14:textId="77777777" w:rsidR="00E45611" w:rsidRPr="00422EC8" w:rsidRDefault="00E45611" w:rsidP="00422EC8">
            <w:pPr>
              <w:pStyle w:val="Tabletext"/>
            </w:pPr>
            <w:r w:rsidRPr="00422EC8">
              <w:t>$78.90</w:t>
            </w:r>
          </w:p>
        </w:tc>
      </w:tr>
      <w:tr w:rsidR="00E45611" w:rsidRPr="00407D02" w14:paraId="6A36A227" w14:textId="77777777" w:rsidTr="00E45611">
        <w:tc>
          <w:tcPr>
            <w:tcW w:w="870" w:type="dxa"/>
            <w:shd w:val="clear" w:color="auto" w:fill="auto"/>
          </w:tcPr>
          <w:p w14:paraId="4EA9D7B7" w14:textId="77777777" w:rsidR="00E45611" w:rsidRPr="00B639F7" w:rsidRDefault="00E45611" w:rsidP="00B639F7">
            <w:pPr>
              <w:pStyle w:val="Tabletext"/>
              <w:rPr>
                <w:b/>
              </w:rPr>
            </w:pPr>
            <w:r w:rsidRPr="00B639F7">
              <w:rPr>
                <w:b/>
              </w:rPr>
              <w:t>82327</w:t>
            </w:r>
          </w:p>
        </w:tc>
        <w:tc>
          <w:tcPr>
            <w:tcW w:w="9000" w:type="dxa"/>
            <w:shd w:val="clear" w:color="auto" w:fill="auto"/>
          </w:tcPr>
          <w:p w14:paraId="64C5715A" w14:textId="77777777" w:rsidR="00E45611" w:rsidRPr="00422EC8" w:rsidRDefault="00E45611" w:rsidP="00422EC8">
            <w:pPr>
              <w:pStyle w:val="Tabletext"/>
            </w:pPr>
            <w:r w:rsidRPr="00422EC8">
              <w:t xml:space="preserve">Audiology health service, consisting of an </w:t>
            </w:r>
            <w:r w:rsidRPr="00BD21CA">
              <w:rPr>
                <w:b/>
                <w:bCs/>
              </w:rPr>
              <w:t>IMPEDANCE AUDIOGRAM</w:t>
            </w:r>
            <w:r w:rsidRPr="00422EC8">
              <w:t xml:space="preserve"> involving tympanometry and measurement of static compliance and acoustic reflex performed on a person by an eligible audiologist (being a service associated with a service to which item 82309, 82312, 82315 or 82318 applies) if:</w:t>
            </w:r>
          </w:p>
          <w:p w14:paraId="059A7CCA" w14:textId="77777777" w:rsidR="00E45611" w:rsidRPr="00BD21CA" w:rsidRDefault="00E45611" w:rsidP="00530122">
            <w:pPr>
              <w:numPr>
                <w:ilvl w:val="0"/>
                <w:numId w:val="30"/>
              </w:numPr>
              <w:spacing w:before="60"/>
              <w:jc w:val="both"/>
              <w:rPr>
                <w:sz w:val="20"/>
                <w:szCs w:val="20"/>
              </w:rPr>
            </w:pPr>
            <w:r w:rsidRPr="00BD21CA">
              <w:rPr>
                <w:sz w:val="20"/>
                <w:szCs w:val="20"/>
              </w:rPr>
              <w:t>the service is performed pursuant to a written request made by an eligible practitioner to assist the eligible practitioner in the diagnosis and/or treatment and/or management of ear disease or a related disorder in the person; and</w:t>
            </w:r>
          </w:p>
          <w:p w14:paraId="12B204DD" w14:textId="77777777" w:rsidR="00E45611" w:rsidRPr="00BD21CA" w:rsidRDefault="00E45611" w:rsidP="00530122">
            <w:pPr>
              <w:numPr>
                <w:ilvl w:val="0"/>
                <w:numId w:val="30"/>
              </w:numPr>
              <w:spacing w:before="60"/>
              <w:jc w:val="both"/>
              <w:rPr>
                <w:sz w:val="20"/>
                <w:szCs w:val="20"/>
              </w:rPr>
            </w:pPr>
            <w:r w:rsidRPr="00BD21CA">
              <w:rPr>
                <w:sz w:val="20"/>
                <w:szCs w:val="20"/>
              </w:rPr>
              <w:lastRenderedPageBreak/>
              <w:t>the eligible practitioner is:</w:t>
            </w:r>
          </w:p>
          <w:p w14:paraId="52713D98" w14:textId="77777777" w:rsidR="00E45611" w:rsidRPr="00BD21CA" w:rsidRDefault="00E45611" w:rsidP="00530122">
            <w:pPr>
              <w:numPr>
                <w:ilvl w:val="0"/>
                <w:numId w:val="31"/>
              </w:numPr>
              <w:spacing w:before="60"/>
              <w:ind w:left="936"/>
              <w:jc w:val="both"/>
              <w:rPr>
                <w:sz w:val="20"/>
                <w:szCs w:val="20"/>
              </w:rPr>
            </w:pPr>
            <w:r w:rsidRPr="00BD21CA">
              <w:rPr>
                <w:sz w:val="20"/>
                <w:szCs w:val="20"/>
              </w:rPr>
              <w:t xml:space="preserve">a specialist in the specialty of otolaryngology head and neck surgery; or </w:t>
            </w:r>
          </w:p>
          <w:p w14:paraId="5D54C99B" w14:textId="77777777" w:rsidR="00E45611" w:rsidRPr="00BD21CA" w:rsidRDefault="00E45611" w:rsidP="00530122">
            <w:pPr>
              <w:numPr>
                <w:ilvl w:val="0"/>
                <w:numId w:val="31"/>
              </w:numPr>
              <w:spacing w:before="60"/>
              <w:ind w:left="936"/>
              <w:jc w:val="both"/>
              <w:rPr>
                <w:sz w:val="20"/>
                <w:szCs w:val="20"/>
              </w:rPr>
            </w:pPr>
            <w:r w:rsidRPr="00BD21CA">
              <w:rPr>
                <w:sz w:val="20"/>
                <w:szCs w:val="20"/>
              </w:rPr>
              <w:t>a specialist or consultant physician in the specialty of neurology; and</w:t>
            </w:r>
          </w:p>
          <w:p w14:paraId="18C733E6" w14:textId="77777777" w:rsidR="00E45611" w:rsidRPr="00BD21CA" w:rsidRDefault="00E45611" w:rsidP="00530122">
            <w:pPr>
              <w:numPr>
                <w:ilvl w:val="0"/>
                <w:numId w:val="30"/>
              </w:numPr>
              <w:spacing w:before="60"/>
              <w:jc w:val="both"/>
              <w:rPr>
                <w:sz w:val="20"/>
                <w:szCs w:val="20"/>
              </w:rPr>
            </w:pPr>
            <w:r w:rsidRPr="00BD21CA">
              <w:rPr>
                <w:sz w:val="20"/>
                <w:szCs w:val="20"/>
              </w:rPr>
              <w:t>the service is not performed for the purpose of a hearing screening; and</w:t>
            </w:r>
          </w:p>
          <w:p w14:paraId="2D1ECA4F" w14:textId="77777777" w:rsidR="00E45611" w:rsidRPr="00BD21CA" w:rsidRDefault="00E45611" w:rsidP="00530122">
            <w:pPr>
              <w:numPr>
                <w:ilvl w:val="0"/>
                <w:numId w:val="30"/>
              </w:numPr>
              <w:spacing w:before="60"/>
              <w:jc w:val="both"/>
              <w:rPr>
                <w:sz w:val="20"/>
                <w:szCs w:val="20"/>
              </w:rPr>
            </w:pPr>
            <w:r w:rsidRPr="00BD21CA">
              <w:rPr>
                <w:sz w:val="20"/>
                <w:szCs w:val="20"/>
              </w:rPr>
              <w:t>the person is not an admitted patient of a hospital; and</w:t>
            </w:r>
          </w:p>
          <w:p w14:paraId="114404AE" w14:textId="77777777" w:rsidR="00E45611" w:rsidRPr="00BD21CA" w:rsidRDefault="00E45611" w:rsidP="00530122">
            <w:pPr>
              <w:numPr>
                <w:ilvl w:val="0"/>
                <w:numId w:val="30"/>
              </w:numPr>
              <w:spacing w:before="60"/>
              <w:jc w:val="both"/>
              <w:rPr>
                <w:sz w:val="20"/>
                <w:szCs w:val="20"/>
              </w:rPr>
            </w:pPr>
            <w:r w:rsidRPr="00BD21CA">
              <w:rPr>
                <w:sz w:val="20"/>
                <w:szCs w:val="20"/>
              </w:rPr>
              <w:t>the service is performed on the person individually and in person; and</w:t>
            </w:r>
          </w:p>
          <w:p w14:paraId="797441BA" w14:textId="77777777" w:rsidR="00E45611" w:rsidRPr="00BD21CA" w:rsidRDefault="00E45611" w:rsidP="00530122">
            <w:pPr>
              <w:numPr>
                <w:ilvl w:val="0"/>
                <w:numId w:val="30"/>
              </w:numPr>
              <w:spacing w:before="60"/>
              <w:jc w:val="both"/>
              <w:rPr>
                <w:sz w:val="20"/>
                <w:szCs w:val="20"/>
              </w:rPr>
            </w:pPr>
            <w:r w:rsidRPr="00BD21CA">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7C0A7773" w14:textId="77777777" w:rsidR="00E45611" w:rsidRPr="00BD21CA" w:rsidRDefault="00E45611" w:rsidP="00530122">
            <w:pPr>
              <w:numPr>
                <w:ilvl w:val="0"/>
                <w:numId w:val="30"/>
              </w:numPr>
              <w:spacing w:before="60"/>
              <w:jc w:val="both"/>
              <w:rPr>
                <w:sz w:val="20"/>
                <w:szCs w:val="20"/>
              </w:rPr>
            </w:pPr>
            <w:r w:rsidRPr="00BD21CA">
              <w:rPr>
                <w:sz w:val="20"/>
                <w:szCs w:val="20"/>
              </w:rPr>
              <w:t>a service to which item 11327 applies has not been performed on the person on the same day.</w:t>
            </w:r>
          </w:p>
          <w:p w14:paraId="389572C9" w14:textId="77777777" w:rsidR="00E45611" w:rsidRPr="00BD21CA" w:rsidRDefault="00E45611" w:rsidP="00E45611">
            <w:pPr>
              <w:pStyle w:val="Tabletext"/>
            </w:pPr>
            <w:r w:rsidRPr="00BD21CA">
              <w:rPr>
                <w:i/>
              </w:rPr>
              <w:t>(See para M15.3 and M15.5 of explanatory notes to this Category)</w:t>
            </w:r>
            <w:r w:rsidRPr="00BD21CA">
              <w:rPr>
                <w:b/>
              </w:rPr>
              <w:t xml:space="preserve"> </w:t>
            </w:r>
          </w:p>
        </w:tc>
        <w:tc>
          <w:tcPr>
            <w:tcW w:w="900" w:type="dxa"/>
          </w:tcPr>
          <w:p w14:paraId="5861542C" w14:textId="77777777" w:rsidR="00E45611" w:rsidRPr="00422EC8" w:rsidRDefault="00E45611" w:rsidP="00422EC8">
            <w:pPr>
              <w:pStyle w:val="Tabletext"/>
            </w:pPr>
            <w:r w:rsidRPr="00422EC8">
              <w:lastRenderedPageBreak/>
              <w:t>$15.80</w:t>
            </w:r>
          </w:p>
        </w:tc>
        <w:tc>
          <w:tcPr>
            <w:tcW w:w="1440" w:type="dxa"/>
          </w:tcPr>
          <w:p w14:paraId="28E6FCF1" w14:textId="77777777" w:rsidR="00E45611" w:rsidRPr="00422EC8" w:rsidRDefault="00E45611" w:rsidP="00422EC8">
            <w:pPr>
              <w:pStyle w:val="Tabletext"/>
            </w:pPr>
            <w:r w:rsidRPr="00422EC8">
              <w:t>85% = $13.45</w:t>
            </w:r>
          </w:p>
        </w:tc>
        <w:tc>
          <w:tcPr>
            <w:tcW w:w="1980" w:type="dxa"/>
          </w:tcPr>
          <w:p w14:paraId="4082850A" w14:textId="77777777" w:rsidR="00E45611" w:rsidRPr="00422EC8" w:rsidRDefault="00E45611" w:rsidP="00422EC8">
            <w:pPr>
              <w:pStyle w:val="Tabletext"/>
            </w:pPr>
            <w:r w:rsidRPr="00422EC8">
              <w:t>$47.40</w:t>
            </w:r>
          </w:p>
        </w:tc>
      </w:tr>
      <w:tr w:rsidR="00E45611" w:rsidRPr="00407D02" w14:paraId="2F0EF1F3" w14:textId="77777777" w:rsidTr="00E45611">
        <w:tc>
          <w:tcPr>
            <w:tcW w:w="870" w:type="dxa"/>
            <w:shd w:val="clear" w:color="auto" w:fill="auto"/>
          </w:tcPr>
          <w:p w14:paraId="4CF7A3FC" w14:textId="77777777" w:rsidR="00E45611" w:rsidRPr="00B639F7" w:rsidRDefault="00E45611" w:rsidP="00B639F7">
            <w:pPr>
              <w:pStyle w:val="Tabletext"/>
              <w:rPr>
                <w:b/>
              </w:rPr>
            </w:pPr>
            <w:r w:rsidRPr="00B639F7">
              <w:rPr>
                <w:b/>
              </w:rPr>
              <w:t>82332</w:t>
            </w:r>
          </w:p>
        </w:tc>
        <w:tc>
          <w:tcPr>
            <w:tcW w:w="9000" w:type="dxa"/>
            <w:shd w:val="clear" w:color="auto" w:fill="auto"/>
          </w:tcPr>
          <w:p w14:paraId="535AD103" w14:textId="77777777" w:rsidR="00E45611" w:rsidRPr="00422EC8" w:rsidRDefault="00E45611" w:rsidP="00422EC8">
            <w:pPr>
              <w:pStyle w:val="Tabletext"/>
            </w:pPr>
            <w:r w:rsidRPr="00422EC8">
              <w:t xml:space="preserve">Audiology health service, consisting of an </w:t>
            </w:r>
            <w:r w:rsidRPr="00BD21CA">
              <w:rPr>
                <w:b/>
                <w:bCs/>
              </w:rPr>
              <w:t>OTO-ACOUSTIC EMISSION AUDIOMETRY</w:t>
            </w:r>
            <w:r w:rsidRPr="00422EC8">
              <w:t xml:space="preserve"> for the detection of permanent congenital hearing impairment, performed by an eligible audiologist on an infant or child in circumstances in which: </w:t>
            </w:r>
          </w:p>
          <w:p w14:paraId="5E115174" w14:textId="77777777" w:rsidR="00E45611" w:rsidRPr="00BD21CA" w:rsidRDefault="00E45611" w:rsidP="00530122">
            <w:pPr>
              <w:numPr>
                <w:ilvl w:val="0"/>
                <w:numId w:val="32"/>
              </w:numPr>
              <w:spacing w:before="60"/>
              <w:jc w:val="both"/>
              <w:rPr>
                <w:sz w:val="20"/>
                <w:szCs w:val="20"/>
              </w:rPr>
            </w:pPr>
            <w:r w:rsidRPr="00305E4B">
              <w:rPr>
                <w:sz w:val="20"/>
                <w:szCs w:val="20"/>
              </w:rPr>
              <w:t>the service is performed pursuant to a written request made by an eligible practitioner who is:</w:t>
            </w:r>
            <w:r>
              <w:rPr>
                <w:sz w:val="20"/>
                <w:szCs w:val="20"/>
              </w:rPr>
              <w:t xml:space="preserve"> </w:t>
            </w:r>
          </w:p>
          <w:p w14:paraId="596EC886" w14:textId="77777777" w:rsidR="00E45611" w:rsidRPr="00BD21CA" w:rsidRDefault="00E45611" w:rsidP="00530122">
            <w:pPr>
              <w:numPr>
                <w:ilvl w:val="0"/>
                <w:numId w:val="33"/>
              </w:numPr>
              <w:spacing w:before="60"/>
              <w:ind w:left="936"/>
              <w:jc w:val="both"/>
              <w:rPr>
                <w:sz w:val="20"/>
                <w:szCs w:val="20"/>
              </w:rPr>
            </w:pPr>
            <w:r w:rsidRPr="00BD21CA">
              <w:rPr>
                <w:sz w:val="20"/>
                <w:szCs w:val="20"/>
              </w:rPr>
              <w:t xml:space="preserve">a specialist in the specialty of otolaryngology head and neck surgery; or </w:t>
            </w:r>
          </w:p>
          <w:p w14:paraId="0A0FA06A" w14:textId="77777777" w:rsidR="00E45611" w:rsidRPr="00BD21CA" w:rsidRDefault="00E45611" w:rsidP="00530122">
            <w:pPr>
              <w:numPr>
                <w:ilvl w:val="0"/>
                <w:numId w:val="33"/>
              </w:numPr>
              <w:spacing w:before="60"/>
              <w:ind w:left="936"/>
              <w:jc w:val="both"/>
              <w:rPr>
                <w:sz w:val="20"/>
                <w:szCs w:val="20"/>
              </w:rPr>
            </w:pPr>
            <w:r w:rsidRPr="00BD21CA">
              <w:rPr>
                <w:sz w:val="20"/>
                <w:szCs w:val="20"/>
              </w:rPr>
              <w:t>a specialist or consultant physician in the specialty of neurology; and</w:t>
            </w:r>
          </w:p>
          <w:p w14:paraId="1489ACEC" w14:textId="77777777" w:rsidR="00E45611" w:rsidRDefault="00E45611" w:rsidP="00530122">
            <w:pPr>
              <w:numPr>
                <w:ilvl w:val="0"/>
                <w:numId w:val="32"/>
              </w:numPr>
              <w:spacing w:before="60"/>
              <w:jc w:val="both"/>
              <w:rPr>
                <w:sz w:val="20"/>
                <w:szCs w:val="20"/>
              </w:rPr>
            </w:pPr>
            <w:r w:rsidRPr="00305E4B">
              <w:rPr>
                <w:sz w:val="20"/>
                <w:szCs w:val="20"/>
              </w:rPr>
              <w:t>the infant or child is at risk due to 1 or more of the following factors:</w:t>
            </w:r>
          </w:p>
          <w:p w14:paraId="00BB85DF" w14:textId="77777777" w:rsidR="00E45611" w:rsidRPr="00BD21CA" w:rsidRDefault="00E45611" w:rsidP="00530122">
            <w:pPr>
              <w:numPr>
                <w:ilvl w:val="0"/>
                <w:numId w:val="34"/>
              </w:numPr>
              <w:spacing w:before="60"/>
              <w:ind w:left="936"/>
              <w:jc w:val="both"/>
              <w:rPr>
                <w:sz w:val="20"/>
                <w:szCs w:val="20"/>
              </w:rPr>
            </w:pPr>
            <w:r w:rsidRPr="00BD21CA">
              <w:rPr>
                <w:sz w:val="20"/>
                <w:szCs w:val="20"/>
              </w:rPr>
              <w:t xml:space="preserve">admission to a neonatal intensive care </w:t>
            </w:r>
            <w:proofErr w:type="gramStart"/>
            <w:r w:rsidRPr="00BD21CA">
              <w:rPr>
                <w:sz w:val="20"/>
                <w:szCs w:val="20"/>
              </w:rPr>
              <w:t>unit;</w:t>
            </w:r>
            <w:proofErr w:type="gramEnd"/>
            <w:r w:rsidRPr="00BD21CA">
              <w:rPr>
                <w:sz w:val="20"/>
                <w:szCs w:val="20"/>
              </w:rPr>
              <w:t xml:space="preserve"> </w:t>
            </w:r>
          </w:p>
          <w:p w14:paraId="350B6EF7" w14:textId="77777777" w:rsidR="00E45611" w:rsidRPr="00BD21CA" w:rsidRDefault="00E45611" w:rsidP="00530122">
            <w:pPr>
              <w:numPr>
                <w:ilvl w:val="0"/>
                <w:numId w:val="34"/>
              </w:numPr>
              <w:spacing w:before="60"/>
              <w:ind w:left="936"/>
              <w:jc w:val="both"/>
              <w:rPr>
                <w:sz w:val="20"/>
                <w:szCs w:val="20"/>
              </w:rPr>
            </w:pPr>
            <w:r w:rsidRPr="00BD21CA">
              <w:rPr>
                <w:sz w:val="20"/>
                <w:szCs w:val="20"/>
              </w:rPr>
              <w:t xml:space="preserve">family history of hearing </w:t>
            </w:r>
            <w:proofErr w:type="gramStart"/>
            <w:r w:rsidRPr="00BD21CA">
              <w:rPr>
                <w:sz w:val="20"/>
                <w:szCs w:val="20"/>
              </w:rPr>
              <w:t>impairment;</w:t>
            </w:r>
            <w:proofErr w:type="gramEnd"/>
          </w:p>
          <w:p w14:paraId="12ACC0FE" w14:textId="77777777" w:rsidR="00E45611" w:rsidRPr="00BD21CA" w:rsidRDefault="00E45611" w:rsidP="00530122">
            <w:pPr>
              <w:numPr>
                <w:ilvl w:val="0"/>
                <w:numId w:val="34"/>
              </w:numPr>
              <w:spacing w:before="60"/>
              <w:ind w:left="936"/>
              <w:jc w:val="both"/>
              <w:rPr>
                <w:sz w:val="20"/>
                <w:szCs w:val="20"/>
              </w:rPr>
            </w:pPr>
            <w:r w:rsidRPr="00BD21CA">
              <w:rPr>
                <w:sz w:val="20"/>
                <w:szCs w:val="20"/>
              </w:rPr>
              <w:t>intra-uterine or perinatal infection (either suspected or confirmed</w:t>
            </w:r>
            <w:proofErr w:type="gramStart"/>
            <w:r w:rsidRPr="00BD21CA">
              <w:rPr>
                <w:sz w:val="20"/>
                <w:szCs w:val="20"/>
              </w:rPr>
              <w:t>);</w:t>
            </w:r>
            <w:proofErr w:type="gramEnd"/>
          </w:p>
          <w:p w14:paraId="0874854A" w14:textId="77777777" w:rsidR="00E45611" w:rsidRPr="00BD21CA" w:rsidRDefault="00E45611" w:rsidP="00530122">
            <w:pPr>
              <w:numPr>
                <w:ilvl w:val="0"/>
                <w:numId w:val="34"/>
              </w:numPr>
              <w:spacing w:before="60"/>
              <w:ind w:left="936"/>
              <w:jc w:val="both"/>
              <w:rPr>
                <w:sz w:val="20"/>
                <w:szCs w:val="20"/>
              </w:rPr>
            </w:pPr>
            <w:r w:rsidRPr="00BD21CA">
              <w:rPr>
                <w:sz w:val="20"/>
                <w:szCs w:val="20"/>
              </w:rPr>
              <w:t>birthweight less than 1.</w:t>
            </w:r>
            <w:proofErr w:type="gramStart"/>
            <w:r w:rsidRPr="00BD21CA">
              <w:rPr>
                <w:sz w:val="20"/>
                <w:szCs w:val="20"/>
              </w:rPr>
              <w:t>5kg;</w:t>
            </w:r>
            <w:proofErr w:type="gramEnd"/>
          </w:p>
          <w:p w14:paraId="792A1BC4" w14:textId="77777777" w:rsidR="00E45611" w:rsidRPr="00BD21CA" w:rsidRDefault="00E45611" w:rsidP="00530122">
            <w:pPr>
              <w:numPr>
                <w:ilvl w:val="0"/>
                <w:numId w:val="34"/>
              </w:numPr>
              <w:spacing w:before="60"/>
              <w:ind w:left="936"/>
              <w:jc w:val="both"/>
              <w:rPr>
                <w:sz w:val="20"/>
                <w:szCs w:val="20"/>
              </w:rPr>
            </w:pPr>
            <w:r w:rsidRPr="00BD21CA">
              <w:rPr>
                <w:sz w:val="20"/>
                <w:szCs w:val="20"/>
              </w:rPr>
              <w:lastRenderedPageBreak/>
              <w:t xml:space="preserve">craniofacial </w:t>
            </w:r>
            <w:proofErr w:type="gramStart"/>
            <w:r w:rsidRPr="00BD21CA">
              <w:rPr>
                <w:sz w:val="20"/>
                <w:szCs w:val="20"/>
              </w:rPr>
              <w:t>deformity;</w:t>
            </w:r>
            <w:proofErr w:type="gramEnd"/>
          </w:p>
          <w:p w14:paraId="5F783961" w14:textId="77777777" w:rsidR="00E45611" w:rsidRPr="00BD21CA" w:rsidRDefault="00E45611" w:rsidP="00530122">
            <w:pPr>
              <w:numPr>
                <w:ilvl w:val="0"/>
                <w:numId w:val="34"/>
              </w:numPr>
              <w:spacing w:before="60"/>
              <w:ind w:left="936"/>
              <w:jc w:val="both"/>
              <w:rPr>
                <w:sz w:val="20"/>
                <w:szCs w:val="20"/>
              </w:rPr>
            </w:pPr>
            <w:r w:rsidRPr="00BD21CA">
              <w:rPr>
                <w:sz w:val="20"/>
                <w:szCs w:val="20"/>
              </w:rPr>
              <w:t xml:space="preserve">birth </w:t>
            </w:r>
            <w:proofErr w:type="gramStart"/>
            <w:r w:rsidRPr="00BD21CA">
              <w:rPr>
                <w:sz w:val="20"/>
                <w:szCs w:val="20"/>
              </w:rPr>
              <w:t>asphyxia;</w:t>
            </w:r>
            <w:proofErr w:type="gramEnd"/>
          </w:p>
          <w:p w14:paraId="223E3A8C" w14:textId="77777777" w:rsidR="00E45611" w:rsidRPr="00BD21CA" w:rsidRDefault="00E45611" w:rsidP="00530122">
            <w:pPr>
              <w:numPr>
                <w:ilvl w:val="0"/>
                <w:numId w:val="34"/>
              </w:numPr>
              <w:spacing w:before="60"/>
              <w:ind w:left="936"/>
              <w:jc w:val="both"/>
              <w:rPr>
                <w:sz w:val="20"/>
                <w:szCs w:val="20"/>
              </w:rPr>
            </w:pPr>
            <w:r w:rsidRPr="00BD21CA">
              <w:rPr>
                <w:sz w:val="20"/>
                <w:szCs w:val="20"/>
              </w:rPr>
              <w:t xml:space="preserve">chromosomal abnormality, including Down </w:t>
            </w:r>
            <w:proofErr w:type="gramStart"/>
            <w:r w:rsidRPr="00BD21CA">
              <w:rPr>
                <w:sz w:val="20"/>
                <w:szCs w:val="20"/>
              </w:rPr>
              <w:t>Syndrome;</w:t>
            </w:r>
            <w:proofErr w:type="gramEnd"/>
          </w:p>
          <w:p w14:paraId="4858CD73" w14:textId="77777777" w:rsidR="00E45611" w:rsidRPr="00BD21CA" w:rsidRDefault="00E45611" w:rsidP="00530122">
            <w:pPr>
              <w:numPr>
                <w:ilvl w:val="0"/>
                <w:numId w:val="34"/>
              </w:numPr>
              <w:spacing w:before="60"/>
              <w:ind w:left="936"/>
              <w:jc w:val="both"/>
              <w:rPr>
                <w:sz w:val="20"/>
                <w:szCs w:val="20"/>
              </w:rPr>
            </w:pPr>
            <w:r w:rsidRPr="00BD21CA">
              <w:rPr>
                <w:sz w:val="20"/>
                <w:szCs w:val="20"/>
              </w:rPr>
              <w:t>exchange transfusion; and</w:t>
            </w:r>
          </w:p>
          <w:p w14:paraId="11CE7E49" w14:textId="77777777" w:rsidR="00E45611" w:rsidRDefault="00E45611" w:rsidP="00530122">
            <w:pPr>
              <w:numPr>
                <w:ilvl w:val="0"/>
                <w:numId w:val="32"/>
              </w:numPr>
              <w:spacing w:before="60"/>
              <w:jc w:val="both"/>
              <w:rPr>
                <w:sz w:val="20"/>
                <w:szCs w:val="20"/>
              </w:rPr>
            </w:pPr>
            <w:r w:rsidRPr="00305E4B">
              <w:rPr>
                <w:sz w:val="20"/>
                <w:szCs w:val="20"/>
              </w:rPr>
              <w:t>middle ear pathology has been excluded by specialist opinion; and</w:t>
            </w:r>
          </w:p>
          <w:p w14:paraId="39CF7144" w14:textId="77777777" w:rsidR="00E45611" w:rsidRDefault="00E45611" w:rsidP="00530122">
            <w:pPr>
              <w:numPr>
                <w:ilvl w:val="0"/>
                <w:numId w:val="32"/>
              </w:numPr>
              <w:spacing w:before="60"/>
              <w:jc w:val="both"/>
              <w:rPr>
                <w:sz w:val="20"/>
                <w:szCs w:val="20"/>
              </w:rPr>
            </w:pPr>
            <w:r w:rsidRPr="00305E4B">
              <w:rPr>
                <w:sz w:val="20"/>
                <w:szCs w:val="20"/>
              </w:rPr>
              <w:t>the infant or child is not an admitted patient of a hospital; and</w:t>
            </w:r>
          </w:p>
          <w:p w14:paraId="663900C3" w14:textId="77777777" w:rsidR="00E45611" w:rsidRDefault="00E45611" w:rsidP="00530122">
            <w:pPr>
              <w:numPr>
                <w:ilvl w:val="0"/>
                <w:numId w:val="32"/>
              </w:numPr>
              <w:spacing w:before="60"/>
              <w:jc w:val="both"/>
              <w:rPr>
                <w:sz w:val="20"/>
                <w:szCs w:val="20"/>
              </w:rPr>
            </w:pPr>
            <w:r w:rsidRPr="00305E4B">
              <w:rPr>
                <w:sz w:val="20"/>
                <w:szCs w:val="20"/>
              </w:rPr>
              <w:t>the service is performed on the infant or child individually and in person; and</w:t>
            </w:r>
          </w:p>
          <w:p w14:paraId="33DF287C" w14:textId="77777777" w:rsidR="00E45611" w:rsidRDefault="00E45611" w:rsidP="00530122">
            <w:pPr>
              <w:numPr>
                <w:ilvl w:val="0"/>
                <w:numId w:val="32"/>
              </w:numPr>
              <w:spacing w:before="60"/>
              <w:jc w:val="both"/>
              <w:rPr>
                <w:sz w:val="20"/>
                <w:szCs w:val="20"/>
              </w:rPr>
            </w:pPr>
            <w:r w:rsidRPr="00305E4B">
              <w:rPr>
                <w:sz w:val="20"/>
                <w:szCs w:val="20"/>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1320E941" w14:textId="77777777" w:rsidR="00E45611" w:rsidRPr="00F819AE" w:rsidRDefault="00E45611" w:rsidP="00F819AE">
            <w:pPr>
              <w:numPr>
                <w:ilvl w:val="0"/>
                <w:numId w:val="32"/>
              </w:numPr>
              <w:spacing w:before="60"/>
              <w:jc w:val="both"/>
              <w:rPr>
                <w:sz w:val="20"/>
                <w:szCs w:val="20"/>
              </w:rPr>
            </w:pPr>
            <w:r w:rsidRPr="00F819AE">
              <w:rPr>
                <w:sz w:val="20"/>
                <w:szCs w:val="20"/>
              </w:rPr>
              <w:t>a service to which item 11332 applies has not been performed on the infant or child on the same day.</w:t>
            </w:r>
          </w:p>
          <w:p w14:paraId="70A10BAC" w14:textId="77777777" w:rsidR="00E45611" w:rsidRPr="00BD21CA" w:rsidRDefault="00E45611" w:rsidP="00530122">
            <w:pPr>
              <w:pStyle w:val="Tabletext"/>
            </w:pPr>
            <w:r w:rsidRPr="00BD21CA">
              <w:rPr>
                <w:i/>
              </w:rPr>
              <w:t>(See para M15.4 and M15.5 of explanatory notes to this Category)</w:t>
            </w:r>
            <w:r w:rsidRPr="00BD21CA">
              <w:rPr>
                <w:b/>
              </w:rPr>
              <w:t xml:space="preserve"> </w:t>
            </w:r>
          </w:p>
        </w:tc>
        <w:tc>
          <w:tcPr>
            <w:tcW w:w="900" w:type="dxa"/>
          </w:tcPr>
          <w:p w14:paraId="6D49B400" w14:textId="77777777" w:rsidR="00E45611" w:rsidRPr="00422EC8" w:rsidRDefault="00530122" w:rsidP="00422EC8">
            <w:pPr>
              <w:pStyle w:val="Tabletext"/>
            </w:pPr>
            <w:r w:rsidRPr="00422EC8">
              <w:lastRenderedPageBreak/>
              <w:t>$46.85</w:t>
            </w:r>
          </w:p>
        </w:tc>
        <w:tc>
          <w:tcPr>
            <w:tcW w:w="1440" w:type="dxa"/>
          </w:tcPr>
          <w:p w14:paraId="3F8B6135" w14:textId="77777777" w:rsidR="00E45611" w:rsidRPr="00422EC8" w:rsidRDefault="00530122" w:rsidP="00422EC8">
            <w:pPr>
              <w:pStyle w:val="Tabletext"/>
            </w:pPr>
            <w:r w:rsidRPr="00422EC8">
              <w:t>85% = $39.85</w:t>
            </w:r>
          </w:p>
        </w:tc>
        <w:tc>
          <w:tcPr>
            <w:tcW w:w="1980" w:type="dxa"/>
          </w:tcPr>
          <w:p w14:paraId="611CF5CF" w14:textId="77777777" w:rsidR="00E45611" w:rsidRPr="00422EC8" w:rsidRDefault="00530122" w:rsidP="00422EC8">
            <w:pPr>
              <w:pStyle w:val="Tabletext"/>
            </w:pPr>
            <w:r w:rsidRPr="00422EC8">
              <w:t>$140.55</w:t>
            </w:r>
          </w:p>
        </w:tc>
      </w:tr>
    </w:tbl>
    <w:p w14:paraId="6B64B265" w14:textId="77777777" w:rsidR="00F85147" w:rsidRPr="00822601" w:rsidRDefault="00F85147" w:rsidP="00822601"/>
    <w:p w14:paraId="111CB299" w14:textId="77777777" w:rsidR="00F85147" w:rsidRDefault="00F85147" w:rsidP="00F85147">
      <w:pPr>
        <w:pStyle w:val="AppendixStyle1"/>
        <w:spacing w:before="180" w:after="60" w:line="240" w:lineRule="auto"/>
        <w:ind w:left="714" w:hanging="357"/>
        <w:rPr>
          <w:i/>
          <w:color w:val="000000" w:themeColor="text1"/>
        </w:rPr>
        <w:sectPr w:rsidR="00F85147" w:rsidSect="00E45611">
          <w:footerReference w:type="default" r:id="rId13"/>
          <w:endnotePr>
            <w:numFmt w:val="decimal"/>
          </w:endnotePr>
          <w:pgSz w:w="16838" w:h="11906" w:orient="landscape" w:code="9"/>
          <w:pgMar w:top="1440" w:right="1276" w:bottom="1440" w:left="1440" w:header="720" w:footer="720" w:gutter="0"/>
          <w:paperSrc w:first="2" w:other="2"/>
          <w:cols w:space="720"/>
          <w:docGrid w:linePitch="326"/>
        </w:sectPr>
      </w:pPr>
    </w:p>
    <w:p w14:paraId="14FC4C42" w14:textId="77777777" w:rsidR="00F85147" w:rsidRPr="00156B1C" w:rsidRDefault="00E8524B" w:rsidP="001815E3">
      <w:pPr>
        <w:pStyle w:val="AppendixStyle1"/>
      </w:pPr>
      <w:bookmarkStart w:id="119" w:name="_Toc485723869"/>
      <w:r>
        <w:lastRenderedPageBreak/>
        <w:t xml:space="preserve">Summary </w:t>
      </w:r>
      <w:r w:rsidR="006959AC">
        <w:t>for consumers</w:t>
      </w:r>
      <w:bookmarkEnd w:id="119"/>
      <w:r w:rsidR="00E26A10">
        <w:t xml:space="preserve"> </w:t>
      </w:r>
    </w:p>
    <w:p w14:paraId="2E064E0E" w14:textId="77777777" w:rsidR="00725F6C" w:rsidRDefault="00725F6C" w:rsidP="00394515">
      <w:r w:rsidRPr="001F3D23">
        <w:t xml:space="preserve">This </w:t>
      </w:r>
      <w:r>
        <w:t>appendix</w:t>
      </w:r>
      <w:r w:rsidRPr="001F3D23">
        <w:t xml:space="preserve"> describes the medical service, recommendation of the </w:t>
      </w:r>
      <w:r>
        <w:t>c</w:t>
      </w:r>
      <w:r w:rsidRPr="001F3D23">
        <w:t xml:space="preserve">linical </w:t>
      </w:r>
      <w:r>
        <w:t>e</w:t>
      </w:r>
      <w:r w:rsidRPr="001F3D23">
        <w:t>xperts and why the recommendation has been made.</w:t>
      </w:r>
      <w:r w:rsidR="00394515">
        <w:t xml:space="preserve"> Items annotated with a G are provided by a GP, while those annotated with an S are provided by a specialist.</w:t>
      </w:r>
    </w:p>
    <w:p w14:paraId="42ED2CE7" w14:textId="77777777" w:rsidR="00F85147" w:rsidRDefault="00F85147" w:rsidP="00CE4663">
      <w:pPr>
        <w:pStyle w:val="Caption"/>
      </w:pP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1 lists the items for adenoidectomy, and provides recommendations for these items by the clinical experts and why the recommendations have been made."/>
      </w:tblPr>
      <w:tblGrid>
        <w:gridCol w:w="2127"/>
        <w:gridCol w:w="3119"/>
        <w:gridCol w:w="3087"/>
        <w:gridCol w:w="2978"/>
        <w:gridCol w:w="3119"/>
      </w:tblGrid>
      <w:tr w:rsidR="00CE4663" w:rsidRPr="0000062D" w14:paraId="4B9FB146" w14:textId="77777777" w:rsidTr="00526F40">
        <w:trPr>
          <w:tblHeader/>
        </w:trPr>
        <w:tc>
          <w:tcPr>
            <w:tcW w:w="2127" w:type="dxa"/>
            <w:tcBorders>
              <w:top w:val="single" w:sz="4" w:space="0" w:color="B56011"/>
              <w:left w:val="nil"/>
              <w:bottom w:val="single" w:sz="4" w:space="0" w:color="B56011"/>
              <w:right w:val="nil"/>
            </w:tcBorders>
            <w:hideMark/>
          </w:tcPr>
          <w:p w14:paraId="1FE06E24" w14:textId="77777777" w:rsidR="00CE4663" w:rsidRPr="0000062D" w:rsidRDefault="00CE4663" w:rsidP="0000062D">
            <w:pPr>
              <w:pStyle w:val="Tableheading"/>
            </w:pPr>
            <w:r w:rsidRPr="0000062D">
              <w:t xml:space="preserve">Item </w:t>
            </w:r>
          </w:p>
        </w:tc>
        <w:tc>
          <w:tcPr>
            <w:tcW w:w="3119" w:type="dxa"/>
            <w:tcBorders>
              <w:top w:val="single" w:sz="4" w:space="0" w:color="B56011"/>
              <w:left w:val="nil"/>
              <w:bottom w:val="single" w:sz="4" w:space="0" w:color="B56011"/>
              <w:right w:val="nil"/>
            </w:tcBorders>
            <w:hideMark/>
          </w:tcPr>
          <w:p w14:paraId="7FEE14D8" w14:textId="77777777" w:rsidR="00CE4663" w:rsidRPr="0000062D" w:rsidRDefault="00CE4663" w:rsidP="0000062D">
            <w:pPr>
              <w:pStyle w:val="Tableheading"/>
            </w:pPr>
            <w:r w:rsidRPr="0000062D">
              <w:t xml:space="preserve">What it does </w:t>
            </w:r>
          </w:p>
        </w:tc>
        <w:tc>
          <w:tcPr>
            <w:tcW w:w="3087" w:type="dxa"/>
            <w:tcBorders>
              <w:top w:val="single" w:sz="4" w:space="0" w:color="B56011"/>
              <w:left w:val="nil"/>
              <w:bottom w:val="single" w:sz="4" w:space="0" w:color="B56011"/>
              <w:right w:val="nil"/>
            </w:tcBorders>
            <w:hideMark/>
          </w:tcPr>
          <w:p w14:paraId="6BA2A464" w14:textId="77777777" w:rsidR="00CE4663" w:rsidRPr="0000062D" w:rsidRDefault="00CE4663" w:rsidP="0000062D">
            <w:pPr>
              <w:pStyle w:val="Tableheading"/>
            </w:pPr>
            <w:r w:rsidRPr="0000062D">
              <w:t>Committee Recommendation</w:t>
            </w:r>
          </w:p>
        </w:tc>
        <w:tc>
          <w:tcPr>
            <w:tcW w:w="2978" w:type="dxa"/>
            <w:tcBorders>
              <w:top w:val="single" w:sz="4" w:space="0" w:color="B56011"/>
              <w:left w:val="nil"/>
              <w:bottom w:val="single" w:sz="4" w:space="0" w:color="B56011"/>
              <w:right w:val="nil"/>
            </w:tcBorders>
            <w:hideMark/>
          </w:tcPr>
          <w:p w14:paraId="59898F55" w14:textId="77777777" w:rsidR="00CE4663" w:rsidRPr="0000062D" w:rsidRDefault="00CE4663" w:rsidP="0000062D">
            <w:pPr>
              <w:pStyle w:val="Tableheading"/>
            </w:pPr>
            <w:r w:rsidRPr="0000062D">
              <w:t>What would be different</w:t>
            </w:r>
          </w:p>
        </w:tc>
        <w:tc>
          <w:tcPr>
            <w:tcW w:w="3119" w:type="dxa"/>
            <w:tcBorders>
              <w:top w:val="single" w:sz="4" w:space="0" w:color="B56011"/>
              <w:left w:val="nil"/>
              <w:bottom w:val="single" w:sz="4" w:space="0" w:color="B56011"/>
              <w:right w:val="nil"/>
            </w:tcBorders>
            <w:hideMark/>
          </w:tcPr>
          <w:p w14:paraId="0D4C853A" w14:textId="77777777" w:rsidR="00CE4663" w:rsidRPr="0000062D" w:rsidRDefault="00CE4663" w:rsidP="0000062D">
            <w:pPr>
              <w:pStyle w:val="Tableheading"/>
            </w:pPr>
            <w:r w:rsidRPr="0000062D">
              <w:t>Why</w:t>
            </w:r>
          </w:p>
        </w:tc>
      </w:tr>
      <w:tr w:rsidR="00526F40" w:rsidRPr="0000062D" w14:paraId="4108E007" w14:textId="77777777" w:rsidTr="00C520C9">
        <w:trPr>
          <w:tblHeader/>
        </w:trPr>
        <w:tc>
          <w:tcPr>
            <w:tcW w:w="14430" w:type="dxa"/>
            <w:gridSpan w:val="5"/>
            <w:tcBorders>
              <w:top w:val="single" w:sz="4" w:space="0" w:color="B56011"/>
              <w:left w:val="nil"/>
              <w:bottom w:val="single" w:sz="4" w:space="0" w:color="B56011"/>
              <w:right w:val="nil"/>
            </w:tcBorders>
            <w:shd w:val="clear" w:color="auto" w:fill="D9D9D9" w:themeFill="background1" w:themeFillShade="D9"/>
          </w:tcPr>
          <w:p w14:paraId="4860B4E7" w14:textId="77777777" w:rsidR="00526F40" w:rsidRPr="0000062D" w:rsidRDefault="00526F40" w:rsidP="0000062D">
            <w:pPr>
              <w:pStyle w:val="Tableheading"/>
            </w:pPr>
            <w:r w:rsidRPr="00725F6C">
              <w:t>Recommendation 1</w:t>
            </w:r>
            <w:r w:rsidR="00C520C9">
              <w:t xml:space="preserve">: </w:t>
            </w:r>
            <w:r w:rsidRPr="00725F6C">
              <w:t xml:space="preserve"> Adenoidectomy</w:t>
            </w:r>
          </w:p>
        </w:tc>
      </w:tr>
      <w:tr w:rsidR="00CE4663" w14:paraId="468F3779" w14:textId="77777777" w:rsidTr="00526F40">
        <w:trPr>
          <w:tblHeader/>
        </w:trPr>
        <w:tc>
          <w:tcPr>
            <w:tcW w:w="2127" w:type="dxa"/>
            <w:tcBorders>
              <w:top w:val="single" w:sz="4" w:space="0" w:color="B56011"/>
              <w:left w:val="nil"/>
              <w:bottom w:val="single" w:sz="4" w:space="0" w:color="B56011"/>
              <w:right w:val="nil"/>
            </w:tcBorders>
          </w:tcPr>
          <w:p w14:paraId="0C874BC8" w14:textId="77777777" w:rsidR="00CE4663" w:rsidRDefault="00CE4663" w:rsidP="00142254">
            <w:pPr>
              <w:pStyle w:val="Tabletext"/>
            </w:pPr>
            <w:r w:rsidRPr="00142254">
              <w:rPr>
                <w:b/>
              </w:rPr>
              <w:t>41800 G, 41801 S</w:t>
            </w:r>
            <w:r>
              <w:t xml:space="preserve"> –removal of adenoids</w:t>
            </w:r>
          </w:p>
        </w:tc>
        <w:tc>
          <w:tcPr>
            <w:tcW w:w="3119" w:type="dxa"/>
            <w:tcBorders>
              <w:top w:val="single" w:sz="4" w:space="0" w:color="B56011"/>
              <w:left w:val="nil"/>
              <w:bottom w:val="single" w:sz="4" w:space="0" w:color="B56011"/>
              <w:right w:val="nil"/>
            </w:tcBorders>
          </w:tcPr>
          <w:p w14:paraId="3D72E5F6" w14:textId="77777777" w:rsidR="00CE4663" w:rsidRDefault="00CE4663" w:rsidP="00142254">
            <w:pPr>
              <w:pStyle w:val="Tabletext"/>
              <w:rPr>
                <w:b/>
              </w:rPr>
            </w:pPr>
            <w:r>
              <w:t xml:space="preserve">Surgery to remove adenoids which are the lymph nodes in the throat behind the nose. Infected </w:t>
            </w:r>
            <w:r>
              <w:rPr>
                <w:bCs/>
              </w:rPr>
              <w:t>adenoids</w:t>
            </w:r>
            <w:r>
              <w:t xml:space="preserve"> can cause middle ear infections, sinusitis and difficulty breathing.</w:t>
            </w:r>
          </w:p>
        </w:tc>
        <w:tc>
          <w:tcPr>
            <w:tcW w:w="3087" w:type="dxa"/>
            <w:tcBorders>
              <w:top w:val="single" w:sz="4" w:space="0" w:color="B56011"/>
              <w:left w:val="nil"/>
              <w:bottom w:val="single" w:sz="4" w:space="0" w:color="B56011"/>
              <w:right w:val="nil"/>
            </w:tcBorders>
          </w:tcPr>
          <w:p w14:paraId="7BECF1F2" w14:textId="77777777" w:rsidR="00CE4663" w:rsidRDefault="00CE4663" w:rsidP="000C02F3">
            <w:pPr>
              <w:pStyle w:val="NormalBulleted10pt"/>
            </w:pPr>
            <w:r>
              <w:t>Amend the item to:</w:t>
            </w:r>
          </w:p>
          <w:p w14:paraId="4C0ABA1D" w14:textId="77777777" w:rsidR="00CE4663" w:rsidRDefault="00CE4663" w:rsidP="00822601">
            <w:pPr>
              <w:pStyle w:val="NormalBulleted2Table"/>
            </w:pPr>
            <w:r>
              <w:t>include examination of the space where the operation will take place plus the injection of local anaesthetic.</w:t>
            </w:r>
            <w:r w:rsidR="005D75DC">
              <w:t xml:space="preserve"> </w:t>
            </w:r>
          </w:p>
          <w:p w14:paraId="5292C546" w14:textId="77777777" w:rsidR="00CE4663" w:rsidRDefault="00CE4663" w:rsidP="00822601">
            <w:pPr>
              <w:pStyle w:val="NormalBulleted2Table"/>
            </w:pPr>
            <w:r>
              <w:t xml:space="preserve"> prevent co-claiming with item 41764.</w:t>
            </w:r>
          </w:p>
          <w:p w14:paraId="63A6E6FE" w14:textId="77777777" w:rsidR="00CE4663" w:rsidRDefault="00CE4663" w:rsidP="000C02F3">
            <w:pPr>
              <w:pStyle w:val="NormalBulleted10pt"/>
              <w:rPr>
                <w:b/>
              </w:rPr>
            </w:pPr>
            <w:r>
              <w:t>That GPs and specialists be paid the same amount for the procedure.</w:t>
            </w:r>
          </w:p>
        </w:tc>
        <w:tc>
          <w:tcPr>
            <w:tcW w:w="2978" w:type="dxa"/>
            <w:tcBorders>
              <w:top w:val="single" w:sz="4" w:space="0" w:color="B56011"/>
              <w:left w:val="nil"/>
              <w:bottom w:val="single" w:sz="4" w:space="0" w:color="B56011"/>
              <w:right w:val="nil"/>
            </w:tcBorders>
          </w:tcPr>
          <w:p w14:paraId="14F892F1" w14:textId="77777777" w:rsidR="00CE4663" w:rsidRDefault="00CE4663" w:rsidP="00CE4663">
            <w:pPr>
              <w:pStyle w:val="NormalBulleted10pt"/>
            </w:pPr>
            <w:r>
              <w:t xml:space="preserve">The descriptors will clarify which procedures are included the items. </w:t>
            </w:r>
          </w:p>
          <w:p w14:paraId="1F29D3E9" w14:textId="77777777" w:rsidR="00CE4663" w:rsidRDefault="00CE4663" w:rsidP="00CE4663">
            <w:pPr>
              <w:pStyle w:val="NormalBulleted10pt"/>
            </w:pPr>
            <w:r>
              <w:t>The items will not be claimable with item 41764. This is not expected to affect patients.</w:t>
            </w:r>
          </w:p>
          <w:p w14:paraId="22B35981" w14:textId="77777777" w:rsidR="00CE4663" w:rsidRDefault="00CE4663" w:rsidP="00CE4663">
            <w:pPr>
              <w:pStyle w:val="NormalBulleted10pt"/>
              <w:rPr>
                <w:b/>
              </w:rPr>
            </w:pPr>
            <w:r>
              <w:t xml:space="preserve">The recommendation regarding different fees for GPs and specialists will be </w:t>
            </w:r>
            <w:r w:rsidRPr="00CE4663">
              <w:t>considered by the Task</w:t>
            </w:r>
            <w:r>
              <w:t>force.</w:t>
            </w:r>
          </w:p>
        </w:tc>
        <w:tc>
          <w:tcPr>
            <w:tcW w:w="3119" w:type="dxa"/>
            <w:tcBorders>
              <w:top w:val="single" w:sz="4" w:space="0" w:color="B56011"/>
              <w:left w:val="nil"/>
              <w:bottom w:val="single" w:sz="4" w:space="0" w:color="B56011"/>
              <w:right w:val="nil"/>
            </w:tcBorders>
          </w:tcPr>
          <w:p w14:paraId="557D64C2" w14:textId="77777777" w:rsidR="00CE4663" w:rsidRDefault="00CE4663" w:rsidP="00142254">
            <w:pPr>
              <w:pStyle w:val="Tabletext"/>
              <w:rPr>
                <w:b/>
              </w:rPr>
            </w:pPr>
            <w:r>
              <w:t>The services provided under item 41764 are already included within the existing tonsil removal items.</w:t>
            </w:r>
          </w:p>
        </w:tc>
      </w:tr>
    </w:tbl>
    <w:p w14:paraId="7F50045B" w14:textId="77777777" w:rsidR="00394515" w:rsidRDefault="00CE4663" w:rsidP="00CE4663">
      <w:pPr>
        <w:pStyle w:val="Caption"/>
      </w:pPr>
      <w:r>
        <w:br w:type="page"/>
      </w:r>
    </w:p>
    <w:tbl>
      <w:tblPr>
        <w:tblStyle w:val="TableGrid"/>
        <w:tblW w:w="1430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2 lists the items for insertion of grommets, and provides recommendations for these items by the clinical experts and why the recommendations have been made."/>
      </w:tblPr>
      <w:tblGrid>
        <w:gridCol w:w="2658"/>
        <w:gridCol w:w="3897"/>
        <w:gridCol w:w="3857"/>
        <w:gridCol w:w="3897"/>
      </w:tblGrid>
      <w:tr w:rsidR="00342A37" w14:paraId="31E89DE0" w14:textId="77777777" w:rsidTr="00C520C9">
        <w:trPr>
          <w:trHeight w:val="377"/>
          <w:tblHeader/>
        </w:trPr>
        <w:tc>
          <w:tcPr>
            <w:tcW w:w="2658" w:type="dxa"/>
            <w:tcBorders>
              <w:top w:val="single" w:sz="4" w:space="0" w:color="B56011"/>
              <w:left w:val="nil"/>
              <w:bottom w:val="single" w:sz="4" w:space="0" w:color="B56011"/>
              <w:right w:val="nil"/>
            </w:tcBorders>
            <w:hideMark/>
          </w:tcPr>
          <w:p w14:paraId="3BC40A60" w14:textId="77777777" w:rsidR="00342A37" w:rsidRDefault="00342A37" w:rsidP="00142254">
            <w:pPr>
              <w:pStyle w:val="Tableheading"/>
            </w:pPr>
            <w:r>
              <w:lastRenderedPageBreak/>
              <w:t xml:space="preserve">Item </w:t>
            </w:r>
          </w:p>
        </w:tc>
        <w:tc>
          <w:tcPr>
            <w:tcW w:w="3897" w:type="dxa"/>
            <w:tcBorders>
              <w:top w:val="single" w:sz="4" w:space="0" w:color="B56011"/>
              <w:left w:val="nil"/>
              <w:bottom w:val="single" w:sz="4" w:space="0" w:color="B56011"/>
              <w:right w:val="nil"/>
            </w:tcBorders>
            <w:hideMark/>
          </w:tcPr>
          <w:p w14:paraId="6ACECD54" w14:textId="77777777" w:rsidR="00342A37" w:rsidRDefault="00342A37" w:rsidP="00142254">
            <w:pPr>
              <w:pStyle w:val="Tableheading"/>
            </w:pPr>
            <w:r>
              <w:t xml:space="preserve">What it does </w:t>
            </w:r>
          </w:p>
        </w:tc>
        <w:tc>
          <w:tcPr>
            <w:tcW w:w="3857" w:type="dxa"/>
            <w:tcBorders>
              <w:top w:val="single" w:sz="4" w:space="0" w:color="B56011"/>
              <w:left w:val="nil"/>
              <w:bottom w:val="single" w:sz="4" w:space="0" w:color="B56011"/>
              <w:right w:val="nil"/>
            </w:tcBorders>
            <w:hideMark/>
          </w:tcPr>
          <w:p w14:paraId="1AA80229" w14:textId="77777777" w:rsidR="00342A37" w:rsidRDefault="00342A37" w:rsidP="00142254">
            <w:pPr>
              <w:pStyle w:val="Tableheading"/>
            </w:pPr>
            <w:r>
              <w:t>Committee Recommendation</w:t>
            </w:r>
          </w:p>
        </w:tc>
        <w:tc>
          <w:tcPr>
            <w:tcW w:w="3897" w:type="dxa"/>
            <w:tcBorders>
              <w:top w:val="single" w:sz="4" w:space="0" w:color="B56011"/>
              <w:left w:val="nil"/>
              <w:bottom w:val="single" w:sz="4" w:space="0" w:color="B56011"/>
              <w:right w:val="nil"/>
            </w:tcBorders>
            <w:hideMark/>
          </w:tcPr>
          <w:p w14:paraId="3A678F13" w14:textId="77777777" w:rsidR="00342A37" w:rsidRDefault="00342A37" w:rsidP="00142254">
            <w:pPr>
              <w:pStyle w:val="Tableheading"/>
            </w:pPr>
            <w:r>
              <w:t>Why</w:t>
            </w:r>
          </w:p>
        </w:tc>
      </w:tr>
      <w:tr w:rsidR="00C520C9" w14:paraId="6BBC8688" w14:textId="77777777" w:rsidTr="00C520C9">
        <w:trPr>
          <w:trHeight w:val="377"/>
          <w:tblHeader/>
        </w:trPr>
        <w:tc>
          <w:tcPr>
            <w:tcW w:w="14309" w:type="dxa"/>
            <w:gridSpan w:val="4"/>
            <w:tcBorders>
              <w:top w:val="single" w:sz="4" w:space="0" w:color="B56011"/>
              <w:left w:val="nil"/>
              <w:bottom w:val="single" w:sz="4" w:space="0" w:color="B56011"/>
              <w:right w:val="nil"/>
            </w:tcBorders>
            <w:shd w:val="clear" w:color="auto" w:fill="D9D9D9" w:themeFill="background1" w:themeFillShade="D9"/>
          </w:tcPr>
          <w:p w14:paraId="43FD6946" w14:textId="77777777" w:rsidR="00C520C9" w:rsidRDefault="00C520C9" w:rsidP="00142254">
            <w:pPr>
              <w:pStyle w:val="Tableheading"/>
            </w:pPr>
            <w:r w:rsidRPr="00394515">
              <w:t>Recommendation 2</w:t>
            </w:r>
            <w:r>
              <w:t xml:space="preserve">:  </w:t>
            </w:r>
            <w:r w:rsidRPr="00394515">
              <w:t>Insertion of Grommets</w:t>
            </w:r>
          </w:p>
        </w:tc>
      </w:tr>
      <w:tr w:rsidR="00342A37" w14:paraId="46C7E783" w14:textId="77777777" w:rsidTr="00C520C9">
        <w:trPr>
          <w:trHeight w:val="1842"/>
          <w:tblHeader/>
        </w:trPr>
        <w:tc>
          <w:tcPr>
            <w:tcW w:w="2658" w:type="dxa"/>
            <w:tcBorders>
              <w:top w:val="single" w:sz="4" w:space="0" w:color="B56011"/>
              <w:left w:val="nil"/>
              <w:bottom w:val="single" w:sz="4" w:space="0" w:color="B56011"/>
              <w:right w:val="nil"/>
            </w:tcBorders>
          </w:tcPr>
          <w:p w14:paraId="3A820305" w14:textId="77777777" w:rsidR="00342A37" w:rsidRDefault="00342A37" w:rsidP="00142254">
            <w:pPr>
              <w:pStyle w:val="Tabletext"/>
            </w:pPr>
            <w:r w:rsidRPr="00142254">
              <w:rPr>
                <w:b/>
              </w:rPr>
              <w:t>41632</w:t>
            </w:r>
            <w:r>
              <w:t xml:space="preserve"> – Insertion of grommets</w:t>
            </w:r>
          </w:p>
        </w:tc>
        <w:tc>
          <w:tcPr>
            <w:tcW w:w="3897" w:type="dxa"/>
            <w:tcBorders>
              <w:top w:val="single" w:sz="4" w:space="0" w:color="B56011"/>
              <w:left w:val="nil"/>
              <w:bottom w:val="single" w:sz="4" w:space="0" w:color="B56011"/>
              <w:right w:val="nil"/>
            </w:tcBorders>
          </w:tcPr>
          <w:p w14:paraId="28BABB26" w14:textId="77777777" w:rsidR="00342A37" w:rsidRDefault="00342A37" w:rsidP="00142254">
            <w:pPr>
              <w:pStyle w:val="Tabletext"/>
              <w:rPr>
                <w:b/>
              </w:rPr>
            </w:pPr>
            <w:r>
              <w:t>A tube is placed into the eardrum so that air can flow into the middle ear to treat glue ear and chronic middle ear infections</w:t>
            </w:r>
          </w:p>
        </w:tc>
        <w:tc>
          <w:tcPr>
            <w:tcW w:w="3857" w:type="dxa"/>
            <w:tcBorders>
              <w:top w:val="single" w:sz="4" w:space="0" w:color="B56011"/>
              <w:left w:val="nil"/>
              <w:bottom w:val="single" w:sz="4" w:space="0" w:color="B56011"/>
              <w:right w:val="nil"/>
            </w:tcBorders>
          </w:tcPr>
          <w:p w14:paraId="1EAA5C9A" w14:textId="77777777" w:rsidR="00342A37" w:rsidRDefault="00342A37" w:rsidP="003915AF">
            <w:pPr>
              <w:pStyle w:val="NormalBulleted10pt"/>
            </w:pPr>
            <w:r>
              <w:t>No amendments to the descriptor recommended.</w:t>
            </w:r>
          </w:p>
          <w:p w14:paraId="08AF317A" w14:textId="77777777" w:rsidR="00342A37" w:rsidRDefault="00342A37" w:rsidP="003915AF">
            <w:pPr>
              <w:pStyle w:val="NormalBulleted10pt"/>
              <w:rPr>
                <w:b/>
              </w:rPr>
            </w:pPr>
            <w:r>
              <w:t>Investigation of geographical variation for grommet services is warranted.</w:t>
            </w:r>
          </w:p>
        </w:tc>
        <w:tc>
          <w:tcPr>
            <w:tcW w:w="3897" w:type="dxa"/>
            <w:tcBorders>
              <w:top w:val="single" w:sz="4" w:space="0" w:color="B56011"/>
              <w:left w:val="nil"/>
              <w:bottom w:val="single" w:sz="4" w:space="0" w:color="B56011"/>
              <w:right w:val="nil"/>
            </w:tcBorders>
          </w:tcPr>
          <w:p w14:paraId="4409CB45" w14:textId="77777777" w:rsidR="00342A37" w:rsidRDefault="00666042" w:rsidP="00342A37">
            <w:pPr>
              <w:spacing w:before="60"/>
              <w:rPr>
                <w:b/>
                <w:sz w:val="20"/>
                <w:szCs w:val="20"/>
              </w:rPr>
            </w:pPr>
            <w:r>
              <w:rPr>
                <w:b/>
                <w:sz w:val="20"/>
                <w:szCs w:val="20"/>
              </w:rPr>
              <w:t>No change as Committee agreed service reflects current clinical practice.</w:t>
            </w:r>
          </w:p>
        </w:tc>
      </w:tr>
      <w:tr w:rsidR="00342A37" w14:paraId="71DC9327" w14:textId="77777777" w:rsidTr="00C520C9">
        <w:trPr>
          <w:trHeight w:val="2112"/>
          <w:tblHeader/>
        </w:trPr>
        <w:tc>
          <w:tcPr>
            <w:tcW w:w="2658" w:type="dxa"/>
            <w:tcBorders>
              <w:top w:val="single" w:sz="4" w:space="0" w:color="B56011"/>
              <w:left w:val="nil"/>
              <w:bottom w:val="single" w:sz="4" w:space="0" w:color="B56011"/>
              <w:right w:val="nil"/>
            </w:tcBorders>
          </w:tcPr>
          <w:p w14:paraId="7E09776F" w14:textId="77777777" w:rsidR="00342A37" w:rsidRDefault="00342A37" w:rsidP="00142254">
            <w:pPr>
              <w:pStyle w:val="Tabletext"/>
              <w:rPr>
                <w:b/>
              </w:rPr>
            </w:pPr>
            <w:r>
              <w:t>Myringotomy</w:t>
            </w:r>
          </w:p>
        </w:tc>
        <w:tc>
          <w:tcPr>
            <w:tcW w:w="3897" w:type="dxa"/>
            <w:tcBorders>
              <w:top w:val="single" w:sz="4" w:space="0" w:color="B56011"/>
              <w:left w:val="nil"/>
              <w:bottom w:val="single" w:sz="4" w:space="0" w:color="B56011"/>
              <w:right w:val="nil"/>
            </w:tcBorders>
          </w:tcPr>
          <w:p w14:paraId="4C37DE47" w14:textId="77777777" w:rsidR="00342A37" w:rsidRDefault="00342A37" w:rsidP="00142254">
            <w:pPr>
              <w:pStyle w:val="Tabletext"/>
            </w:pPr>
            <w:r>
              <w:t>An incision in the eardrum to drain fluid or pus</w:t>
            </w:r>
          </w:p>
        </w:tc>
        <w:tc>
          <w:tcPr>
            <w:tcW w:w="3857" w:type="dxa"/>
            <w:tcBorders>
              <w:top w:val="single" w:sz="4" w:space="0" w:color="B56011"/>
              <w:left w:val="nil"/>
              <w:bottom w:val="single" w:sz="4" w:space="0" w:color="B56011"/>
              <w:right w:val="nil"/>
            </w:tcBorders>
          </w:tcPr>
          <w:p w14:paraId="16571480" w14:textId="77777777" w:rsidR="00342A37" w:rsidRDefault="00342A37" w:rsidP="003915AF">
            <w:pPr>
              <w:pStyle w:val="NormalBulleted10pt"/>
            </w:pPr>
            <w:r>
              <w:t>Investigation for low service rates in the Northern Territory is warranted.</w:t>
            </w:r>
          </w:p>
        </w:tc>
        <w:tc>
          <w:tcPr>
            <w:tcW w:w="3897" w:type="dxa"/>
            <w:tcBorders>
              <w:top w:val="single" w:sz="4" w:space="0" w:color="B56011"/>
              <w:left w:val="nil"/>
              <w:bottom w:val="single" w:sz="4" w:space="0" w:color="B56011"/>
              <w:right w:val="nil"/>
            </w:tcBorders>
          </w:tcPr>
          <w:p w14:paraId="25BA29A6" w14:textId="77777777" w:rsidR="00342A37" w:rsidRDefault="00342A37" w:rsidP="00205D2D">
            <w:pPr>
              <w:pStyle w:val="Tabletext"/>
              <w:rPr>
                <w:b/>
              </w:rPr>
            </w:pPr>
            <w:r>
              <w:t>There may be serious consequences for a patient’s hearing if they cannot access appropriate services. This has a significant impact, especially on Indigenous communities.</w:t>
            </w:r>
          </w:p>
        </w:tc>
      </w:tr>
    </w:tbl>
    <w:p w14:paraId="360634CE" w14:textId="77777777" w:rsidR="00394515" w:rsidRDefault="00342A37" w:rsidP="00C520C9">
      <w:pPr>
        <w:pStyle w:val="AppendixStyle2"/>
      </w:pPr>
      <w:r>
        <w:br w:type="page"/>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3 lists the items for tonsillectomyy, and provides recommendations for these items by the clinical experts and why the recommendations have been made."/>
      </w:tblPr>
      <w:tblGrid>
        <w:gridCol w:w="2127"/>
        <w:gridCol w:w="3119"/>
        <w:gridCol w:w="3087"/>
        <w:gridCol w:w="2978"/>
        <w:gridCol w:w="3119"/>
      </w:tblGrid>
      <w:tr w:rsidR="00342A37" w14:paraId="6CA6240E" w14:textId="77777777" w:rsidTr="00D0141D">
        <w:trPr>
          <w:tblHeader/>
        </w:trPr>
        <w:tc>
          <w:tcPr>
            <w:tcW w:w="2127" w:type="dxa"/>
            <w:tcBorders>
              <w:top w:val="single" w:sz="4" w:space="0" w:color="B56011"/>
              <w:left w:val="nil"/>
              <w:bottom w:val="single" w:sz="4" w:space="0" w:color="B56011"/>
              <w:right w:val="nil"/>
            </w:tcBorders>
            <w:hideMark/>
          </w:tcPr>
          <w:p w14:paraId="2724A392" w14:textId="77777777" w:rsidR="00342A37" w:rsidRDefault="00342A37" w:rsidP="0000062D">
            <w:pPr>
              <w:pStyle w:val="Tableheading"/>
            </w:pPr>
            <w:r>
              <w:lastRenderedPageBreak/>
              <w:t xml:space="preserve">Item </w:t>
            </w:r>
          </w:p>
        </w:tc>
        <w:tc>
          <w:tcPr>
            <w:tcW w:w="3119" w:type="dxa"/>
            <w:tcBorders>
              <w:top w:val="single" w:sz="4" w:space="0" w:color="B56011"/>
              <w:left w:val="nil"/>
              <w:bottom w:val="single" w:sz="4" w:space="0" w:color="B56011"/>
              <w:right w:val="nil"/>
            </w:tcBorders>
            <w:hideMark/>
          </w:tcPr>
          <w:p w14:paraId="43A3DE9F" w14:textId="77777777" w:rsidR="00342A37" w:rsidRDefault="00342A37" w:rsidP="0000062D">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00A057A7" w14:textId="77777777" w:rsidR="00342A37" w:rsidRDefault="00342A37" w:rsidP="0000062D">
            <w:pPr>
              <w:pStyle w:val="Tableheading"/>
            </w:pPr>
            <w:r>
              <w:t>Committee Recommendation</w:t>
            </w:r>
          </w:p>
        </w:tc>
        <w:tc>
          <w:tcPr>
            <w:tcW w:w="2978" w:type="dxa"/>
            <w:tcBorders>
              <w:top w:val="single" w:sz="4" w:space="0" w:color="B56011"/>
              <w:left w:val="nil"/>
              <w:bottom w:val="single" w:sz="4" w:space="0" w:color="B56011"/>
              <w:right w:val="nil"/>
            </w:tcBorders>
            <w:hideMark/>
          </w:tcPr>
          <w:p w14:paraId="224F45A3" w14:textId="77777777" w:rsidR="00342A37" w:rsidRDefault="00342A37" w:rsidP="0000062D">
            <w:pPr>
              <w:pStyle w:val="Tableheading"/>
            </w:pPr>
            <w:r>
              <w:t>What would be different</w:t>
            </w:r>
          </w:p>
        </w:tc>
        <w:tc>
          <w:tcPr>
            <w:tcW w:w="3119" w:type="dxa"/>
            <w:tcBorders>
              <w:top w:val="single" w:sz="4" w:space="0" w:color="B56011"/>
              <w:left w:val="nil"/>
              <w:bottom w:val="single" w:sz="4" w:space="0" w:color="B56011"/>
              <w:right w:val="nil"/>
            </w:tcBorders>
            <w:hideMark/>
          </w:tcPr>
          <w:p w14:paraId="562F38E2" w14:textId="77777777" w:rsidR="00342A37" w:rsidRDefault="00342A37" w:rsidP="0000062D">
            <w:pPr>
              <w:pStyle w:val="Tableheading"/>
            </w:pPr>
            <w:r>
              <w:t>Why</w:t>
            </w:r>
          </w:p>
        </w:tc>
      </w:tr>
      <w:tr w:rsidR="00C520C9" w14:paraId="00A39DCF" w14:textId="77777777" w:rsidTr="00C520C9">
        <w:trPr>
          <w:tblHeader/>
        </w:trPr>
        <w:tc>
          <w:tcPr>
            <w:tcW w:w="14430" w:type="dxa"/>
            <w:gridSpan w:val="5"/>
            <w:tcBorders>
              <w:top w:val="single" w:sz="4" w:space="0" w:color="B56011"/>
              <w:left w:val="nil"/>
              <w:bottom w:val="single" w:sz="4" w:space="0" w:color="B56011"/>
              <w:right w:val="nil"/>
            </w:tcBorders>
            <w:shd w:val="clear" w:color="auto" w:fill="D9D9D9" w:themeFill="background1" w:themeFillShade="D9"/>
          </w:tcPr>
          <w:p w14:paraId="3CC22F76" w14:textId="77777777" w:rsidR="00C520C9" w:rsidRDefault="00C520C9" w:rsidP="0000062D">
            <w:pPr>
              <w:pStyle w:val="Tableheading"/>
            </w:pPr>
            <w:r w:rsidRPr="00226A36">
              <w:t>Recommendation 3</w:t>
            </w:r>
            <w:r>
              <w:t xml:space="preserve">: </w:t>
            </w:r>
            <w:r w:rsidRPr="00226A36">
              <w:t xml:space="preserve"> Tonsillectomy</w:t>
            </w:r>
          </w:p>
        </w:tc>
      </w:tr>
      <w:tr w:rsidR="00342A37" w14:paraId="03CFF990" w14:textId="77777777" w:rsidTr="00D0141D">
        <w:trPr>
          <w:tblHeader/>
        </w:trPr>
        <w:tc>
          <w:tcPr>
            <w:tcW w:w="2127" w:type="dxa"/>
            <w:tcBorders>
              <w:top w:val="single" w:sz="4" w:space="0" w:color="B56011"/>
              <w:left w:val="nil"/>
              <w:bottom w:val="single" w:sz="4" w:space="0" w:color="B56011"/>
              <w:right w:val="nil"/>
            </w:tcBorders>
          </w:tcPr>
          <w:p w14:paraId="1FE9BCCF" w14:textId="77777777" w:rsidR="00342A37" w:rsidRDefault="00342A37" w:rsidP="00342A37">
            <w:pPr>
              <w:pStyle w:val="NormalBulleted10pt"/>
            </w:pPr>
            <w:r w:rsidRPr="0045305B">
              <w:rPr>
                <w:b/>
                <w:bCs/>
              </w:rPr>
              <w:t xml:space="preserve">41788 G, 41789 S </w:t>
            </w:r>
            <w:r w:rsidRPr="00142254">
              <w:t xml:space="preserve">– </w:t>
            </w:r>
            <w:r>
              <w:t>Removal of tonsils, or tonsils and adenoids in a person aged less than 12 years</w:t>
            </w:r>
          </w:p>
          <w:p w14:paraId="64FD03ED" w14:textId="77777777" w:rsidR="00342A37" w:rsidRDefault="00342A37" w:rsidP="00342A37">
            <w:pPr>
              <w:pStyle w:val="NormalBulleted10pt"/>
              <w:rPr>
                <w:szCs w:val="20"/>
              </w:rPr>
            </w:pPr>
            <w:r w:rsidRPr="00BE69BD">
              <w:rPr>
                <w:b/>
              </w:rPr>
              <w:t>41792 G, 41793 S</w:t>
            </w:r>
            <w:r>
              <w:t xml:space="preserve"> – </w:t>
            </w:r>
            <w:r>
              <w:rPr>
                <w:szCs w:val="20"/>
              </w:rPr>
              <w:t>Removal of tonsils, or tonsils and adenoids in a person aged 12 years or over</w:t>
            </w:r>
          </w:p>
        </w:tc>
        <w:tc>
          <w:tcPr>
            <w:tcW w:w="3119" w:type="dxa"/>
            <w:tcBorders>
              <w:top w:val="single" w:sz="4" w:space="0" w:color="B56011"/>
              <w:left w:val="nil"/>
              <w:bottom w:val="single" w:sz="4" w:space="0" w:color="B56011"/>
              <w:right w:val="nil"/>
            </w:tcBorders>
          </w:tcPr>
          <w:p w14:paraId="598C7F50" w14:textId="77777777" w:rsidR="00342A37" w:rsidRDefault="00342A37" w:rsidP="00142254">
            <w:pPr>
              <w:pStyle w:val="Tabletext"/>
              <w:rPr>
                <w:b/>
              </w:rPr>
            </w:pPr>
            <w:r w:rsidRPr="006A406F">
              <w:t xml:space="preserve">The tonsils and adenoids </w:t>
            </w:r>
            <w:r>
              <w:rPr>
                <w:lang w:val="en"/>
              </w:rPr>
              <w:t xml:space="preserve">help to fight </w:t>
            </w:r>
            <w:r w:rsidRPr="00142254">
              <w:t>infections</w:t>
            </w:r>
            <w:r w:rsidRPr="006A406F">
              <w:t xml:space="preserve"> by producing antibodies. However sometimes they become infected and enlarge to block the upper airway, leading to breathing difficulty.</w:t>
            </w:r>
            <w:r>
              <w:t xml:space="preserve"> </w:t>
            </w:r>
            <w:proofErr w:type="gramStart"/>
            <w:r>
              <w:t>So</w:t>
            </w:r>
            <w:proofErr w:type="gramEnd"/>
            <w:r>
              <w:t xml:space="preserve"> they may need to be removed.</w:t>
            </w:r>
          </w:p>
        </w:tc>
        <w:tc>
          <w:tcPr>
            <w:tcW w:w="3087" w:type="dxa"/>
            <w:tcBorders>
              <w:top w:val="single" w:sz="4" w:space="0" w:color="B56011"/>
              <w:left w:val="nil"/>
              <w:bottom w:val="single" w:sz="4" w:space="0" w:color="B56011"/>
              <w:right w:val="nil"/>
            </w:tcBorders>
          </w:tcPr>
          <w:p w14:paraId="7DFD0AE8" w14:textId="77777777" w:rsidR="00342A37" w:rsidRDefault="00342A37" w:rsidP="00342A37">
            <w:pPr>
              <w:pStyle w:val="NormalBulleted10pt"/>
            </w:pPr>
            <w:r>
              <w:t>Amend the items to:</w:t>
            </w:r>
          </w:p>
          <w:p w14:paraId="6F98673B" w14:textId="77777777" w:rsidR="00342A37" w:rsidRDefault="00342A37" w:rsidP="00AA632A">
            <w:pPr>
              <w:pStyle w:val="NormalBulleted2Table"/>
            </w:pPr>
            <w:r>
              <w:t>explain that the item for this service includes examination of the operating space as well as the injection of local anaesthetic.</w:t>
            </w:r>
            <w:r w:rsidR="005D75DC">
              <w:t xml:space="preserve"> </w:t>
            </w:r>
          </w:p>
          <w:p w14:paraId="44BD3380" w14:textId="77777777" w:rsidR="00342A37" w:rsidRDefault="00342A37" w:rsidP="00AA632A">
            <w:pPr>
              <w:pStyle w:val="NormalBulleted2Table"/>
            </w:pPr>
            <w:r>
              <w:t>to prevent co-claiming with item 41764</w:t>
            </w:r>
          </w:p>
          <w:p w14:paraId="296D9316" w14:textId="77777777" w:rsidR="00342A37" w:rsidRPr="00681E75" w:rsidRDefault="00342A37" w:rsidP="00342A37">
            <w:pPr>
              <w:pStyle w:val="NormalBulleted10pt"/>
              <w:rPr>
                <w:b/>
              </w:rPr>
            </w:pPr>
            <w:r>
              <w:t>The Committee has also recommended to the Taskforce that GPs and specialists be paid the same amount for the procedure.</w:t>
            </w:r>
          </w:p>
          <w:p w14:paraId="6BB087CF" w14:textId="77777777" w:rsidR="00F86BD1" w:rsidRDefault="00F86BD1" w:rsidP="00342A37">
            <w:pPr>
              <w:pStyle w:val="NormalBulleted10pt"/>
              <w:rPr>
                <w:b/>
              </w:rPr>
            </w:pPr>
            <w:r>
              <w:t>Investigation for geographical variation for tonsillectomy services warranted.</w:t>
            </w:r>
          </w:p>
        </w:tc>
        <w:tc>
          <w:tcPr>
            <w:tcW w:w="2978" w:type="dxa"/>
            <w:tcBorders>
              <w:top w:val="single" w:sz="4" w:space="0" w:color="B56011"/>
              <w:left w:val="nil"/>
              <w:bottom w:val="single" w:sz="4" w:space="0" w:color="B56011"/>
              <w:right w:val="nil"/>
            </w:tcBorders>
          </w:tcPr>
          <w:p w14:paraId="6E5701B7" w14:textId="77777777" w:rsidR="00342A37" w:rsidRDefault="00342A37" w:rsidP="00342A37">
            <w:pPr>
              <w:pStyle w:val="NormalBulleted10pt"/>
            </w:pPr>
            <w:r>
              <w:t xml:space="preserve">The item descriptions will be updated to clarify which procedures are included the items. </w:t>
            </w:r>
          </w:p>
          <w:p w14:paraId="1AE9AA84" w14:textId="77777777" w:rsidR="00342A37" w:rsidRDefault="00342A37" w:rsidP="00342A37">
            <w:pPr>
              <w:pStyle w:val="NormalBulleted10pt"/>
              <w:rPr>
                <w:b/>
              </w:rPr>
            </w:pPr>
            <w:r>
              <w:t>The items will no longer be able to be claimed with item 41764.</w:t>
            </w:r>
            <w:r w:rsidR="005D75DC">
              <w:t xml:space="preserve"> </w:t>
            </w:r>
            <w:r>
              <w:t>This is not expected to affect patients.</w:t>
            </w:r>
          </w:p>
        </w:tc>
        <w:tc>
          <w:tcPr>
            <w:tcW w:w="3119" w:type="dxa"/>
            <w:tcBorders>
              <w:top w:val="single" w:sz="4" w:space="0" w:color="B56011"/>
              <w:left w:val="nil"/>
              <w:bottom w:val="single" w:sz="4" w:space="0" w:color="B56011"/>
              <w:right w:val="nil"/>
            </w:tcBorders>
          </w:tcPr>
          <w:p w14:paraId="113F4620" w14:textId="77777777" w:rsidR="00342A37" w:rsidRDefault="00342A37" w:rsidP="00342A37">
            <w:pPr>
              <w:pStyle w:val="NormalBulleted10pt"/>
            </w:pPr>
            <w:r>
              <w:t>The Committee reviewed evidence from the Australian Commission on Safety and Quality</w:t>
            </w:r>
            <w:r w:rsidR="005D75DC">
              <w:t xml:space="preserve"> </w:t>
            </w:r>
            <w:r>
              <w:t xml:space="preserve">in Health Care, the Royal Australasian College of </w:t>
            </w:r>
            <w:proofErr w:type="gramStart"/>
            <w:r>
              <w:t>Physicians</w:t>
            </w:r>
            <w:proofErr w:type="gramEnd"/>
            <w:r>
              <w:t xml:space="preserve"> and the Australian Society of Otolaryngology for best practice in diagnosis and treatment. </w:t>
            </w:r>
          </w:p>
          <w:p w14:paraId="4371E7A2" w14:textId="77777777" w:rsidR="00342A37" w:rsidRDefault="00342A37" w:rsidP="00342A37">
            <w:pPr>
              <w:pStyle w:val="NormalBulleted10pt"/>
              <w:rPr>
                <w:b/>
              </w:rPr>
            </w:pPr>
            <w:r>
              <w:t>The services provided under item 41764 are already included within the existing tonsil removal items.</w:t>
            </w:r>
          </w:p>
        </w:tc>
      </w:tr>
      <w:tr w:rsidR="00342A37" w14:paraId="59FB5727" w14:textId="77777777" w:rsidTr="00D0141D">
        <w:trPr>
          <w:tblHeader/>
        </w:trPr>
        <w:tc>
          <w:tcPr>
            <w:tcW w:w="2127" w:type="dxa"/>
            <w:tcBorders>
              <w:top w:val="single" w:sz="4" w:space="0" w:color="B56011"/>
              <w:left w:val="nil"/>
              <w:bottom w:val="single" w:sz="4" w:space="0" w:color="B56011"/>
              <w:right w:val="nil"/>
            </w:tcBorders>
          </w:tcPr>
          <w:p w14:paraId="5CA5B645" w14:textId="77777777" w:rsidR="00342A37" w:rsidRDefault="00342A37" w:rsidP="001C3B56">
            <w:pPr>
              <w:pStyle w:val="Tabletext"/>
              <w:rPr>
                <w:b/>
              </w:rPr>
            </w:pPr>
            <w:r>
              <w:rPr>
                <w:b/>
              </w:rPr>
              <w:t>41796 G</w:t>
            </w:r>
            <w:r w:rsidRPr="001C3B56">
              <w:t xml:space="preserve">, </w:t>
            </w:r>
            <w:r w:rsidRPr="001C3B56">
              <w:rPr>
                <w:b/>
              </w:rPr>
              <w:t>41797 S</w:t>
            </w:r>
            <w:r w:rsidRPr="001C3B56">
              <w:t xml:space="preserve"> –Tonsils or tonsils and adenoids, arrest of haemorrhage requiring</w:t>
            </w:r>
            <w:r>
              <w:t xml:space="preserve"> general anaesthesia</w:t>
            </w:r>
          </w:p>
        </w:tc>
        <w:tc>
          <w:tcPr>
            <w:tcW w:w="3119" w:type="dxa"/>
            <w:tcBorders>
              <w:top w:val="single" w:sz="4" w:space="0" w:color="B56011"/>
              <w:left w:val="nil"/>
              <w:bottom w:val="single" w:sz="4" w:space="0" w:color="B56011"/>
              <w:right w:val="nil"/>
            </w:tcBorders>
          </w:tcPr>
          <w:p w14:paraId="5C4E4E4E" w14:textId="77777777" w:rsidR="00342A37" w:rsidRDefault="00342A37" w:rsidP="00142254">
            <w:pPr>
              <w:pStyle w:val="Tabletext"/>
            </w:pPr>
            <w:r>
              <w:t>Procedure to stop bleeding after tonsils, or tonsils and adenoids have been removed.</w:t>
            </w:r>
          </w:p>
        </w:tc>
        <w:tc>
          <w:tcPr>
            <w:tcW w:w="3087" w:type="dxa"/>
            <w:tcBorders>
              <w:top w:val="single" w:sz="4" w:space="0" w:color="B56011"/>
              <w:left w:val="nil"/>
              <w:bottom w:val="single" w:sz="4" w:space="0" w:color="B56011"/>
              <w:right w:val="nil"/>
            </w:tcBorders>
          </w:tcPr>
          <w:p w14:paraId="431EECFD" w14:textId="77777777" w:rsidR="00342A37" w:rsidRDefault="00342A37" w:rsidP="00142254">
            <w:pPr>
              <w:pStyle w:val="Tabletext"/>
            </w:pPr>
            <w:r>
              <w:t>The Committee recommended to the Taskforce that GPs and specialists be paid the same amount for the procedure</w:t>
            </w:r>
          </w:p>
        </w:tc>
        <w:tc>
          <w:tcPr>
            <w:tcW w:w="2978" w:type="dxa"/>
            <w:tcBorders>
              <w:top w:val="single" w:sz="4" w:space="0" w:color="B56011"/>
              <w:left w:val="nil"/>
              <w:bottom w:val="single" w:sz="4" w:space="0" w:color="B56011"/>
              <w:right w:val="nil"/>
            </w:tcBorders>
          </w:tcPr>
          <w:p w14:paraId="147679E8" w14:textId="77777777" w:rsidR="00342A37" w:rsidRDefault="00342A37" w:rsidP="00142254">
            <w:pPr>
              <w:pStyle w:val="Tabletext"/>
              <w:rPr>
                <w:b/>
              </w:rPr>
            </w:pPr>
            <w:r>
              <w:t>For consideration by the Taskforce</w:t>
            </w:r>
          </w:p>
        </w:tc>
        <w:tc>
          <w:tcPr>
            <w:tcW w:w="3119" w:type="dxa"/>
            <w:tcBorders>
              <w:top w:val="single" w:sz="4" w:space="0" w:color="B56011"/>
              <w:left w:val="nil"/>
              <w:bottom w:val="single" w:sz="4" w:space="0" w:color="B56011"/>
              <w:right w:val="nil"/>
            </w:tcBorders>
          </w:tcPr>
          <w:p w14:paraId="202F8483" w14:textId="77777777" w:rsidR="00342A37" w:rsidRPr="000E120F" w:rsidRDefault="000E120F" w:rsidP="00342A37">
            <w:pPr>
              <w:spacing w:before="60"/>
              <w:rPr>
                <w:sz w:val="20"/>
                <w:szCs w:val="20"/>
              </w:rPr>
            </w:pPr>
            <w:r>
              <w:rPr>
                <w:sz w:val="20"/>
                <w:szCs w:val="20"/>
              </w:rPr>
              <w:t>T</w:t>
            </w:r>
            <w:r w:rsidR="00F86BD1" w:rsidRPr="000E120F">
              <w:rPr>
                <w:sz w:val="20"/>
                <w:szCs w:val="20"/>
              </w:rPr>
              <w:t>he Taskforce</w:t>
            </w:r>
            <w:r w:rsidR="00E31453">
              <w:rPr>
                <w:sz w:val="20"/>
                <w:szCs w:val="20"/>
              </w:rPr>
              <w:t xml:space="preserve"> will consider this issue more broadly.</w:t>
            </w:r>
          </w:p>
        </w:tc>
      </w:tr>
    </w:tbl>
    <w:p w14:paraId="1A4B4A89" w14:textId="77777777" w:rsidR="00C45514" w:rsidRDefault="003915AF" w:rsidP="003915AF">
      <w:pPr>
        <w:pStyle w:val="Caption"/>
      </w:pPr>
      <w:r>
        <w:br w:type="page"/>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4 lists the item for cauterisation, and provides the recommendation for this item by the clinical experts and why the recommendation has been made."/>
      </w:tblPr>
      <w:tblGrid>
        <w:gridCol w:w="2127"/>
        <w:gridCol w:w="3119"/>
        <w:gridCol w:w="3087"/>
        <w:gridCol w:w="2978"/>
        <w:gridCol w:w="3119"/>
      </w:tblGrid>
      <w:tr w:rsidR="00342A37" w14:paraId="281C6858" w14:textId="77777777" w:rsidTr="00C520C9">
        <w:trPr>
          <w:tblHeader/>
        </w:trPr>
        <w:tc>
          <w:tcPr>
            <w:tcW w:w="2127" w:type="dxa"/>
            <w:tcBorders>
              <w:top w:val="single" w:sz="4" w:space="0" w:color="B56011"/>
              <w:left w:val="nil"/>
              <w:bottom w:val="single" w:sz="4" w:space="0" w:color="B56011"/>
              <w:right w:val="nil"/>
            </w:tcBorders>
            <w:hideMark/>
          </w:tcPr>
          <w:p w14:paraId="55773BAA" w14:textId="77777777" w:rsidR="00342A37" w:rsidRDefault="00342A37" w:rsidP="0000062D">
            <w:pPr>
              <w:pStyle w:val="Tableheading"/>
            </w:pPr>
            <w:r>
              <w:lastRenderedPageBreak/>
              <w:t xml:space="preserve">Item </w:t>
            </w:r>
          </w:p>
        </w:tc>
        <w:tc>
          <w:tcPr>
            <w:tcW w:w="3119" w:type="dxa"/>
            <w:tcBorders>
              <w:top w:val="single" w:sz="4" w:space="0" w:color="B56011"/>
              <w:left w:val="nil"/>
              <w:bottom w:val="single" w:sz="4" w:space="0" w:color="B56011"/>
              <w:right w:val="nil"/>
            </w:tcBorders>
            <w:hideMark/>
          </w:tcPr>
          <w:p w14:paraId="5A38D70D" w14:textId="77777777" w:rsidR="00342A37" w:rsidRDefault="00342A37" w:rsidP="0000062D">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519EF5F2" w14:textId="77777777" w:rsidR="00342A37" w:rsidRDefault="00342A37" w:rsidP="0000062D">
            <w:pPr>
              <w:pStyle w:val="Tableheading"/>
            </w:pPr>
            <w:r>
              <w:t>Committee Recommendation</w:t>
            </w:r>
          </w:p>
        </w:tc>
        <w:tc>
          <w:tcPr>
            <w:tcW w:w="2978" w:type="dxa"/>
            <w:tcBorders>
              <w:top w:val="single" w:sz="4" w:space="0" w:color="B56011"/>
              <w:left w:val="nil"/>
              <w:bottom w:val="single" w:sz="4" w:space="0" w:color="B56011"/>
              <w:right w:val="nil"/>
            </w:tcBorders>
            <w:hideMark/>
          </w:tcPr>
          <w:p w14:paraId="5A4E3827" w14:textId="77777777" w:rsidR="00342A37" w:rsidRDefault="00342A37" w:rsidP="0000062D">
            <w:pPr>
              <w:pStyle w:val="Tableheading"/>
            </w:pPr>
            <w:r>
              <w:t>What would be different</w:t>
            </w:r>
          </w:p>
        </w:tc>
        <w:tc>
          <w:tcPr>
            <w:tcW w:w="3119" w:type="dxa"/>
            <w:tcBorders>
              <w:top w:val="single" w:sz="4" w:space="0" w:color="B56011"/>
              <w:left w:val="nil"/>
              <w:bottom w:val="single" w:sz="4" w:space="0" w:color="B56011"/>
              <w:right w:val="nil"/>
            </w:tcBorders>
            <w:hideMark/>
          </w:tcPr>
          <w:p w14:paraId="05CD17F3" w14:textId="77777777" w:rsidR="00342A37" w:rsidRDefault="00342A37" w:rsidP="0000062D">
            <w:pPr>
              <w:pStyle w:val="Tableheading"/>
            </w:pPr>
            <w:r>
              <w:t>Why</w:t>
            </w:r>
          </w:p>
        </w:tc>
      </w:tr>
      <w:tr w:rsidR="00C520C9" w14:paraId="6018435A" w14:textId="77777777" w:rsidTr="00C520C9">
        <w:trPr>
          <w:tblHeader/>
        </w:trPr>
        <w:tc>
          <w:tcPr>
            <w:tcW w:w="14430" w:type="dxa"/>
            <w:gridSpan w:val="5"/>
            <w:tcBorders>
              <w:top w:val="single" w:sz="4" w:space="0" w:color="B56011"/>
              <w:left w:val="nil"/>
              <w:bottom w:val="single" w:sz="4" w:space="0" w:color="B56011"/>
              <w:right w:val="nil"/>
            </w:tcBorders>
            <w:shd w:val="clear" w:color="auto" w:fill="D9D9D9" w:themeFill="background1" w:themeFillShade="D9"/>
          </w:tcPr>
          <w:p w14:paraId="64DBD21B" w14:textId="77777777" w:rsidR="00C520C9" w:rsidRDefault="00C520C9" w:rsidP="0000062D">
            <w:pPr>
              <w:pStyle w:val="Tableheading"/>
            </w:pPr>
            <w:r w:rsidRPr="00226A36">
              <w:t>Recommendation 4</w:t>
            </w:r>
            <w:r>
              <w:t xml:space="preserve">: </w:t>
            </w:r>
            <w:r w:rsidRPr="00226A36">
              <w:t>Cauterisation</w:t>
            </w:r>
          </w:p>
        </w:tc>
      </w:tr>
      <w:tr w:rsidR="00342A37" w14:paraId="65E1560B" w14:textId="77777777" w:rsidTr="00C520C9">
        <w:trPr>
          <w:tblHeader/>
        </w:trPr>
        <w:tc>
          <w:tcPr>
            <w:tcW w:w="2127" w:type="dxa"/>
            <w:tcBorders>
              <w:top w:val="single" w:sz="4" w:space="0" w:color="B56011"/>
              <w:left w:val="nil"/>
              <w:bottom w:val="single" w:sz="4" w:space="0" w:color="B56011"/>
              <w:right w:val="nil"/>
            </w:tcBorders>
          </w:tcPr>
          <w:p w14:paraId="1DDCC2F7" w14:textId="77777777" w:rsidR="00342A37" w:rsidRDefault="00342A37" w:rsidP="00142254">
            <w:pPr>
              <w:pStyle w:val="Tabletext"/>
              <w:rPr>
                <w:b/>
              </w:rPr>
            </w:pPr>
            <w:r>
              <w:rPr>
                <w:b/>
              </w:rPr>
              <w:t xml:space="preserve">41674 </w:t>
            </w:r>
            <w:r w:rsidRPr="00142254">
              <w:t>– Cauterisation (other than by chemical means) or cauterisation by chemical means when performed under general anaesthesia or diathermy of septum or turbinates or pharynx</w:t>
            </w:r>
          </w:p>
        </w:tc>
        <w:tc>
          <w:tcPr>
            <w:tcW w:w="3119" w:type="dxa"/>
            <w:tcBorders>
              <w:top w:val="single" w:sz="4" w:space="0" w:color="B56011"/>
              <w:left w:val="nil"/>
              <w:bottom w:val="single" w:sz="4" w:space="0" w:color="B56011"/>
              <w:right w:val="nil"/>
            </w:tcBorders>
          </w:tcPr>
          <w:p w14:paraId="39304D74" w14:textId="77777777" w:rsidR="003915AF" w:rsidRDefault="003915AF" w:rsidP="003915AF">
            <w:pPr>
              <w:pStyle w:val="NormalBulleted10pt"/>
              <w:rPr>
                <w:lang w:val="en"/>
              </w:rPr>
            </w:pPr>
            <w:proofErr w:type="spellStart"/>
            <w:r>
              <w:rPr>
                <w:lang w:val="en"/>
              </w:rPr>
              <w:t>Cauterisation</w:t>
            </w:r>
            <w:proofErr w:type="spellEnd"/>
            <w:r>
              <w:rPr>
                <w:lang w:val="en"/>
              </w:rPr>
              <w:t xml:space="preserve"> and diathermy use heat to seal off blood vessels or destroy abnormal cells.</w:t>
            </w:r>
            <w:r w:rsidR="005D75DC">
              <w:rPr>
                <w:lang w:val="en"/>
              </w:rPr>
              <w:t xml:space="preserve"> </w:t>
            </w:r>
            <w:r>
              <w:rPr>
                <w:lang w:val="en"/>
              </w:rPr>
              <w:t xml:space="preserve">Chemical </w:t>
            </w:r>
            <w:proofErr w:type="spellStart"/>
            <w:r>
              <w:rPr>
                <w:lang w:val="en"/>
              </w:rPr>
              <w:t>cauterisation</w:t>
            </w:r>
            <w:proofErr w:type="spellEnd"/>
            <w:r>
              <w:rPr>
                <w:lang w:val="en"/>
              </w:rPr>
              <w:t xml:space="preserve"> uses acid to destroy tissue.</w:t>
            </w:r>
          </w:p>
          <w:p w14:paraId="0D183F2C" w14:textId="77777777" w:rsidR="00342A37" w:rsidRDefault="003915AF" w:rsidP="003915AF">
            <w:pPr>
              <w:pStyle w:val="NormalBulleted10pt"/>
              <w:rPr>
                <w:b/>
              </w:rPr>
            </w:pPr>
            <w:r>
              <w:rPr>
                <w:lang w:val="en"/>
              </w:rPr>
              <w:t xml:space="preserve">These procedures are used on the septum (nostrils); </w:t>
            </w:r>
            <w:proofErr w:type="spellStart"/>
            <w:r>
              <w:rPr>
                <w:lang w:val="en"/>
              </w:rPr>
              <w:t>turbinates</w:t>
            </w:r>
            <w:proofErr w:type="spellEnd"/>
            <w:r>
              <w:rPr>
                <w:lang w:val="en"/>
              </w:rPr>
              <w:t xml:space="preserve"> (tissue inside each nostril) and pharynx (cavity behind the nose and mouth).</w:t>
            </w:r>
          </w:p>
        </w:tc>
        <w:tc>
          <w:tcPr>
            <w:tcW w:w="3087" w:type="dxa"/>
            <w:tcBorders>
              <w:top w:val="single" w:sz="4" w:space="0" w:color="B56011"/>
              <w:left w:val="nil"/>
              <w:bottom w:val="single" w:sz="4" w:space="0" w:color="B56011"/>
              <w:right w:val="nil"/>
            </w:tcBorders>
          </w:tcPr>
          <w:p w14:paraId="763C4144" w14:textId="77777777" w:rsidR="00342A37" w:rsidRPr="00142254" w:rsidRDefault="003915AF" w:rsidP="00142254">
            <w:pPr>
              <w:pStyle w:val="Tabletext"/>
            </w:pPr>
            <w:r w:rsidRPr="00142254">
              <w:t>Amend the item to remove reference to the pharynx.</w:t>
            </w:r>
          </w:p>
        </w:tc>
        <w:tc>
          <w:tcPr>
            <w:tcW w:w="2978" w:type="dxa"/>
            <w:tcBorders>
              <w:top w:val="single" w:sz="4" w:space="0" w:color="B56011"/>
              <w:left w:val="nil"/>
              <w:bottom w:val="single" w:sz="4" w:space="0" w:color="B56011"/>
              <w:right w:val="nil"/>
            </w:tcBorders>
          </w:tcPr>
          <w:p w14:paraId="00A0B615" w14:textId="77777777" w:rsidR="003915AF" w:rsidRDefault="003915AF" w:rsidP="003915AF">
            <w:pPr>
              <w:pStyle w:val="NormalBulleted10pt"/>
            </w:pPr>
            <w:r>
              <w:t>Cauterisation and diathermy of the septum and turbinates will continue t</w:t>
            </w:r>
            <w:r w:rsidR="000C0845">
              <w:t>o be available under this item.</w:t>
            </w:r>
          </w:p>
          <w:p w14:paraId="3075F828" w14:textId="77777777" w:rsidR="00342A37" w:rsidRDefault="003915AF" w:rsidP="003915AF">
            <w:pPr>
              <w:pStyle w:val="NormalBulleted10pt"/>
              <w:rPr>
                <w:b/>
              </w:rPr>
            </w:pPr>
            <w:r>
              <w:t>This item will no longer include the pharynx.</w:t>
            </w:r>
          </w:p>
        </w:tc>
        <w:tc>
          <w:tcPr>
            <w:tcW w:w="3119" w:type="dxa"/>
            <w:tcBorders>
              <w:top w:val="single" w:sz="4" w:space="0" w:color="B56011"/>
              <w:left w:val="nil"/>
              <w:bottom w:val="single" w:sz="4" w:space="0" w:color="B56011"/>
              <w:right w:val="nil"/>
            </w:tcBorders>
          </w:tcPr>
          <w:p w14:paraId="38BDD6AC" w14:textId="77777777" w:rsidR="00342A37" w:rsidRDefault="003915AF" w:rsidP="000C0845">
            <w:pPr>
              <w:pStyle w:val="Tabletext"/>
              <w:rPr>
                <w:b/>
              </w:rPr>
            </w:pPr>
            <w:r>
              <w:t>Cauterisation and diathermy of the pharynx are not considered to be appropriate in modern clinical practice.</w:t>
            </w:r>
            <w:r w:rsidR="005D75DC">
              <w:t xml:space="preserve"> </w:t>
            </w:r>
            <w:r>
              <w:t>Patients will benefit by because this change to the item supports practitioners to provide clinically appropriate services.</w:t>
            </w:r>
          </w:p>
        </w:tc>
      </w:tr>
    </w:tbl>
    <w:p w14:paraId="10AEC628" w14:textId="77777777" w:rsidR="00C45514" w:rsidRDefault="003915AF" w:rsidP="00C520C9">
      <w:r>
        <w:br w:type="page"/>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5 lists the items for stroboscopy, and provides recommendations for these items by the clinical experts and why the recommendations have been made."/>
      </w:tblPr>
      <w:tblGrid>
        <w:gridCol w:w="2127"/>
        <w:gridCol w:w="3119"/>
        <w:gridCol w:w="3087"/>
        <w:gridCol w:w="2978"/>
        <w:gridCol w:w="3119"/>
      </w:tblGrid>
      <w:tr w:rsidR="003915AF" w14:paraId="4D4EC34A" w14:textId="77777777" w:rsidTr="003915AF">
        <w:trPr>
          <w:tblHeader/>
        </w:trPr>
        <w:tc>
          <w:tcPr>
            <w:tcW w:w="2127" w:type="dxa"/>
            <w:tcBorders>
              <w:top w:val="single" w:sz="4" w:space="0" w:color="B56011"/>
              <w:left w:val="nil"/>
              <w:bottom w:val="single" w:sz="4" w:space="0" w:color="B56011"/>
              <w:right w:val="nil"/>
            </w:tcBorders>
            <w:hideMark/>
          </w:tcPr>
          <w:p w14:paraId="1BF49E10" w14:textId="77777777" w:rsidR="003915AF" w:rsidRDefault="003915AF" w:rsidP="0000062D">
            <w:pPr>
              <w:pStyle w:val="Tableheading"/>
            </w:pPr>
            <w:r>
              <w:lastRenderedPageBreak/>
              <w:t xml:space="preserve">Item </w:t>
            </w:r>
          </w:p>
        </w:tc>
        <w:tc>
          <w:tcPr>
            <w:tcW w:w="3119" w:type="dxa"/>
            <w:tcBorders>
              <w:top w:val="single" w:sz="4" w:space="0" w:color="B56011"/>
              <w:left w:val="nil"/>
              <w:bottom w:val="single" w:sz="4" w:space="0" w:color="B56011"/>
              <w:right w:val="nil"/>
            </w:tcBorders>
            <w:hideMark/>
          </w:tcPr>
          <w:p w14:paraId="126081C4" w14:textId="77777777" w:rsidR="003915AF" w:rsidRDefault="003915AF" w:rsidP="0000062D">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1B5EE74A" w14:textId="77777777" w:rsidR="003915AF" w:rsidRDefault="003915AF" w:rsidP="0000062D">
            <w:pPr>
              <w:pStyle w:val="Tableheading"/>
            </w:pPr>
            <w:r>
              <w:t>Committee Recommendation</w:t>
            </w:r>
          </w:p>
        </w:tc>
        <w:tc>
          <w:tcPr>
            <w:tcW w:w="2978" w:type="dxa"/>
            <w:tcBorders>
              <w:top w:val="single" w:sz="4" w:space="0" w:color="B56011"/>
              <w:left w:val="nil"/>
              <w:bottom w:val="single" w:sz="4" w:space="0" w:color="B56011"/>
              <w:right w:val="nil"/>
            </w:tcBorders>
            <w:hideMark/>
          </w:tcPr>
          <w:p w14:paraId="22DBC65F" w14:textId="77777777" w:rsidR="003915AF" w:rsidRDefault="003915AF" w:rsidP="0000062D">
            <w:pPr>
              <w:pStyle w:val="Tableheading"/>
            </w:pPr>
            <w:r>
              <w:t>What would be different</w:t>
            </w:r>
          </w:p>
        </w:tc>
        <w:tc>
          <w:tcPr>
            <w:tcW w:w="3119" w:type="dxa"/>
            <w:tcBorders>
              <w:top w:val="single" w:sz="4" w:space="0" w:color="B56011"/>
              <w:left w:val="nil"/>
              <w:bottom w:val="single" w:sz="4" w:space="0" w:color="B56011"/>
              <w:right w:val="nil"/>
            </w:tcBorders>
            <w:hideMark/>
          </w:tcPr>
          <w:p w14:paraId="6455DEBC" w14:textId="77777777" w:rsidR="003915AF" w:rsidRDefault="003915AF" w:rsidP="0000062D">
            <w:pPr>
              <w:pStyle w:val="Tableheading"/>
            </w:pPr>
            <w:r>
              <w:t>Why</w:t>
            </w:r>
          </w:p>
        </w:tc>
      </w:tr>
      <w:tr w:rsidR="00C520C9" w14:paraId="55CA5B91" w14:textId="77777777" w:rsidTr="00C520C9">
        <w:trPr>
          <w:tblHeader/>
        </w:trPr>
        <w:tc>
          <w:tcPr>
            <w:tcW w:w="14430" w:type="dxa"/>
            <w:gridSpan w:val="5"/>
            <w:tcBorders>
              <w:top w:val="single" w:sz="4" w:space="0" w:color="B56011"/>
              <w:left w:val="nil"/>
              <w:bottom w:val="single" w:sz="4" w:space="0" w:color="B56011"/>
              <w:right w:val="nil"/>
            </w:tcBorders>
            <w:shd w:val="clear" w:color="auto" w:fill="D9D9D9" w:themeFill="background1" w:themeFillShade="D9"/>
          </w:tcPr>
          <w:p w14:paraId="61A6C46C" w14:textId="77777777" w:rsidR="00C520C9" w:rsidRDefault="00C520C9" w:rsidP="0000062D">
            <w:pPr>
              <w:pStyle w:val="Tableheading"/>
            </w:pPr>
            <w:r w:rsidRPr="00226A36">
              <w:t>Recommendation 5</w:t>
            </w:r>
            <w:r>
              <w:t xml:space="preserve">: </w:t>
            </w:r>
            <w:proofErr w:type="spellStart"/>
            <w:r w:rsidRPr="00226A36">
              <w:t>Stroboscopy</w:t>
            </w:r>
            <w:proofErr w:type="spellEnd"/>
          </w:p>
        </w:tc>
      </w:tr>
      <w:tr w:rsidR="003915AF" w14:paraId="6B5AB8BC" w14:textId="77777777" w:rsidTr="003915AF">
        <w:trPr>
          <w:tblHeader/>
        </w:trPr>
        <w:tc>
          <w:tcPr>
            <w:tcW w:w="2127" w:type="dxa"/>
            <w:tcBorders>
              <w:top w:val="single" w:sz="4" w:space="0" w:color="B56011"/>
              <w:left w:val="nil"/>
              <w:bottom w:val="single" w:sz="4" w:space="0" w:color="B56011"/>
              <w:right w:val="nil"/>
            </w:tcBorders>
          </w:tcPr>
          <w:p w14:paraId="4F27BEF0" w14:textId="77777777" w:rsidR="003915AF" w:rsidRDefault="003915AF" w:rsidP="00142254">
            <w:pPr>
              <w:pStyle w:val="Tabletext"/>
              <w:rPr>
                <w:b/>
              </w:rPr>
            </w:pPr>
            <w:r>
              <w:rPr>
                <w:b/>
              </w:rPr>
              <w:t xml:space="preserve">41846 </w:t>
            </w:r>
            <w:r w:rsidRPr="00142254">
              <w:t xml:space="preserve">– </w:t>
            </w:r>
            <w:r>
              <w:t>Direct examination of the supraglottic, glottic and subglottic regions of the larynx</w:t>
            </w:r>
          </w:p>
        </w:tc>
        <w:tc>
          <w:tcPr>
            <w:tcW w:w="3119" w:type="dxa"/>
            <w:tcBorders>
              <w:top w:val="single" w:sz="4" w:space="0" w:color="B56011"/>
              <w:left w:val="nil"/>
              <w:bottom w:val="single" w:sz="4" w:space="0" w:color="B56011"/>
              <w:right w:val="nil"/>
            </w:tcBorders>
          </w:tcPr>
          <w:p w14:paraId="42D4E14B" w14:textId="77777777" w:rsidR="003915AF" w:rsidRDefault="003915AF" w:rsidP="00142254">
            <w:pPr>
              <w:pStyle w:val="Tabletext"/>
              <w:rPr>
                <w:b/>
              </w:rPr>
            </w:pPr>
            <w:r>
              <w:t>Examines parts of the larynx (voice box) under general anaesthetic</w:t>
            </w:r>
          </w:p>
        </w:tc>
        <w:tc>
          <w:tcPr>
            <w:tcW w:w="3087" w:type="dxa"/>
            <w:tcBorders>
              <w:top w:val="single" w:sz="4" w:space="0" w:color="B56011"/>
              <w:left w:val="nil"/>
              <w:bottom w:val="single" w:sz="4" w:space="0" w:color="B56011"/>
              <w:right w:val="nil"/>
            </w:tcBorders>
          </w:tcPr>
          <w:p w14:paraId="7BD3C77E" w14:textId="77777777" w:rsidR="003915AF" w:rsidRDefault="003915AF" w:rsidP="00142254">
            <w:pPr>
              <w:pStyle w:val="Tabletext"/>
              <w:rPr>
                <w:b/>
              </w:rPr>
            </w:pPr>
            <w:r>
              <w:t>Remove this item.</w:t>
            </w:r>
            <w:r w:rsidR="005D75DC">
              <w:t xml:space="preserve"> </w:t>
            </w:r>
          </w:p>
        </w:tc>
        <w:tc>
          <w:tcPr>
            <w:tcW w:w="2978" w:type="dxa"/>
            <w:tcBorders>
              <w:top w:val="single" w:sz="4" w:space="0" w:color="B56011"/>
              <w:left w:val="nil"/>
              <w:bottom w:val="single" w:sz="4" w:space="0" w:color="B56011"/>
              <w:right w:val="nil"/>
            </w:tcBorders>
          </w:tcPr>
          <w:p w14:paraId="06993765" w14:textId="77777777" w:rsidR="003915AF" w:rsidRDefault="003915AF" w:rsidP="000C0845">
            <w:pPr>
              <w:pStyle w:val="Tabletext"/>
            </w:pPr>
            <w:r>
              <w:t>Direct examination of the larynx has been superseded by:</w:t>
            </w:r>
          </w:p>
          <w:p w14:paraId="3EEED2AB" w14:textId="77777777" w:rsidR="003915AF" w:rsidRDefault="003915AF" w:rsidP="003915AF">
            <w:pPr>
              <w:pStyle w:val="ListParagraph"/>
              <w:numPr>
                <w:ilvl w:val="0"/>
                <w:numId w:val="47"/>
              </w:numPr>
              <w:spacing w:before="60"/>
              <w:ind w:left="318" w:hanging="218"/>
              <w:rPr>
                <w:sz w:val="20"/>
                <w:szCs w:val="20"/>
              </w:rPr>
            </w:pPr>
            <w:r>
              <w:rPr>
                <w:sz w:val="20"/>
                <w:szCs w:val="20"/>
              </w:rPr>
              <w:t xml:space="preserve">existing items 41855 to 41867 for </w:t>
            </w:r>
            <w:proofErr w:type="spellStart"/>
            <w:r>
              <w:rPr>
                <w:sz w:val="20"/>
                <w:szCs w:val="20"/>
              </w:rPr>
              <w:t>microlaryngoscopy</w:t>
            </w:r>
            <w:proofErr w:type="spellEnd"/>
            <w:r>
              <w:rPr>
                <w:sz w:val="20"/>
                <w:szCs w:val="20"/>
              </w:rPr>
              <w:t xml:space="preserve"> for in hospital services</w:t>
            </w:r>
          </w:p>
          <w:p w14:paraId="6B14ADB4" w14:textId="77777777" w:rsidR="003915AF" w:rsidRPr="003915AF" w:rsidRDefault="003915AF" w:rsidP="003915AF">
            <w:pPr>
              <w:pStyle w:val="ListParagraph"/>
              <w:numPr>
                <w:ilvl w:val="0"/>
                <w:numId w:val="47"/>
              </w:numPr>
              <w:spacing w:before="60"/>
              <w:ind w:left="318" w:hanging="218"/>
              <w:rPr>
                <w:sz w:val="20"/>
                <w:szCs w:val="20"/>
              </w:rPr>
            </w:pPr>
            <w:r w:rsidRPr="003915AF">
              <w:rPr>
                <w:sz w:val="20"/>
                <w:szCs w:val="20"/>
              </w:rPr>
              <w:t>endoscopic procedures covered under MBS item 41764 for out-of-hospital services</w:t>
            </w:r>
          </w:p>
        </w:tc>
        <w:tc>
          <w:tcPr>
            <w:tcW w:w="3119" w:type="dxa"/>
            <w:tcBorders>
              <w:top w:val="single" w:sz="4" w:space="0" w:color="B56011"/>
              <w:left w:val="nil"/>
              <w:bottom w:val="single" w:sz="4" w:space="0" w:color="B56011"/>
              <w:right w:val="nil"/>
            </w:tcBorders>
          </w:tcPr>
          <w:p w14:paraId="1358CC74" w14:textId="77777777" w:rsidR="003915AF" w:rsidRDefault="003915AF" w:rsidP="003915AF">
            <w:pPr>
              <w:pStyle w:val="NormalBulleted10pt"/>
            </w:pPr>
            <w:r>
              <w:t xml:space="preserve">The item has been superseded by more modern MBS items. </w:t>
            </w:r>
          </w:p>
          <w:p w14:paraId="50A82D92" w14:textId="77777777" w:rsidR="003915AF" w:rsidRDefault="003915AF" w:rsidP="003915AF">
            <w:pPr>
              <w:pStyle w:val="NormalBulleted10pt"/>
            </w:pPr>
            <w:r>
              <w:t xml:space="preserve">The Committee advise that it would be difficult to examine the subglottic region without general anaesthetic. </w:t>
            </w:r>
          </w:p>
          <w:p w14:paraId="5EE9130D" w14:textId="77777777" w:rsidR="003915AF" w:rsidRDefault="003915AF" w:rsidP="003915AF">
            <w:pPr>
              <w:pStyle w:val="NormalBulleted10pt"/>
            </w:pPr>
            <w:r>
              <w:t>When this item is claimed as part of a larger procedure, the examination component is included within the larger procedure.</w:t>
            </w:r>
          </w:p>
          <w:p w14:paraId="2E8CD1D6" w14:textId="77777777" w:rsidR="003915AF" w:rsidRDefault="003915AF" w:rsidP="003915AF">
            <w:pPr>
              <w:pStyle w:val="NormalBulleted10pt"/>
              <w:rPr>
                <w:b/>
              </w:rPr>
            </w:pPr>
            <w:r>
              <w:t xml:space="preserve">See below for </w:t>
            </w:r>
            <w:proofErr w:type="spellStart"/>
            <w:r>
              <w:t>stroboscopy</w:t>
            </w:r>
            <w:proofErr w:type="spellEnd"/>
            <w:r>
              <w:t>.</w:t>
            </w:r>
          </w:p>
        </w:tc>
      </w:tr>
      <w:tr w:rsidR="003915AF" w14:paraId="6A44F464" w14:textId="77777777" w:rsidTr="003915AF">
        <w:trPr>
          <w:tblHeader/>
        </w:trPr>
        <w:tc>
          <w:tcPr>
            <w:tcW w:w="2127" w:type="dxa"/>
            <w:tcBorders>
              <w:top w:val="single" w:sz="4" w:space="0" w:color="B56011"/>
              <w:left w:val="nil"/>
              <w:bottom w:val="single" w:sz="4" w:space="0" w:color="B56011"/>
              <w:right w:val="nil"/>
            </w:tcBorders>
          </w:tcPr>
          <w:p w14:paraId="126DF4C4" w14:textId="77777777" w:rsidR="003915AF" w:rsidRDefault="003915AF" w:rsidP="00142254">
            <w:pPr>
              <w:pStyle w:val="Tabletext"/>
            </w:pPr>
            <w:r w:rsidRPr="00142254">
              <w:rPr>
                <w:b/>
              </w:rPr>
              <w:t>New Service</w:t>
            </w:r>
            <w:r w:rsidR="00142254">
              <w:t xml:space="preserve"> – </w:t>
            </w:r>
            <w:proofErr w:type="spellStart"/>
            <w:r>
              <w:t>Stroboscopy</w:t>
            </w:r>
            <w:proofErr w:type="spellEnd"/>
          </w:p>
        </w:tc>
        <w:tc>
          <w:tcPr>
            <w:tcW w:w="3119" w:type="dxa"/>
            <w:tcBorders>
              <w:top w:val="single" w:sz="4" w:space="0" w:color="B56011"/>
              <w:left w:val="nil"/>
              <w:bottom w:val="single" w:sz="4" w:space="0" w:color="B56011"/>
              <w:right w:val="nil"/>
            </w:tcBorders>
          </w:tcPr>
          <w:p w14:paraId="1F53CF68" w14:textId="77777777" w:rsidR="003915AF" w:rsidRDefault="003915AF" w:rsidP="000C0845">
            <w:pPr>
              <w:pStyle w:val="Tabletext"/>
              <w:rPr>
                <w:b/>
              </w:rPr>
            </w:pPr>
            <w:r>
              <w:t>Uses a fast flashing strobe light and camera to take snapshots of the vocal cords to identify problems that may be causing voice disorders.</w:t>
            </w:r>
          </w:p>
        </w:tc>
        <w:tc>
          <w:tcPr>
            <w:tcW w:w="3087" w:type="dxa"/>
            <w:tcBorders>
              <w:top w:val="single" w:sz="4" w:space="0" w:color="B56011"/>
              <w:left w:val="nil"/>
              <w:bottom w:val="single" w:sz="4" w:space="0" w:color="B56011"/>
              <w:right w:val="nil"/>
            </w:tcBorders>
          </w:tcPr>
          <w:p w14:paraId="6D489834" w14:textId="77777777" w:rsidR="003915AF" w:rsidRDefault="003915AF" w:rsidP="00142254">
            <w:pPr>
              <w:pStyle w:val="Tabletext"/>
              <w:rPr>
                <w:b/>
              </w:rPr>
            </w:pPr>
            <w:r>
              <w:t xml:space="preserve">A new item for </w:t>
            </w:r>
            <w:proofErr w:type="spellStart"/>
            <w:r>
              <w:t>stroboscopy</w:t>
            </w:r>
            <w:proofErr w:type="spellEnd"/>
            <w:r>
              <w:t xml:space="preserve">, </w:t>
            </w:r>
            <w:proofErr w:type="gramStart"/>
            <w:r>
              <w:t>on the basis of</w:t>
            </w:r>
            <w:proofErr w:type="gramEnd"/>
            <w:r>
              <w:t xml:space="preserve"> advice suggesting </w:t>
            </w:r>
            <w:proofErr w:type="spellStart"/>
            <w:r>
              <w:t>stroboscopy</w:t>
            </w:r>
            <w:proofErr w:type="spellEnd"/>
            <w:r>
              <w:t xml:space="preserve"> may be more time consuming than standard flexible endoscopy.</w:t>
            </w:r>
          </w:p>
        </w:tc>
        <w:tc>
          <w:tcPr>
            <w:tcW w:w="2978" w:type="dxa"/>
            <w:tcBorders>
              <w:top w:val="single" w:sz="4" w:space="0" w:color="B56011"/>
              <w:left w:val="nil"/>
              <w:bottom w:val="single" w:sz="4" w:space="0" w:color="B56011"/>
              <w:right w:val="nil"/>
            </w:tcBorders>
          </w:tcPr>
          <w:p w14:paraId="1503F16A" w14:textId="77777777" w:rsidR="003915AF" w:rsidRDefault="003915AF" w:rsidP="00142254">
            <w:pPr>
              <w:pStyle w:val="Tabletext"/>
              <w:rPr>
                <w:b/>
              </w:rPr>
            </w:pPr>
            <w:r>
              <w:t xml:space="preserve">At present </w:t>
            </w:r>
            <w:proofErr w:type="spellStart"/>
            <w:r>
              <w:t>stroboscopy</w:t>
            </w:r>
            <w:proofErr w:type="spellEnd"/>
            <w:r>
              <w:t xml:space="preserve"> Is being billed under item 1846.</w:t>
            </w:r>
            <w:r w:rsidR="005D75DC">
              <w:t xml:space="preserve"> </w:t>
            </w:r>
            <w:r>
              <w:t>These services could transfer to a new item.</w:t>
            </w:r>
            <w:r w:rsidR="005D75DC">
              <w:t xml:space="preserve"> </w:t>
            </w:r>
          </w:p>
        </w:tc>
        <w:tc>
          <w:tcPr>
            <w:tcW w:w="3119" w:type="dxa"/>
            <w:tcBorders>
              <w:top w:val="single" w:sz="4" w:space="0" w:color="B56011"/>
              <w:left w:val="nil"/>
              <w:bottom w:val="single" w:sz="4" w:space="0" w:color="B56011"/>
              <w:right w:val="nil"/>
            </w:tcBorders>
          </w:tcPr>
          <w:p w14:paraId="53511FFC" w14:textId="77777777" w:rsidR="003915AF" w:rsidRDefault="003915AF" w:rsidP="00142254">
            <w:pPr>
              <w:pStyle w:val="Tabletext"/>
              <w:rPr>
                <w:b/>
              </w:rPr>
            </w:pPr>
            <w:r>
              <w:t xml:space="preserve">Evidence suggests that </w:t>
            </w:r>
            <w:proofErr w:type="spellStart"/>
            <w:r>
              <w:t>stroboscopy</w:t>
            </w:r>
            <w:proofErr w:type="spellEnd"/>
            <w:r>
              <w:t xml:space="preserve"> may be useful in assessing voice disorders such as </w:t>
            </w:r>
            <w:r>
              <w:rPr>
                <w:lang w:val="en"/>
              </w:rPr>
              <w:t>hoarseness.</w:t>
            </w:r>
          </w:p>
        </w:tc>
      </w:tr>
    </w:tbl>
    <w:p w14:paraId="7260851B" w14:textId="77777777" w:rsidR="00506727" w:rsidRDefault="003915AF" w:rsidP="00C520C9">
      <w:pPr>
        <w:pStyle w:val="AppendixStyle2"/>
      </w:pPr>
      <w:r>
        <w:br w:type="page"/>
      </w:r>
    </w:p>
    <w:tbl>
      <w:tblPr>
        <w:tblStyle w:val="TableGrid"/>
        <w:tblW w:w="14333"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6 lists the items that required no change."/>
      </w:tblPr>
      <w:tblGrid>
        <w:gridCol w:w="3527"/>
        <w:gridCol w:w="10806"/>
      </w:tblGrid>
      <w:tr w:rsidR="00C520C9" w:rsidRPr="00506727" w14:paraId="3F039BAC" w14:textId="77777777" w:rsidTr="00C520C9">
        <w:trPr>
          <w:trHeight w:val="397"/>
          <w:tblHeader/>
        </w:trPr>
        <w:tc>
          <w:tcPr>
            <w:tcW w:w="14332" w:type="dxa"/>
            <w:gridSpan w:val="2"/>
            <w:shd w:val="clear" w:color="auto" w:fill="D9D9D9" w:themeFill="background1" w:themeFillShade="D9"/>
          </w:tcPr>
          <w:p w14:paraId="7BDF4268" w14:textId="77777777" w:rsidR="00C520C9" w:rsidRPr="00506727" w:rsidRDefault="00C520C9" w:rsidP="00142254">
            <w:pPr>
              <w:pStyle w:val="Tableheading"/>
            </w:pPr>
            <w:r>
              <w:lastRenderedPageBreak/>
              <w:t>Recommendation 6:</w:t>
            </w:r>
            <w:r w:rsidRPr="00226A36">
              <w:t xml:space="preserve"> </w:t>
            </w:r>
            <w:r>
              <w:t>i</w:t>
            </w:r>
            <w:r w:rsidRPr="00226A36">
              <w:t>tems requiring no change</w:t>
            </w:r>
          </w:p>
        </w:tc>
      </w:tr>
      <w:tr w:rsidR="000C02F3" w:rsidRPr="00506727" w14:paraId="4737350B" w14:textId="77777777" w:rsidTr="00C520C9">
        <w:trPr>
          <w:trHeight w:val="397"/>
          <w:tblHeader/>
        </w:trPr>
        <w:tc>
          <w:tcPr>
            <w:tcW w:w="3527" w:type="dxa"/>
          </w:tcPr>
          <w:p w14:paraId="0877F41F" w14:textId="77777777" w:rsidR="000C02F3" w:rsidRPr="00506727" w:rsidRDefault="000C02F3" w:rsidP="00142254">
            <w:pPr>
              <w:pStyle w:val="Tableheading"/>
            </w:pPr>
            <w:r w:rsidRPr="00506727">
              <w:t>Item</w:t>
            </w:r>
          </w:p>
        </w:tc>
        <w:tc>
          <w:tcPr>
            <w:tcW w:w="10806" w:type="dxa"/>
          </w:tcPr>
          <w:p w14:paraId="7CDD0C8B" w14:textId="77777777" w:rsidR="000C02F3" w:rsidRPr="00506727" w:rsidRDefault="000C02F3" w:rsidP="00142254">
            <w:pPr>
              <w:pStyle w:val="Tableheading"/>
            </w:pPr>
            <w:r w:rsidRPr="00506727">
              <w:t>What it does</w:t>
            </w:r>
          </w:p>
        </w:tc>
      </w:tr>
      <w:tr w:rsidR="000C02F3" w:rsidRPr="00D451F3" w14:paraId="0D669CC0" w14:textId="77777777" w:rsidTr="00C520C9">
        <w:trPr>
          <w:trHeight w:val="411"/>
        </w:trPr>
        <w:tc>
          <w:tcPr>
            <w:tcW w:w="3527" w:type="dxa"/>
          </w:tcPr>
          <w:p w14:paraId="2BFACD46" w14:textId="77777777" w:rsidR="000C02F3" w:rsidRPr="00142254" w:rsidRDefault="000C02F3" w:rsidP="00142254">
            <w:pPr>
              <w:pStyle w:val="Tabletext"/>
              <w:rPr>
                <w:b/>
              </w:rPr>
            </w:pPr>
            <w:r w:rsidRPr="00142254">
              <w:rPr>
                <w:b/>
              </w:rPr>
              <w:t>41590</w:t>
            </w:r>
          </w:p>
        </w:tc>
        <w:tc>
          <w:tcPr>
            <w:tcW w:w="10806" w:type="dxa"/>
          </w:tcPr>
          <w:p w14:paraId="4FA1CDF2" w14:textId="77777777" w:rsidR="000C02F3" w:rsidRPr="00226A36" w:rsidRDefault="000C02F3" w:rsidP="00142254">
            <w:pPr>
              <w:pStyle w:val="Tabletext"/>
            </w:pPr>
            <w:r w:rsidRPr="00226A36">
              <w:t xml:space="preserve">Endolymphatic sac, </w:t>
            </w:r>
            <w:proofErr w:type="spellStart"/>
            <w:r w:rsidRPr="00226A36">
              <w:t>transmastoid</w:t>
            </w:r>
            <w:proofErr w:type="spellEnd"/>
            <w:r w:rsidRPr="00226A36">
              <w:t xml:space="preserve"> decompression with or without drainage</w:t>
            </w:r>
          </w:p>
        </w:tc>
      </w:tr>
      <w:tr w:rsidR="000C02F3" w:rsidRPr="00D451F3" w14:paraId="13E10598" w14:textId="77777777" w:rsidTr="00C520C9">
        <w:trPr>
          <w:trHeight w:val="411"/>
        </w:trPr>
        <w:tc>
          <w:tcPr>
            <w:tcW w:w="3527" w:type="dxa"/>
          </w:tcPr>
          <w:p w14:paraId="34983171" w14:textId="77777777" w:rsidR="000C02F3" w:rsidRPr="00142254" w:rsidRDefault="000C02F3" w:rsidP="00142254">
            <w:pPr>
              <w:pStyle w:val="Tabletext"/>
              <w:rPr>
                <w:b/>
              </w:rPr>
            </w:pPr>
            <w:r w:rsidRPr="00142254">
              <w:rPr>
                <w:b/>
              </w:rPr>
              <w:t>41614</w:t>
            </w:r>
          </w:p>
        </w:tc>
        <w:tc>
          <w:tcPr>
            <w:tcW w:w="10806" w:type="dxa"/>
          </w:tcPr>
          <w:p w14:paraId="4DAD7EA9" w14:textId="77777777" w:rsidR="000C02F3" w:rsidRPr="00226A36" w:rsidRDefault="000C02F3" w:rsidP="00142254">
            <w:pPr>
              <w:pStyle w:val="Tabletext"/>
            </w:pPr>
            <w:r w:rsidRPr="00226A36">
              <w:t xml:space="preserve">Round window surgery including repair of </w:t>
            </w:r>
            <w:proofErr w:type="spellStart"/>
            <w:r w:rsidRPr="00226A36">
              <w:t>cochleotomy</w:t>
            </w:r>
            <w:proofErr w:type="spellEnd"/>
          </w:p>
        </w:tc>
      </w:tr>
      <w:tr w:rsidR="000C02F3" w:rsidRPr="00D451F3" w14:paraId="6A159D73" w14:textId="77777777" w:rsidTr="00C520C9">
        <w:trPr>
          <w:trHeight w:val="411"/>
        </w:trPr>
        <w:tc>
          <w:tcPr>
            <w:tcW w:w="3527" w:type="dxa"/>
          </w:tcPr>
          <w:p w14:paraId="3AA056C9" w14:textId="77777777" w:rsidR="000C02F3" w:rsidRPr="00142254" w:rsidRDefault="000C02F3" w:rsidP="00142254">
            <w:pPr>
              <w:pStyle w:val="Tabletext"/>
              <w:rPr>
                <w:b/>
              </w:rPr>
            </w:pPr>
            <w:r w:rsidRPr="00142254">
              <w:rPr>
                <w:b/>
              </w:rPr>
              <w:t>41615</w:t>
            </w:r>
          </w:p>
        </w:tc>
        <w:tc>
          <w:tcPr>
            <w:tcW w:w="10806" w:type="dxa"/>
          </w:tcPr>
          <w:p w14:paraId="342E2A32" w14:textId="77777777" w:rsidR="000C02F3" w:rsidRPr="00226A36" w:rsidRDefault="000C02F3" w:rsidP="00142254">
            <w:pPr>
              <w:pStyle w:val="Tabletext"/>
            </w:pPr>
            <w:r w:rsidRPr="00226A36">
              <w:t>Oval window surgery including repair of fistula</w:t>
            </w:r>
          </w:p>
        </w:tc>
      </w:tr>
      <w:tr w:rsidR="000C02F3" w:rsidRPr="00D451F3" w14:paraId="5B736EF2" w14:textId="77777777" w:rsidTr="00C520C9">
        <w:trPr>
          <w:trHeight w:val="411"/>
        </w:trPr>
        <w:tc>
          <w:tcPr>
            <w:tcW w:w="3527" w:type="dxa"/>
          </w:tcPr>
          <w:p w14:paraId="5A462416" w14:textId="77777777" w:rsidR="000C02F3" w:rsidRPr="00142254" w:rsidRDefault="000C02F3" w:rsidP="00142254">
            <w:pPr>
              <w:pStyle w:val="Tabletext"/>
              <w:rPr>
                <w:b/>
              </w:rPr>
            </w:pPr>
            <w:r w:rsidRPr="00142254">
              <w:rPr>
                <w:b/>
              </w:rPr>
              <w:t>41779</w:t>
            </w:r>
          </w:p>
        </w:tc>
        <w:tc>
          <w:tcPr>
            <w:tcW w:w="10806" w:type="dxa"/>
          </w:tcPr>
          <w:p w14:paraId="4FE33BA1" w14:textId="77777777" w:rsidR="000C02F3" w:rsidRPr="00226A36" w:rsidRDefault="000C02F3" w:rsidP="00142254">
            <w:pPr>
              <w:pStyle w:val="Tabletext"/>
            </w:pPr>
            <w:r w:rsidRPr="00226A36">
              <w:t xml:space="preserve">Partial </w:t>
            </w:r>
            <w:proofErr w:type="spellStart"/>
            <w:r w:rsidRPr="00226A36">
              <w:t>pharyngectomy</w:t>
            </w:r>
            <w:proofErr w:type="spellEnd"/>
            <w:r w:rsidRPr="00226A36">
              <w:t xml:space="preserve"> via </w:t>
            </w:r>
            <w:proofErr w:type="spellStart"/>
            <w:r w:rsidRPr="00226A36">
              <w:t>pharyngotomy</w:t>
            </w:r>
            <w:proofErr w:type="spellEnd"/>
          </w:p>
        </w:tc>
      </w:tr>
      <w:tr w:rsidR="000C02F3" w:rsidRPr="00D451F3" w14:paraId="014F6974" w14:textId="77777777" w:rsidTr="00C520C9">
        <w:trPr>
          <w:trHeight w:val="411"/>
        </w:trPr>
        <w:tc>
          <w:tcPr>
            <w:tcW w:w="3527" w:type="dxa"/>
          </w:tcPr>
          <w:p w14:paraId="7674237C" w14:textId="77777777" w:rsidR="000C02F3" w:rsidRPr="00142254" w:rsidRDefault="000C02F3" w:rsidP="00142254">
            <w:pPr>
              <w:pStyle w:val="Tabletext"/>
              <w:rPr>
                <w:b/>
              </w:rPr>
            </w:pPr>
            <w:r w:rsidRPr="00142254">
              <w:rPr>
                <w:b/>
              </w:rPr>
              <w:t>41796/41797</w:t>
            </w:r>
          </w:p>
        </w:tc>
        <w:tc>
          <w:tcPr>
            <w:tcW w:w="10806" w:type="dxa"/>
          </w:tcPr>
          <w:p w14:paraId="608249A0" w14:textId="77777777" w:rsidR="000C02F3" w:rsidRPr="00226A36" w:rsidRDefault="000C02F3" w:rsidP="00142254">
            <w:pPr>
              <w:pStyle w:val="Tabletext"/>
            </w:pPr>
            <w:r w:rsidRPr="00226A36">
              <w:t>Tonsils or tonsils and adenoids, arrest of haemorrhage</w:t>
            </w:r>
          </w:p>
        </w:tc>
      </w:tr>
    </w:tbl>
    <w:p w14:paraId="5E8D30F3" w14:textId="77777777" w:rsidR="00506727" w:rsidRDefault="00506727" w:rsidP="003915AF">
      <w:pPr>
        <w:pStyle w:val="Caption"/>
      </w:pP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7 lists the items deemed by the Committee to be obsolete, and why the recommendation to remove the items from the MBS has been made."/>
      </w:tblPr>
      <w:tblGrid>
        <w:gridCol w:w="2126"/>
        <w:gridCol w:w="3118"/>
        <w:gridCol w:w="3086"/>
        <w:gridCol w:w="2977"/>
        <w:gridCol w:w="3118"/>
      </w:tblGrid>
      <w:tr w:rsidR="00506727" w:rsidRPr="00D451F3" w14:paraId="74000534" w14:textId="77777777" w:rsidTr="00BA6D5D">
        <w:trPr>
          <w:tblHeader/>
        </w:trPr>
        <w:tc>
          <w:tcPr>
            <w:tcW w:w="2126" w:type="dxa"/>
          </w:tcPr>
          <w:p w14:paraId="699BC1C1" w14:textId="77777777" w:rsidR="00506727" w:rsidRPr="00506727" w:rsidRDefault="00506727" w:rsidP="00142254">
            <w:pPr>
              <w:pStyle w:val="Tableheading"/>
            </w:pPr>
            <w:r w:rsidRPr="00506727">
              <w:t>Item</w:t>
            </w:r>
          </w:p>
        </w:tc>
        <w:tc>
          <w:tcPr>
            <w:tcW w:w="3118" w:type="dxa"/>
          </w:tcPr>
          <w:p w14:paraId="1764E880" w14:textId="77777777" w:rsidR="00506727" w:rsidRPr="00506727" w:rsidRDefault="00506727" w:rsidP="00142254">
            <w:pPr>
              <w:pStyle w:val="Tableheading"/>
            </w:pPr>
            <w:r w:rsidRPr="00506727">
              <w:t>What it does</w:t>
            </w:r>
          </w:p>
        </w:tc>
        <w:tc>
          <w:tcPr>
            <w:tcW w:w="3086" w:type="dxa"/>
          </w:tcPr>
          <w:p w14:paraId="153832BF" w14:textId="77777777" w:rsidR="00506727" w:rsidRPr="00506727" w:rsidRDefault="00506727" w:rsidP="00142254">
            <w:pPr>
              <w:pStyle w:val="Tableheading"/>
            </w:pPr>
            <w:r w:rsidRPr="00506727">
              <w:t>Committee Recommendation</w:t>
            </w:r>
          </w:p>
        </w:tc>
        <w:tc>
          <w:tcPr>
            <w:tcW w:w="2977" w:type="dxa"/>
          </w:tcPr>
          <w:p w14:paraId="27FF7E5D" w14:textId="77777777" w:rsidR="00506727" w:rsidRPr="00506727" w:rsidRDefault="00506727" w:rsidP="00142254">
            <w:pPr>
              <w:pStyle w:val="Tableheading"/>
            </w:pPr>
            <w:r w:rsidRPr="00506727">
              <w:t>What would be different</w:t>
            </w:r>
          </w:p>
        </w:tc>
        <w:tc>
          <w:tcPr>
            <w:tcW w:w="3118" w:type="dxa"/>
          </w:tcPr>
          <w:p w14:paraId="0F9F7960" w14:textId="77777777" w:rsidR="00506727" w:rsidRPr="00506727" w:rsidRDefault="00506727" w:rsidP="00142254">
            <w:pPr>
              <w:pStyle w:val="Tableheading"/>
            </w:pPr>
            <w:r>
              <w:t>Why</w:t>
            </w:r>
          </w:p>
        </w:tc>
      </w:tr>
      <w:tr w:rsidR="00631D73" w:rsidRPr="00D451F3" w14:paraId="59D6FD81" w14:textId="77777777" w:rsidTr="00E625B1">
        <w:trPr>
          <w:tblHeader/>
        </w:trPr>
        <w:tc>
          <w:tcPr>
            <w:tcW w:w="14425" w:type="dxa"/>
            <w:gridSpan w:val="5"/>
            <w:shd w:val="clear" w:color="auto" w:fill="D9D9D9" w:themeFill="background1" w:themeFillShade="D9"/>
          </w:tcPr>
          <w:p w14:paraId="3FD497F9" w14:textId="77777777" w:rsidR="00631D73" w:rsidRDefault="00631D73" w:rsidP="00142254">
            <w:pPr>
              <w:pStyle w:val="Tableheading"/>
            </w:pPr>
            <w:r>
              <w:t>Recommendation 7: Obsolete items</w:t>
            </w:r>
          </w:p>
        </w:tc>
      </w:tr>
      <w:tr w:rsidR="00175E49" w:rsidRPr="00D451F3" w14:paraId="762E3C9A" w14:textId="77777777" w:rsidTr="00175E49">
        <w:tc>
          <w:tcPr>
            <w:tcW w:w="2126" w:type="dxa"/>
          </w:tcPr>
          <w:p w14:paraId="27C813BC" w14:textId="77777777" w:rsidR="00175E49" w:rsidRPr="00226A36" w:rsidRDefault="00175E49" w:rsidP="00422EC8">
            <w:pPr>
              <w:pStyle w:val="Tabletext"/>
            </w:pPr>
            <w:r w:rsidRPr="00226A36">
              <w:rPr>
                <w:b/>
              </w:rPr>
              <w:t>11321</w:t>
            </w:r>
            <w:r w:rsidR="00506727">
              <w:rPr>
                <w:b/>
              </w:rPr>
              <w:t xml:space="preserve"> – </w:t>
            </w:r>
            <w:r w:rsidRPr="00422EC8">
              <w:t>Glycerol induced cochlear function changes (</w:t>
            </w:r>
            <w:proofErr w:type="spellStart"/>
            <w:r w:rsidRPr="00422EC8">
              <w:t>Klockoff’s</w:t>
            </w:r>
            <w:proofErr w:type="spellEnd"/>
            <w:r w:rsidRPr="00422EC8">
              <w:t xml:space="preserve"> tests) </w:t>
            </w:r>
          </w:p>
        </w:tc>
        <w:tc>
          <w:tcPr>
            <w:tcW w:w="3118" w:type="dxa"/>
          </w:tcPr>
          <w:p w14:paraId="41A9CCEB" w14:textId="77777777" w:rsidR="00175E49" w:rsidRPr="00226A36" w:rsidRDefault="00175E49" w:rsidP="00422EC8">
            <w:pPr>
              <w:pStyle w:val="Tabletext"/>
            </w:pPr>
            <w:r w:rsidRPr="00226A36">
              <w:rPr>
                <w:lang w:val="en"/>
              </w:rPr>
              <w:t>Four separate tests to measure hearing</w:t>
            </w:r>
          </w:p>
        </w:tc>
        <w:tc>
          <w:tcPr>
            <w:tcW w:w="3086" w:type="dxa"/>
          </w:tcPr>
          <w:p w14:paraId="2A272100" w14:textId="77777777" w:rsidR="00175E49" w:rsidRPr="00226A36" w:rsidRDefault="00175E49" w:rsidP="00422EC8">
            <w:pPr>
              <w:pStyle w:val="Tabletext"/>
            </w:pPr>
            <w:r w:rsidRPr="00226A36">
              <w:t>Remove this item as it is rarely used because it has been replaced by more modern tests which are available on the MBS. (note, this item was removed from the MBS on 1 July 2016)</w:t>
            </w:r>
          </w:p>
        </w:tc>
        <w:tc>
          <w:tcPr>
            <w:tcW w:w="2977" w:type="dxa"/>
          </w:tcPr>
          <w:p w14:paraId="3A29B75F" w14:textId="77777777" w:rsidR="00175E49" w:rsidRPr="00226A36" w:rsidRDefault="00175E49" w:rsidP="00422EC8">
            <w:pPr>
              <w:pStyle w:val="Tabletext"/>
            </w:pPr>
            <w:r w:rsidRPr="00226A36">
              <w:t>Patients will benefit from better quality health care because doctors will be encouraged to provide more modern alternative testing which should support better outcomes for patients.</w:t>
            </w:r>
            <w:r w:rsidR="007736E8">
              <w:t xml:space="preserve"> </w:t>
            </w:r>
          </w:p>
        </w:tc>
        <w:tc>
          <w:tcPr>
            <w:tcW w:w="3118" w:type="dxa"/>
          </w:tcPr>
          <w:p w14:paraId="6D6C7E17" w14:textId="77777777" w:rsidR="00175E49" w:rsidRPr="00226A36" w:rsidRDefault="00175E49" w:rsidP="00422EC8">
            <w:pPr>
              <w:pStyle w:val="Tabletext"/>
            </w:pPr>
            <w:r w:rsidRPr="00226A36">
              <w:t>There are more modern alternatives available on the MBS such as electronystagmography (item 11339)</w:t>
            </w:r>
          </w:p>
        </w:tc>
      </w:tr>
      <w:tr w:rsidR="00175E49" w:rsidRPr="00D451F3" w14:paraId="35AF7D54" w14:textId="77777777" w:rsidTr="00175E49">
        <w:tc>
          <w:tcPr>
            <w:tcW w:w="2126" w:type="dxa"/>
          </w:tcPr>
          <w:p w14:paraId="66D7D0B6" w14:textId="77777777" w:rsidR="00175E49" w:rsidRPr="00226A36" w:rsidRDefault="00175E49" w:rsidP="00422EC8">
            <w:pPr>
              <w:pStyle w:val="Tabletext"/>
            </w:pPr>
            <w:r w:rsidRPr="00226A36">
              <w:rPr>
                <w:b/>
              </w:rPr>
              <w:t>18246</w:t>
            </w:r>
            <w:r w:rsidR="00506727">
              <w:rPr>
                <w:b/>
              </w:rPr>
              <w:t xml:space="preserve"> – </w:t>
            </w:r>
            <w:r w:rsidRPr="00422EC8">
              <w:t xml:space="preserve">Glossopharyngeal </w:t>
            </w:r>
            <w:r w:rsidR="007967CB" w:rsidRPr="00422EC8">
              <w:t>n</w:t>
            </w:r>
            <w:r w:rsidRPr="00422EC8">
              <w:t xml:space="preserve">erve – injection of anaesthetic </w:t>
            </w:r>
          </w:p>
        </w:tc>
        <w:tc>
          <w:tcPr>
            <w:tcW w:w="3118" w:type="dxa"/>
          </w:tcPr>
          <w:p w14:paraId="006EBE32" w14:textId="77777777" w:rsidR="00175E49" w:rsidRPr="00226A36" w:rsidRDefault="00175E49" w:rsidP="00422EC8">
            <w:pPr>
              <w:pStyle w:val="Tabletext"/>
            </w:pPr>
            <w:r w:rsidRPr="00226A36">
              <w:t>An injection of local anaesthetic into the glossopharyngeal nerve which can affect taste; the tongue, tonsils, pharynx; and some of the muscles used in swallowing.</w:t>
            </w:r>
          </w:p>
          <w:p w14:paraId="3383431B" w14:textId="77777777" w:rsidR="00175E49" w:rsidRPr="00226A36" w:rsidRDefault="00175E49" w:rsidP="00422EC8">
            <w:pPr>
              <w:pStyle w:val="Tabletext"/>
            </w:pPr>
            <w:r w:rsidRPr="00422EC8">
              <w:t xml:space="preserve">Under the MBS it is mainly used with items for tonsillectomy and </w:t>
            </w:r>
            <w:proofErr w:type="spellStart"/>
            <w:r w:rsidRPr="00422EC8">
              <w:t>uvulopalatopharyngoplasty</w:t>
            </w:r>
            <w:proofErr w:type="spellEnd"/>
            <w:r w:rsidRPr="00422EC8">
              <w:t xml:space="preserve"> ((UPPP) </w:t>
            </w:r>
            <w:r w:rsidRPr="00422EC8">
              <w:lastRenderedPageBreak/>
              <w:t xml:space="preserve">sleep surgery to </w:t>
            </w:r>
            <w:r w:rsidRPr="006A406F">
              <w:t>remove and/or remodel tissue in the throat)</w:t>
            </w:r>
          </w:p>
        </w:tc>
        <w:tc>
          <w:tcPr>
            <w:tcW w:w="3086" w:type="dxa"/>
          </w:tcPr>
          <w:p w14:paraId="4DB22C77" w14:textId="77777777" w:rsidR="00175E49" w:rsidRPr="00226A36" w:rsidRDefault="00175E49" w:rsidP="003915AF">
            <w:pPr>
              <w:pStyle w:val="Tabletext"/>
            </w:pPr>
            <w:r w:rsidRPr="00226A36">
              <w:lastRenderedPageBreak/>
              <w:t>Remove this item</w:t>
            </w:r>
            <w:r>
              <w:t>.</w:t>
            </w:r>
            <w:r w:rsidRPr="00226A36">
              <w:t xml:space="preserve"> (note, this item was removed from the MBS on 1 July 2016)</w:t>
            </w:r>
          </w:p>
        </w:tc>
        <w:tc>
          <w:tcPr>
            <w:tcW w:w="2977" w:type="dxa"/>
          </w:tcPr>
          <w:p w14:paraId="4760A56A" w14:textId="77777777" w:rsidR="00175E49" w:rsidRPr="00226A36" w:rsidRDefault="00175E49" w:rsidP="00422EC8">
            <w:pPr>
              <w:pStyle w:val="Tabletext"/>
            </w:pPr>
            <w:r w:rsidRPr="00226A36">
              <w:t xml:space="preserve">The MBS item for a tonsillectomy or UPPP already includes a component </w:t>
            </w:r>
            <w:r w:rsidR="007967CB">
              <w:t xml:space="preserve">for </w:t>
            </w:r>
            <w:r w:rsidRPr="00226A36">
              <w:t>the injection of local anaesthetic.</w:t>
            </w:r>
          </w:p>
        </w:tc>
        <w:tc>
          <w:tcPr>
            <w:tcW w:w="3118" w:type="dxa"/>
          </w:tcPr>
          <w:p w14:paraId="61B69CF0" w14:textId="77777777" w:rsidR="00175E49" w:rsidRPr="00226A36" w:rsidRDefault="00175E49" w:rsidP="00422EC8">
            <w:pPr>
              <w:pStyle w:val="Tabletext"/>
            </w:pPr>
            <w:r w:rsidRPr="00226A36">
              <w:t xml:space="preserve">Clinical evidence indicates there is a risk of serious upper airway obstruction and diminished gag reflex. </w:t>
            </w:r>
          </w:p>
        </w:tc>
      </w:tr>
      <w:tr w:rsidR="00175E49" w:rsidRPr="00D451F3" w14:paraId="7481EEB2" w14:textId="77777777" w:rsidTr="00175E49">
        <w:tc>
          <w:tcPr>
            <w:tcW w:w="2126" w:type="dxa"/>
          </w:tcPr>
          <w:p w14:paraId="2867C6B3" w14:textId="77777777" w:rsidR="00175E49" w:rsidRPr="00226A36" w:rsidRDefault="00175E49" w:rsidP="00422EC8">
            <w:pPr>
              <w:pStyle w:val="Tabletext"/>
            </w:pPr>
            <w:r w:rsidRPr="00226A36">
              <w:rPr>
                <w:b/>
              </w:rPr>
              <w:t>41680</w:t>
            </w:r>
            <w:r w:rsidR="00506727">
              <w:rPr>
                <w:b/>
              </w:rPr>
              <w:t xml:space="preserve"> – </w:t>
            </w:r>
            <w:r w:rsidRPr="00422EC8">
              <w:t>Cryotherapy to nose in treatment of nasal haemorrhage</w:t>
            </w:r>
          </w:p>
        </w:tc>
        <w:tc>
          <w:tcPr>
            <w:tcW w:w="3118" w:type="dxa"/>
          </w:tcPr>
          <w:p w14:paraId="303E89EF" w14:textId="77777777" w:rsidR="00175E49" w:rsidRPr="00226A36" w:rsidRDefault="00175E49" w:rsidP="00422EC8">
            <w:pPr>
              <w:pStyle w:val="Tabletext"/>
            </w:pPr>
            <w:r w:rsidRPr="00226A36">
              <w:t>Uses freezing techniques (e.g. gas or liquid nitrogen) to treat nose bleeds.</w:t>
            </w:r>
          </w:p>
        </w:tc>
        <w:tc>
          <w:tcPr>
            <w:tcW w:w="3086" w:type="dxa"/>
          </w:tcPr>
          <w:p w14:paraId="6A3E658C" w14:textId="77777777" w:rsidR="00175E49" w:rsidRPr="00226A36" w:rsidRDefault="00175E49" w:rsidP="00422EC8">
            <w:pPr>
              <w:pStyle w:val="Tabletext"/>
            </w:pPr>
            <w:r w:rsidRPr="00226A36">
              <w:t>Remove this item. (note, this item was removed from the MBS on 1 July 2016)</w:t>
            </w:r>
          </w:p>
        </w:tc>
        <w:tc>
          <w:tcPr>
            <w:tcW w:w="2977" w:type="dxa"/>
          </w:tcPr>
          <w:p w14:paraId="76CA8FE3" w14:textId="77777777" w:rsidR="00175E49" w:rsidRPr="00226A36" w:rsidRDefault="00175E49" w:rsidP="00422EC8">
            <w:pPr>
              <w:pStyle w:val="Tabletext"/>
            </w:pPr>
            <w:r w:rsidRPr="00226A36">
              <w:t xml:space="preserve">If this procedure is needed to treat acute </w:t>
            </w:r>
            <w:proofErr w:type="gramStart"/>
            <w:r w:rsidRPr="00226A36">
              <w:t>conditions</w:t>
            </w:r>
            <w:proofErr w:type="gramEnd"/>
            <w:r w:rsidRPr="00226A36">
              <w:t xml:space="preserve"> it can be claimed under existing MBS item 41677 (arrest of nasal haemorrhage).</w:t>
            </w:r>
            <w:r w:rsidR="007736E8">
              <w:t xml:space="preserve"> </w:t>
            </w:r>
          </w:p>
        </w:tc>
        <w:tc>
          <w:tcPr>
            <w:tcW w:w="3118" w:type="dxa"/>
          </w:tcPr>
          <w:p w14:paraId="53FEE41C" w14:textId="77777777" w:rsidR="00175E49" w:rsidRPr="00226A36" w:rsidRDefault="00175E49" w:rsidP="00422EC8">
            <w:pPr>
              <w:pStyle w:val="Tabletext"/>
            </w:pPr>
            <w:r w:rsidRPr="00226A36">
              <w:t xml:space="preserve">This procedure is </w:t>
            </w:r>
            <w:proofErr w:type="gramStart"/>
            <w:r w:rsidRPr="00226A36">
              <w:t>out dated</w:t>
            </w:r>
            <w:proofErr w:type="gramEnd"/>
            <w:r w:rsidRPr="00226A36">
              <w:t xml:space="preserve"> and does not reflect modern clinical practice.</w:t>
            </w:r>
            <w:r w:rsidR="007736E8">
              <w:t xml:space="preserve"> </w:t>
            </w:r>
          </w:p>
        </w:tc>
      </w:tr>
      <w:tr w:rsidR="00175E49" w:rsidRPr="00D451F3" w14:paraId="02056566" w14:textId="77777777" w:rsidTr="00175E49">
        <w:tc>
          <w:tcPr>
            <w:tcW w:w="2126" w:type="dxa"/>
          </w:tcPr>
          <w:p w14:paraId="37AF0B6A" w14:textId="77777777" w:rsidR="00175E49" w:rsidRPr="00226A36" w:rsidRDefault="00175E49" w:rsidP="00422EC8">
            <w:pPr>
              <w:pStyle w:val="Tabletext"/>
            </w:pPr>
            <w:r w:rsidRPr="00226A36">
              <w:rPr>
                <w:b/>
              </w:rPr>
              <w:t>41695</w:t>
            </w:r>
            <w:r w:rsidR="00506727">
              <w:rPr>
                <w:b/>
              </w:rPr>
              <w:t xml:space="preserve"> – </w:t>
            </w:r>
            <w:r w:rsidRPr="00422EC8">
              <w:t>Turbinates, cryotherapy to</w:t>
            </w:r>
          </w:p>
        </w:tc>
        <w:tc>
          <w:tcPr>
            <w:tcW w:w="3118" w:type="dxa"/>
          </w:tcPr>
          <w:p w14:paraId="5155B8F3" w14:textId="77777777" w:rsidR="00175E49" w:rsidRPr="00226A36" w:rsidRDefault="00175E49" w:rsidP="00422EC8">
            <w:pPr>
              <w:pStyle w:val="Tabletext"/>
            </w:pPr>
            <w:r w:rsidRPr="00226A36">
              <w:t>Uses freezing techniques (</w:t>
            </w:r>
            <w:proofErr w:type="spellStart"/>
            <w:r w:rsidRPr="00226A36">
              <w:t>eg.</w:t>
            </w:r>
            <w:proofErr w:type="spellEnd"/>
            <w:r w:rsidRPr="00226A36">
              <w:t xml:space="preserve"> gas or liquid nitrogen) on bones in the nose, generally to remove obstructions. </w:t>
            </w:r>
          </w:p>
        </w:tc>
        <w:tc>
          <w:tcPr>
            <w:tcW w:w="3086" w:type="dxa"/>
          </w:tcPr>
          <w:p w14:paraId="60A51B24" w14:textId="77777777" w:rsidR="00175E49" w:rsidRPr="00226A36" w:rsidRDefault="00175E49" w:rsidP="00422EC8">
            <w:pPr>
              <w:pStyle w:val="Tabletext"/>
            </w:pPr>
            <w:r w:rsidRPr="00226A36">
              <w:t>Remove this item. (note, this item was removed from the MBS on 1 July 2016)</w:t>
            </w:r>
          </w:p>
        </w:tc>
        <w:tc>
          <w:tcPr>
            <w:tcW w:w="2977" w:type="dxa"/>
          </w:tcPr>
          <w:p w14:paraId="390F1E41" w14:textId="77777777" w:rsidR="00175E49" w:rsidRPr="00226A36" w:rsidRDefault="00175E49" w:rsidP="00422EC8">
            <w:pPr>
              <w:pStyle w:val="Tabletext"/>
            </w:pPr>
            <w:r w:rsidRPr="00226A36">
              <w:t>There are other more modern existing MBS items which may be used for this service.</w:t>
            </w:r>
            <w:r w:rsidR="007736E8">
              <w:t xml:space="preserve"> </w:t>
            </w:r>
          </w:p>
        </w:tc>
        <w:tc>
          <w:tcPr>
            <w:tcW w:w="3118" w:type="dxa"/>
          </w:tcPr>
          <w:p w14:paraId="140865DA" w14:textId="77777777" w:rsidR="00175E49" w:rsidRPr="00BA6D5D" w:rsidRDefault="00175E49" w:rsidP="00BA6D5D">
            <w:pPr>
              <w:pStyle w:val="NormalBulleted10pt"/>
            </w:pPr>
            <w:r w:rsidRPr="00BA6D5D">
              <w:t xml:space="preserve">This service is </w:t>
            </w:r>
            <w:proofErr w:type="gramStart"/>
            <w:r w:rsidRPr="00BA6D5D">
              <w:t>out dated</w:t>
            </w:r>
            <w:proofErr w:type="gramEnd"/>
            <w:r w:rsidRPr="00BA6D5D">
              <w:t xml:space="preserve"> and no longer reflects modern clinical practice.</w:t>
            </w:r>
          </w:p>
          <w:p w14:paraId="2138258D" w14:textId="77777777" w:rsidR="00175E49" w:rsidRPr="00226A36" w:rsidRDefault="00175E49" w:rsidP="00BA6D5D">
            <w:pPr>
              <w:pStyle w:val="NormalBulleted10pt"/>
            </w:pPr>
            <w:r w:rsidRPr="00BA6D5D">
              <w:t>It has very low utilisation and usage continues</w:t>
            </w:r>
            <w:r w:rsidRPr="00226A36">
              <w:t xml:space="preserve"> to decline.</w:t>
            </w:r>
            <w:r w:rsidR="007736E8">
              <w:t xml:space="preserve"> </w:t>
            </w:r>
          </w:p>
        </w:tc>
      </w:tr>
      <w:tr w:rsidR="00175E49" w:rsidRPr="00D451F3" w14:paraId="232A22D9" w14:textId="77777777" w:rsidTr="00175E49">
        <w:tc>
          <w:tcPr>
            <w:tcW w:w="2126" w:type="dxa"/>
          </w:tcPr>
          <w:p w14:paraId="240F9EFF" w14:textId="77777777" w:rsidR="00175E49" w:rsidRPr="00226A36" w:rsidRDefault="00175E49" w:rsidP="00422EC8">
            <w:pPr>
              <w:pStyle w:val="Tabletext"/>
            </w:pPr>
            <w:r w:rsidRPr="00226A36">
              <w:rPr>
                <w:b/>
              </w:rPr>
              <w:t>41758</w:t>
            </w:r>
            <w:r w:rsidR="00506727">
              <w:rPr>
                <w:b/>
              </w:rPr>
              <w:t xml:space="preserve"> – </w:t>
            </w:r>
            <w:r w:rsidRPr="00422EC8">
              <w:t xml:space="preserve">Division of pharyngeal adhesions </w:t>
            </w:r>
          </w:p>
        </w:tc>
        <w:tc>
          <w:tcPr>
            <w:tcW w:w="3118" w:type="dxa"/>
          </w:tcPr>
          <w:p w14:paraId="0653652C" w14:textId="77777777" w:rsidR="00175E49" w:rsidRPr="00226A36" w:rsidRDefault="00175E49" w:rsidP="00422EC8">
            <w:pPr>
              <w:pStyle w:val="Tabletext"/>
            </w:pPr>
            <w:r w:rsidRPr="00226A36">
              <w:t xml:space="preserve">Surgery to cut abnormal tissue that </w:t>
            </w:r>
            <w:r w:rsidR="007967CB">
              <w:t>creates</w:t>
            </w:r>
            <w:r w:rsidRPr="00226A36">
              <w:t xml:space="preserve"> a band on the pharynx (t</w:t>
            </w:r>
            <w:r w:rsidRPr="00226A36">
              <w:rPr>
                <w:rFonts w:eastAsiaTheme="minorHAnsi"/>
              </w:rPr>
              <w:t xml:space="preserve">he passage that leads from the nose and mouth to the voice box and </w:t>
            </w:r>
            <w:r w:rsidR="006F3DF0" w:rsidRPr="00226A36">
              <w:rPr>
                <w:rFonts w:eastAsiaTheme="minorHAnsi"/>
              </w:rPr>
              <w:t>oesophagus</w:t>
            </w:r>
            <w:r w:rsidRPr="00226A36">
              <w:rPr>
                <w:rFonts w:eastAsiaTheme="minorHAnsi"/>
              </w:rPr>
              <w:t>.</w:t>
            </w:r>
          </w:p>
        </w:tc>
        <w:tc>
          <w:tcPr>
            <w:tcW w:w="3086" w:type="dxa"/>
          </w:tcPr>
          <w:p w14:paraId="485D0CDF" w14:textId="77777777" w:rsidR="00175E49" w:rsidRPr="00226A36" w:rsidRDefault="00175E49" w:rsidP="00422EC8">
            <w:pPr>
              <w:pStyle w:val="Tabletext"/>
            </w:pPr>
            <w:r w:rsidRPr="00226A36">
              <w:t>Remove this item. (note, this item was removed from the MBS on 1 July 2016)</w:t>
            </w:r>
          </w:p>
        </w:tc>
        <w:tc>
          <w:tcPr>
            <w:tcW w:w="2977" w:type="dxa"/>
          </w:tcPr>
          <w:p w14:paraId="34C39038" w14:textId="77777777" w:rsidR="00175E49" w:rsidRPr="00226A36" w:rsidRDefault="00175E49" w:rsidP="00422EC8">
            <w:pPr>
              <w:pStyle w:val="Tabletext"/>
            </w:pPr>
            <w:r w:rsidRPr="00226A36">
              <w:t>There are several other existing MBS items which are currently being used for this service.</w:t>
            </w:r>
            <w:r w:rsidR="007736E8">
              <w:t xml:space="preserve"> </w:t>
            </w:r>
          </w:p>
        </w:tc>
        <w:tc>
          <w:tcPr>
            <w:tcW w:w="3118" w:type="dxa"/>
          </w:tcPr>
          <w:p w14:paraId="4D807994" w14:textId="77777777" w:rsidR="00175E49" w:rsidRPr="00BA6D5D" w:rsidRDefault="00175E49" w:rsidP="00BA6D5D">
            <w:pPr>
              <w:pStyle w:val="NormalBulleted10pt"/>
            </w:pPr>
            <w:r w:rsidRPr="00BA6D5D">
              <w:t xml:space="preserve">This service is </w:t>
            </w:r>
            <w:proofErr w:type="gramStart"/>
            <w:r w:rsidRPr="00BA6D5D">
              <w:t>out dated</w:t>
            </w:r>
            <w:proofErr w:type="gramEnd"/>
            <w:r w:rsidRPr="00BA6D5D">
              <w:t xml:space="preserve"> and no longer reflects modern clinical practice.</w:t>
            </w:r>
          </w:p>
          <w:p w14:paraId="54C4F64F" w14:textId="77777777" w:rsidR="00175E49" w:rsidRPr="00226A36" w:rsidRDefault="00175E49" w:rsidP="00BA6D5D">
            <w:pPr>
              <w:pStyle w:val="NormalBulleted10pt"/>
            </w:pPr>
            <w:r w:rsidRPr="00BA6D5D">
              <w:t>It has</w:t>
            </w:r>
            <w:r w:rsidRPr="00226A36">
              <w:t xml:space="preserve"> very low utilisation (3 services in 2014-15).</w:t>
            </w:r>
          </w:p>
        </w:tc>
      </w:tr>
      <w:tr w:rsidR="00175E49" w:rsidRPr="00D451F3" w14:paraId="0B7802E4" w14:textId="77777777" w:rsidTr="00175E49">
        <w:tc>
          <w:tcPr>
            <w:tcW w:w="2126" w:type="dxa"/>
          </w:tcPr>
          <w:p w14:paraId="228792C2" w14:textId="77777777" w:rsidR="00175E49" w:rsidRPr="00226A36" w:rsidRDefault="00175E49" w:rsidP="00422EC8">
            <w:pPr>
              <w:pStyle w:val="Tabletext"/>
            </w:pPr>
            <w:r w:rsidRPr="00226A36">
              <w:rPr>
                <w:b/>
              </w:rPr>
              <w:t>41761</w:t>
            </w:r>
            <w:r w:rsidR="00BA6D5D">
              <w:rPr>
                <w:b/>
              </w:rPr>
              <w:t xml:space="preserve"> – </w:t>
            </w:r>
            <w:r w:rsidRPr="00422EC8">
              <w:t>Postnasal space,</w:t>
            </w:r>
            <w:r w:rsidR="007736E8" w:rsidRPr="00422EC8">
              <w:t xml:space="preserve"> </w:t>
            </w:r>
            <w:r w:rsidRPr="00422EC8">
              <w:t>direct examination of, with or without biopsy</w:t>
            </w:r>
          </w:p>
        </w:tc>
        <w:tc>
          <w:tcPr>
            <w:tcW w:w="3118" w:type="dxa"/>
          </w:tcPr>
          <w:p w14:paraId="4615F198" w14:textId="77777777" w:rsidR="00175E49" w:rsidRPr="00226A36" w:rsidRDefault="00175E49" w:rsidP="00422EC8">
            <w:pPr>
              <w:pStyle w:val="Tabletext"/>
            </w:pPr>
            <w:r w:rsidRPr="00226A36">
              <w:t>Surgery to examine the back of the nose for excess tissue or disease. A biopsy may also be performed. It is used to diagnose disease and develop a treatment plan.</w:t>
            </w:r>
            <w:r w:rsidR="007736E8">
              <w:t xml:space="preserve"> </w:t>
            </w:r>
          </w:p>
        </w:tc>
        <w:tc>
          <w:tcPr>
            <w:tcW w:w="3086" w:type="dxa"/>
          </w:tcPr>
          <w:p w14:paraId="52E23B3F" w14:textId="77777777" w:rsidR="00175E49" w:rsidRPr="00226A36" w:rsidRDefault="00BA6D5D" w:rsidP="00422EC8">
            <w:pPr>
              <w:pStyle w:val="Tabletext"/>
            </w:pPr>
            <w:r>
              <w:t xml:space="preserve">Remove this item. </w:t>
            </w:r>
            <w:r w:rsidR="00175E49" w:rsidRPr="00226A36">
              <w:t>(note, this item was removed from the MBS on 1 July 2016)</w:t>
            </w:r>
          </w:p>
        </w:tc>
        <w:tc>
          <w:tcPr>
            <w:tcW w:w="2977" w:type="dxa"/>
          </w:tcPr>
          <w:p w14:paraId="4C07B05C" w14:textId="77777777" w:rsidR="00175E49" w:rsidRPr="00226A36" w:rsidRDefault="00175E49" w:rsidP="00422EC8">
            <w:pPr>
              <w:pStyle w:val="Tabletext"/>
            </w:pPr>
            <w:r w:rsidRPr="00226A36">
              <w:t xml:space="preserve">This change will improve access for patients to more modern endoscopic procedures for which there are existing MBS items. </w:t>
            </w:r>
          </w:p>
        </w:tc>
        <w:tc>
          <w:tcPr>
            <w:tcW w:w="3118" w:type="dxa"/>
          </w:tcPr>
          <w:p w14:paraId="5E059668" w14:textId="77777777" w:rsidR="00175E49" w:rsidRPr="00BA6D5D" w:rsidRDefault="00175E49" w:rsidP="00BA6D5D">
            <w:pPr>
              <w:pStyle w:val="NormalBulleted10pt"/>
            </w:pPr>
            <w:r w:rsidRPr="00226A36">
              <w:t xml:space="preserve">This </w:t>
            </w:r>
            <w:r w:rsidRPr="00BA6D5D">
              <w:t xml:space="preserve">procedure described in this item is </w:t>
            </w:r>
            <w:proofErr w:type="gramStart"/>
            <w:r w:rsidRPr="00BA6D5D">
              <w:t>out dated</w:t>
            </w:r>
            <w:proofErr w:type="gramEnd"/>
            <w:r w:rsidRPr="00BA6D5D">
              <w:t xml:space="preserve"> and does not reflect modern clinical practice.</w:t>
            </w:r>
            <w:r w:rsidR="007736E8">
              <w:t xml:space="preserve"> </w:t>
            </w:r>
          </w:p>
          <w:p w14:paraId="1767FD95" w14:textId="77777777" w:rsidR="00175E49" w:rsidRPr="00226A36" w:rsidRDefault="00175E49" w:rsidP="00BA6D5D">
            <w:pPr>
              <w:pStyle w:val="NormalBulleted10pt"/>
            </w:pPr>
            <w:r w:rsidRPr="00BA6D5D">
              <w:t>Where</w:t>
            </w:r>
            <w:r w:rsidRPr="00226A36">
              <w:t xml:space="preserve"> the postnasal space is examined as part of another procedure, the examination </w:t>
            </w:r>
            <w:r w:rsidRPr="00226A36">
              <w:lastRenderedPageBreak/>
              <w:t xml:space="preserve">of the operating space </w:t>
            </w:r>
            <w:proofErr w:type="gramStart"/>
            <w:r w:rsidRPr="00226A36">
              <w:t>is considered to be</w:t>
            </w:r>
            <w:proofErr w:type="gramEnd"/>
            <w:r w:rsidRPr="00226A36">
              <w:t xml:space="preserve"> part of the primary procedure.</w:t>
            </w:r>
          </w:p>
        </w:tc>
      </w:tr>
      <w:tr w:rsidR="00175E49" w:rsidRPr="00D451F3" w14:paraId="67C0DA31" w14:textId="77777777" w:rsidTr="00175E49">
        <w:trPr>
          <w:trHeight w:val="2197"/>
        </w:trPr>
        <w:tc>
          <w:tcPr>
            <w:tcW w:w="2126" w:type="dxa"/>
          </w:tcPr>
          <w:p w14:paraId="16139C6E" w14:textId="77777777" w:rsidR="00175E49" w:rsidRPr="00422EC8" w:rsidRDefault="00175E49" w:rsidP="00422EC8">
            <w:pPr>
              <w:pStyle w:val="Tabletext"/>
            </w:pPr>
            <w:r w:rsidRPr="00226A36">
              <w:rPr>
                <w:b/>
              </w:rPr>
              <w:lastRenderedPageBreak/>
              <w:t>41849</w:t>
            </w:r>
            <w:r w:rsidR="00BA6D5D">
              <w:rPr>
                <w:b/>
              </w:rPr>
              <w:t xml:space="preserve"> – </w:t>
            </w:r>
            <w:r w:rsidRPr="00422EC8">
              <w:t xml:space="preserve">Direct examination of the larynx with biopsy </w:t>
            </w:r>
          </w:p>
          <w:p w14:paraId="0964D2E6" w14:textId="77777777" w:rsidR="00175E49" w:rsidRPr="00226A36" w:rsidRDefault="00175E49" w:rsidP="00422EC8">
            <w:pPr>
              <w:pStyle w:val="Tabletext"/>
            </w:pPr>
            <w:r w:rsidRPr="00226A36">
              <w:rPr>
                <w:b/>
              </w:rPr>
              <w:t>41852</w:t>
            </w:r>
            <w:r w:rsidR="00BA6D5D">
              <w:rPr>
                <w:b/>
              </w:rPr>
              <w:t xml:space="preserve"> – </w:t>
            </w:r>
            <w:r w:rsidRPr="00422EC8">
              <w:t>Direct examination of the larynx with removal of tumour</w:t>
            </w:r>
          </w:p>
        </w:tc>
        <w:tc>
          <w:tcPr>
            <w:tcW w:w="3118" w:type="dxa"/>
          </w:tcPr>
          <w:p w14:paraId="7BFB7819" w14:textId="77777777" w:rsidR="00175E49" w:rsidRPr="00226A36" w:rsidRDefault="00175E49" w:rsidP="00422EC8">
            <w:pPr>
              <w:pStyle w:val="Tabletext"/>
            </w:pPr>
            <w:r w:rsidRPr="00226A36">
              <w:t>Examin</w:t>
            </w:r>
            <w:r w:rsidR="007967CB">
              <w:t>ation of</w:t>
            </w:r>
            <w:r w:rsidRPr="00226A36">
              <w:t xml:space="preserve"> the larynx (voice box) </w:t>
            </w:r>
            <w:r w:rsidR="007967CB">
              <w:t>to</w:t>
            </w:r>
            <w:r w:rsidRPr="00226A36">
              <w:t xml:space="preserve"> perform a biopsy to diagnose disease; or</w:t>
            </w:r>
            <w:r w:rsidR="007736E8">
              <w:t xml:space="preserve"> </w:t>
            </w:r>
            <w:r w:rsidRPr="00226A36">
              <w:t>remove a tumour.</w:t>
            </w:r>
          </w:p>
        </w:tc>
        <w:tc>
          <w:tcPr>
            <w:tcW w:w="3086" w:type="dxa"/>
          </w:tcPr>
          <w:p w14:paraId="793B6046" w14:textId="77777777" w:rsidR="00175E49" w:rsidRPr="00226A36" w:rsidRDefault="00175E49" w:rsidP="00422EC8">
            <w:pPr>
              <w:pStyle w:val="Tabletext"/>
            </w:pPr>
            <w:r w:rsidRPr="00226A36">
              <w:t>Remove the items. (note, these items were removed from the MBS on 1 July 2016)</w:t>
            </w:r>
          </w:p>
        </w:tc>
        <w:tc>
          <w:tcPr>
            <w:tcW w:w="2977" w:type="dxa"/>
          </w:tcPr>
          <w:p w14:paraId="75E94DBF" w14:textId="77777777" w:rsidR="00175E49" w:rsidRPr="00226A36" w:rsidRDefault="007967CB" w:rsidP="00422EC8">
            <w:pPr>
              <w:pStyle w:val="Tabletext"/>
            </w:pPr>
            <w:r>
              <w:t>If</w:t>
            </w:r>
            <w:r w:rsidRPr="00226A36">
              <w:t xml:space="preserve"> </w:t>
            </w:r>
            <w:r w:rsidR="00175E49" w:rsidRPr="00226A36">
              <w:t>the service is performed using a scope, a</w:t>
            </w:r>
            <w:r>
              <w:t>n MBS item for</w:t>
            </w:r>
            <w:r w:rsidR="00175E49" w:rsidRPr="00226A36">
              <w:t xml:space="preserve"> </w:t>
            </w:r>
            <w:proofErr w:type="spellStart"/>
            <w:r w:rsidR="00175E49" w:rsidRPr="00226A36">
              <w:t>microlaryngoscopy</w:t>
            </w:r>
            <w:proofErr w:type="spellEnd"/>
            <w:r>
              <w:t xml:space="preserve"> </w:t>
            </w:r>
            <w:r w:rsidR="00175E49" w:rsidRPr="00226A36">
              <w:t>(items 41855 to 41867) or endoscopic examination should be claimed.</w:t>
            </w:r>
            <w:r w:rsidR="007736E8">
              <w:t xml:space="preserve"> </w:t>
            </w:r>
          </w:p>
        </w:tc>
        <w:tc>
          <w:tcPr>
            <w:tcW w:w="3118" w:type="dxa"/>
          </w:tcPr>
          <w:p w14:paraId="12587D05" w14:textId="77777777" w:rsidR="00175E49" w:rsidRPr="00226A36" w:rsidRDefault="0090579C" w:rsidP="00422EC8">
            <w:pPr>
              <w:pStyle w:val="Tabletext"/>
            </w:pPr>
            <w:r>
              <w:t>O</w:t>
            </w:r>
            <w:r w:rsidR="00175E49" w:rsidRPr="00226A36">
              <w:t>ther MBS items provide a rebate for procedures that use more modern techniques and equipment. The recommendation will improve the quality of service patients receive.</w:t>
            </w:r>
          </w:p>
        </w:tc>
      </w:tr>
    </w:tbl>
    <w:p w14:paraId="6C7F7E89" w14:textId="77777777" w:rsidR="00BA6D5D" w:rsidRDefault="00BA6D5D" w:rsidP="000C02F3">
      <w:pPr>
        <w:pStyle w:val="Caption"/>
      </w:pPr>
    </w:p>
    <w:tbl>
      <w:tblPr>
        <w:tblStyle w:val="TableGrid"/>
        <w:tblW w:w="1422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8 lists several generic issues."/>
      </w:tblPr>
      <w:tblGrid>
        <w:gridCol w:w="6570"/>
        <w:gridCol w:w="7650"/>
      </w:tblGrid>
      <w:tr w:rsidR="00631D73" w:rsidRPr="003915AF" w14:paraId="42845B76" w14:textId="77777777" w:rsidTr="00E625B1">
        <w:trPr>
          <w:tblHeader/>
        </w:trPr>
        <w:tc>
          <w:tcPr>
            <w:tcW w:w="14220" w:type="dxa"/>
            <w:gridSpan w:val="2"/>
            <w:shd w:val="clear" w:color="auto" w:fill="D9D9D9" w:themeFill="background1" w:themeFillShade="D9"/>
          </w:tcPr>
          <w:p w14:paraId="72264DD2" w14:textId="77777777" w:rsidR="00631D73" w:rsidRPr="003915AF" w:rsidRDefault="00631D73" w:rsidP="00142254">
            <w:pPr>
              <w:pStyle w:val="Tableheading"/>
            </w:pPr>
            <w:r w:rsidRPr="00226A36">
              <w:t>Recommendation 8</w:t>
            </w:r>
            <w:r>
              <w:t>:</w:t>
            </w:r>
            <w:r w:rsidRPr="00226A36">
              <w:t xml:space="preserve"> </w:t>
            </w:r>
            <w:r>
              <w:t>G</w:t>
            </w:r>
            <w:r w:rsidRPr="00226A36">
              <w:t>eneric issues</w:t>
            </w:r>
          </w:p>
        </w:tc>
      </w:tr>
      <w:tr w:rsidR="00BA6D5D" w:rsidRPr="003915AF" w14:paraId="32EA3157" w14:textId="77777777" w:rsidTr="000C02F3">
        <w:trPr>
          <w:tblHeader/>
        </w:trPr>
        <w:tc>
          <w:tcPr>
            <w:tcW w:w="6570" w:type="dxa"/>
          </w:tcPr>
          <w:p w14:paraId="6AB5A68A" w14:textId="77777777" w:rsidR="00BA6D5D" w:rsidRPr="003915AF" w:rsidRDefault="00BA6D5D" w:rsidP="00142254">
            <w:pPr>
              <w:pStyle w:val="Tableheading"/>
              <w:rPr>
                <w:lang w:val="en-US" w:eastAsia="en-US"/>
              </w:rPr>
            </w:pPr>
            <w:r w:rsidRPr="003915AF">
              <w:rPr>
                <w:lang w:val="en-US" w:eastAsia="en-US"/>
              </w:rPr>
              <w:t>Committee Recommendation</w:t>
            </w:r>
          </w:p>
        </w:tc>
        <w:tc>
          <w:tcPr>
            <w:tcW w:w="7650" w:type="dxa"/>
          </w:tcPr>
          <w:p w14:paraId="55C2F2D1" w14:textId="77777777" w:rsidR="00BA6D5D" w:rsidRPr="003915AF" w:rsidRDefault="00BA6D5D" w:rsidP="00142254">
            <w:pPr>
              <w:pStyle w:val="Tableheading"/>
            </w:pPr>
            <w:r w:rsidRPr="003915AF">
              <w:t>Why</w:t>
            </w:r>
          </w:p>
        </w:tc>
      </w:tr>
      <w:tr w:rsidR="00BA6D5D" w:rsidRPr="003915AF" w14:paraId="1400130D" w14:textId="77777777" w:rsidTr="000C02F3">
        <w:tc>
          <w:tcPr>
            <w:tcW w:w="6570" w:type="dxa"/>
          </w:tcPr>
          <w:p w14:paraId="5D73A248" w14:textId="77777777" w:rsidR="00BA6D5D" w:rsidRPr="003915AF" w:rsidRDefault="00BA6D5D" w:rsidP="00422EC8">
            <w:pPr>
              <w:pStyle w:val="Tabletext"/>
              <w:rPr>
                <w:lang w:val="en-US" w:eastAsia="en-US"/>
              </w:rPr>
            </w:pPr>
            <w:r w:rsidRPr="003915AF">
              <w:rPr>
                <w:lang w:val="en-US" w:eastAsia="en-US"/>
              </w:rPr>
              <w:t>That DHS provide more activity reporting to individual practitioners.</w:t>
            </w:r>
          </w:p>
        </w:tc>
        <w:tc>
          <w:tcPr>
            <w:tcW w:w="7650" w:type="dxa"/>
          </w:tcPr>
          <w:p w14:paraId="38258F87" w14:textId="77777777" w:rsidR="00BA6D5D" w:rsidRPr="003915AF" w:rsidRDefault="00BA6D5D" w:rsidP="00422EC8">
            <w:pPr>
              <w:pStyle w:val="Tabletext"/>
            </w:pPr>
            <w:r w:rsidRPr="003915AF">
              <w:t>This would enable individual doctors to compare their billing patterns of their specialty so that they can see whether their practice reflects that of the rest of their specialty.</w:t>
            </w:r>
          </w:p>
        </w:tc>
      </w:tr>
      <w:tr w:rsidR="00BA6D5D" w:rsidRPr="00D451F3" w14:paraId="4306A13A" w14:textId="77777777" w:rsidTr="000C02F3">
        <w:tc>
          <w:tcPr>
            <w:tcW w:w="6570" w:type="dxa"/>
          </w:tcPr>
          <w:p w14:paraId="61E78781" w14:textId="77777777" w:rsidR="00BA6D5D" w:rsidRPr="003915AF" w:rsidRDefault="00BA6D5D" w:rsidP="00422EC8">
            <w:pPr>
              <w:pStyle w:val="Tabletext"/>
            </w:pPr>
            <w:r w:rsidRPr="003915AF">
              <w:rPr>
                <w:lang w:val="en-US" w:eastAsia="en-US"/>
              </w:rPr>
              <w:t xml:space="preserve">That the Department meet regularly with </w:t>
            </w:r>
            <w:proofErr w:type="spellStart"/>
            <w:r w:rsidRPr="003915AF">
              <w:rPr>
                <w:lang w:val="en-US" w:eastAsia="en-US"/>
              </w:rPr>
              <w:t>organisations</w:t>
            </w:r>
            <w:proofErr w:type="spellEnd"/>
            <w:r w:rsidRPr="003915AF">
              <w:rPr>
                <w:lang w:val="en-US" w:eastAsia="en-US"/>
              </w:rPr>
              <w:t xml:space="preserve"> representing doctors to discuss claiming patterns, including co-claiming.</w:t>
            </w:r>
            <w:r w:rsidR="007736E8" w:rsidRPr="003915AF">
              <w:rPr>
                <w:lang w:val="en-US" w:eastAsia="en-US"/>
              </w:rPr>
              <w:t xml:space="preserve"> </w:t>
            </w:r>
          </w:p>
        </w:tc>
        <w:tc>
          <w:tcPr>
            <w:tcW w:w="7650" w:type="dxa"/>
          </w:tcPr>
          <w:p w14:paraId="0A463908" w14:textId="77777777" w:rsidR="00BA6D5D" w:rsidRPr="00226A36" w:rsidRDefault="00BA6D5D" w:rsidP="00422EC8">
            <w:pPr>
              <w:pStyle w:val="Tabletext"/>
            </w:pPr>
            <w:r w:rsidRPr="003915AF">
              <w:rPr>
                <w:lang w:val="en-US" w:eastAsia="en-US"/>
              </w:rPr>
              <w:t xml:space="preserve">This would provide an opportunity for discussion on changes in clinical practice which may affect claiming and would allow </w:t>
            </w:r>
            <w:r w:rsidRPr="003915AF">
              <w:t>any issues to be addressed early.</w:t>
            </w:r>
          </w:p>
        </w:tc>
      </w:tr>
      <w:tr w:rsidR="00BA6D5D" w:rsidRPr="00743224" w14:paraId="79B94467" w14:textId="77777777" w:rsidTr="000C02F3">
        <w:tc>
          <w:tcPr>
            <w:tcW w:w="6570" w:type="dxa"/>
          </w:tcPr>
          <w:p w14:paraId="7064062F" w14:textId="77777777" w:rsidR="00BA6D5D" w:rsidRPr="001C3B56" w:rsidRDefault="00BA6D5D" w:rsidP="001C3B56">
            <w:pPr>
              <w:pStyle w:val="Tabletext"/>
            </w:pPr>
            <w:r w:rsidRPr="001C3B56">
              <w:t>That the Taskforce review the rules relating to aftercare (treatment by a doctor, or on behalf of a doctor, following an operation).</w:t>
            </w:r>
            <w:r w:rsidR="007736E8" w:rsidRPr="001C3B56">
              <w:t xml:space="preserve"> </w:t>
            </w:r>
          </w:p>
        </w:tc>
        <w:tc>
          <w:tcPr>
            <w:tcW w:w="7650" w:type="dxa"/>
          </w:tcPr>
          <w:p w14:paraId="484E2A4A" w14:textId="77777777" w:rsidR="00BA6D5D" w:rsidRPr="00743224" w:rsidRDefault="00BA6D5D" w:rsidP="00422EC8">
            <w:pPr>
              <w:pStyle w:val="Tabletext"/>
            </w:pPr>
            <w:r>
              <w:rPr>
                <w:lang w:val="en-US" w:eastAsia="en-US"/>
              </w:rPr>
              <w:t>To encourage</w:t>
            </w:r>
            <w:r w:rsidR="007736E8">
              <w:rPr>
                <w:lang w:val="en-US" w:eastAsia="en-US"/>
              </w:rPr>
              <w:t xml:space="preserve"> </w:t>
            </w:r>
            <w:r w:rsidRPr="001F71EE">
              <w:rPr>
                <w:lang w:val="en-US" w:eastAsia="en-US"/>
              </w:rPr>
              <w:t xml:space="preserve">consistent practice </w:t>
            </w:r>
            <w:r>
              <w:rPr>
                <w:lang w:val="en-US" w:eastAsia="en-US"/>
              </w:rPr>
              <w:t xml:space="preserve">by doctors and </w:t>
            </w:r>
            <w:r w:rsidRPr="001F71EE">
              <w:rPr>
                <w:lang w:val="en-US" w:eastAsia="en-US"/>
              </w:rPr>
              <w:t>appropriate use of MBS items</w:t>
            </w:r>
            <w:r>
              <w:rPr>
                <w:lang w:val="en-US" w:eastAsia="en-US"/>
              </w:rPr>
              <w:t>.</w:t>
            </w:r>
            <w:r w:rsidR="007736E8">
              <w:rPr>
                <w:lang w:val="en-US" w:eastAsia="en-US"/>
              </w:rPr>
              <w:t xml:space="preserve"> </w:t>
            </w:r>
          </w:p>
        </w:tc>
      </w:tr>
    </w:tbl>
    <w:p w14:paraId="5382165B" w14:textId="77777777" w:rsidR="00F85147" w:rsidRDefault="00F85147" w:rsidP="00F85147">
      <w:pPr>
        <w:rPr>
          <w:lang w:val="en-US" w:eastAsia="en-US"/>
        </w:rPr>
        <w:sectPr w:rsidR="00F85147" w:rsidSect="00F85147">
          <w:footerReference w:type="default" r:id="rId14"/>
          <w:endnotePr>
            <w:numFmt w:val="decimal"/>
          </w:endnotePr>
          <w:pgSz w:w="16838" w:h="11906" w:orient="landscape" w:code="9"/>
          <w:pgMar w:top="1440" w:right="1440" w:bottom="1440" w:left="1276" w:header="720" w:footer="720" w:gutter="0"/>
          <w:paperSrc w:first="2" w:other="2"/>
          <w:cols w:space="720"/>
          <w:docGrid w:linePitch="326"/>
        </w:sectPr>
      </w:pPr>
    </w:p>
    <w:p w14:paraId="40A09379" w14:textId="77777777" w:rsidR="00F85147" w:rsidRPr="00156B1C" w:rsidRDefault="00F85147" w:rsidP="001815E3">
      <w:pPr>
        <w:pStyle w:val="AppendixStyle1"/>
      </w:pPr>
      <w:bookmarkStart w:id="120" w:name="_Toc457053444"/>
      <w:bookmarkStart w:id="121" w:name="_Toc485723870"/>
      <w:proofErr w:type="spellStart"/>
      <w:r w:rsidRPr="00156B1C">
        <w:lastRenderedPageBreak/>
        <w:t>Stroboscopy</w:t>
      </w:r>
      <w:proofErr w:type="spellEnd"/>
      <w:r w:rsidRPr="00156B1C">
        <w:t xml:space="preserve"> Review</w:t>
      </w:r>
      <w:bookmarkEnd w:id="120"/>
      <w:bookmarkEnd w:id="121"/>
    </w:p>
    <w:p w14:paraId="6B4670CE" w14:textId="77777777" w:rsidR="00F85147" w:rsidRPr="00042E1E" w:rsidRDefault="00F85147" w:rsidP="00156B1C">
      <w:r w:rsidRPr="00042E1E">
        <w:t xml:space="preserve">This report is a rapid review of available literature regarding </w:t>
      </w:r>
      <w:r>
        <w:t xml:space="preserve">the questions specified, not a systematic review. As in the literature, </w:t>
      </w:r>
      <w:proofErr w:type="spellStart"/>
      <w:r>
        <w:t>stroboscopy</w:t>
      </w:r>
      <w:proofErr w:type="spellEnd"/>
      <w:r>
        <w:t xml:space="preserve">, </w:t>
      </w:r>
      <w:proofErr w:type="spellStart"/>
      <w:r>
        <w:t>videostroboscopy</w:t>
      </w:r>
      <w:proofErr w:type="spellEnd"/>
      <w:r>
        <w:t xml:space="preserve"> and </w:t>
      </w:r>
      <w:proofErr w:type="spellStart"/>
      <w:r>
        <w:t>strobovideolaryngoscopy</w:t>
      </w:r>
      <w:proofErr w:type="spellEnd"/>
      <w:r>
        <w:t xml:space="preserve"> are used interchangeably to refer to the combined use of strobe lighting and an endoscope with camera and video recording capabilities.</w:t>
      </w:r>
    </w:p>
    <w:p w14:paraId="0862859A" w14:textId="77777777" w:rsidR="00F85147" w:rsidRPr="00695C5B" w:rsidRDefault="00F85147" w:rsidP="006508BC">
      <w:pPr>
        <w:pStyle w:val="Heading2a"/>
      </w:pPr>
      <w:r w:rsidRPr="00695C5B">
        <w:t xml:space="preserve">Q1. What is </w:t>
      </w:r>
      <w:proofErr w:type="spellStart"/>
      <w:r w:rsidRPr="006508BC">
        <w:t>stroboscopy</w:t>
      </w:r>
      <w:proofErr w:type="spellEnd"/>
      <w:r w:rsidRPr="00695C5B">
        <w:t>?</w:t>
      </w:r>
    </w:p>
    <w:p w14:paraId="46AC14AD" w14:textId="77777777" w:rsidR="00F85147" w:rsidRPr="00695C5B" w:rsidRDefault="00F85147" w:rsidP="00156B1C">
      <w:r w:rsidRPr="00695C5B">
        <w:t>Vocal cords vibrate at a rate too rapid for real time viewing.</w:t>
      </w:r>
      <w:r w:rsidR="007736E8">
        <w:t xml:space="preserve"> </w:t>
      </w:r>
      <w:r w:rsidRPr="00695C5B">
        <w:t xml:space="preserve">A stroboscope is an instrument used to make cyclically moving objects appear slower moving or stationary. </w:t>
      </w:r>
      <w:proofErr w:type="spellStart"/>
      <w:r w:rsidRPr="00695C5B">
        <w:t>Stroboscopy</w:t>
      </w:r>
      <w:proofErr w:type="spellEnd"/>
      <w:r w:rsidRPr="00695C5B">
        <w:t xml:space="preserve"> is one method by which clinicians are able to visualise vocal fold vibration, and uses a synchronised, flashing light, which passes through a flexible or rigid endoscope.</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r w:rsidRPr="00695C5B">
        <w:t xml:space="preserve"> The frequency of the strobe light is adjustable and set either equal to, lower or higher than that of the moving object in order to create a visual representation of motion.</w:t>
      </w:r>
      <w:r w:rsidR="007736E8">
        <w:t xml:space="preserve"> </w:t>
      </w:r>
      <w:proofErr w:type="spellStart"/>
      <w:r w:rsidRPr="00695C5B">
        <w:t>Videostroboscopy</w:t>
      </w:r>
      <w:proofErr w:type="spellEnd"/>
      <w:r w:rsidRPr="00695C5B">
        <w:t xml:space="preserve"> combines the use of high definition </w:t>
      </w:r>
      <w:proofErr w:type="spellStart"/>
      <w:r w:rsidRPr="00695C5B">
        <w:t>videolaryngoscopy</w:t>
      </w:r>
      <w:proofErr w:type="spellEnd"/>
      <w:r w:rsidRPr="00695C5B">
        <w:t xml:space="preserve"> with </w:t>
      </w:r>
      <w:proofErr w:type="spellStart"/>
      <w:r w:rsidRPr="00695C5B">
        <w:t>stroboscopy</w:t>
      </w:r>
      <w:proofErr w:type="spellEnd"/>
      <w:r w:rsidRPr="00695C5B">
        <w:t>, which allows improved image resolution, light sensitivity and increased number of images recorded per second.</w:t>
      </w:r>
      <w:r w:rsidRPr="00695C5B">
        <w:rPr>
          <w:vertAlign w:val="superscript"/>
        </w:rPr>
        <w:fldChar w:fldCharType="begin"/>
      </w:r>
      <w:r w:rsidRPr="00695C5B">
        <w:rPr>
          <w:vertAlign w:val="superscript"/>
        </w:rPr>
        <w:instrText xml:space="preserve"> ADDIN EN.CITE &lt;EndNote&gt;&lt;Cite&gt;&lt;Author&gt;Sataloff&lt;/Author&gt;&lt;Year&gt;2015&lt;/Year&gt;&lt;RecNum&gt;5&lt;/RecNum&gt;&lt;DisplayText&gt;(2)&lt;/DisplayText&gt;&lt;record&gt;&lt;rec-number&gt;5&lt;/rec-number&gt;&lt;foreign-keys&gt;&lt;key app="EN" db-id="9eda02e5ur2203epr0b59etbtzsf0ssz2xxd" timestamp="1467339895"&gt;5&lt;/key&gt;&lt;/foreign-keys&gt;&lt;ref-type name="Book"&gt;6&lt;/ref-type&gt;&lt;contributors&gt;&lt;authors&gt;&lt;author&gt;Sataloff, R.T.&lt;/author&gt;&lt;/authors&gt;&lt;/contributors&gt;&lt;titles&gt;&lt;title&gt;Sataloff&amp;apos;s Comprehensive Textbook of Otolaryngology: Head &amp;amp; Neck Surgery: Six Volume Set&lt;/title&gt;&lt;/titles&gt;&lt;dates&gt;&lt;year&gt;2015&lt;/year&gt;&lt;/dates&gt;&lt;publisher&gt;Jaypee Brothers,Medical Publishers Pvt. Limited&lt;/publisher&gt;&lt;isbn&gt;9789351527459&lt;/isbn&gt;&lt;urls&gt;&lt;related-urls&gt;&lt;url&gt;https://books.google.com.au/books?id=X5lvrgEACAAJ&lt;/url&gt;&lt;/related-urls&gt;&lt;/urls&gt;&lt;/record&gt;&lt;/Cite&gt;&lt;/EndNote&gt;</w:instrText>
      </w:r>
      <w:r w:rsidRPr="00695C5B">
        <w:rPr>
          <w:vertAlign w:val="superscript"/>
        </w:rPr>
        <w:fldChar w:fldCharType="separate"/>
      </w:r>
      <w:r w:rsidRPr="00695C5B">
        <w:rPr>
          <w:noProof/>
          <w:vertAlign w:val="superscript"/>
        </w:rPr>
        <w:t>(2)</w:t>
      </w:r>
      <w:r w:rsidRPr="00695C5B">
        <w:rPr>
          <w:vertAlign w:val="superscript"/>
        </w:rPr>
        <w:fldChar w:fldCharType="end"/>
      </w:r>
      <w:r w:rsidRPr="00695C5B">
        <w:t xml:space="preserve"> In creating a visual estimate of vocal cord vibratory cycles, important information may be gathered regarding vocal cord vibration properties and potential vocal cord pathology as well as creating a record of examination. </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r w:rsidRPr="00695C5B">
        <w:t xml:space="preserve"> </w:t>
      </w:r>
    </w:p>
    <w:p w14:paraId="52A1FF5F" w14:textId="77777777" w:rsidR="00F85147" w:rsidRPr="00695C5B" w:rsidRDefault="00F85147" w:rsidP="00156B1C">
      <w:r w:rsidRPr="00695C5B">
        <w:t xml:space="preserve">The main application of </w:t>
      </w:r>
      <w:proofErr w:type="spellStart"/>
      <w:r w:rsidRPr="00695C5B">
        <w:t>stroboscopy</w:t>
      </w:r>
      <w:proofErr w:type="spellEnd"/>
      <w:r w:rsidRPr="00695C5B">
        <w:t xml:space="preserve"> is in examination of the vibratory characteristics of the glottal cycle.</w:t>
      </w:r>
      <w:r w:rsidR="007736E8">
        <w:t xml:space="preserve"> </w:t>
      </w:r>
      <w:r w:rsidRPr="00695C5B">
        <w:t>A visual estimate is achieved through synchronised images over several glottal cycles, enabling examination of quasiperiodic vibration of the vocal fold.</w:t>
      </w:r>
      <w:r w:rsidRPr="00695C5B">
        <w:rPr>
          <w:vertAlign w:val="superscript"/>
        </w:rPr>
        <w:fldChar w:fldCharType="begin"/>
      </w:r>
      <w:r w:rsidRPr="00695C5B">
        <w:rPr>
          <w:vertAlign w:val="superscript"/>
        </w:rPr>
        <w:instrText xml:space="preserve"> ADDIN EN.CITE &lt;EndNote&gt;&lt;Cite&gt;&lt;Author&gt;Sataloff&lt;/Author&gt;&lt;Year&gt;2015&lt;/Year&gt;&lt;RecNum&gt;5&lt;/RecNum&gt;&lt;DisplayText&gt;(2)&lt;/DisplayText&gt;&lt;record&gt;&lt;rec-number&gt;5&lt;/rec-number&gt;&lt;foreign-keys&gt;&lt;key app="EN" db-id="9eda02e5ur2203epr0b59etbtzsf0ssz2xxd" timestamp="1467339895"&gt;5&lt;/key&gt;&lt;/foreign-keys&gt;&lt;ref-type name="Book"&gt;6&lt;/ref-type&gt;&lt;contributors&gt;&lt;authors&gt;&lt;author&gt;Sataloff, R.T.&lt;/author&gt;&lt;/authors&gt;&lt;/contributors&gt;&lt;titles&gt;&lt;title&gt;Sataloff&amp;apos;s Comprehensive Textbook of Otolaryngology: Head &amp;amp; Neck Surgery: Six Volume Set&lt;/title&gt;&lt;/titles&gt;&lt;dates&gt;&lt;year&gt;2015&lt;/year&gt;&lt;/dates&gt;&lt;publisher&gt;Jaypee Brothers,Medical Publishers Pvt. Limited&lt;/publisher&gt;&lt;isbn&gt;9789351527459&lt;/isbn&gt;&lt;urls&gt;&lt;related-urls&gt;&lt;url&gt;https://books.google.com.au/books?id=X5lvrgEACAAJ&lt;/url&gt;&lt;/related-urls&gt;&lt;/urls&gt;&lt;/record&gt;&lt;/Cite&gt;&lt;/EndNote&gt;</w:instrText>
      </w:r>
      <w:r w:rsidRPr="00695C5B">
        <w:rPr>
          <w:vertAlign w:val="superscript"/>
        </w:rPr>
        <w:fldChar w:fldCharType="separate"/>
      </w:r>
      <w:r w:rsidRPr="00695C5B">
        <w:rPr>
          <w:noProof/>
          <w:vertAlign w:val="superscript"/>
        </w:rPr>
        <w:t>(2)</w:t>
      </w:r>
      <w:r w:rsidRPr="00695C5B">
        <w:rPr>
          <w:vertAlign w:val="superscript"/>
        </w:rPr>
        <w:fldChar w:fldCharType="end"/>
      </w:r>
      <w:r w:rsidRPr="00695C5B">
        <w:t xml:space="preserve"> Both opening and closing phases of the vocal folds may be analysed to assess velocity, symmetry and smoothness of movement. One may also assess mucosal wave propagation, which is an important indicator of the pliability of the superficial layer of the lamina propria. Pathologic changes in vocal fold vibratory behaviour may be indicated by alterations in mass, </w:t>
      </w:r>
      <w:proofErr w:type="gramStart"/>
      <w:r w:rsidRPr="00695C5B">
        <w:t>stiffness</w:t>
      </w:r>
      <w:proofErr w:type="gramEnd"/>
      <w:r w:rsidRPr="00695C5B">
        <w:t xml:space="preserve"> and tension.</w:t>
      </w:r>
      <w:r w:rsidR="007736E8">
        <w:t xml:space="preserve"> </w:t>
      </w:r>
      <w:r w:rsidRPr="00695C5B">
        <w:t xml:space="preserve">Masses such as keratin cysts may result in a reduction or absence of mucosal wave, whilst vocal fold stiffness may be suspected with reduced oscillation or asymmetry. </w:t>
      </w:r>
      <w:r w:rsidRPr="00695C5B">
        <w:rPr>
          <w:vertAlign w:val="superscript"/>
        </w:rPr>
        <w:fldChar w:fldCharType="begin"/>
      </w:r>
      <w:r w:rsidRPr="00695C5B">
        <w:rPr>
          <w:vertAlign w:val="superscript"/>
        </w:rPr>
        <w:instrText xml:space="preserve"> ADDIN EN.CITE &lt;EndNote&gt;&lt;Cite&gt;&lt;Author&gt;Sataloff&lt;/Author&gt;&lt;Year&gt;2015&lt;/Year&gt;&lt;RecNum&gt;5&lt;/RecNum&gt;&lt;DisplayText&gt;(2)&lt;/DisplayText&gt;&lt;record&gt;&lt;rec-number&gt;5&lt;/rec-number&gt;&lt;foreign-keys&gt;&lt;key app="EN" db-id="9eda02e5ur2203epr0b59etbtzsf0ssz2xxd" timestamp="1467339895"&gt;5&lt;/key&gt;&lt;/foreign-keys&gt;&lt;ref-type name="Book"&gt;6&lt;/ref-type&gt;&lt;contributors&gt;&lt;authors&gt;&lt;author&gt;Sataloff, R.T.&lt;/author&gt;&lt;/authors&gt;&lt;/contributors&gt;&lt;titles&gt;&lt;title&gt;Sataloff&amp;apos;s Comprehensive Textbook of Otolaryngology: Head &amp;amp; Neck Surgery: Six Volume Set&lt;/title&gt;&lt;/titles&gt;&lt;dates&gt;&lt;year&gt;2015&lt;/year&gt;&lt;/dates&gt;&lt;publisher&gt;Jaypee Brothers,Medical Publishers Pvt. Limited&lt;/publisher&gt;&lt;isbn&gt;9789351527459&lt;/isbn&gt;&lt;urls&gt;&lt;related-urls&gt;&lt;url&gt;https://books.google.com.au/books?id=X5lvrgEACAAJ&lt;/url&gt;&lt;/related-urls&gt;&lt;/urls&gt;&lt;/record&gt;&lt;/Cite&gt;&lt;/EndNote&gt;</w:instrText>
      </w:r>
      <w:r w:rsidRPr="00695C5B">
        <w:rPr>
          <w:vertAlign w:val="superscript"/>
        </w:rPr>
        <w:fldChar w:fldCharType="separate"/>
      </w:r>
      <w:r w:rsidRPr="00695C5B">
        <w:rPr>
          <w:noProof/>
          <w:vertAlign w:val="superscript"/>
        </w:rPr>
        <w:t>(2)</w:t>
      </w:r>
      <w:r w:rsidRPr="00695C5B">
        <w:rPr>
          <w:vertAlign w:val="superscript"/>
        </w:rPr>
        <w:fldChar w:fldCharType="end"/>
      </w:r>
      <w:r w:rsidRPr="00695C5B">
        <w:t xml:space="preserve"> Tension of the vocal folds will also result in reduced ability to oscillate, though such changes are usually symmetrical.</w:t>
      </w:r>
      <w:r w:rsidR="007736E8">
        <w:t xml:space="preserve"> </w:t>
      </w:r>
    </w:p>
    <w:p w14:paraId="2BCEC724" w14:textId="77777777" w:rsidR="00F85147" w:rsidRPr="00695C5B" w:rsidRDefault="00F85147" w:rsidP="00BA6D5D">
      <w:pPr>
        <w:pStyle w:val="Heading3"/>
      </w:pPr>
      <w:r w:rsidRPr="00695C5B">
        <w:t xml:space="preserve">(a) How is </w:t>
      </w:r>
      <w:proofErr w:type="spellStart"/>
      <w:r w:rsidRPr="00695C5B">
        <w:t>stroboscopy</w:t>
      </w:r>
      <w:proofErr w:type="spellEnd"/>
      <w:r w:rsidRPr="00695C5B">
        <w:t xml:space="preserve"> performed?</w:t>
      </w:r>
    </w:p>
    <w:p w14:paraId="36BA6B92" w14:textId="77777777" w:rsidR="00F85147" w:rsidRPr="00695C5B" w:rsidRDefault="00F85147" w:rsidP="00156B1C">
      <w:r w:rsidRPr="00695C5B">
        <w:t xml:space="preserve">In rigid </w:t>
      </w:r>
      <w:proofErr w:type="spellStart"/>
      <w:r w:rsidRPr="00695C5B">
        <w:t>strobolaryngoscopy</w:t>
      </w:r>
      <w:proofErr w:type="spellEnd"/>
      <w:r w:rsidRPr="00695C5B">
        <w:t xml:space="preserve">, the patient is seated, leaning forward with neck flexed and head extended. Topical anaesthetic is </w:t>
      </w:r>
      <w:proofErr w:type="gramStart"/>
      <w:r w:rsidRPr="00695C5B">
        <w:t>applied</w:t>
      </w:r>
      <w:proofErr w:type="gramEnd"/>
      <w:r w:rsidRPr="00695C5B">
        <w:t xml:space="preserve"> and microphone calibrated.</w:t>
      </w:r>
      <w:r w:rsidR="007736E8">
        <w:t xml:space="preserve"> </w:t>
      </w:r>
      <w:r w:rsidRPr="00695C5B">
        <w:t>The endoscope is inserted with tongue protruded and retracted anteriorly.</w:t>
      </w:r>
      <w:r w:rsidR="007736E8">
        <w:t xml:space="preserve"> </w:t>
      </w:r>
      <w:r w:rsidRPr="00695C5B">
        <w:t>Optimal examination requires clear visualisation of the subepithelial vasculature of the vocal fold.</w:t>
      </w:r>
      <w:r w:rsidR="007736E8">
        <w:t xml:space="preserve"> </w:t>
      </w:r>
      <w:r w:rsidRPr="00695C5B">
        <w:t>The patient is taken through a series of vocal tasks at low, mid and high frequency pitches and variable volumes.</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p>
    <w:p w14:paraId="28BDA26C" w14:textId="77777777" w:rsidR="00F85147" w:rsidRPr="00695C5B" w:rsidRDefault="00F85147" w:rsidP="00156B1C">
      <w:r w:rsidRPr="00695C5B">
        <w:t xml:space="preserve">In flexible </w:t>
      </w:r>
      <w:proofErr w:type="spellStart"/>
      <w:r w:rsidRPr="00695C5B">
        <w:t>strobolaryngoscopy</w:t>
      </w:r>
      <w:proofErr w:type="spellEnd"/>
      <w:r w:rsidRPr="00695C5B">
        <w:t>, the patient is similarly positioned, with nose and nasopharynx anaesthetised and decongested.</w:t>
      </w:r>
      <w:r w:rsidR="007736E8">
        <w:t xml:space="preserve"> </w:t>
      </w:r>
      <w:r w:rsidRPr="00695C5B">
        <w:t xml:space="preserve">The scope is passed through the nose and positioned above the larynx, with similar examination to rigid </w:t>
      </w:r>
      <w:proofErr w:type="spellStart"/>
      <w:r w:rsidRPr="00695C5B">
        <w:t>strobolaryngoscopy</w:t>
      </w:r>
      <w:proofErr w:type="spellEnd"/>
      <w:r w:rsidRPr="00695C5B">
        <w:t xml:space="preserve">. </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r w:rsidRPr="00695C5B">
        <w:t xml:space="preserve"> </w:t>
      </w:r>
    </w:p>
    <w:p w14:paraId="0E0CCFAC" w14:textId="77777777" w:rsidR="00F85147" w:rsidRPr="00695C5B" w:rsidRDefault="00F85147" w:rsidP="00BA6D5D">
      <w:pPr>
        <w:pStyle w:val="Heading3"/>
      </w:pPr>
      <w:r w:rsidRPr="00695C5B">
        <w:lastRenderedPageBreak/>
        <w:t>(b) What equipment is used?</w:t>
      </w:r>
    </w:p>
    <w:p w14:paraId="1C87A312" w14:textId="77777777" w:rsidR="00F85147" w:rsidRPr="00695C5B" w:rsidRDefault="00F85147" w:rsidP="00156B1C">
      <w:r w:rsidRPr="00695C5B">
        <w:t xml:space="preserve">A </w:t>
      </w:r>
      <w:proofErr w:type="spellStart"/>
      <w:r w:rsidRPr="00695C5B">
        <w:t>videostroboscopic</w:t>
      </w:r>
      <w:proofErr w:type="spellEnd"/>
      <w:r w:rsidRPr="00695C5B">
        <w:t xml:space="preserve"> unit contains stroboscopic light source and microphone, video camera, </w:t>
      </w:r>
      <w:proofErr w:type="gramStart"/>
      <w:r w:rsidRPr="00695C5B">
        <w:t>endoscope</w:t>
      </w:r>
      <w:proofErr w:type="gramEnd"/>
      <w:r w:rsidRPr="00695C5B">
        <w:t xml:space="preserve"> and video recorder.</w:t>
      </w:r>
      <w:r w:rsidR="007736E8">
        <w:t xml:space="preserve"> </w:t>
      </w:r>
      <w:r w:rsidRPr="00695C5B">
        <w:t>Either flexible or rigid endoscopes may be used. Whilst flexible endoscopy allows examination from a variety of angles, there have been issues with low light intensity and reduced resolution.</w:t>
      </w:r>
      <w:r w:rsidR="007736E8">
        <w:t xml:space="preserve"> </w:t>
      </w:r>
      <w:r w:rsidRPr="00695C5B">
        <w:t xml:space="preserve">These potential issues have been significantly improved </w:t>
      </w:r>
      <w:proofErr w:type="gramStart"/>
      <w:r w:rsidRPr="00695C5B">
        <w:t>through the use of</w:t>
      </w:r>
      <w:proofErr w:type="gramEnd"/>
      <w:r w:rsidRPr="00695C5B">
        <w:t xml:space="preserve"> distal-chip technology.</w:t>
      </w:r>
      <w:r w:rsidR="007736E8">
        <w:t xml:space="preserve"> </w:t>
      </w:r>
      <w:r w:rsidRPr="00695C5B">
        <w:t xml:space="preserve">Rigid telescopes are optimal for assessment of mucosal pliability due to improved magnification and illumination, however are dependent upon the patient tolerance, cooperation and relevant anatomical considerations. </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p>
    <w:p w14:paraId="1A87BC1D" w14:textId="77777777" w:rsidR="00F85147" w:rsidRPr="00695C5B" w:rsidRDefault="00F85147" w:rsidP="006508BC">
      <w:pPr>
        <w:pStyle w:val="Heading2a"/>
      </w:pPr>
      <w:r w:rsidRPr="00695C5B">
        <w:t xml:space="preserve">Q2. For what clinical indications is </w:t>
      </w:r>
      <w:proofErr w:type="spellStart"/>
      <w:r w:rsidRPr="00695C5B">
        <w:t>stroboscopy</w:t>
      </w:r>
      <w:proofErr w:type="spellEnd"/>
      <w:r w:rsidRPr="00695C5B">
        <w:t xml:space="preserve"> used in Australia?</w:t>
      </w:r>
    </w:p>
    <w:p w14:paraId="64485E74" w14:textId="77777777" w:rsidR="00F85147" w:rsidRPr="00695C5B" w:rsidRDefault="00F85147" w:rsidP="00156B1C">
      <w:r w:rsidRPr="00695C5B">
        <w:t xml:space="preserve">Laryngeal endoscopy with </w:t>
      </w:r>
      <w:proofErr w:type="spellStart"/>
      <w:r w:rsidRPr="00695C5B">
        <w:t>stroboscopy</w:t>
      </w:r>
      <w:proofErr w:type="spellEnd"/>
      <w:r w:rsidRPr="00695C5B">
        <w:t xml:space="preserve"> has been said to be the gold standard in the assessment of vocal fold function. </w:t>
      </w:r>
      <w:r w:rsidRPr="00695C5B">
        <w:rPr>
          <w:vertAlign w:val="superscript"/>
        </w:rPr>
        <w:fldChar w:fldCharType="begin"/>
      </w:r>
      <w:r w:rsidRPr="00695C5B">
        <w:rPr>
          <w:vertAlign w:val="superscript"/>
        </w:rPr>
        <w:instrText xml:space="preserve"> ADDIN EN.CITE &lt;EndNote&gt;&lt;Cite&gt;&lt;Author&gt;Bonilha&lt;/Author&gt;&lt;Year&gt;2015&lt;/Year&gt;&lt;RecNum&gt;6&lt;/RecNum&gt;&lt;DisplayText&gt;(3)&lt;/DisplayText&gt;&lt;record&gt;&lt;rec-number&gt;6&lt;/rec-number&gt;&lt;foreign-keys&gt;&lt;key app="EN" db-id="9eda02e5ur2203epr0b59etbtzsf0ssz2xxd" timestamp="1467434685"&gt;6&lt;/key&gt;&lt;/foreign-keys&gt;&lt;ref-type name="Journal Article"&gt;17&lt;/ref-type&gt;&lt;contributors&gt;&lt;authors&gt;&lt;author&gt;Bonilha, HS&lt;/author&gt;&lt;author&gt;Focht, KL&lt;/author&gt;&lt;author&gt;Martin-Harris, B &lt;/author&gt;&lt;/authors&gt;&lt;/contributors&gt;&lt;titles&gt;&lt;title&gt;Rater Methodology for Stroboscopy: A Systematic Review &lt;/title&gt;&lt;secondary-title&gt;J Voice&lt;/secondary-title&gt;&lt;/titles&gt;&lt;periodical&gt;&lt;full-title&gt;J Voice&lt;/full-title&gt;&lt;/periodical&gt;&lt;pages&gt;101-108&lt;/pages&gt;&lt;volume&gt;29&lt;/volume&gt;&lt;number&gt;1&lt;/number&gt;&lt;dates&gt;&lt;year&gt;2015&lt;/year&gt;&lt;/dates&gt;&lt;urls&gt;&lt;/urls&gt;&lt;/record&gt;&lt;/Cite&gt;&lt;/EndNote&gt;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(3)</w:t>
      </w:r>
      <w:r w:rsidRPr="00695C5B">
        <w:rPr>
          <w:vertAlign w:val="superscript"/>
        </w:rPr>
        <w:fldChar w:fldCharType="end"/>
      </w:r>
      <w:r w:rsidRPr="00695C5B">
        <w:t xml:space="preserve"> There do not appear to be Australian guidelines as to the use of </w:t>
      </w:r>
      <w:proofErr w:type="spellStart"/>
      <w:r w:rsidRPr="00695C5B">
        <w:t>stroboscopy</w:t>
      </w:r>
      <w:proofErr w:type="spellEnd"/>
      <w:r w:rsidRPr="00695C5B">
        <w:t xml:space="preserve"> in assessment of dysphonia, however the American Academy of Otolaryngology guidelines from 2009</w:t>
      </w:r>
      <w:r w:rsidRPr="00695C5B">
        <w:rPr>
          <w:vertAlign w:val="superscript"/>
        </w:rPr>
        <w:fldChar w:fldCharType="begin"/>
      </w:r>
      <w:r w:rsidRPr="00695C5B">
        <w:rPr>
          <w:vertAlign w:val="superscript"/>
        </w:rPr>
        <w:instrText xml:space="preserve"> ADDIN EN.CITE &lt;EndNote&gt;&lt;Cite&gt;&lt;Author&gt;Schwartz&lt;/Author&gt;&lt;Year&gt;2009&lt;/Year&gt;&lt;RecNum&gt;1&lt;/RecNum&gt;&lt;DisplayText&gt;(4)&lt;/DisplayText&gt;&lt;record&gt;&lt;rec-number&gt;1&lt;/rec-number&gt;&lt;foreign-keys&gt;&lt;key app="EN" db-id="9eda02e5ur2203epr0b59etbtzsf0ssz2xxd" timestamp="1466321242"&gt;1&lt;/key&gt;&lt;/foreign-keys&gt;&lt;ref-type name="Journal Article"&gt;17&lt;/ref-type&gt;&lt;contributors&gt;&lt;authors&gt;&lt;author&gt;Schwartz, SR&lt;/author&gt;&lt;author&gt;Cohen, SM&lt;/author&gt;&lt;author&gt;Dailey, SH&lt;/author&gt;&lt;author&gt;Rosenfeld, RM&lt;/author&gt;&lt;author&gt;Deutsch, ES&lt;/author&gt;&lt;author&gt;Gillespie, MB&lt;/author&gt;&lt;author&gt;Granieri, E&lt;/author&gt;&lt;author&gt;Hapner, ER&lt;/author&gt;&lt;author&gt;Kimball, CE&lt;/author&gt;&lt;author&gt;Krouse, HJ&lt;/author&gt;&lt;author&gt;McMurray, JS&lt;/author&gt;&lt;author&gt;Medina, S&lt;/author&gt;&lt;author&gt;O&amp;apos;Brien, K&lt;/author&gt;&lt;author&gt;Ouellette, DR&lt;/author&gt;&lt;author&gt;Messinger-Rapport, BJ&lt;/author&gt;&lt;author&gt;Stachler, RJ&lt;/author&gt;&lt;author&gt;Strode, S&lt;/author&gt;&lt;author&gt;Thompson, DM&lt;/author&gt;&lt;author&gt;Stemple, JC&lt;/author&gt;&lt;author&gt;Willging, JP&lt;/author&gt;&lt;author&gt;Cowley, T&lt;/author&gt;&lt;author&gt;McCoy, S&lt;/author&gt;&lt;author&gt;Bernad, PG&lt;/author&gt;&lt;author&gt;Patel, MM&lt;/author&gt;&lt;/authors&gt;&lt;/contributors&gt;&lt;titles&gt;&lt;title&gt;Clinical Practice Guideline: Hoarseness (Dysphonia)&lt;/title&gt;&lt;secondary-title&gt;Otolaryngol Head Neck Surg&lt;/secondary-title&gt;&lt;/titles&gt;&lt;periodical&gt;&lt;full-title&gt;Otolaryngol Head Neck Surg&lt;/full-title&gt;&lt;/periodical&gt;&lt;pages&gt;supp S1-S31&lt;/pages&gt;&lt;volume&gt;141&lt;/volume&gt;&lt;number&gt;3 &lt;/number&gt;&lt;dates&gt;&lt;year&gt;2009&lt;/year&gt;&lt;/dates&gt;&lt;urls&gt;&lt;/urls&gt;&lt;/record&gt;&lt;/Cite&gt;&lt;/EndNote&gt;</w:instrText>
      </w:r>
      <w:r w:rsidRPr="00695C5B">
        <w:rPr>
          <w:vertAlign w:val="superscript"/>
        </w:rPr>
        <w:fldChar w:fldCharType="separate"/>
      </w:r>
      <w:r w:rsidRPr="00695C5B">
        <w:rPr>
          <w:noProof/>
          <w:vertAlign w:val="superscript"/>
        </w:rPr>
        <w:t>(4)</w:t>
      </w:r>
      <w:r w:rsidRPr="00695C5B">
        <w:rPr>
          <w:vertAlign w:val="superscript"/>
        </w:rPr>
        <w:fldChar w:fldCharType="end"/>
      </w:r>
      <w:r w:rsidRPr="00695C5B">
        <w:t xml:space="preserve"> state that </w:t>
      </w:r>
      <w:proofErr w:type="spellStart"/>
      <w:r w:rsidRPr="00695C5B">
        <w:t>stroboscopy</w:t>
      </w:r>
      <w:proofErr w:type="spellEnd"/>
      <w:r w:rsidRPr="00695C5B">
        <w:t xml:space="preserve"> should be considered where hoarseness symptoms are out of proportion to </w:t>
      </w:r>
      <w:proofErr w:type="spellStart"/>
      <w:r w:rsidRPr="00695C5B">
        <w:t>laryngoscopic</w:t>
      </w:r>
      <w:proofErr w:type="spellEnd"/>
      <w:r w:rsidRPr="00695C5B">
        <w:t xml:space="preserve"> examination.</w:t>
      </w:r>
      <w:r w:rsidR="007736E8">
        <w:t xml:space="preserve"> </w:t>
      </w:r>
      <w:r w:rsidRPr="00695C5B">
        <w:t>Stroboscopic light enables assessment of vocal fold pliability, enabling other pathologies such as vocal fold scars easier to identify.</w:t>
      </w:r>
      <w:r w:rsidR="007736E8">
        <w:t xml:space="preserve"> </w:t>
      </w:r>
      <w:r w:rsidRPr="00695C5B">
        <w:t xml:space="preserve">This guideline points to </w:t>
      </w:r>
      <w:proofErr w:type="spellStart"/>
      <w:r w:rsidRPr="00695C5B">
        <w:t>stroboscopy</w:t>
      </w:r>
      <w:proofErr w:type="spellEnd"/>
      <w:r w:rsidRPr="00695C5B">
        <w:t xml:space="preserve"> as resulting in an altered diagnosis in up to 47</w:t>
      </w:r>
      <w:r w:rsidR="00C50295">
        <w:t xml:space="preserve"> per cent</w:t>
      </w:r>
      <w:r w:rsidRPr="00695C5B">
        <w:t xml:space="preserve"> of cases, and aiding in the differentiation of pathologies such as polyps and cysts. </w:t>
      </w:r>
      <w:r w:rsidRPr="00695C5B">
        <w:rPr>
          <w:vertAlign w:val="superscript"/>
        </w:rPr>
        <w:fldChar w:fldCharType="begin"/>
      </w:r>
      <w:r w:rsidRPr="00695C5B">
        <w:rPr>
          <w:vertAlign w:val="superscript"/>
        </w:rPr>
        <w:instrText xml:space="preserve"> ADDIN EN.CITE &lt;EndNote&gt;&lt;Cite&gt;&lt;Author&gt;Schwartz&lt;/Author&gt;&lt;Year&gt;2009&lt;/Year&gt;&lt;RecNum&gt;1&lt;/RecNum&gt;&lt;DisplayText&gt;(4)&lt;/DisplayText&gt;&lt;record&gt;&lt;rec-number&gt;1&lt;/rec-number&gt;&lt;foreign-keys&gt;&lt;key app="EN" db-id="9eda02e5ur2203epr0b59etbtzsf0ssz2xxd" timestamp="1466321242"&gt;1&lt;/key&gt;&lt;/foreign-keys&gt;&lt;ref-type name="Journal Article"&gt;17&lt;/ref-type&gt;&lt;contributors&gt;&lt;authors&gt;&lt;author&gt;Schwartz, SR&lt;/author&gt;&lt;author&gt;Cohen, SM&lt;/author&gt;&lt;author&gt;Dailey, SH&lt;/author&gt;&lt;author&gt;Rosenfeld, RM&lt;/author&gt;&lt;author&gt;Deutsch, ES&lt;/author&gt;&lt;author&gt;Gillespie, MB&lt;/author&gt;&lt;author&gt;Granieri, E&lt;/author&gt;&lt;author&gt;Hapner, ER&lt;/author&gt;&lt;author&gt;Kimball, CE&lt;/author&gt;&lt;author&gt;Krouse, HJ&lt;/author&gt;&lt;author&gt;McMurray, JS&lt;/author&gt;&lt;author&gt;Medina, S&lt;/author&gt;&lt;author&gt;O&amp;apos;Brien, K&lt;/author&gt;&lt;author&gt;Ouellette, DR&lt;/author&gt;&lt;author&gt;Messinger-Rapport, BJ&lt;/author&gt;&lt;author&gt;Stachler, RJ&lt;/author&gt;&lt;author&gt;Strode, S&lt;/author&gt;&lt;author&gt;Thompson, DM&lt;/author&gt;&lt;author&gt;Stemple, JC&lt;/author&gt;&lt;author&gt;Willging, JP&lt;/author&gt;&lt;author&gt;Cowley, T&lt;/author&gt;&lt;author&gt;McCoy, S&lt;/author&gt;&lt;author&gt;Bernad, PG&lt;/author&gt;&lt;author&gt;Patel, MM&lt;/author&gt;&lt;/authors&gt;&lt;/contributors&gt;&lt;titles&gt;&lt;title&gt;Clinical Practice Guideline: Hoarseness (Dysphonia)&lt;/title&gt;&lt;secondary-title&gt;Otolaryngol Head Neck Surg&lt;/secondary-title&gt;&lt;/titles&gt;&lt;periodical&gt;&lt;full-title&gt;Otolaryngol Head Neck Surg&lt;/full-title&gt;&lt;/periodical&gt;&lt;pages&gt;supp S1-S31&lt;/pages&gt;&lt;volume&gt;141&lt;/volume&gt;&lt;number&gt;3 &lt;/number&gt;&lt;dates&gt;&lt;year&gt;2009&lt;/year&gt;&lt;/dates&gt;&lt;urls&gt;&lt;/urls&gt;&lt;/record&gt;&lt;/Cite&gt;&lt;/EndNote&gt;</w:instrText>
      </w:r>
      <w:r w:rsidRPr="00695C5B">
        <w:rPr>
          <w:vertAlign w:val="superscript"/>
        </w:rPr>
        <w:fldChar w:fldCharType="separate"/>
      </w:r>
      <w:r w:rsidRPr="00695C5B">
        <w:rPr>
          <w:noProof/>
          <w:vertAlign w:val="superscript"/>
        </w:rPr>
        <w:t>(4)</w:t>
      </w:r>
      <w:r w:rsidRPr="00695C5B">
        <w:rPr>
          <w:vertAlign w:val="superscript"/>
        </w:rPr>
        <w:fldChar w:fldCharType="end"/>
      </w:r>
      <w:r w:rsidRPr="00695C5B">
        <w:t xml:space="preserve"> </w:t>
      </w:r>
    </w:p>
    <w:p w14:paraId="475C71A4" w14:textId="77777777" w:rsidR="00F85147" w:rsidRPr="00695C5B" w:rsidRDefault="00F85147" w:rsidP="00156B1C">
      <w:proofErr w:type="spellStart"/>
      <w:r w:rsidRPr="00695C5B">
        <w:t>Videostroboscopy</w:t>
      </w:r>
      <w:proofErr w:type="spellEnd"/>
      <w:r w:rsidRPr="00695C5B">
        <w:t xml:space="preserve"> has been used to assess both pathology and function, and to assist in selecting patients for surgical intervention. </w:t>
      </w:r>
      <w:r w:rsidRPr="00695C5B">
        <w:rPr>
          <w:vertAlign w:val="superscript"/>
        </w:rPr>
        <w:fldChar w:fldCharType="begin"/>
      </w:r>
      <w:r w:rsidRPr="00695C5B">
        <w:rPr>
          <w:vertAlign w:val="superscript"/>
        </w:rPr>
        <w:instrText xml:space="preserve"> ADDIN EN.CITE &lt;EndNote&gt;&lt;Cite&gt;&lt;Author&gt;Dailey&lt;/Author&gt;&lt;Year&gt;2007&lt;/Year&gt;&lt;RecNum&gt;26&lt;/RecNum&gt;&lt;DisplayText&gt;(5)&lt;/DisplayText&gt;&lt;record&gt;&lt;rec-number&gt;26&lt;/rec-number&gt;&lt;foreign-keys&gt;&lt;key app="EN" db-id="9eda02e5ur2203epr0b59etbtzsf0ssz2xxd" timestamp="1467635084"&gt;26&lt;/key&gt;&lt;/foreign-keys&gt;&lt;ref-type name="Journal Article"&gt;17&lt;/ref-type&gt;&lt;contributors&gt;&lt;authors&gt;&lt;author&gt;Dailey, SH&lt;/author&gt;&lt;author&gt;Spanou, K&lt;/author&gt;&lt;author&gt;Zeitels, SM&lt;/author&gt;&lt;/authors&gt;&lt;/contributors&gt;&lt;titles&gt;&lt;title&gt;The Evaluation of Benign Glottic Lesions: Rigid Telescopic Stroboscopy Versus Suspension Microlaryngoscopy&lt;/title&gt;&lt;secondary-title&gt;Journal of Voice&lt;/secondary-title&gt;&lt;/titles&gt;&lt;periodical&gt;&lt;full-title&gt;Journal of Voice&lt;/full-title&gt;&lt;/periodical&gt;&lt;pages&gt;112-118&lt;/pages&gt;&lt;volume&gt;21&lt;/volume&gt;&lt;number&gt;1&lt;/number&gt;&lt;dates&gt;&lt;year&gt;2007&lt;/year&gt;&lt;/dates&gt;&lt;urls&gt;&lt;/urls&gt;&lt;/record&gt;&lt;/Cite&gt;&lt;/EndNote&gt;</w:instrText>
      </w:r>
      <w:r w:rsidRPr="00695C5B">
        <w:rPr>
          <w:vertAlign w:val="superscript"/>
        </w:rPr>
        <w:fldChar w:fldCharType="separate"/>
      </w:r>
      <w:r w:rsidRPr="00695C5B">
        <w:rPr>
          <w:noProof/>
          <w:vertAlign w:val="superscript"/>
        </w:rPr>
        <w:t>(5)</w:t>
      </w:r>
      <w:r w:rsidRPr="00695C5B">
        <w:rPr>
          <w:vertAlign w:val="superscript"/>
        </w:rPr>
        <w:fldChar w:fldCharType="end"/>
      </w:r>
      <w:r w:rsidRPr="00695C5B">
        <w:t xml:space="preserve"> It has even been suggested that </w:t>
      </w:r>
      <w:proofErr w:type="spellStart"/>
      <w:r w:rsidRPr="00695C5B">
        <w:t>stroboscopy</w:t>
      </w:r>
      <w:proofErr w:type="spellEnd"/>
      <w:r w:rsidRPr="00695C5B">
        <w:t xml:space="preserve"> be considered in the clinical assessment of acute laryngeal trauma without imminent risk of airway compromise. </w:t>
      </w:r>
      <w:r w:rsidRPr="00695C5B">
        <w:rPr>
          <w:vertAlign w:val="superscript"/>
        </w:rPr>
        <w:fldChar w:fldCharType="begin"/>
      </w:r>
      <w:r w:rsidRPr="00695C5B">
        <w:rPr>
          <w:vertAlign w:val="superscript"/>
        </w:rPr>
        <w:instrText xml:space="preserve"> ADDIN EN.CITE &lt;EndNote&gt;&lt;Cite&gt;&lt;Author&gt;Kennedy&lt;/Author&gt;&lt;Year&gt;2004&lt;/Year&gt;&lt;RecNum&gt;29&lt;/RecNum&gt;&lt;DisplayText&gt;(6)&lt;/DisplayText&gt;&lt;record&gt;&lt;rec-number&gt;29&lt;/rec-number&gt;&lt;foreign-keys&gt;&lt;key app="EN" db-id="9eda02e5ur2203epr0b59etbtzsf0ssz2xxd" timestamp="1467641923"&gt;29&lt;/key&gt;&lt;/foreign-keys&gt;&lt;ref-type name="Journal Article"&gt;17&lt;/ref-type&gt;&lt;contributors&gt;&lt;authors&gt;&lt;author&gt;Kennedy, TL&lt;/author&gt;&lt;author&gt;Gilroy, PA&lt;/author&gt;&lt;author&gt;Millman, B&lt;/author&gt;&lt;author&gt;Greene, JS&lt;/author&gt;&lt;author&gt;Pellitteri, PK&lt;/author&gt;&lt;author&gt;Harlor, M&lt;/author&gt;&lt;/authors&gt;&lt;/contributors&gt;&lt;titles&gt;&lt;title&gt;Strobovideolaryngoscopy in the Management of Acute Laryngeal Trauma&lt;/title&gt;&lt;secondary-title&gt;Journal of Voice&lt;/secondary-title&gt;&lt;/titles&gt;&lt;periodical&gt;&lt;full-title&gt;Journal of Voice&lt;/full-title&gt;&lt;/periodical&gt;&lt;pages&gt;130-137&lt;/pages&gt;&lt;volume&gt;18&lt;/volume&gt;&lt;number&gt;1&lt;/number&gt;&lt;dates&gt;&lt;year&gt;2004&lt;/year&gt;&lt;/dates&gt;&lt;urls&gt;&lt;/urls&gt;&lt;/record&gt;&lt;/Cite&gt;&lt;/EndNote&gt;</w:instrText>
      </w:r>
      <w:r w:rsidRPr="00695C5B">
        <w:rPr>
          <w:vertAlign w:val="superscript"/>
        </w:rPr>
        <w:fldChar w:fldCharType="separate"/>
      </w:r>
      <w:r w:rsidRPr="00695C5B">
        <w:rPr>
          <w:noProof/>
          <w:vertAlign w:val="superscript"/>
        </w:rPr>
        <w:t>(6)</w:t>
      </w:r>
      <w:r w:rsidRPr="00695C5B">
        <w:rPr>
          <w:vertAlign w:val="superscript"/>
        </w:rPr>
        <w:fldChar w:fldCharType="end"/>
      </w:r>
    </w:p>
    <w:p w14:paraId="408070D4" w14:textId="77777777" w:rsidR="00F85147" w:rsidRPr="00695C5B" w:rsidRDefault="00F85147" w:rsidP="00BA6D5D">
      <w:pPr>
        <w:pStyle w:val="Heading3"/>
      </w:pPr>
      <w:r w:rsidRPr="00695C5B">
        <w:t xml:space="preserve">Vocal fold polyps and cysts </w:t>
      </w:r>
    </w:p>
    <w:p w14:paraId="1A753D19" w14:textId="77777777" w:rsidR="00F85147" w:rsidRPr="00695C5B" w:rsidRDefault="00F85147" w:rsidP="00156B1C">
      <w:r w:rsidRPr="00695C5B">
        <w:t>Shohet in a retrospective study of 32 patients, found mucosal wave to be absent or diminished in 100</w:t>
      </w:r>
      <w:r w:rsidR="00C50295">
        <w:t xml:space="preserve"> per cent</w:t>
      </w:r>
      <w:r w:rsidRPr="00695C5B">
        <w:t xml:space="preserve"> of vocal fold cysts, and present or increased in 80</w:t>
      </w:r>
      <w:r w:rsidR="00C50295">
        <w:t xml:space="preserve"> per cent</w:t>
      </w:r>
      <w:r w:rsidRPr="00695C5B">
        <w:t xml:space="preserve"> of vocal fold polyps.</w:t>
      </w:r>
      <w:r w:rsidRPr="00695C5B">
        <w:rPr>
          <w:vertAlign w:val="superscript"/>
        </w:rPr>
        <w:fldChar w:fldCharType="begin"/>
      </w:r>
      <w:r w:rsidRPr="00695C5B">
        <w:rPr>
          <w:vertAlign w:val="superscript"/>
        </w:rPr>
        <w:instrText xml:space="preserve"> ADDIN EN.CITE &lt;EndNote&gt;&lt;Cite&gt;&lt;Author&gt;Shohet&lt;/Author&gt;&lt;Year&gt;1996&lt;/Year&gt;&lt;RecNum&gt;32&lt;/RecNum&gt;&lt;DisplayText&gt;(7)&lt;/DisplayText&gt;&lt;record&gt;&lt;rec-number&gt;32&lt;/rec-number&gt;&lt;foreign-keys&gt;&lt;key app="EN" db-id="9eda02e5ur2203epr0b59etbtzsf0ssz2xxd" timestamp="1467671508"&gt;32&lt;/key&gt;&lt;/foreign-keys&gt;&lt;ref-type name="Journal Article"&gt;17&lt;/ref-type&gt;&lt;contributors&gt;&lt;authors&gt;&lt;author&gt;Shohet, JA&lt;/author&gt;&lt;author&gt;Courey, MS&lt;/author&gt;&lt;author&gt;Scott, MA&lt;/author&gt;&lt;author&gt;POssoff, RH&lt;/author&gt;&lt;/authors&gt;&lt;/contributors&gt;&lt;titles&gt;&lt;title&gt;Value of videostroboscopic parameters in differentiating true vocal fold cysts from polyps&lt;/title&gt;&lt;secondary-title&gt;Laryngoscope&lt;/secondary-title&gt;&lt;/titles&gt;&lt;periodical&gt;&lt;full-title&gt;Laryngoscope&lt;/full-title&gt;&lt;/periodical&gt;&lt;pages&gt;19-26&lt;/pages&gt;&lt;volume&gt;106&lt;/volume&gt;&lt;number&gt;1&lt;/number&gt;&lt;dates&gt;&lt;year&gt;1996&lt;/year&gt;&lt;/dates&gt;&lt;urls&gt;&lt;/urls&gt;&lt;/record&gt;&lt;/Cite&gt;&lt;/EndNote&gt;</w:instrText>
      </w:r>
      <w:r w:rsidRPr="00695C5B">
        <w:rPr>
          <w:vertAlign w:val="superscript"/>
        </w:rPr>
        <w:fldChar w:fldCharType="separate"/>
      </w:r>
      <w:r w:rsidRPr="00695C5B">
        <w:rPr>
          <w:noProof/>
          <w:vertAlign w:val="superscript"/>
        </w:rPr>
        <w:t>(7)</w:t>
      </w:r>
      <w:r w:rsidRPr="00695C5B">
        <w:rPr>
          <w:vertAlign w:val="superscript"/>
        </w:rPr>
        <w:fldChar w:fldCharType="end"/>
      </w:r>
      <w:r w:rsidRPr="00695C5B">
        <w:t xml:space="preserve"> They concluded that stroboscopic evaluation of mucosal wave assisted in differentiation of cysts and polyps and provided relevant information for surgical intervention. </w:t>
      </w:r>
      <w:r w:rsidRPr="00695C5B">
        <w:rPr>
          <w:vertAlign w:val="superscript"/>
        </w:rPr>
        <w:fldChar w:fldCharType="begin"/>
      </w:r>
      <w:r w:rsidRPr="00695C5B">
        <w:rPr>
          <w:vertAlign w:val="superscript"/>
        </w:rPr>
        <w:instrText xml:space="preserve"> ADDIN EN.CITE &lt;EndNote&gt;&lt;Cite&gt;&lt;Author&gt;Shohet&lt;/Author&gt;&lt;Year&gt;1996&lt;/Year&gt;&lt;RecNum&gt;32&lt;/RecNum&gt;&lt;DisplayText&gt;(7)&lt;/DisplayText&gt;&lt;record&gt;&lt;rec-number&gt;32&lt;/rec-number&gt;&lt;foreign-keys&gt;&lt;key app="EN" db-id="9eda02e5ur2203epr0b59etbtzsf0ssz2xxd" timestamp="1467671508"&gt;32&lt;/key&gt;&lt;/foreign-keys&gt;&lt;ref-type name="Journal Article"&gt;17&lt;/ref-type&gt;&lt;contributors&gt;&lt;authors&gt;&lt;author&gt;Shohet, JA&lt;/author&gt;&lt;author&gt;Courey, MS&lt;/author&gt;&lt;author&gt;Scott, MA&lt;/author&gt;&lt;author&gt;POssoff, RH&lt;/author&gt;&lt;/authors&gt;&lt;/contributors&gt;&lt;titles&gt;&lt;title&gt;Value of videostroboscopic parameters in differentiating true vocal fold cysts from polyps&lt;/title&gt;&lt;secondary-title&gt;Laryngoscope&lt;/secondary-title&gt;&lt;/titles&gt;&lt;periodical&gt;&lt;full-title&gt;Laryngoscope&lt;/full-title&gt;&lt;/periodical&gt;&lt;pages&gt;19-26&lt;/pages&gt;&lt;volume&gt;106&lt;/volume&gt;&lt;number&gt;1&lt;/number&gt;&lt;dates&gt;&lt;year&gt;1996&lt;/year&gt;&lt;/dates&gt;&lt;urls&gt;&lt;/urls&gt;&lt;/record&gt;&lt;/Cite&gt;&lt;/EndNote&gt;</w:instrText>
      </w:r>
      <w:r w:rsidRPr="00695C5B">
        <w:rPr>
          <w:vertAlign w:val="superscript"/>
        </w:rPr>
        <w:fldChar w:fldCharType="separate"/>
      </w:r>
      <w:r w:rsidRPr="00695C5B">
        <w:rPr>
          <w:noProof/>
          <w:vertAlign w:val="superscript"/>
        </w:rPr>
        <w:t>(7)</w:t>
      </w:r>
      <w:r w:rsidRPr="00695C5B">
        <w:rPr>
          <w:vertAlign w:val="superscript"/>
        </w:rPr>
        <w:fldChar w:fldCharType="end"/>
      </w:r>
    </w:p>
    <w:p w14:paraId="1EB5B7E2" w14:textId="77777777" w:rsidR="00F85147" w:rsidRPr="00695C5B" w:rsidRDefault="00F85147" w:rsidP="00156B1C">
      <w:proofErr w:type="spellStart"/>
      <w:r w:rsidRPr="00695C5B">
        <w:t>Quriba</w:t>
      </w:r>
      <w:proofErr w:type="spellEnd"/>
      <w:r w:rsidRPr="00695C5B">
        <w:t xml:space="preserve"> et al found irregular vocal fold edges and absent mucosal wave to be significant factors in differentiating between cysts and polyps. They also found irregularity of vocal fold edges and symmetry between vocal folds to be highly correlated with the degree of dysphonia, and a lower but still significant correlation between dysphonia and phase closure.</w:t>
      </w:r>
      <w:r w:rsidR="007736E8">
        <w:t xml:space="preserve"> </w:t>
      </w:r>
      <w:r w:rsidRPr="00695C5B">
        <w:rPr>
          <w:vertAlign w:val="superscript"/>
        </w:rPr>
        <w:fldChar w:fldCharType="begin"/>
      </w:r>
      <w:r w:rsidRPr="00695C5B">
        <w:rPr>
          <w:vertAlign w:val="superscript"/>
        </w:rPr>
        <w:instrText xml:space="preserve"> ADDIN EN.CITE &lt;EndNote&gt;&lt;Cite&gt;&lt;Author&gt;Quriba&lt;/Author&gt;&lt;Year&gt;2015&lt;/Year&gt;&lt;RecNum&gt;33&lt;/RecNum&gt;&lt;DisplayText&gt;(8)&lt;/DisplayText&gt;&lt;record&gt;&lt;rec-number&gt;33&lt;/rec-number&gt;&lt;foreign-keys&gt;&lt;key app="EN" db-id="9eda02e5ur2203epr0b59etbtzsf0ssz2xxd" timestamp="1467673095"&gt;33&lt;/key&gt;&lt;/foreign-keys&gt;&lt;ref-type name="Journal Article"&gt;17&lt;/ref-type&gt;&lt;contributors&gt;&lt;authors&gt;&lt;author&gt;Quriba, AS&lt;/author&gt;&lt;author&gt;Darweesh, ME&lt;/author&gt;&lt;/authors&gt;&lt;/contributors&gt;&lt;titles&gt;&lt;title&gt;Voice changes and laryngo-video-stroboscopic findings in patients with vocal fold polyps and cysts&lt;/title&gt;&lt;secondary-title&gt;Egypt J Otolaryngol&lt;/secondary-title&gt;&lt;/titles&gt;&lt;periodical&gt;&lt;full-title&gt;Egypt J Otolaryngol&lt;/full-title&gt;&lt;/periodical&gt;&lt;pages&gt;47-53&lt;/pages&gt;&lt;volume&gt;31&lt;/volume&gt;&lt;dates&gt;&lt;year&gt;2015&lt;/year&gt;&lt;/dates&gt;&lt;urls&gt;&lt;/urls&gt;&lt;/record&gt;&lt;/Cite&gt;&lt;/EndNote&gt;</w:instrText>
      </w:r>
      <w:r w:rsidRPr="00695C5B">
        <w:rPr>
          <w:vertAlign w:val="superscript"/>
        </w:rPr>
        <w:fldChar w:fldCharType="separate"/>
      </w:r>
      <w:r w:rsidRPr="00695C5B">
        <w:rPr>
          <w:noProof/>
          <w:vertAlign w:val="superscript"/>
        </w:rPr>
        <w:t>(8)</w:t>
      </w:r>
      <w:r w:rsidRPr="00695C5B">
        <w:rPr>
          <w:vertAlign w:val="superscript"/>
        </w:rPr>
        <w:fldChar w:fldCharType="end"/>
      </w:r>
      <w:r w:rsidRPr="00695C5B">
        <w:t xml:space="preserve"> </w:t>
      </w:r>
    </w:p>
    <w:p w14:paraId="3C5C1DBD" w14:textId="77777777" w:rsidR="00F85147" w:rsidRPr="00695C5B" w:rsidRDefault="00F85147" w:rsidP="00BA6D5D">
      <w:pPr>
        <w:pStyle w:val="Heading3"/>
      </w:pPr>
      <w:r w:rsidRPr="00695C5B">
        <w:t xml:space="preserve">Vocal fold paralysis </w:t>
      </w:r>
    </w:p>
    <w:p w14:paraId="34ED9DD3" w14:textId="77777777" w:rsidR="00F85147" w:rsidRPr="00695C5B" w:rsidRDefault="00F85147" w:rsidP="00156B1C">
      <w:r w:rsidRPr="00695C5B">
        <w:t>A 2015 cross-sectional study of otolaryngologist diagnosis of vocal fold paresis showed 72</w:t>
      </w:r>
      <w:r w:rsidR="00C50295">
        <w:t xml:space="preserve"> per cent</w:t>
      </w:r>
      <w:r w:rsidRPr="00695C5B">
        <w:t xml:space="preserve"> of physicians to rely on </w:t>
      </w:r>
      <w:proofErr w:type="spellStart"/>
      <w:r w:rsidRPr="00695C5B">
        <w:t>strobovideolaryngoscopy</w:t>
      </w:r>
      <w:proofErr w:type="spellEnd"/>
      <w:r w:rsidRPr="00695C5B">
        <w:t xml:space="preserve"> for diagnosis, with the strongest positive predictive value for sluggish vocal fold motion, decreased adduction and abduction and decreased vocal fold tone.</w:t>
      </w:r>
      <w:r w:rsidRPr="00695C5B">
        <w:rPr>
          <w:vertAlign w:val="superscript"/>
        </w:rPr>
        <w:fldChar w:fldCharType="begin"/>
      </w:r>
      <w:r w:rsidRPr="00695C5B">
        <w:rPr>
          <w:vertAlign w:val="superscript"/>
        </w:rPr>
        <w:instrText xml:space="preserve"> ADDIN EN.CITE &lt;EndNote&gt;&lt;Cite&gt;&lt;Author&gt;Wu&lt;/Author&gt;&lt;Year&gt;2015&lt;/Year&gt;&lt;RecNum&gt;35&lt;/RecNum&gt;&lt;DisplayText&gt;(9)&lt;/DisplayText&gt;&lt;record&gt;&lt;rec-number&gt;35&lt;/rec-number&gt;&lt;foreign-keys&gt;&lt;key app="EN" db-id="9eda02e5ur2203epr0b59etbtzsf0ssz2xxd" timestamp="1467675239"&gt;35&lt;/key&gt;&lt;/foreign-keys&gt;&lt;ref-type name="Journal Article"&gt;17&lt;/ref-type&gt;&lt;contributors&gt;&lt;authors&gt;&lt;author&gt;Wu, AP&lt;/author&gt;&lt;author&gt;Sulica, L&lt;/author&gt;&lt;/authors&gt;&lt;/contributors&gt;&lt;titles&gt;&lt;title&gt;Diagnosis of vocal fold paresis: current opinion and practice&lt;/title&gt;&lt;secondary-title&gt;Laryngoscope&lt;/secondary-title&gt;&lt;/titles&gt;&lt;periodical&gt;&lt;full-title&gt;Laryngoscope&lt;/full-title&gt;&lt;/periodical&gt;&lt;pages&gt;904-8&lt;/pages&gt;&lt;volume&gt;125&lt;/volume&gt;&lt;number&gt;4&lt;/number&gt;&lt;dates&gt;&lt;year&gt;2015&lt;/year&gt;&lt;/dates&gt;&lt;urls&gt;&lt;/urls&gt;&lt;/record&gt;&lt;/Cite&gt;&lt;/EndNote&gt;</w:instrText>
      </w:r>
      <w:r w:rsidRPr="00695C5B">
        <w:rPr>
          <w:vertAlign w:val="superscript"/>
        </w:rPr>
        <w:fldChar w:fldCharType="separate"/>
      </w:r>
      <w:r w:rsidRPr="00695C5B">
        <w:rPr>
          <w:noProof/>
          <w:vertAlign w:val="superscript"/>
        </w:rPr>
        <w:t>(9)</w:t>
      </w:r>
      <w:r w:rsidRPr="00695C5B">
        <w:rPr>
          <w:vertAlign w:val="superscript"/>
        </w:rPr>
        <w:fldChar w:fldCharType="end"/>
      </w:r>
      <w:r w:rsidR="007736E8">
        <w:t xml:space="preserve"> </w:t>
      </w:r>
    </w:p>
    <w:p w14:paraId="1ACC6A0B" w14:textId="77777777" w:rsidR="00F85147" w:rsidRPr="00695C5B" w:rsidRDefault="00F85147" w:rsidP="00156B1C">
      <w:r w:rsidRPr="00695C5B">
        <w:lastRenderedPageBreak/>
        <w:t xml:space="preserve">Harries et al in an analysis of stroboscopic findings in 100 patients with unilateral vocal cord paralysis, found reliable stroboscopic signals in patients with paralysed fold close to the midline. </w:t>
      </w:r>
      <w:r w:rsidRPr="00695C5B">
        <w:rPr>
          <w:vertAlign w:val="superscript"/>
        </w:rPr>
        <w:fldChar w:fldCharType="begin"/>
      </w:r>
      <w:r w:rsidRPr="00695C5B">
        <w:rPr>
          <w:vertAlign w:val="superscript"/>
        </w:rPr>
        <w:instrText xml:space="preserve"> ADDIN EN.CITE &lt;EndNote&gt;&lt;Cite&gt;&lt;Author&gt;Harries&lt;/Author&gt;&lt;Year&gt;1996&lt;/Year&gt;&lt;RecNum&gt;34&lt;/RecNum&gt;&lt;DisplayText&gt;(10)&lt;/DisplayText&gt;&lt;record&gt;&lt;rec-number&gt;34&lt;/rec-number&gt;&lt;foreign-keys&gt;&lt;key app="EN" db-id="9eda02e5ur2203epr0b59etbtzsf0ssz2xxd" timestamp="1467674732"&gt;34&lt;/key&gt;&lt;/foreign-keys&gt;&lt;ref-type name="Journal Article"&gt;17&lt;/ref-type&gt;&lt;contributors&gt;&lt;authors&gt;&lt;author&gt;Harries, ML&lt;/author&gt;&lt;author&gt;Morrison, M&lt;/author&gt;&lt;/authors&gt;&lt;/contributors&gt;&lt;titles&gt;&lt;title&gt;The role of stroboscopy in the management of a patient with a unilateral vocal fold paralysis&lt;/title&gt;&lt;secondary-title&gt;J Laryngol Otol&lt;/secondary-title&gt;&lt;/titles&gt;&lt;periodical&gt;&lt;full-title&gt;J Laryngol Otol&lt;/full-title&gt;&lt;/periodical&gt;&lt;pages&gt;141-3&lt;/pages&gt;&lt;volume&gt;110&lt;/volume&gt;&lt;number&gt;2&lt;/number&gt;&lt;dates&gt;&lt;year&gt;1996&lt;/year&gt;&lt;/dates&gt;&lt;urls&gt;&lt;/urls&gt;&lt;/record&gt;&lt;/Cite&gt;&lt;/EndNote&gt;</w:instrText>
      </w:r>
      <w:r w:rsidRPr="00695C5B">
        <w:rPr>
          <w:vertAlign w:val="superscript"/>
        </w:rPr>
        <w:fldChar w:fldCharType="separate"/>
      </w:r>
      <w:r w:rsidRPr="00695C5B">
        <w:rPr>
          <w:noProof/>
          <w:vertAlign w:val="superscript"/>
        </w:rPr>
        <w:t>(10)</w:t>
      </w:r>
      <w:r w:rsidRPr="00695C5B">
        <w:rPr>
          <w:vertAlign w:val="superscript"/>
        </w:rPr>
        <w:fldChar w:fldCharType="end"/>
      </w:r>
    </w:p>
    <w:p w14:paraId="2F0CD8ED" w14:textId="77777777" w:rsidR="00F85147" w:rsidRPr="00695C5B" w:rsidRDefault="00F85147" w:rsidP="00BA6D5D">
      <w:pPr>
        <w:pStyle w:val="Heading3"/>
      </w:pPr>
      <w:r w:rsidRPr="00695C5B">
        <w:t xml:space="preserve">Laryngeal dysplasia </w:t>
      </w:r>
    </w:p>
    <w:p w14:paraId="1AEAC707" w14:textId="77777777" w:rsidR="00F85147" w:rsidRDefault="00F85147" w:rsidP="00156B1C">
      <w:r w:rsidRPr="00695C5B">
        <w:t xml:space="preserve">There are few studies concerning the use of </w:t>
      </w:r>
      <w:proofErr w:type="spellStart"/>
      <w:r w:rsidRPr="00695C5B">
        <w:t>stroboscopy</w:t>
      </w:r>
      <w:proofErr w:type="spellEnd"/>
      <w:r w:rsidRPr="00695C5B">
        <w:t xml:space="preserve"> in identifying laryngeal dysplasia specifically, with variable conclusions as to its utility in this group of patients.</w:t>
      </w:r>
      <w:r w:rsidR="007736E8">
        <w:t xml:space="preserve"> </w:t>
      </w:r>
      <w:r w:rsidRPr="00695C5B">
        <w:t xml:space="preserve">A prospective study by </w:t>
      </w:r>
      <w:proofErr w:type="spellStart"/>
      <w:r w:rsidRPr="00695C5B">
        <w:t>Djukic</w:t>
      </w:r>
      <w:proofErr w:type="spellEnd"/>
      <w:r w:rsidRPr="00695C5B">
        <w:t xml:space="preserve"> et al</w:t>
      </w:r>
      <w:r w:rsidRPr="00695C5B">
        <w:rPr>
          <w:vertAlign w:val="superscript"/>
        </w:rPr>
        <w:fldChar w:fldCharType="begin"/>
      </w:r>
      <w:r w:rsidRPr="00695C5B">
        <w:rPr>
          <w:vertAlign w:val="superscript"/>
        </w:rPr>
        <w:instrText xml:space="preserve"> ADDIN EN.CITE &lt;EndNote&gt;&lt;Cite&gt;&lt;Author&gt;Djukic&lt;/Author&gt;&lt;Year&gt;2014&lt;/Year&gt;&lt;RecNum&gt;14&lt;/RecNum&gt;&lt;DisplayText&gt;(11)&lt;/DisplayText&gt;&lt;record&gt;&lt;rec-number&gt;14&lt;/rec-number&gt;&lt;foreign-keys&gt;&lt;key app="EN" db-id="9eda02e5ur2203epr0b59etbtzsf0ssz2xxd" timestamp="1467534528"&gt;14&lt;/key&gt;&lt;/foreign-keys&gt;&lt;ref-type name="Journal Article"&gt;17&lt;/ref-type&gt;&lt;contributors&gt;&lt;authors&gt;&lt;author&gt;Djukic, V&lt;/author&gt;&lt;author&gt;Milovanovic, J&lt;/author&gt;&lt;author&gt;Jotic, AD&lt;/author&gt;&lt;author&gt;Vukasinovic, M&lt;/author&gt;&lt;/authors&gt;&lt;/contributors&gt;&lt;titles&gt;&lt;title&gt;Stroboscopy in Detection of Laryngeal Dysplasia Effectiveness and Limitations&lt;/title&gt;&lt;secondary-title&gt;Journal of Voice&lt;/secondary-title&gt;&lt;/titles&gt;&lt;periodical&gt;&lt;full-title&gt;Journal of Voice&lt;/full-title&gt;&lt;/periodical&gt;&lt;pages&gt;e14-e21&lt;/pages&gt;&lt;volume&gt;28&lt;/volume&gt;&lt;number&gt;2&lt;/number&gt;&lt;dates&gt;&lt;year&gt;2014&lt;/year&gt;&lt;/dates&gt;&lt;urls&gt;&lt;/urls&gt;&lt;/record&gt;&lt;/Cite&gt;&lt;/EndNote&gt;</w:instrText>
      </w:r>
      <w:r w:rsidRPr="00695C5B">
        <w:rPr>
          <w:vertAlign w:val="superscript"/>
        </w:rPr>
        <w:fldChar w:fldCharType="separate"/>
      </w:r>
      <w:r w:rsidRPr="00695C5B">
        <w:rPr>
          <w:noProof/>
          <w:vertAlign w:val="superscript"/>
        </w:rPr>
        <w:t>(11)</w:t>
      </w:r>
      <w:r w:rsidRPr="00695C5B">
        <w:rPr>
          <w:vertAlign w:val="superscript"/>
        </w:rPr>
        <w:fldChar w:fldCharType="end"/>
      </w:r>
      <w:r w:rsidRPr="00695C5B">
        <w:t xml:space="preserve"> involved 112 patients with laryngeal dysplasia, treated over a 2 year period.</w:t>
      </w:r>
      <w:r w:rsidR="007736E8">
        <w:t xml:space="preserve"> </w:t>
      </w:r>
      <w:r w:rsidRPr="00695C5B">
        <w:t xml:space="preserve">They reviewed features on </w:t>
      </w:r>
      <w:proofErr w:type="spellStart"/>
      <w:r w:rsidRPr="00695C5B">
        <w:t>stroboscopy</w:t>
      </w:r>
      <w:proofErr w:type="spellEnd"/>
      <w:r w:rsidRPr="00695C5B">
        <w:t xml:space="preserve">, including glottal occlusion, phase symmetry, periodicity, amplitude, mucosal </w:t>
      </w:r>
      <w:proofErr w:type="gramStart"/>
      <w:r w:rsidRPr="00695C5B">
        <w:t>wave</w:t>
      </w:r>
      <w:proofErr w:type="gramEnd"/>
      <w:r w:rsidRPr="00695C5B">
        <w:t xml:space="preserve"> and non-vibratory segments.</w:t>
      </w:r>
      <w:r w:rsidR="007736E8">
        <w:t xml:space="preserve"> </w:t>
      </w:r>
      <w:r w:rsidRPr="00695C5B">
        <w:t>It was found that amplitude of vocal fold vibrations in patients with mild dysplasia was a significant indicator of recurrence, though none of the other signs were significantly associated with disease progression.</w:t>
      </w:r>
      <w:r w:rsidRPr="00695C5B">
        <w:rPr>
          <w:vertAlign w:val="superscript"/>
        </w:rPr>
        <w:fldChar w:fldCharType="begin"/>
      </w:r>
      <w:r w:rsidRPr="00695C5B">
        <w:rPr>
          <w:vertAlign w:val="superscript"/>
        </w:rPr>
        <w:instrText xml:space="preserve"> ADDIN EN.CITE &lt;EndNote&gt;&lt;Cite&gt;&lt;Author&gt;Djukic&lt;/Author&gt;&lt;Year&gt;2014&lt;/Year&gt;&lt;RecNum&gt;14&lt;/RecNum&gt;&lt;DisplayText&gt;(11)&lt;/DisplayText&gt;&lt;record&gt;&lt;rec-number&gt;14&lt;/rec-number&gt;&lt;foreign-keys&gt;&lt;key app="EN" db-id="9eda02e5ur2203epr0b59etbtzsf0ssz2xxd" timestamp="1467534528"&gt;14&lt;/key&gt;&lt;/foreign-keys&gt;&lt;ref-type name="Journal Article"&gt;17&lt;/ref-type&gt;&lt;contributors&gt;&lt;authors&gt;&lt;author&gt;Djukic, V&lt;/author&gt;&lt;author&gt;Milovanovic, J&lt;/author&gt;&lt;author&gt;Jotic, AD&lt;/author&gt;&lt;author&gt;Vukasinovic, M&lt;/author&gt;&lt;/authors&gt;&lt;/contributors&gt;&lt;titles&gt;&lt;title&gt;Stroboscopy in Detection of Laryngeal Dysplasia Effectiveness and Limitations&lt;/title&gt;&lt;secondary-title&gt;Journal of Voice&lt;/secondary-title&gt;&lt;/titles&gt;&lt;periodical&gt;&lt;full-title&gt;Journal of Voice&lt;/full-title&gt;&lt;/periodical&gt;&lt;pages&gt;e14-e21&lt;/pages&gt;&lt;volume&gt;28&lt;/volume&gt;&lt;number&gt;2&lt;/number&gt;&lt;dates&gt;&lt;year&gt;2014&lt;/year&gt;&lt;/dates&gt;&lt;urls&gt;&lt;/urls&gt;&lt;/record&gt;&lt;/Cite&gt;&lt;/EndNote&gt;</w:instrText>
      </w:r>
      <w:r w:rsidRPr="00695C5B">
        <w:rPr>
          <w:vertAlign w:val="superscript"/>
        </w:rPr>
        <w:fldChar w:fldCharType="separate"/>
      </w:r>
      <w:r w:rsidRPr="00695C5B">
        <w:rPr>
          <w:noProof/>
          <w:vertAlign w:val="superscript"/>
        </w:rPr>
        <w:t>(11)</w:t>
      </w:r>
      <w:r w:rsidRPr="00695C5B">
        <w:rPr>
          <w:vertAlign w:val="superscript"/>
        </w:rPr>
        <w:fldChar w:fldCharType="end"/>
      </w:r>
    </w:p>
    <w:p w14:paraId="3BE22399" w14:textId="77777777" w:rsidR="00F85147" w:rsidRPr="00695C5B" w:rsidRDefault="00F85147" w:rsidP="00BA6D5D">
      <w:pPr>
        <w:pStyle w:val="Heading3"/>
      </w:pPr>
      <w:r w:rsidRPr="00695C5B">
        <w:t xml:space="preserve">Glottic carcinoma </w:t>
      </w:r>
    </w:p>
    <w:p w14:paraId="6D7C6611" w14:textId="77777777" w:rsidR="00F85147" w:rsidRPr="00695C5B" w:rsidRDefault="00F85147" w:rsidP="00156B1C">
      <w:r w:rsidRPr="00695C5B">
        <w:t>Invasive carcinoma can cause a disruption of the superficial lamina propria of the vocal folds, which may be signified by a reduction in amplitude and mucosal wave propagation.</w:t>
      </w:r>
      <w:r w:rsidRPr="00695C5B">
        <w:rPr>
          <w:vertAlign w:val="superscript"/>
        </w:rPr>
        <w:fldChar w:fldCharType="begin"/>
      </w:r>
      <w:r w:rsidRPr="00695C5B">
        <w:rPr>
          <w:vertAlign w:val="superscript"/>
        </w:rPr>
        <w:instrText xml:space="preserve"> ADDIN EN.CITE &lt;EndNote&gt;&lt;Cite&gt;&lt;Author&gt;van Balkum&lt;/Author&gt;&lt;Year&gt;2016&lt;/Year&gt;&lt;RecNum&gt;8&lt;/RecNum&gt;&lt;DisplayText&gt;(12)&lt;/DisplayText&gt;&lt;record&gt;&lt;rec-number&gt;8&lt;/rec-number&gt;&lt;foreign-keys&gt;&lt;key app="EN" db-id="9eda02e5ur2203epr0b59etbtzsf0ssz2xxd" timestamp="1467442376"&gt;8&lt;/key&gt;&lt;/foreign-keys&gt;&lt;ref-type name="Journal Article"&gt;17&lt;/ref-type&gt;&lt;contributors&gt;&lt;authors&gt;&lt;author&gt;van Balkum, M&lt;/author&gt;&lt;author&gt;Buijs, B&lt;/author&gt;&lt;author&gt;Donselaar, EJ&lt;/author&gt;&lt;author&gt;Erkelens, DCA&lt;/author&gt;&lt;author&gt;Fernandes, GL&lt;/author&gt;&lt;author&gt;Wegner, I&lt;/author&gt;&lt;author&gt;Grolman, W&lt;/author&gt;&lt;author&gt;Janssen, LM&lt;/author&gt;&lt;/authors&gt;&lt;/contributors&gt;&lt;titles&gt;&lt;title&gt;Systematic review of the diagnostic value of laryngeal stroboscopy in excluding early glottic carcinoma &lt;/title&gt;&lt;secondary-title&gt;Clin Otolaryngol&lt;/secondary-title&gt;&lt;/titles&gt;&lt;periodical&gt;&lt;full-title&gt;Clin Otolaryngol&lt;/full-title&gt;&lt;/periodical&gt;&lt;pages&gt;000&lt;/pages&gt;&lt;volume&gt;00&lt;/volume&gt;&lt;dates&gt;&lt;year&gt;2016&lt;/year&gt;&lt;/dates&gt;&lt;urls&gt;&lt;/urls&gt;&lt;electronic-resource-num&gt;10.1111/coa.12678&lt;/electronic-resource-num&gt;&lt;/record&gt;&lt;/Cite&gt;&lt;/EndNote&gt;</w:instrText>
      </w:r>
      <w:r w:rsidRPr="00695C5B">
        <w:rPr>
          <w:vertAlign w:val="superscript"/>
        </w:rPr>
        <w:fldChar w:fldCharType="separate"/>
      </w:r>
      <w:r w:rsidRPr="00695C5B">
        <w:rPr>
          <w:noProof/>
          <w:vertAlign w:val="superscript"/>
        </w:rPr>
        <w:t>(12)</w:t>
      </w:r>
      <w:r w:rsidRPr="00695C5B">
        <w:rPr>
          <w:vertAlign w:val="superscript"/>
        </w:rPr>
        <w:fldChar w:fldCharType="end"/>
      </w:r>
      <w:r w:rsidRPr="00695C5B">
        <w:t xml:space="preserve"> The depth, size and location of a tumour may influence management, with an abnormal mucosal wave suggesting the need for more extensive treatment such as radiotherapy, CO2-laser removal or surgical excision.</w:t>
      </w:r>
      <w:r w:rsidR="007736E8">
        <w:t xml:space="preserve"> </w:t>
      </w:r>
      <w:proofErr w:type="spellStart"/>
      <w:r w:rsidRPr="00695C5B">
        <w:t>Stroboscopy</w:t>
      </w:r>
      <w:proofErr w:type="spellEnd"/>
      <w:r w:rsidRPr="00695C5B">
        <w:t xml:space="preserve"> enables an examination of mucosal wave propagation, and therefore gives an indication of tumour depth.</w:t>
      </w:r>
      <w:r w:rsidRPr="00695C5B">
        <w:rPr>
          <w:vertAlign w:val="superscript"/>
        </w:rPr>
        <w:fldChar w:fldCharType="begin"/>
      </w:r>
      <w:r w:rsidRPr="00695C5B">
        <w:rPr>
          <w:vertAlign w:val="superscript"/>
        </w:rPr>
        <w:instrText xml:space="preserve"> ADDIN EN.CITE &lt;EndNote&gt;&lt;Cite&gt;&lt;Author&gt;van Balkum&lt;/Author&gt;&lt;Year&gt;2016&lt;/Year&gt;&lt;RecNum&gt;8&lt;/RecNum&gt;&lt;DisplayText&gt;(12)&lt;/DisplayText&gt;&lt;record&gt;&lt;rec-number&gt;8&lt;/rec-number&gt;&lt;foreign-keys&gt;&lt;key app="EN" db-id="9eda02e5ur2203epr0b59etbtzsf0ssz2xxd" timestamp="1467442376"&gt;8&lt;/key&gt;&lt;/foreign-keys&gt;&lt;ref-type name="Journal Article"&gt;17&lt;/ref-type&gt;&lt;contributors&gt;&lt;authors&gt;&lt;author&gt;van Balkum, M&lt;/author&gt;&lt;author&gt;Buijs, B&lt;/author&gt;&lt;author&gt;Donselaar, EJ&lt;/author&gt;&lt;author&gt;Erkelens, DCA&lt;/author&gt;&lt;author&gt;Fernandes, GL&lt;/author&gt;&lt;author&gt;Wegner, I&lt;/author&gt;&lt;author&gt;Grolman, W&lt;/author&gt;&lt;author&gt;Janssen, LM&lt;/author&gt;&lt;/authors&gt;&lt;/contributors&gt;&lt;titles&gt;&lt;title&gt;Systematic review of the diagnostic value of laryngeal stroboscopy in excluding early glottic carcinoma &lt;/title&gt;&lt;secondary-title&gt;Clin Otolaryngol&lt;/secondary-title&gt;&lt;/titles&gt;&lt;periodical&gt;&lt;full-title&gt;Clin Otolaryngol&lt;/full-title&gt;&lt;/periodical&gt;&lt;pages&gt;000&lt;/pages&gt;&lt;volume&gt;00&lt;/volume&gt;&lt;dates&gt;&lt;year&gt;2016&lt;/year&gt;&lt;/dates&gt;&lt;urls&gt;&lt;/urls&gt;&lt;electronic-resource-num&gt;10.1111/coa.12678&lt;/electronic-resource-num&gt;&lt;/record&gt;&lt;/Cite&gt;&lt;/EndNote&gt;</w:instrText>
      </w:r>
      <w:r w:rsidRPr="00695C5B">
        <w:rPr>
          <w:vertAlign w:val="superscript"/>
        </w:rPr>
        <w:fldChar w:fldCharType="separate"/>
      </w:r>
      <w:r w:rsidRPr="00695C5B">
        <w:rPr>
          <w:noProof/>
          <w:vertAlign w:val="superscript"/>
        </w:rPr>
        <w:t>(12)</w:t>
      </w:r>
      <w:r w:rsidRPr="00695C5B">
        <w:rPr>
          <w:vertAlign w:val="superscript"/>
        </w:rPr>
        <w:fldChar w:fldCharType="end"/>
      </w:r>
      <w:r w:rsidRPr="00695C5B">
        <w:t xml:space="preserve"> El-</w:t>
      </w:r>
      <w:proofErr w:type="spellStart"/>
      <w:r w:rsidRPr="00695C5B">
        <w:t>Demerdash</w:t>
      </w:r>
      <w:proofErr w:type="spellEnd"/>
      <w:r w:rsidRPr="00695C5B">
        <w:t xml:space="preserve"> et al found the sensitivity and specificity of </w:t>
      </w:r>
      <w:proofErr w:type="spellStart"/>
      <w:r w:rsidRPr="00695C5B">
        <w:t>videostroboscopy</w:t>
      </w:r>
      <w:proofErr w:type="spellEnd"/>
      <w:r w:rsidRPr="00695C5B">
        <w:t xml:space="preserve"> in predicting the invasive nature of glottic lesions, based on absence or reduction of the mucosal wave, to be 96.8</w:t>
      </w:r>
      <w:r w:rsidR="00C50295">
        <w:t xml:space="preserve"> per cent</w:t>
      </w:r>
      <w:r w:rsidRPr="00695C5B">
        <w:t xml:space="preserve"> and 92.8</w:t>
      </w:r>
      <w:r w:rsidR="00C50295">
        <w:t xml:space="preserve"> per cent</w:t>
      </w:r>
      <w:r w:rsidRPr="00695C5B">
        <w:t xml:space="preserve"> respectively.</w:t>
      </w:r>
      <w:r w:rsidRPr="00695C5B">
        <w:rPr>
          <w:vertAlign w:val="superscript"/>
        </w:rPr>
        <w:fldChar w:fldCharType="begin"/>
      </w:r>
      <w:r w:rsidRPr="00695C5B">
        <w:rPr>
          <w:vertAlign w:val="superscript"/>
        </w:rPr>
        <w:instrText xml:space="preserve"> ADDIN EN.CITE &lt;EndNote&gt;&lt;Cite&gt;&lt;Author&gt;El-Demerdash&lt;/Author&gt;&lt;Year&gt;2015&lt;/Year&gt;&lt;RecNum&gt;28&lt;/RecNum&gt;&lt;DisplayText&gt;(13)&lt;/DisplayText&gt;&lt;record&gt;&lt;rec-number&gt;28&lt;/rec-number&gt;&lt;foreign-keys&gt;&lt;key app="EN" db-id="9eda02e5ur2203epr0b59etbtzsf0ssz2xxd" timestamp="1467639483"&gt;28&lt;/key&gt;&lt;/foreign-keys&gt;&lt;ref-type name="Journal Article"&gt;17&lt;/ref-type&gt;&lt;contributors&gt;&lt;authors&gt;&lt;author&gt;El-Demerdash, A&lt;/author&gt;&lt;author&gt;Fawaz, SA&lt;/author&gt;&lt;author&gt;Sabri, SM&lt;/author&gt;&lt;author&gt;Sweedd, A&lt;/author&gt;&lt;author&gt;Rabie, H&lt;/author&gt;&lt;/authors&gt;&lt;/contributors&gt;&lt;titles&gt;&lt;title&gt;Sensitivity and speciﬁcity of stroboscopy in preoperative differentiation of dysplasia from early invasive glottic carcinoma&lt;/title&gt;&lt;secondary-title&gt;Eur Arch Otorhinolaryngol&lt;/secondary-title&gt;&lt;/titles&gt;&lt;periodical&gt;&lt;full-title&gt;Eur Arch Otorhinolaryngol&lt;/full-title&gt;&lt;/periodical&gt;&lt;pages&gt;1189-1193&lt;/pages&gt;&lt;volume&gt;272&lt;/volume&gt;&lt;dates&gt;&lt;year&gt;2015&lt;/year&gt;&lt;/dates&gt;&lt;urls&gt;&lt;/urls&gt;&lt;/record&gt;&lt;/Cite&gt;&lt;/EndNote&gt;</w:instrText>
      </w:r>
      <w:r w:rsidRPr="00695C5B">
        <w:rPr>
          <w:vertAlign w:val="superscript"/>
        </w:rPr>
        <w:fldChar w:fldCharType="separate"/>
      </w:r>
      <w:r w:rsidRPr="00695C5B">
        <w:rPr>
          <w:noProof/>
          <w:vertAlign w:val="superscript"/>
        </w:rPr>
        <w:t>(13)</w:t>
      </w:r>
      <w:r w:rsidRPr="00695C5B">
        <w:rPr>
          <w:vertAlign w:val="superscript"/>
        </w:rPr>
        <w:fldChar w:fldCharType="end"/>
      </w:r>
    </w:p>
    <w:p w14:paraId="586490F0" w14:textId="77777777" w:rsidR="00F85147" w:rsidRDefault="00F85147" w:rsidP="00156B1C">
      <w:pPr>
        <w:rPr>
          <w:vertAlign w:val="superscript"/>
        </w:rPr>
      </w:pPr>
      <w:r w:rsidRPr="00695C5B">
        <w:t xml:space="preserve">A recent systematic review by van </w:t>
      </w:r>
      <w:proofErr w:type="spellStart"/>
      <w:r w:rsidRPr="00695C5B">
        <w:t>Balkum</w:t>
      </w:r>
      <w:proofErr w:type="spellEnd"/>
      <w:r w:rsidRPr="00695C5B">
        <w:t xml:space="preserve"> et al</w:t>
      </w:r>
      <w:r w:rsidRPr="00695C5B">
        <w:rPr>
          <w:vertAlign w:val="superscript"/>
        </w:rPr>
        <w:fldChar w:fldCharType="begin"/>
      </w:r>
      <w:r w:rsidRPr="00695C5B">
        <w:rPr>
          <w:vertAlign w:val="superscript"/>
        </w:rPr>
        <w:instrText xml:space="preserve"> ADDIN EN.CITE &lt;EndNote&gt;&lt;Cite&gt;&lt;Author&gt;van Balkum&lt;/Author&gt;&lt;Year&gt;2016&lt;/Year&gt;&lt;RecNum&gt;8&lt;/RecNum&gt;&lt;DisplayText&gt;(12)&lt;/DisplayText&gt;&lt;record&gt;&lt;rec-number&gt;8&lt;/rec-number&gt;&lt;foreign-keys&gt;&lt;key app="EN" db-id="9eda02e5ur2203epr0b59etbtzsf0ssz2xxd" timestamp="1467442376"&gt;8&lt;/key&gt;&lt;/foreign-keys&gt;&lt;ref-type name="Journal Article"&gt;17&lt;/ref-type&gt;&lt;contributors&gt;&lt;authors&gt;&lt;author&gt;van Balkum, M&lt;/author&gt;&lt;author&gt;Buijs, B&lt;/author&gt;&lt;author&gt;Donselaar, EJ&lt;/author&gt;&lt;author&gt;Erkelens, DCA&lt;/author&gt;&lt;author&gt;Fernandes, GL&lt;/author&gt;&lt;author&gt;Wegner, I&lt;/author&gt;&lt;author&gt;Grolman, W&lt;/author&gt;&lt;author&gt;Janssen, LM&lt;/author&gt;&lt;/authors&gt;&lt;/contributors&gt;&lt;titles&gt;&lt;title&gt;Systematic review of the diagnostic value of laryngeal stroboscopy in excluding early glottic carcinoma &lt;/title&gt;&lt;secondary-title&gt;Clin Otolaryngol&lt;/secondary-title&gt;&lt;/titles&gt;&lt;periodical&gt;&lt;full-title&gt;Clin Otolaryngol&lt;/full-title&gt;&lt;/periodical&gt;&lt;pages&gt;000&lt;/pages&gt;&lt;volume&gt;00&lt;/volume&gt;&lt;dates&gt;&lt;year&gt;2016&lt;/year&gt;&lt;/dates&gt;&lt;urls&gt;&lt;/urls&gt;&lt;electronic-resource-num&gt;10.1111/coa.12678&lt;/electronic-resource-num&gt;&lt;/record&gt;&lt;/Cite&gt;&lt;/EndNote&gt;</w:instrText>
      </w:r>
      <w:r w:rsidRPr="00695C5B">
        <w:rPr>
          <w:vertAlign w:val="superscript"/>
        </w:rPr>
        <w:fldChar w:fldCharType="separate"/>
      </w:r>
      <w:r w:rsidRPr="00695C5B">
        <w:rPr>
          <w:noProof/>
          <w:vertAlign w:val="superscript"/>
        </w:rPr>
        <w:t>(12)</w:t>
      </w:r>
      <w:r w:rsidRPr="00695C5B">
        <w:rPr>
          <w:vertAlign w:val="superscript"/>
        </w:rPr>
        <w:fldChar w:fldCharType="end"/>
      </w:r>
      <w:r w:rsidRPr="00695C5B">
        <w:t xml:space="preserve"> found moderate quality evidence to support the utility of </w:t>
      </w:r>
      <w:proofErr w:type="spellStart"/>
      <w:r w:rsidRPr="00695C5B">
        <w:t>stroboscopy</w:t>
      </w:r>
      <w:proofErr w:type="spellEnd"/>
      <w:r w:rsidRPr="00695C5B">
        <w:t xml:space="preserve"> in excluding invasive disease, although it does not appear to be of additional value in establishing the diagnosis of glottis carcinoma.</w:t>
      </w:r>
      <w:r w:rsidR="007736E8">
        <w:t xml:space="preserve"> </w:t>
      </w:r>
      <w:r w:rsidRPr="00695C5B">
        <w:t xml:space="preserve">Conversely, another recent meta-analysis and systematic review by </w:t>
      </w:r>
      <w:proofErr w:type="spellStart"/>
      <w:r w:rsidRPr="00695C5B">
        <w:t>Mehlum</w:t>
      </w:r>
      <w:proofErr w:type="spellEnd"/>
      <w:r w:rsidRPr="00695C5B">
        <w:t xml:space="preserve"> et al found </w:t>
      </w:r>
      <w:proofErr w:type="spellStart"/>
      <w:r w:rsidRPr="00695C5B">
        <w:t>videostroboscopy</w:t>
      </w:r>
      <w:proofErr w:type="spellEnd"/>
      <w:r w:rsidRPr="00695C5B">
        <w:t xml:space="preserve"> to have a range of sensitivities and specificities from 86-100</w:t>
      </w:r>
      <w:r w:rsidR="00C50295">
        <w:t xml:space="preserve"> per cent</w:t>
      </w:r>
      <w:r w:rsidRPr="00695C5B">
        <w:t xml:space="preserve"> and 7-93</w:t>
      </w:r>
      <w:r w:rsidR="00C50295">
        <w:t xml:space="preserve"> per cent</w:t>
      </w:r>
      <w:r w:rsidRPr="00695C5B">
        <w:t xml:space="preserve"> respectively, indicating an ability in general to identify cancer, but being able to accurately exclude cancer in only around 65</w:t>
      </w:r>
      <w:r w:rsidR="00C50295">
        <w:t xml:space="preserve"> per cent</w:t>
      </w:r>
      <w:r w:rsidRPr="00695C5B">
        <w:t xml:space="preserve"> of patients.</w:t>
      </w:r>
      <w:r w:rsidRPr="00695C5B">
        <w:rPr>
          <w:vertAlign w:val="superscript"/>
        </w:rPr>
        <w:fldChar w:fldCharType="begin"/>
      </w:r>
      <w:r w:rsidRPr="00695C5B">
        <w:rPr>
          <w:vertAlign w:val="superscript"/>
        </w:rPr>
        <w:instrText xml:space="preserve"> ADDIN EN.CITE &lt;EndNote&gt;&lt;Cite&gt;&lt;Author&gt;Mehlum&lt;/Author&gt;&lt;Year&gt;2015&lt;/Year&gt;&lt;RecNum&gt;41&lt;/RecNum&gt;&lt;DisplayText&gt;(14)&lt;/DisplayText&gt;&lt;record&gt;&lt;rec-number&gt;41&lt;/rec-number&gt;&lt;foreign-keys&gt;&lt;key app="EN" db-id="9eda02e5ur2203epr0b59etbtzsf0ssz2xxd" timestamp="1467755221"&gt;41&lt;/key&gt;&lt;/foreign-keys&gt;&lt;ref-type name="Journal Article"&gt;17&lt;/ref-type&gt;&lt;contributors&gt;&lt;authors&gt;&lt;author&gt;Mehlum, CS&lt;/author&gt;&lt;author&gt;Rosenberg, T&lt;/author&gt;&lt;author&gt;AGroentved, AM&lt;/author&gt;&lt;author&gt;Dyrvig, A&lt;/author&gt;&lt;author&gt;Godballe, C&lt;/author&gt;&lt;/authors&gt;&lt;/contributors&gt;&lt;titles&gt;&lt;title&gt;Can Videostroboscopy Predict Early Glottic Cancer? A Systematic Review and Meta-analysis&lt;/title&gt;&lt;secondary-title&gt;Laryngoscope&lt;/secondary-title&gt;&lt;/titles&gt;&lt;periodical&gt;&lt;full-title&gt;Laryngoscope&lt;/full-title&gt;&lt;/periodical&gt;&lt;volume&gt;doi: 10.1002/lary.25745&lt;/volume&gt;&lt;dates&gt;&lt;year&gt;2015&lt;/year&gt;&lt;/dates&gt;&lt;urls&gt;&lt;/urls&gt;&lt;/record&gt;&lt;/Cite&gt;&lt;/EndNote&gt;</w:instrText>
      </w:r>
      <w:r w:rsidRPr="00695C5B">
        <w:rPr>
          <w:vertAlign w:val="superscript"/>
        </w:rPr>
        <w:fldChar w:fldCharType="separate"/>
      </w:r>
      <w:r w:rsidRPr="00695C5B">
        <w:rPr>
          <w:noProof/>
          <w:vertAlign w:val="superscript"/>
        </w:rPr>
        <w:t>(14)</w:t>
      </w:r>
      <w:r w:rsidRPr="00695C5B">
        <w:rPr>
          <w:vertAlign w:val="superscript"/>
        </w:rPr>
        <w:fldChar w:fldCharType="end"/>
      </w:r>
      <w:r w:rsidRPr="00695C5B">
        <w:t xml:space="preserve"> The authors in van </w:t>
      </w:r>
      <w:proofErr w:type="spellStart"/>
      <w:r w:rsidRPr="00695C5B">
        <w:t>Balkum</w:t>
      </w:r>
      <w:proofErr w:type="spellEnd"/>
      <w:r w:rsidRPr="00695C5B">
        <w:t xml:space="preserve"> however, noted the heterogeneity of studies and small sample sizes, indicating a need for further research in this area. </w:t>
      </w:r>
      <w:r w:rsidRPr="00695C5B">
        <w:rPr>
          <w:vertAlign w:val="superscript"/>
        </w:rPr>
        <w:fldChar w:fldCharType="begin"/>
      </w:r>
      <w:r w:rsidRPr="00695C5B">
        <w:rPr>
          <w:vertAlign w:val="superscript"/>
        </w:rPr>
        <w:instrText xml:space="preserve"> ADDIN EN.CITE &lt;EndNote&gt;&lt;Cite&gt;&lt;Author&gt;van Balkum&lt;/Author&gt;&lt;Year&gt;2016&lt;/Year&gt;&lt;RecNum&gt;8&lt;/RecNum&gt;&lt;DisplayText&gt;(12)&lt;/DisplayText&gt;&lt;record&gt;&lt;rec-number&gt;8&lt;/rec-number&gt;&lt;foreign-keys&gt;&lt;key app="EN" db-id="9eda02e5ur2203epr0b59etbtzsf0ssz2xxd" timestamp="1467442376"&gt;8&lt;/key&gt;&lt;/foreign-keys&gt;&lt;ref-type name="Journal Article"&gt;17&lt;/ref-type&gt;&lt;contributors&gt;&lt;authors&gt;&lt;author&gt;van Balkum, M&lt;/author&gt;&lt;author&gt;Buijs, B&lt;/author&gt;&lt;author&gt;Donselaar, EJ&lt;/author&gt;&lt;author&gt;Erkelens, DCA&lt;/author&gt;&lt;author&gt;Fernandes, GL&lt;/author&gt;&lt;author&gt;Wegner, I&lt;/author&gt;&lt;author&gt;Grolman, W&lt;/author&gt;&lt;author&gt;Janssen, LM&lt;/author&gt;&lt;/authors&gt;&lt;/contributors&gt;&lt;titles&gt;&lt;title&gt;Systematic review of the diagnostic value of laryngeal stroboscopy in excluding early glottic carcinoma &lt;/title&gt;&lt;secondary-title&gt;Clin Otolaryngol&lt;/secondary-title&gt;&lt;/titles&gt;&lt;periodical&gt;&lt;full-title&gt;Clin Otolaryngol&lt;/full-title&gt;&lt;/periodical&gt;&lt;pages&gt;000&lt;/pages&gt;&lt;volume&gt;00&lt;/volume&gt;&lt;dates&gt;&lt;year&gt;2016&lt;/year&gt;&lt;/dates&gt;&lt;urls&gt;&lt;/urls&gt;&lt;electronic-resource-num&gt;10.1111/coa.12678&lt;/electronic-resource-num&gt;&lt;/record&gt;&lt;/Cite&gt;&lt;/EndNote&gt;</w:instrText>
      </w:r>
      <w:r w:rsidRPr="00695C5B">
        <w:rPr>
          <w:vertAlign w:val="superscript"/>
        </w:rPr>
        <w:fldChar w:fldCharType="separate"/>
      </w:r>
      <w:r w:rsidRPr="00695C5B">
        <w:rPr>
          <w:noProof/>
          <w:vertAlign w:val="superscript"/>
        </w:rPr>
        <w:t>(12)</w:t>
      </w:r>
      <w:r w:rsidRPr="00695C5B">
        <w:rPr>
          <w:vertAlign w:val="superscript"/>
        </w:rPr>
        <w:fldChar w:fldCharType="end"/>
      </w:r>
    </w:p>
    <w:p w14:paraId="25191D48" w14:textId="77777777" w:rsidR="00F85147" w:rsidRPr="00695C5B" w:rsidRDefault="00F85147" w:rsidP="00BA6D5D">
      <w:pPr>
        <w:pStyle w:val="Heading4"/>
      </w:pPr>
      <w:r w:rsidRPr="00695C5B">
        <w:t xml:space="preserve">(a) Are </w:t>
      </w:r>
      <w:r w:rsidRPr="00FE6728">
        <w:t>other</w:t>
      </w:r>
      <w:r w:rsidRPr="00695C5B">
        <w:t xml:space="preserve"> services regularly provided</w:t>
      </w:r>
      <w:r w:rsidR="002065A8">
        <w:t xml:space="preserve"> prior to, in conjunction with or as follow-up to the procedure</w:t>
      </w:r>
      <w:r w:rsidRPr="00695C5B">
        <w:t xml:space="preserve"> </w:t>
      </w:r>
    </w:p>
    <w:p w14:paraId="4F8521AE" w14:textId="77777777" w:rsidR="00F85147" w:rsidRPr="00695C5B" w:rsidRDefault="00F85147" w:rsidP="00156B1C">
      <w:r w:rsidRPr="00695C5B">
        <w:t xml:space="preserve">The number and type of concurrent or subsequent services associated with </w:t>
      </w:r>
      <w:proofErr w:type="spellStart"/>
      <w:r w:rsidRPr="00695C5B">
        <w:t>videostroboscopy</w:t>
      </w:r>
      <w:proofErr w:type="spellEnd"/>
      <w:r w:rsidRPr="00695C5B">
        <w:t xml:space="preserve"> depends upon clinical presentation and pathological findings. In general, a patient would undergo thorough history taking and examination, along with qualitative and quantitative assessments of phonation. Speech pathologist involvement is common, as is review by other relevant medical specialists where required.</w:t>
      </w:r>
      <w:r w:rsidR="007736E8">
        <w:t xml:space="preserve"> </w:t>
      </w:r>
      <w:r w:rsidRPr="00695C5B">
        <w:t xml:space="preserve">Initial direct visualisation of the larynx, followed by further investigation by endoscopy, </w:t>
      </w:r>
      <w:proofErr w:type="spellStart"/>
      <w:r w:rsidRPr="00695C5B">
        <w:t>stroboscopy</w:t>
      </w:r>
      <w:proofErr w:type="spellEnd"/>
      <w:r w:rsidRPr="00695C5B">
        <w:t xml:space="preserve"> or other techniques may follow dependent upon certainty of diagnosis and severity of symptoms. </w:t>
      </w:r>
      <w:r w:rsidRPr="00695C5B">
        <w:rPr>
          <w:vertAlign w:val="superscript"/>
        </w:rPr>
        <w:fldChar w:fldCharType="begin"/>
      </w:r>
      <w:r w:rsidRPr="00695C5B">
        <w:rPr>
          <w:vertAlign w:val="superscript"/>
        </w:rPr>
        <w:instrText xml:space="preserve"> ADDIN EN.CITE &lt;EndNote&gt;&lt;Cite&gt;&lt;Author&gt;Sulica&lt;/Author&gt;&lt;Year&gt;2013&lt;/Year&gt;&lt;RecNum&gt;30&lt;/RecNum&gt;&lt;DisplayText&gt;(15)&lt;/DisplayText&gt;&lt;record&gt;&lt;rec-number&gt;30&lt;/rec-number&gt;&lt;foreign-keys&gt;&lt;key app="EN" db-id="9eda02e5ur2203epr0b59etbtzsf0ssz2xxd" timestamp="1467668575"&gt;30&lt;/key&gt;&lt;/foreign-keys&gt;&lt;ref-type name="Journal Article"&gt;17&lt;/ref-type&gt;&lt;contributors&gt;&lt;authors&gt;&lt;author&gt;Sulica, L&lt;/author&gt;&lt;/authors&gt;&lt;/contributors&gt;&lt;titles&gt;&lt;title&gt;Laryngoscopy, Stroboscopy and Other Tools for the Evaluation of Voice Disorders&lt;/title&gt;&lt;secondary-title&gt;Otolaryngol Clinic N Am&lt;/secondary-title&gt;&lt;/titles&gt;&lt;periodical&gt;&lt;full-title&gt;Otolaryngol Clinic N Am&lt;/full-title&gt;&lt;/periodical&gt;&lt;pages&gt;21-30&lt;/pages&gt;&lt;volume&gt;46&lt;/volume&gt;&lt;dates&gt;&lt;year&gt;2013&lt;/year&gt;&lt;/dates&gt;&lt;urls&gt;&lt;/urls&gt;&lt;/record&gt;&lt;/Cite&gt;&lt;/EndNote&gt;</w:instrText>
      </w:r>
      <w:r w:rsidRPr="00695C5B">
        <w:rPr>
          <w:vertAlign w:val="superscript"/>
        </w:rPr>
        <w:fldChar w:fldCharType="separate"/>
      </w:r>
      <w:r w:rsidRPr="00695C5B">
        <w:rPr>
          <w:noProof/>
          <w:vertAlign w:val="superscript"/>
        </w:rPr>
        <w:t>(15)</w:t>
      </w:r>
      <w:r w:rsidRPr="00695C5B">
        <w:rPr>
          <w:vertAlign w:val="superscript"/>
        </w:rPr>
        <w:fldChar w:fldCharType="end"/>
      </w:r>
    </w:p>
    <w:p w14:paraId="4169F7D6" w14:textId="77777777" w:rsidR="00F85147" w:rsidRPr="00695C5B" w:rsidRDefault="00F85147" w:rsidP="00560BCC">
      <w:pPr>
        <w:pStyle w:val="Heading4"/>
      </w:pPr>
      <w:r w:rsidRPr="00695C5B">
        <w:lastRenderedPageBreak/>
        <w:t xml:space="preserve">(b) Is </w:t>
      </w:r>
      <w:r w:rsidRPr="00FE6728">
        <w:t>the</w:t>
      </w:r>
      <w:r w:rsidRPr="00695C5B">
        <w:t xml:space="preserve"> test confined to occupational health settings (actors, singers </w:t>
      </w:r>
      <w:proofErr w:type="spellStart"/>
      <w:r w:rsidRPr="00695C5B">
        <w:t>etc</w:t>
      </w:r>
      <w:proofErr w:type="spellEnd"/>
      <w:r w:rsidRPr="00695C5B">
        <w:t xml:space="preserve">) </w:t>
      </w:r>
      <w:r w:rsidR="00493564">
        <w:t>or is it also used for other patients or other pathologies</w:t>
      </w:r>
    </w:p>
    <w:p w14:paraId="1955AE9A" w14:textId="77777777" w:rsidR="00F85147" w:rsidRPr="00695C5B" w:rsidRDefault="00F85147" w:rsidP="00156B1C">
      <w:r w:rsidRPr="00695C5B">
        <w:t>Hoarseness and dysphonia (despite the former being a symptom and the latter a diagnosis) are often used interchangeably to indicate an alteration in vocal quality, pitch, loudness or effort that impairs communication or reduces voice-associated quality of life.</w:t>
      </w:r>
      <w:r w:rsidRPr="00695C5B">
        <w:rPr>
          <w:vertAlign w:val="superscript"/>
        </w:rPr>
        <w:fldChar w:fldCharType="begin"/>
      </w:r>
      <w:r w:rsidRPr="00695C5B">
        <w:rPr>
          <w:vertAlign w:val="superscript"/>
        </w:rPr>
        <w:instrText xml:space="preserve"> ADDIN EN.CITE &lt;EndNote&gt;&lt;Cite&gt;&lt;Author&gt;Schwartz&lt;/Author&gt;&lt;Year&gt;2009&lt;/Year&gt;&lt;RecNum&gt;1&lt;/RecNum&gt;&lt;DisplayText&gt;(4)&lt;/DisplayText&gt;&lt;record&gt;&lt;rec-number&gt;1&lt;/rec-number&gt;&lt;foreign-keys&gt;&lt;key app="EN" db-id="9eda02e5ur2203epr0b59etbtzsf0ssz2xxd" timestamp="1466321242"&gt;1&lt;/key&gt;&lt;/foreign-keys&gt;&lt;ref-type name="Journal Article"&gt;17&lt;/ref-type&gt;&lt;contributors&gt;&lt;authors&gt;&lt;author&gt;Schwartz, SR&lt;/author&gt;&lt;author&gt;Cohen, SM&lt;/author&gt;&lt;author&gt;Dailey, SH&lt;/author&gt;&lt;author&gt;Rosenfeld, RM&lt;/author&gt;&lt;author&gt;Deutsch, ES&lt;/author&gt;&lt;author&gt;Gillespie, MB&lt;/author&gt;&lt;author&gt;Granieri, E&lt;/author&gt;&lt;author&gt;Hapner, ER&lt;/author&gt;&lt;author&gt;Kimball, CE&lt;/author&gt;&lt;author&gt;Krouse, HJ&lt;/author&gt;&lt;author&gt;McMurray, JS&lt;/author&gt;&lt;author&gt;Medina, S&lt;/author&gt;&lt;author&gt;O&amp;apos;Brien, K&lt;/author&gt;&lt;author&gt;Ouellette, DR&lt;/author&gt;&lt;author&gt;Messinger-Rapport, BJ&lt;/author&gt;&lt;author&gt;Stachler, RJ&lt;/author&gt;&lt;author&gt;Strode, S&lt;/author&gt;&lt;author&gt;Thompson, DM&lt;/author&gt;&lt;author&gt;Stemple, JC&lt;/author&gt;&lt;author&gt;Willging, JP&lt;/author&gt;&lt;author&gt;Cowley, T&lt;/author&gt;&lt;author&gt;McCoy, S&lt;/author&gt;&lt;author&gt;Bernad, PG&lt;/author&gt;&lt;author&gt;Patel, MM&lt;/author&gt;&lt;/authors&gt;&lt;/contributors&gt;&lt;titles&gt;&lt;title&gt;Clinical Practice Guideline: Hoarseness (Dysphonia)&lt;/title&gt;&lt;secondary-title&gt;Otolaryngol Head Neck Surg&lt;/secondary-title&gt;&lt;/titles&gt;&lt;periodical&gt;&lt;full-title&gt;Otolaryngol Head Neck Surg&lt;/full-title&gt;&lt;/periodical&gt;&lt;pages&gt;supp S1-S31&lt;/pages&gt;&lt;volume&gt;141&lt;/volume&gt;&lt;number&gt;3 &lt;/number&gt;&lt;dates&gt;&lt;year&gt;2009&lt;/year&gt;&lt;/dates&gt;&lt;urls&gt;&lt;/urls&gt;&lt;/record&gt;&lt;/Cite&gt;&lt;/EndNote&gt;</w:instrText>
      </w:r>
      <w:r w:rsidRPr="00695C5B">
        <w:rPr>
          <w:vertAlign w:val="superscript"/>
        </w:rPr>
        <w:fldChar w:fldCharType="separate"/>
      </w:r>
      <w:r w:rsidRPr="00695C5B">
        <w:rPr>
          <w:noProof/>
          <w:vertAlign w:val="superscript"/>
        </w:rPr>
        <w:t>(4)</w:t>
      </w:r>
      <w:r w:rsidRPr="00695C5B">
        <w:rPr>
          <w:vertAlign w:val="superscript"/>
        </w:rPr>
        <w:fldChar w:fldCharType="end"/>
      </w:r>
      <w:r w:rsidRPr="00695C5B">
        <w:t xml:space="preserve"> Causes of hoarseness are numerous, and can be broadly divided into congenital, inflammatory, metabolic or neurological disorders, trauma, tumours, age-related voice change or sulcus </w:t>
      </w:r>
      <w:proofErr w:type="spellStart"/>
      <w:r w:rsidRPr="00695C5B">
        <w:t>volalis</w:t>
      </w:r>
      <w:proofErr w:type="spellEnd"/>
      <w:r w:rsidRPr="00695C5B">
        <w:t>.</w:t>
      </w:r>
      <w:r w:rsidRPr="00695C5B">
        <w:rPr>
          <w:vertAlign w:val="superscript"/>
        </w:rPr>
        <w:fldChar w:fldCharType="begin"/>
      </w:r>
      <w:r w:rsidRPr="00695C5B">
        <w:rPr>
          <w:vertAlign w:val="superscript"/>
        </w:rPr>
        <w:instrText xml:space="preserve"> ADDIN EN.CITE &lt;EndNote&gt;&lt;Cite&gt;&lt;Author&gt;Havas&lt;/Author&gt;&lt;Year&gt;2012&lt;/Year&gt;&lt;RecNum&gt;10&lt;/RecNum&gt;&lt;DisplayText&gt;(16)&lt;/DisplayText&gt;&lt;record&gt;&lt;rec-number&gt;10&lt;/rec-number&gt;&lt;foreign-keys&gt;&lt;key app="EN" db-id="9eda02e5ur2203epr0b59etbtzsf0ssz2xxd" timestamp="1467499488"&gt;10&lt;/key&gt;&lt;/foreign-keys&gt;&lt;ref-type name="Web Page"&gt;12&lt;/ref-type&gt;&lt;contributors&gt;&lt;authors&gt;&lt;author&gt;Havas, TE&lt;/author&gt;&lt;/authors&gt;&lt;/contributors&gt;&lt;titles&gt;&lt;title&gt;Hoarseness and voice dysfunction&lt;/title&gt;&lt;secondary-title&gt;How to Treat&lt;/secondary-title&gt;&lt;/titles&gt;&lt;dates&gt;&lt;year&gt;2012&lt;/year&gt;&lt;/dates&gt;&lt;publisher&gt;Australian Doctor&lt;/publisher&gt;&lt;urls&gt;&lt;related-urls&gt;&lt;url&gt;http://www.australiandoctor.com.au/cmspages/getfile.aspx?guid=37a4e825-6b85-4e25-8c05-3ba8ad21e0f9&lt;/url&gt;&lt;/related-urls&gt;&lt;/urls&gt;&lt;/record&gt;&lt;/Cite&gt;&lt;/EndNote&gt;</w:instrText>
      </w:r>
      <w:r w:rsidRPr="00695C5B">
        <w:rPr>
          <w:vertAlign w:val="superscript"/>
        </w:rPr>
        <w:fldChar w:fldCharType="separate"/>
      </w:r>
      <w:r w:rsidRPr="00695C5B">
        <w:rPr>
          <w:noProof/>
          <w:vertAlign w:val="superscript"/>
        </w:rPr>
        <w:t>(16)</w:t>
      </w:r>
      <w:r w:rsidRPr="00695C5B">
        <w:rPr>
          <w:vertAlign w:val="superscript"/>
        </w:rPr>
        <w:fldChar w:fldCharType="end"/>
      </w:r>
    </w:p>
    <w:p w14:paraId="071805F7" w14:textId="77777777" w:rsidR="00F85147" w:rsidRPr="00695C5B" w:rsidRDefault="00F85147" w:rsidP="00156B1C">
      <w:r w:rsidRPr="00695C5B">
        <w:t xml:space="preserve">As </w:t>
      </w:r>
      <w:proofErr w:type="spellStart"/>
      <w:r w:rsidRPr="00695C5B">
        <w:t>stroboscopy</w:t>
      </w:r>
      <w:proofErr w:type="spellEnd"/>
      <w:r w:rsidRPr="00695C5B">
        <w:t xml:space="preserve"> can assist in the evaluation of frequency, periodicity, amplitude, symmetry, glottic closure and mucosal wave propagation, its use has not been restricted to those in the occupational health setting. Rather, it is seen as an invaluable tool in assessing a wide variety of patients presenting with dysphonia.</w:t>
      </w:r>
      <w:r w:rsidRPr="00695C5B">
        <w:rPr>
          <w:vertAlign w:val="superscript"/>
        </w:rPr>
        <w:fldChar w:fldCharType="begin"/>
      </w:r>
      <w:r w:rsidRPr="00695C5B">
        <w:rPr>
          <w:vertAlign w:val="superscript"/>
        </w:rPr>
        <w:instrText xml:space="preserve"> ADDIN EN.CITE &lt;EndNote&gt;&lt;Cite&gt;&lt;Author&gt;Bryson&lt;/Author&gt;&lt;Year&gt;2015&lt;/Year&gt;&lt;RecNum&gt;4&lt;/RecNum&gt;&lt;DisplayText&gt;(1)&lt;/DisplayText&gt;&lt;record&gt;&lt;rec-number&gt;4&lt;/rec-number&gt;&lt;foreign-keys&gt;&lt;key app="EN" db-id="9eda02e5ur2203epr0b59etbtzsf0ssz2xxd" timestamp="1467282005"&gt;4&lt;/key&gt;&lt;/foreign-keys&gt;&lt;ref-type name="Web Page"&gt;12&lt;/ref-type&gt;&lt;contributors&gt;&lt;authors&gt;&lt;author&gt;Bryson, PC&lt;/author&gt;&lt;/authors&gt;&lt;/contributors&gt;&lt;titles&gt;&lt;title&gt;Stroboscopy&lt;/title&gt;&lt;/titles&gt;&lt;dates&gt;&lt;year&gt;2015&lt;/year&gt;&lt;/dates&gt;&lt;publisher&gt;Medscape&lt;/publisher&gt;&lt;urls&gt;&lt;related-urls&gt;&lt;url&gt;http://emedicine.medscape.com/article/866178-overview&lt;/url&gt;&lt;/related-urls&gt;&lt;/urls&gt;&lt;/record&gt;&lt;/Cite&gt;&lt;/EndNote&gt;</w:instrText>
      </w:r>
      <w:r w:rsidRPr="00695C5B">
        <w:rPr>
          <w:vertAlign w:val="superscript"/>
        </w:rPr>
        <w:fldChar w:fldCharType="separate"/>
      </w:r>
      <w:r w:rsidRPr="00695C5B">
        <w:rPr>
          <w:noProof/>
          <w:vertAlign w:val="superscript"/>
        </w:rPr>
        <w:t>(1)</w:t>
      </w:r>
      <w:r w:rsidRPr="00695C5B">
        <w:rPr>
          <w:vertAlign w:val="superscript"/>
        </w:rPr>
        <w:fldChar w:fldCharType="end"/>
      </w:r>
    </w:p>
    <w:p w14:paraId="3FA99B2A" w14:textId="77777777" w:rsidR="00F85147" w:rsidRPr="00695C5B" w:rsidRDefault="00F85147" w:rsidP="006508BC">
      <w:pPr>
        <w:pStyle w:val="Heading2a"/>
      </w:pPr>
      <w:r w:rsidRPr="00695C5B">
        <w:t xml:space="preserve">Q3. Who performs </w:t>
      </w:r>
      <w:proofErr w:type="spellStart"/>
      <w:r w:rsidRPr="00695C5B">
        <w:t>stroboscopy</w:t>
      </w:r>
      <w:proofErr w:type="spellEnd"/>
      <w:r w:rsidRPr="00695C5B">
        <w:t>?</w:t>
      </w:r>
      <w:r w:rsidR="007736E8">
        <w:t xml:space="preserve"> </w:t>
      </w:r>
      <w:r w:rsidR="005A48BE">
        <w:t xml:space="preserve"> What is the role of a speech pathologist versus an ENT surgeon?</w:t>
      </w:r>
    </w:p>
    <w:p w14:paraId="68B26A34" w14:textId="77777777" w:rsidR="00F85147" w:rsidRPr="00695C5B" w:rsidRDefault="00F85147" w:rsidP="00156B1C">
      <w:r w:rsidRPr="00695C5B">
        <w:t xml:space="preserve">In Australia, it is an ENT surgeon, usually with specialisation in laryngology, who performs </w:t>
      </w:r>
      <w:proofErr w:type="spellStart"/>
      <w:r w:rsidRPr="00695C5B">
        <w:t>videostroboscopy</w:t>
      </w:r>
      <w:proofErr w:type="spellEnd"/>
      <w:r w:rsidRPr="00695C5B">
        <w:t xml:space="preserve"> in the assessment of dysphonia. The official position of the American Speech-Language-Hearing Association (ASHA) is that endoscopy is within the scope of practice for speech language pathologists with specialised training for the “purpose of evaluating and treating disorders of speech, voice, resonance, and swallowing function”.</w:t>
      </w:r>
      <w:r w:rsidRPr="00695C5B">
        <w:rPr>
          <w:vertAlign w:val="superscript"/>
        </w:rPr>
        <w:fldChar w:fldCharType="begin"/>
      </w:r>
      <w:r w:rsidRPr="00695C5B">
        <w:rPr>
          <w:vertAlign w:val="superscript"/>
        </w:rPr>
        <w:instrText xml:space="preserve"> ADDIN EN.CITE &lt;EndNote&gt;&lt;Cite&gt;&lt;Author&gt;ASHA&lt;/Author&gt;&lt;Year&gt;2008&lt;/Year&gt;&lt;RecNum&gt;12&lt;/RecNum&gt;&lt;DisplayText&gt;(17)&lt;/DisplayText&gt;&lt;record&gt;&lt;rec-number&gt;12&lt;/rec-number&gt;&lt;foreign-keys&gt;&lt;key app="EN" db-id="9eda02e5ur2203epr0b59etbtzsf0ssz2xxd" timestamp="1467524194"&gt;12&lt;/key&gt;&lt;/foreign-keys&gt;&lt;ref-type name="Web Page"&gt;12&lt;/ref-type&gt;&lt;contributors&gt;&lt;authors&gt;&lt;author&gt;ASHA&lt;/author&gt;&lt;/authors&gt;&lt;/contributors&gt;&lt;titles&gt;&lt;title&gt;Use of endoscopy by speeh-language pathologists: position statement&lt;/title&gt;&lt;/titles&gt;&lt;dates&gt;&lt;year&gt;2008&lt;/year&gt;&lt;/dates&gt;&lt;publisher&gt;American Speech-Language-Hearing Association &lt;/publisher&gt;&lt;urls&gt;&lt;related-urls&gt;&lt;url&gt;http://www.asha.org/policy/PS2008-00297/&lt;/url&gt;&lt;/related-urls&gt;&lt;/urls&gt;&lt;/record&gt;&lt;/Cite&gt;&lt;/EndNote&gt;</w:instrText>
      </w:r>
      <w:r w:rsidRPr="00695C5B">
        <w:rPr>
          <w:vertAlign w:val="superscript"/>
        </w:rPr>
        <w:fldChar w:fldCharType="separate"/>
      </w:r>
      <w:r w:rsidRPr="00695C5B">
        <w:rPr>
          <w:noProof/>
          <w:vertAlign w:val="superscript"/>
        </w:rPr>
        <w:t>(17)</w:t>
      </w:r>
      <w:r w:rsidRPr="00695C5B">
        <w:rPr>
          <w:vertAlign w:val="superscript"/>
        </w:rPr>
        <w:fldChar w:fldCharType="end"/>
      </w:r>
      <w:r w:rsidRPr="00695C5B">
        <w:t xml:space="preserve"> In several North American states, speech and language pathologists are able to perform endoscopy including </w:t>
      </w:r>
      <w:proofErr w:type="spellStart"/>
      <w:r w:rsidRPr="00695C5B">
        <w:t>stroboscopy</w:t>
      </w:r>
      <w:proofErr w:type="spellEnd"/>
      <w:r w:rsidRPr="00695C5B">
        <w:t>, under otolaryngologist supervision, for functional assessment of swallow. However, not all states have endorsed this scope of practice and of those that have, many restrict such scope to a functional assessment, without provision of a medical diagnosis or administration of anaesthetic.</w:t>
      </w:r>
      <w:r w:rsidRPr="00695C5B">
        <w:rPr>
          <w:vertAlign w:val="superscript"/>
        </w:rPr>
        <w:fldChar w:fldCharType="begin"/>
      </w:r>
      <w:r w:rsidRPr="00695C5B">
        <w:rPr>
          <w:vertAlign w:val="superscript"/>
        </w:rPr>
        <w:instrText xml:space="preserve"> ADDIN EN.CITE &lt;EndNote&gt;&lt;Cite&gt;&lt;Author&gt;ASHA&lt;/Author&gt;&lt;Year&gt;2007&lt;/Year&gt;&lt;RecNum&gt;11&lt;/RecNum&gt;&lt;DisplayText&gt;(18)&lt;/DisplayText&gt;&lt;record&gt;&lt;rec-number&gt;11&lt;/rec-number&gt;&lt;foreign-keys&gt;&lt;key app="EN" db-id="9eda02e5ur2203epr0b59etbtzsf0ssz2xxd" timestamp="1467523267"&gt;11&lt;/key&gt;&lt;/foreign-keys&gt;&lt;ref-type name="Web Page"&gt;12&lt;/ref-type&gt;&lt;contributors&gt;&lt;authors&gt;&lt;author&gt;ASHA&lt;/author&gt;&lt;/authors&gt;&lt;/contributors&gt;&lt;titles&gt;&lt;title&gt;ASHA Talking Points on SLPs Performing Endoscopy for Swallowing Assessment&lt;/title&gt;&lt;/titles&gt;&lt;dates&gt;&lt;year&gt;2007&lt;/year&gt;&lt;/dates&gt;&lt;urls&gt;&lt;related-urls&gt;&lt;url&gt;http://www.asha.org/slp/clinical/dysphagia/talking_points_endoscopy/&lt;/url&gt;&lt;/related-urls&gt;&lt;/urls&gt;&lt;/record&gt;&lt;/Cite&gt;&lt;/EndNote&gt;</w:instrText>
      </w:r>
      <w:r w:rsidRPr="00695C5B">
        <w:rPr>
          <w:vertAlign w:val="superscript"/>
        </w:rPr>
        <w:fldChar w:fldCharType="separate"/>
      </w:r>
      <w:r w:rsidRPr="00695C5B">
        <w:rPr>
          <w:noProof/>
          <w:vertAlign w:val="superscript"/>
        </w:rPr>
        <w:t>(18)</w:t>
      </w:r>
      <w:r w:rsidRPr="00695C5B">
        <w:rPr>
          <w:vertAlign w:val="superscript"/>
        </w:rPr>
        <w:fldChar w:fldCharType="end"/>
      </w:r>
      <w:r w:rsidRPr="00695C5B">
        <w:t xml:space="preserve"> </w:t>
      </w:r>
    </w:p>
    <w:p w14:paraId="1FA145D4" w14:textId="77777777" w:rsidR="00F85147" w:rsidRPr="00695C5B" w:rsidRDefault="00F85147" w:rsidP="00156B1C">
      <w:r w:rsidRPr="00695C5B">
        <w:t xml:space="preserve">Speech pathologists evaluate voice disorders using perceptual, acoustic, aerodynamic and laryngeal imaging methods including </w:t>
      </w:r>
      <w:proofErr w:type="spellStart"/>
      <w:r w:rsidRPr="00695C5B">
        <w:t>videolaryngostroboscopy</w:t>
      </w:r>
      <w:proofErr w:type="spellEnd"/>
      <w:r w:rsidRPr="00695C5B">
        <w:t xml:space="preserve"> to inform diagnosis, assess impairment and monitor progress.</w:t>
      </w:r>
      <w:r w:rsidRPr="00695C5B">
        <w:rPr>
          <w:vertAlign w:val="superscript"/>
        </w:rPr>
        <w:fldChar w:fldCharType="begin"/>
      </w:r>
      <w:r w:rsidRPr="00695C5B">
        <w:rPr>
          <w:vertAlign w:val="superscript"/>
        </w:rPr>
        <w:instrText xml:space="preserve"> ADDIN EN.CITE &lt;EndNote&gt;&lt;Cite&gt;&lt;Author&gt;Cohen&lt;/Author&gt;&lt;Year&gt;2016&lt;/Year&gt;&lt;RecNum&gt;9&lt;/RecNum&gt;&lt;DisplayText&gt;(19)&lt;/DisplayText&gt;&lt;record&gt;&lt;rec-number&gt;9&lt;/rec-number&gt;&lt;foreign-keys&gt;&lt;key app="EN" db-id="9eda02e5ur2203epr0b59etbtzsf0ssz2xxd" timestamp="1467460785"&gt;9&lt;/key&gt;&lt;/foreign-keys&gt;&lt;ref-type name="Journal Article"&gt;17&lt;/ref-type&gt;&lt;contributors&gt;&lt;authors&gt;&lt;author&gt;Cohen, SM&lt;/author&gt;&lt;author&gt;Dinan, MA&lt;/author&gt;&lt;author&gt;Kim, J&lt;/author&gt;&lt;author&gt;Roy, N&lt;/author&gt;&lt;/authors&gt;&lt;/contributors&gt;&lt;titles&gt;&lt;title&gt;Otolaryngology Utilization of Speech-Language Pathology Services for Voice Disorders&lt;/title&gt;&lt;secondary-title&gt;The Laryngoscope&lt;/secondary-title&gt;&lt;/titles&gt;&lt;periodical&gt;&lt;full-title&gt;The Laryngoscope&lt;/full-title&gt;&lt;/periodical&gt;&lt;pages&gt;906-912&lt;/pages&gt;&lt;volume&gt;126&lt;/volume&gt;&lt;dates&gt;&lt;year&gt;2016&lt;/year&gt;&lt;/dates&gt;&lt;urls&gt;&lt;/urls&gt;&lt;/record&gt;&lt;/Cite&gt;&lt;/EndNote&gt;</w:instrText>
      </w:r>
      <w:r w:rsidRPr="00695C5B">
        <w:rPr>
          <w:vertAlign w:val="superscript"/>
        </w:rPr>
        <w:fldChar w:fldCharType="separate"/>
      </w:r>
      <w:r w:rsidRPr="00695C5B">
        <w:rPr>
          <w:noProof/>
          <w:vertAlign w:val="superscript"/>
        </w:rPr>
        <w:t>(19)</w:t>
      </w:r>
      <w:r w:rsidRPr="00695C5B">
        <w:rPr>
          <w:vertAlign w:val="superscript"/>
        </w:rPr>
        <w:fldChar w:fldCharType="end"/>
      </w:r>
      <w:r w:rsidRPr="00695C5B">
        <w:t xml:space="preserve"> Voice therapy may be utilised in distinguishing between diagnoses, as an adjunct to medical or surgical intervention, or as stand-alone management.</w:t>
      </w:r>
      <w:r w:rsidRPr="00695C5B">
        <w:rPr>
          <w:vertAlign w:val="superscript"/>
        </w:rPr>
        <w:fldChar w:fldCharType="begin"/>
      </w:r>
      <w:r w:rsidRPr="00695C5B">
        <w:rPr>
          <w:vertAlign w:val="superscript"/>
        </w:rPr>
        <w:instrText xml:space="preserve"> ADDIN EN.CITE &lt;EndNote&gt;&lt;Cite&gt;&lt;Author&gt;Cohen&lt;/Author&gt;&lt;Year&gt;2016&lt;/Year&gt;&lt;RecNum&gt;9&lt;/RecNum&gt;&lt;DisplayText&gt;(19)&lt;/DisplayText&gt;&lt;record&gt;&lt;rec-number&gt;9&lt;/rec-number&gt;&lt;foreign-keys&gt;&lt;key app="EN" db-id="9eda02e5ur2203epr0b59etbtzsf0ssz2xxd" timestamp="1467460785"&gt;9&lt;/key&gt;&lt;/foreign-keys&gt;&lt;ref-type name="Journal Article"&gt;17&lt;/ref-type&gt;&lt;contributors&gt;&lt;authors&gt;&lt;author&gt;Cohen, SM&lt;/author&gt;&lt;author&gt;Dinan, MA&lt;/author&gt;&lt;author&gt;Kim, J&lt;/author&gt;&lt;author&gt;Roy, N&lt;/author&gt;&lt;/authors&gt;&lt;/contributors&gt;&lt;titles&gt;&lt;title&gt;Otolaryngology Utilization of Speech-Language Pathology Services for Voice Disorders&lt;/title&gt;&lt;secondary-title&gt;The Laryngoscope&lt;/secondary-title&gt;&lt;/titles&gt;&lt;periodical&gt;&lt;full-title&gt;The Laryngoscope&lt;/full-title&gt;&lt;/periodical&gt;&lt;pages&gt;906-912&lt;/pages&gt;&lt;volume&gt;126&lt;/volume&gt;&lt;dates&gt;&lt;year&gt;2016&lt;/year&gt;&lt;/dates&gt;&lt;urls&gt;&lt;/urls&gt;&lt;/record&gt;&lt;/Cite&gt;&lt;/EndNote&gt;</w:instrText>
      </w:r>
      <w:r w:rsidRPr="00695C5B">
        <w:rPr>
          <w:vertAlign w:val="superscript"/>
        </w:rPr>
        <w:fldChar w:fldCharType="separate"/>
      </w:r>
      <w:r w:rsidRPr="00695C5B">
        <w:rPr>
          <w:noProof/>
          <w:vertAlign w:val="superscript"/>
        </w:rPr>
        <w:t>(19)</w:t>
      </w:r>
      <w:r w:rsidRPr="00695C5B">
        <w:rPr>
          <w:vertAlign w:val="superscript"/>
        </w:rPr>
        <w:fldChar w:fldCharType="end"/>
      </w:r>
      <w:r w:rsidRPr="00695C5B">
        <w:t xml:space="preserve"> Patients in whom speech pathology intervention has been shown to be effective include those with muscle tension dysphonia, benign vocal fold lesions, age-related vocal fold atrophy, neurological disorders and reflux-related vocal dysfunction.</w:t>
      </w:r>
      <w:r w:rsidR="007736E8">
        <w:t xml:space="preserve"> </w:t>
      </w:r>
      <w:r w:rsidRPr="00695C5B">
        <w:rPr>
          <w:vertAlign w:val="superscript"/>
        </w:rPr>
        <w:fldChar w:fldCharType="begin"/>
      </w:r>
      <w:r w:rsidRPr="00695C5B">
        <w:rPr>
          <w:vertAlign w:val="superscript"/>
        </w:rPr>
        <w:instrText xml:space="preserve"> ADDIN EN.CITE &lt;EndNote&gt;&lt;Cite&gt;&lt;Author&gt;Cohen&lt;/Author&gt;&lt;Year&gt;2016&lt;/Year&gt;&lt;RecNum&gt;9&lt;/RecNum&gt;&lt;DisplayText&gt;(19)&lt;/DisplayText&gt;&lt;record&gt;&lt;rec-number&gt;9&lt;/rec-number&gt;&lt;foreign-keys&gt;&lt;key app="EN" db-id="9eda02e5ur2203epr0b59etbtzsf0ssz2xxd" timestamp="1467460785"&gt;9&lt;/key&gt;&lt;/foreign-keys&gt;&lt;ref-type name="Journal Article"&gt;17&lt;/ref-type&gt;&lt;contributors&gt;&lt;authors&gt;&lt;author&gt;Cohen, SM&lt;/author&gt;&lt;author&gt;Dinan, MA&lt;/author&gt;&lt;author&gt;Kim, J&lt;/author&gt;&lt;author&gt;Roy, N&lt;/author&gt;&lt;/authors&gt;&lt;/contributors&gt;&lt;titles&gt;&lt;title&gt;Otolaryngology Utilization of Speech-Language Pathology Services for Voice Disorders&lt;/title&gt;&lt;secondary-title&gt;The Laryngoscope&lt;/secondary-title&gt;&lt;/titles&gt;&lt;periodical&gt;&lt;full-title&gt;The Laryngoscope&lt;/full-title&gt;&lt;/periodical&gt;&lt;pages&gt;906-912&lt;/pages&gt;&lt;volume&gt;126&lt;/volume&gt;&lt;dates&gt;&lt;year&gt;2016&lt;/year&gt;&lt;/dates&gt;&lt;urls&gt;&lt;/urls&gt;&lt;/record&gt;&lt;/Cite&gt;&lt;/EndNote&gt;</w:instrText>
      </w:r>
      <w:r w:rsidRPr="00695C5B">
        <w:rPr>
          <w:vertAlign w:val="superscript"/>
        </w:rPr>
        <w:fldChar w:fldCharType="separate"/>
      </w:r>
      <w:r w:rsidRPr="00695C5B">
        <w:rPr>
          <w:noProof/>
          <w:vertAlign w:val="superscript"/>
        </w:rPr>
        <w:t>(19)</w:t>
      </w:r>
      <w:r w:rsidRPr="00695C5B">
        <w:rPr>
          <w:vertAlign w:val="superscript"/>
        </w:rPr>
        <w:fldChar w:fldCharType="end"/>
      </w:r>
    </w:p>
    <w:p w14:paraId="09008FF0" w14:textId="77777777" w:rsidR="00F85147" w:rsidRPr="00695C5B" w:rsidRDefault="00F85147" w:rsidP="006508BC">
      <w:pPr>
        <w:pStyle w:val="Heading2a"/>
      </w:pPr>
      <w:r w:rsidRPr="00695C5B">
        <w:t xml:space="preserve">Q4. What </w:t>
      </w:r>
      <w:r w:rsidR="00B97414">
        <w:t xml:space="preserve">is the </w:t>
      </w:r>
      <w:r w:rsidRPr="00695C5B">
        <w:t xml:space="preserve">evidence that </w:t>
      </w:r>
      <w:proofErr w:type="spellStart"/>
      <w:r w:rsidRPr="00695C5B">
        <w:t>stroboscopy</w:t>
      </w:r>
      <w:proofErr w:type="spellEnd"/>
      <w:r w:rsidRPr="00695C5B">
        <w:t xml:space="preserve"> has clinical utility in the diagnosis an</w:t>
      </w:r>
      <w:r w:rsidR="00776CB7">
        <w:t xml:space="preserve">d management of vocal </w:t>
      </w:r>
      <w:r w:rsidR="00922C21">
        <w:t>disorders?</w:t>
      </w:r>
    </w:p>
    <w:p w14:paraId="759EAD52" w14:textId="77777777" w:rsidR="00F85147" w:rsidRPr="00695C5B" w:rsidRDefault="00F85147" w:rsidP="00156B1C">
      <w:r w:rsidRPr="00695C5B">
        <w:t xml:space="preserve">There have been numerous studies over the years to support the utility of </w:t>
      </w:r>
      <w:proofErr w:type="spellStart"/>
      <w:r w:rsidRPr="00695C5B">
        <w:t>stroboscopy</w:t>
      </w:r>
      <w:proofErr w:type="spellEnd"/>
      <w:r w:rsidRPr="00695C5B">
        <w:t xml:space="preserve"> as a diagnostic tool in the evaluation of dysphonia.</w:t>
      </w:r>
      <w:r w:rsidRPr="00695C5B">
        <w:rPr>
          <w:vertAlign w:val="superscript"/>
        </w:rPr>
        <w:fldChar w:fldCharType="begin">
          <w:fldData xml:space="preserve">PEVuZE5vdGU+PENpdGU+PEF1dGhvcj5Xb288L0F1dGhvcj48WWVhcj4xOTkxPC9ZZWFyPjxSZWNO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</w:fldData>
        </w:fldChar>
      </w:r>
      <w:r w:rsidRPr="00695C5B">
        <w:rPr>
          <w:vertAlign w:val="superscript"/>
        </w:rPr>
        <w:instrText xml:space="preserve"> ADDIN EN.CITE </w:instrText>
      </w:r>
      <w:r w:rsidRPr="00695C5B">
        <w:rPr>
          <w:vertAlign w:val="superscript"/>
        </w:rPr>
        <w:fldChar w:fldCharType="begin">
          <w:fldData xml:space="preserve">PEVuZE5vdGU+PENpdGU+PEF1dGhvcj5Xb288L0F1dGhvcj48WWVhcj4xOTkxPC9ZZWFyPjxSZWNO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</w:fldData>
        </w:fldChar>
      </w:r>
      <w:r w:rsidRPr="00695C5B">
        <w:rPr>
          <w:vertAlign w:val="superscript"/>
        </w:rPr>
        <w:instrText xml:space="preserve"> ADDIN EN.CITE.DATA </w:instrText>
      </w:r>
      <w:r w:rsidRPr="00695C5B">
        <w:rPr>
          <w:vertAlign w:val="superscript"/>
        </w:rPr>
      </w:r>
      <w:r w:rsidRPr="00695C5B">
        <w:rPr>
          <w:vertAlign w:val="superscript"/>
        </w:rPr>
        <w:fldChar w:fldCharType="end"/>
      </w:r>
      <w:r w:rsidRPr="00695C5B">
        <w:rPr>
          <w:vertAlign w:val="superscript"/>
        </w:rPr>
      </w:r>
      <w:r w:rsidRPr="00695C5B">
        <w:rPr>
          <w:vertAlign w:val="superscript"/>
        </w:rPr>
        <w:fldChar w:fldCharType="separate"/>
      </w:r>
      <w:r w:rsidRPr="00695C5B">
        <w:rPr>
          <w:noProof/>
          <w:vertAlign w:val="superscript"/>
        </w:rPr>
        <w:t>(20-22)</w:t>
      </w:r>
      <w:r w:rsidRPr="00695C5B">
        <w:rPr>
          <w:vertAlign w:val="superscript"/>
        </w:rPr>
        <w:fldChar w:fldCharType="end"/>
      </w:r>
      <w:r w:rsidRPr="00695C5B">
        <w:t xml:space="preserve"> </w:t>
      </w:r>
      <w:proofErr w:type="spellStart"/>
      <w:r w:rsidRPr="00695C5B">
        <w:t>Videostroboscopy</w:t>
      </w:r>
      <w:proofErr w:type="spellEnd"/>
      <w:r w:rsidRPr="00695C5B">
        <w:t xml:space="preserve"> continues to be widely used by </w:t>
      </w:r>
      <w:proofErr w:type="spellStart"/>
      <w:r w:rsidRPr="00695C5B">
        <w:t>otolarygologists</w:t>
      </w:r>
      <w:proofErr w:type="spellEnd"/>
      <w:r w:rsidRPr="00695C5B">
        <w:t xml:space="preserve"> not only because of role in diagnostic voice assessment, but its wide availability, relative ease of use and cost effectiveness.</w:t>
      </w:r>
      <w:r w:rsidRPr="00695C5B">
        <w:rPr>
          <w:vertAlign w:val="superscript"/>
        </w:rPr>
        <w:t xml:space="preserve"> </w:t>
      </w:r>
      <w:r w:rsidRPr="00695C5B">
        <w:rPr>
          <w:vertAlign w:val="superscript"/>
        </w:rPr>
        <w:fldChar w:fldCharType="begin"/>
      </w:r>
      <w:r w:rsidRPr="00695C5B">
        <w:rPr>
          <w:vertAlign w:val="superscript"/>
        </w:rPr>
        <w:instrText xml:space="preserve"> ADDIN EN.CITE &lt;EndNote&gt;&lt;Cite&gt;&lt;Author&gt;Mehta&lt;/Author&gt;&lt;Year&gt;2012&lt;/Year&gt;&lt;RecNum&gt;7&lt;/RecNum&gt;&lt;DisplayText&gt;(23)&lt;/DisplayText&gt;&lt;record&gt;&lt;rec-number&gt;7&lt;/rec-number&gt;&lt;foreign-keys&gt;&lt;key app="EN" db-id="9eda02e5ur2203epr0b59etbtzsf0ssz2xxd" timestamp="1467442103"&gt;7&lt;/key&gt;&lt;/foreign-keys&gt;&lt;ref-type name="Journal Article"&gt;17&lt;/ref-type&gt;&lt;contributors&gt;&lt;authors&gt;&lt;author&gt;Mehta, DD&lt;/author&gt;&lt;author&gt;Hillman, RE&lt;/author&gt;&lt;/authors&gt;&lt;/contributors&gt;&lt;titles&gt;&lt;title&gt;Current role of stroboscopy in laryngeal imaging&lt;/title&gt;&lt;secondary-title&gt;Curr Opin Otolaryngol Head Neck Surg&lt;/secondary-title&gt;&lt;/titles&gt;&lt;periodical&gt;&lt;full-title&gt;Curr Opin Otolaryngol Head Neck Surg&lt;/full-title&gt;&lt;/periodical&gt;&lt;pages&gt;429-36&lt;/pages&gt;&lt;volume&gt;20&lt;/volume&gt;&lt;number&gt;6&lt;/number&gt;&lt;dates&gt;&lt;year&gt;2012&lt;/year&gt;&lt;/dates&gt;&lt;urls&gt;&lt;/urls&gt;&lt;/record&gt;&lt;/Cite&gt;&lt;/EndNote&gt;</w:instrText>
      </w:r>
      <w:r w:rsidRPr="00695C5B">
        <w:rPr>
          <w:vertAlign w:val="superscript"/>
        </w:rPr>
        <w:fldChar w:fldCharType="separate"/>
      </w:r>
      <w:r w:rsidRPr="00695C5B">
        <w:rPr>
          <w:noProof/>
          <w:vertAlign w:val="superscript"/>
        </w:rPr>
        <w:t>(23)</w:t>
      </w:r>
      <w:r w:rsidRPr="00695C5B">
        <w:rPr>
          <w:vertAlign w:val="superscript"/>
        </w:rPr>
        <w:fldChar w:fldCharType="end"/>
      </w:r>
      <w:r w:rsidRPr="00695C5B">
        <w:t xml:space="preserve"> </w:t>
      </w:r>
    </w:p>
    <w:p w14:paraId="636C1966" w14:textId="77777777" w:rsidR="00F85147" w:rsidRPr="00695C5B" w:rsidRDefault="00F85147" w:rsidP="00156B1C">
      <w:r w:rsidRPr="00695C5B">
        <w:lastRenderedPageBreak/>
        <w:t xml:space="preserve">As mentioned previously, it provides information as to vibratory and dynamic characteristics of the vocal folds during phonation, </w:t>
      </w:r>
      <w:proofErr w:type="gramStart"/>
      <w:r w:rsidRPr="00695C5B">
        <w:t>however</w:t>
      </w:r>
      <w:proofErr w:type="gramEnd"/>
      <w:r w:rsidRPr="00695C5B">
        <w:t xml:space="preserve"> does have some limitations.</w:t>
      </w:r>
      <w:r w:rsidR="007736E8">
        <w:t xml:space="preserve"> </w:t>
      </w:r>
      <w:r w:rsidRPr="00695C5B">
        <w:t xml:space="preserve">Firstly, </w:t>
      </w:r>
      <w:proofErr w:type="gramStart"/>
      <w:r w:rsidRPr="00695C5B">
        <w:t>in order for</w:t>
      </w:r>
      <w:proofErr w:type="gramEnd"/>
      <w:r w:rsidRPr="00695C5B">
        <w:t xml:space="preserve"> synchronization of the strobe light to the fundamental frequency to occur, vocal fold vibration must be relatively periodic.</w:t>
      </w:r>
      <w:r w:rsidR="007736E8">
        <w:t xml:space="preserve"> </w:t>
      </w:r>
      <w:r w:rsidRPr="00695C5B">
        <w:t xml:space="preserve">It is also not possible to assess intra-cycle variation; given </w:t>
      </w:r>
      <w:proofErr w:type="spellStart"/>
      <w:r w:rsidRPr="00695C5B">
        <w:t>stroboscopy</w:t>
      </w:r>
      <w:proofErr w:type="spellEnd"/>
      <w:r w:rsidRPr="00695C5B">
        <w:t xml:space="preserve"> samples images over several vibratory cycles. </w:t>
      </w:r>
      <w:r w:rsidRPr="00695C5B">
        <w:rPr>
          <w:vertAlign w:val="superscript"/>
        </w:rPr>
        <w:fldChar w:fldCharType="begin"/>
      </w:r>
      <w:r w:rsidRPr="00695C5B">
        <w:rPr>
          <w:vertAlign w:val="superscript"/>
        </w:rPr>
        <w:instrText xml:space="preserve"> ADDIN EN.CITE &lt;EndNote&gt;&lt;Cite&gt;&lt;Author&gt;Tsuji&lt;/Author&gt;&lt;Year&gt;2014&lt;/Year&gt;&lt;RecNum&gt;2&lt;/RecNum&gt;&lt;DisplayText&gt;(24)&lt;/DisplayText&gt;&lt;record&gt;&lt;rec-number&gt;2&lt;/rec-number&gt;&lt;foreign-keys&gt;&lt;key app="EN" db-id="9eda02e5ur2203epr0b59etbtzsf0ssz2xxd" timestamp="1466328892"&gt;2&lt;/key&gt;&lt;/foreign-keys&gt;&lt;ref-type name="Journal Article"&gt;17&lt;/ref-type&gt;&lt;contributors&gt;&lt;authors&gt;&lt;author&gt;Tsuji, DH&lt;/author&gt;&lt;author&gt;Hachiya, A&lt;/author&gt;&lt;author&gt;Dajer, ME&lt;/author&gt;&lt;author&gt;Ishikawa, CC&lt;/author&gt;&lt;author&gt;Takahashi, MT&lt;/author&gt;&lt;author&gt;Montagnoli, AN&lt;/author&gt;&lt;/authors&gt;&lt;/contributors&gt;&lt;titles&gt;&lt;title&gt;Improvement of Vocal Pathologies Diagnosis Using HIgh-Speed Videolaryngoscopy&lt;/title&gt;&lt;secondary-title&gt;Int Arch Otorhinolaryngol&lt;/secondary-title&gt;&lt;/titles&gt;&lt;periodical&gt;&lt;full-title&gt;Int Arch Otorhinolaryngol&lt;/full-title&gt;&lt;/periodical&gt;&lt;pages&gt;294-302&lt;/pages&gt;&lt;volume&gt;18&lt;/volume&gt;&lt;dates&gt;&lt;year&gt;2014&lt;/year&gt;&lt;/dates&gt;&lt;urls&gt;&lt;/urls&gt;&lt;/record&gt;&lt;/Cite&gt;&lt;/EndNote&gt;</w:instrText>
      </w:r>
      <w:r w:rsidRPr="00695C5B">
        <w:rPr>
          <w:vertAlign w:val="superscript"/>
        </w:rPr>
        <w:fldChar w:fldCharType="separate"/>
      </w:r>
      <w:r w:rsidRPr="00695C5B">
        <w:rPr>
          <w:noProof/>
          <w:vertAlign w:val="superscript"/>
        </w:rPr>
        <w:t>(24)</w:t>
      </w:r>
      <w:r w:rsidRPr="00695C5B">
        <w:rPr>
          <w:vertAlign w:val="superscript"/>
        </w:rPr>
        <w:fldChar w:fldCharType="end"/>
      </w:r>
      <w:r w:rsidRPr="00695C5B">
        <w:t xml:space="preserve"> Finally, </w:t>
      </w:r>
      <w:proofErr w:type="spellStart"/>
      <w:r w:rsidRPr="00695C5B">
        <w:t>videostroboscopy</w:t>
      </w:r>
      <w:proofErr w:type="spellEnd"/>
      <w:r w:rsidRPr="00695C5B">
        <w:t xml:space="preserve"> is not capable of recording the onset and offset of phonation. </w:t>
      </w:r>
      <w:r w:rsidRPr="00695C5B">
        <w:rPr>
          <w:vertAlign w:val="superscript"/>
        </w:rPr>
        <w:fldChar w:fldCharType="begin"/>
      </w:r>
      <w:r w:rsidRPr="00695C5B">
        <w:rPr>
          <w:vertAlign w:val="superscript"/>
        </w:rPr>
        <w:instrText xml:space="preserve"> ADDIN EN.CITE &lt;EndNote&gt;&lt;Cite&gt;&lt;Author&gt;Tsuji&lt;/Author&gt;&lt;Year&gt;2014&lt;/Year&gt;&lt;RecNum&gt;2&lt;/RecNum&gt;&lt;DisplayText&gt;(24)&lt;/DisplayText&gt;&lt;record&gt;&lt;rec-number&gt;2&lt;/rec-number&gt;&lt;foreign-keys&gt;&lt;key app="EN" db-id="9eda02e5ur2203epr0b59etbtzsf0ssz2xxd" timestamp="1466328892"&gt;2&lt;/key&gt;&lt;/foreign-keys&gt;&lt;ref-type name="Journal Article"&gt;17&lt;/ref-type&gt;&lt;contributors&gt;&lt;authors&gt;&lt;author&gt;Tsuji, DH&lt;/author&gt;&lt;author&gt;Hachiya, A&lt;/author&gt;&lt;author&gt;Dajer, ME&lt;/author&gt;&lt;author&gt;Ishikawa, CC&lt;/author&gt;&lt;author&gt;Takahashi, MT&lt;/author&gt;&lt;author&gt;Montagnoli, AN&lt;/author&gt;&lt;/authors&gt;&lt;/contributors&gt;&lt;titles&gt;&lt;title&gt;Improvement of Vocal Pathologies Diagnosis Using HIgh-Speed Videolaryngoscopy&lt;/title&gt;&lt;secondary-title&gt;Int Arch Otorhinolaryngol&lt;/secondary-title&gt;&lt;/titles&gt;&lt;periodical&gt;&lt;full-title&gt;Int Arch Otorhinolaryngol&lt;/full-title&gt;&lt;/periodical&gt;&lt;pages&gt;294-302&lt;/pages&gt;&lt;volume&gt;18&lt;/volume&gt;&lt;dates&gt;&lt;year&gt;2014&lt;/year&gt;&lt;/dates&gt;&lt;urls&gt;&lt;/urls&gt;&lt;/record&gt;&lt;/Cite&gt;&lt;/EndNote&gt;</w:instrText>
      </w:r>
      <w:r w:rsidRPr="00695C5B">
        <w:rPr>
          <w:vertAlign w:val="superscript"/>
        </w:rPr>
        <w:fldChar w:fldCharType="separate"/>
      </w:r>
      <w:r w:rsidRPr="00695C5B">
        <w:rPr>
          <w:noProof/>
          <w:vertAlign w:val="superscript"/>
        </w:rPr>
        <w:t>(24)</w:t>
      </w:r>
      <w:r w:rsidRPr="00695C5B">
        <w:rPr>
          <w:vertAlign w:val="superscript"/>
        </w:rPr>
        <w:fldChar w:fldCharType="end"/>
      </w:r>
    </w:p>
    <w:p w14:paraId="45174C93" w14:textId="77777777" w:rsidR="00F85147" w:rsidRPr="00695C5B" w:rsidRDefault="00F85147" w:rsidP="00156B1C">
      <w:r w:rsidRPr="00695C5B">
        <w:t xml:space="preserve">There have also been questions relating to the inter-rater reliability of </w:t>
      </w:r>
      <w:proofErr w:type="spellStart"/>
      <w:r w:rsidRPr="00695C5B">
        <w:t>stroboscopy</w:t>
      </w:r>
      <w:proofErr w:type="spellEnd"/>
      <w:r w:rsidRPr="00695C5B">
        <w:t xml:space="preserve"> in assessing various features of vocal cord function, with some studies having found poor reliability particularly in examination of glottal closure and vocal fold symmetry.</w:t>
      </w:r>
      <w:r w:rsidRPr="00695C5B">
        <w:rPr>
          <w:vertAlign w:val="superscript"/>
        </w:rPr>
        <w:fldChar w:fldCharType="begin"/>
      </w:r>
      <w:r w:rsidRPr="00695C5B">
        <w:rPr>
          <w:vertAlign w:val="superscript"/>
        </w:rPr>
        <w:instrText xml:space="preserve"> ADDIN EN.CITE &lt;EndNote&gt;&lt;Cite&gt;&lt;Author&gt;Nawka&lt;/Author&gt;&lt;Year&gt;2012&lt;/Year&gt;&lt;RecNum&gt;24&lt;/RecNum&gt;&lt;DisplayText&gt;(25)&lt;/DisplayText&gt;&lt;record&gt;&lt;rec-number&gt;24&lt;/rec-number&gt;&lt;foreign-keys&gt;&lt;key app="EN" db-id="9eda02e5ur2203epr0b59etbtzsf0ssz2xxd" timestamp="1467616568"&gt;24&lt;/key&gt;&lt;/foreign-keys&gt;&lt;ref-type name="Journal Article"&gt;17&lt;/ref-type&gt;&lt;contributors&gt;&lt;authors&gt;&lt;author&gt;Nawka, T&lt;/author&gt;&lt;author&gt;Konerding, U&lt;/author&gt;&lt;/authors&gt;&lt;/contributors&gt;&lt;titles&gt;&lt;title&gt;The interrater reliability of stroboscopy evaluations&lt;/title&gt;&lt;secondary-title&gt;J Voice&lt;/secondary-title&gt;&lt;/titles&gt;&lt;periodical&gt;&lt;full-title&gt;J Voice&lt;/full-title&gt;&lt;/periodical&gt;&lt;pages&gt;812&lt;/pages&gt;&lt;volume&gt;26&lt;/volume&gt;&lt;number&gt;6&lt;/number&gt;&lt;dates&gt;&lt;year&gt;2012&lt;/year&gt;&lt;/dates&gt;&lt;urls&gt;&lt;/urls&gt;&lt;/record&gt;&lt;/Cite&gt;&lt;/EndNote&gt;</w:instrText>
      </w:r>
      <w:r w:rsidRPr="00695C5B">
        <w:rPr>
          <w:vertAlign w:val="superscript"/>
        </w:rPr>
        <w:fldChar w:fldCharType="separate"/>
      </w:r>
      <w:r w:rsidRPr="00695C5B">
        <w:rPr>
          <w:noProof/>
          <w:vertAlign w:val="superscript"/>
        </w:rPr>
        <w:t>(25)</w:t>
      </w:r>
      <w:r w:rsidRPr="00695C5B">
        <w:rPr>
          <w:vertAlign w:val="superscript"/>
        </w:rPr>
        <w:fldChar w:fldCharType="end"/>
      </w:r>
      <w:r w:rsidRPr="00695C5B">
        <w:t xml:space="preserve"> A recent systematic review also noted greater reliability in ratings of anatomical features than functional features, particularly phase symmetry.</w:t>
      </w:r>
      <w:r w:rsidRPr="00695C5B">
        <w:rPr>
          <w:vertAlign w:val="superscript"/>
        </w:rPr>
        <w:fldChar w:fldCharType="begin"/>
      </w:r>
      <w:r w:rsidRPr="00695C5B">
        <w:rPr>
          <w:vertAlign w:val="superscript"/>
        </w:rPr>
        <w:instrText xml:space="preserve"> ADDIN EN.CITE &lt;EndNote&gt;&lt;Cite&gt;&lt;Author&gt;Bonilha&lt;/Author&gt;&lt;Year&gt;2015&lt;/Year&gt;&lt;RecNum&gt;6&lt;/RecNum&gt;&lt;DisplayText&gt;(3)&lt;/DisplayText&gt;&lt;record&gt;&lt;rec-number&gt;6&lt;/rec-number&gt;&lt;foreign-keys&gt;&lt;key app="EN" db-id="9eda02e5ur2203epr0b59etbtzsf0ssz2xxd" timestamp="1467434685"&gt;6&lt;/key&gt;&lt;/foreign-keys&gt;&lt;ref-type name="Journal Article"&gt;17&lt;/ref-type&gt;&lt;contributors&gt;&lt;authors&gt;&lt;author&gt;Bonilha, HS&lt;/author&gt;&lt;author&gt;Focht, KL&lt;/author&gt;&lt;author&gt;Martin-Harris, B &lt;/author&gt;&lt;/authors&gt;&lt;/contributors&gt;&lt;titles&gt;&lt;title&gt;Rater Methodology for Stroboscopy: A Systematic Review &lt;/title&gt;&lt;secondary-title&gt;J Voice&lt;/secondary-title&gt;&lt;/titles&gt;&lt;periodical&gt;&lt;full-title&gt;J Voice&lt;/full-title&gt;&lt;/periodical&gt;&lt;pages&gt;101-108&lt;/pages&gt;&lt;volume&gt;29&lt;/volume&gt;&lt;number&gt;1&lt;/number&gt;&lt;dates&gt;&lt;year&gt;2015&lt;/year&gt;&lt;/dates&gt;&lt;urls&gt;&lt;/urls&gt;&lt;/record&gt;&lt;/Cite&gt;&lt;/EndNote&gt;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(3)</w:t>
      </w:r>
      <w:r w:rsidRPr="00695C5B">
        <w:rPr>
          <w:vertAlign w:val="superscript"/>
        </w:rPr>
        <w:fldChar w:fldCharType="end"/>
      </w:r>
      <w:r w:rsidRPr="00695C5B">
        <w:t xml:space="preserve"> However, they did note that the majority of studies had failed to describe the method used to test </w:t>
      </w:r>
      <w:proofErr w:type="spellStart"/>
      <w:r w:rsidRPr="00695C5B">
        <w:t>rater</w:t>
      </w:r>
      <w:proofErr w:type="spellEnd"/>
      <w:r w:rsidRPr="00695C5B">
        <w:t xml:space="preserve"> reliability as well as other relevant factors such as number and experience level of </w:t>
      </w:r>
      <w:proofErr w:type="spellStart"/>
      <w:r w:rsidRPr="00695C5B">
        <w:t>raters</w:t>
      </w:r>
      <w:proofErr w:type="spellEnd"/>
      <w:r w:rsidRPr="00695C5B">
        <w:t>.</w:t>
      </w:r>
      <w:r w:rsidRPr="00695C5B">
        <w:rPr>
          <w:vertAlign w:val="superscript"/>
        </w:rPr>
        <w:fldChar w:fldCharType="begin"/>
      </w:r>
      <w:r w:rsidRPr="00695C5B">
        <w:rPr>
          <w:vertAlign w:val="superscript"/>
        </w:rPr>
        <w:instrText xml:space="preserve"> ADDIN EN.CITE &lt;EndNote&gt;&lt;Cite&gt;&lt;Author&gt;Bonilha&lt;/Author&gt;&lt;Year&gt;2015&lt;/Year&gt;&lt;RecNum&gt;6&lt;/RecNum&gt;&lt;DisplayText&gt;(3)&lt;/DisplayText&gt;&lt;record&gt;&lt;rec-number&gt;6&lt;/rec-number&gt;&lt;foreign-keys&gt;&lt;key app="EN" db-id="9eda02e5ur2203epr0b59etbtzsf0ssz2xxd" timestamp="1467434685"&gt;6&lt;/key&gt;&lt;/foreign-keys&gt;&lt;ref-type name="Journal Article"&gt;17&lt;/ref-type&gt;&lt;contributors&gt;&lt;authors&gt;&lt;author&gt;Bonilha, HS&lt;/author&gt;&lt;author&gt;Focht, KL&lt;/author&gt;&lt;author&gt;Martin-Harris, B &lt;/author&gt;&lt;/authors&gt;&lt;/contributors&gt;&lt;titles&gt;&lt;title&gt;Rater Methodology for Stroboscopy: A Systematic Review &lt;/title&gt;&lt;secondary-title&gt;J Voice&lt;/secondary-title&gt;&lt;/titles&gt;&lt;periodical&gt;&lt;full-title&gt;J Voice&lt;/full-title&gt;&lt;/periodical&gt;&lt;pages&gt;101-108&lt;/pages&gt;&lt;volume&gt;29&lt;/volume&gt;&lt;number&gt;1&lt;/number&gt;&lt;dates&gt;&lt;year&gt;2015&lt;/year&gt;&lt;/dates&gt;&lt;urls&gt;&lt;/urls&gt;&lt;/record&gt;&lt;/Cite&gt;&lt;/EndNote&gt;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(3)</w:t>
      </w:r>
      <w:r w:rsidRPr="00695C5B">
        <w:rPr>
          <w:vertAlign w:val="superscript"/>
        </w:rPr>
        <w:fldChar w:fldCharType="end"/>
      </w:r>
      <w:r w:rsidRPr="00695C5B">
        <w:t xml:space="preserve"> Mehta et al also noted that that variability amongst studies relating to inter-rater reliability tended to be influenced by the laryngeal feature being rated, type of rating scheme and skill-level of examiners.</w:t>
      </w:r>
      <w:r w:rsidRPr="00695C5B">
        <w:rPr>
          <w:vertAlign w:val="superscript"/>
        </w:rPr>
        <w:fldChar w:fldCharType="begin"/>
      </w:r>
      <w:r w:rsidRPr="00695C5B">
        <w:rPr>
          <w:vertAlign w:val="superscript"/>
        </w:rPr>
        <w:instrText xml:space="preserve"> ADDIN EN.CITE &lt;EndNote&gt;&lt;Cite&gt;&lt;Author&gt;Mehta&lt;/Author&gt;&lt;Year&gt;2012&lt;/Year&gt;&lt;RecNum&gt;7&lt;/RecNum&gt;&lt;DisplayText&gt;(23)&lt;/DisplayText&gt;&lt;record&gt;&lt;rec-number&gt;7&lt;/rec-number&gt;&lt;foreign-keys&gt;&lt;key app="EN" db-id="9eda02e5ur2203epr0b59etbtzsf0ssz2xxd" timestamp="1467442103"&gt;7&lt;/key&gt;&lt;/foreign-keys&gt;&lt;ref-type name="Journal Article"&gt;17&lt;/ref-type&gt;&lt;contributors&gt;&lt;authors&gt;&lt;author&gt;Mehta, DD&lt;/author&gt;&lt;author&gt;Hillman, RE&lt;/author&gt;&lt;/authors&gt;&lt;/contributors&gt;&lt;titles&gt;&lt;title&gt;Current role of stroboscopy in laryngeal imaging&lt;/title&gt;&lt;secondary-title&gt;Curr Opin Otolaryngol Head Neck Surg&lt;/secondary-title&gt;&lt;/titles&gt;&lt;periodical&gt;&lt;full-title&gt;Curr Opin Otolaryngol Head Neck Surg&lt;/full-title&gt;&lt;/periodical&gt;&lt;pages&gt;429-36&lt;/pages&gt;&lt;volume&gt;20&lt;/volume&gt;&lt;number&gt;6&lt;/number&gt;&lt;dates&gt;&lt;year&gt;2012&lt;/year&gt;&lt;/dates&gt;&lt;urls&gt;&lt;/urls&gt;&lt;/record&gt;&lt;/Cite&gt;&lt;/EndNote&gt;</w:instrText>
      </w:r>
      <w:r w:rsidRPr="00695C5B">
        <w:rPr>
          <w:vertAlign w:val="superscript"/>
        </w:rPr>
        <w:fldChar w:fldCharType="separate"/>
      </w:r>
      <w:r w:rsidRPr="00695C5B">
        <w:rPr>
          <w:noProof/>
          <w:vertAlign w:val="superscript"/>
        </w:rPr>
        <w:t>(23)</w:t>
      </w:r>
      <w:r w:rsidRPr="00695C5B">
        <w:rPr>
          <w:vertAlign w:val="superscript"/>
        </w:rPr>
        <w:fldChar w:fldCharType="end"/>
      </w:r>
    </w:p>
    <w:p w14:paraId="29E17A2C" w14:textId="77777777" w:rsidR="00F85147" w:rsidRPr="00695C5B" w:rsidRDefault="00F85147" w:rsidP="00681E75">
      <w:pPr>
        <w:pStyle w:val="Heading3"/>
      </w:pPr>
      <w:r w:rsidRPr="00695C5B">
        <w:t xml:space="preserve">(a) </w:t>
      </w:r>
      <w:r w:rsidR="00B97414">
        <w:t xml:space="preserve">What is the comparator? How are vocal disorders assessed without </w:t>
      </w:r>
      <w:proofErr w:type="spellStart"/>
      <w:r w:rsidR="00B97414">
        <w:t>stroboscopy</w:t>
      </w:r>
      <w:proofErr w:type="spellEnd"/>
      <w:r w:rsidRPr="00695C5B">
        <w:t>?</w:t>
      </w:r>
    </w:p>
    <w:p w14:paraId="4A18AA7F" w14:textId="77777777" w:rsidR="00F85147" w:rsidRPr="00695C5B" w:rsidRDefault="00F85147" w:rsidP="00681E75">
      <w:pPr>
        <w:pStyle w:val="Heading3"/>
      </w:pPr>
      <w:r w:rsidRPr="00695C5B">
        <w:t>(b)</w:t>
      </w:r>
      <w:r w:rsidR="00957B0C">
        <w:t xml:space="preserve"> </w:t>
      </w:r>
      <w:r w:rsidRPr="00695C5B">
        <w:t xml:space="preserve">Is </w:t>
      </w:r>
      <w:proofErr w:type="spellStart"/>
      <w:r w:rsidRPr="00695C5B">
        <w:t>stroboscopy</w:t>
      </w:r>
      <w:proofErr w:type="spellEnd"/>
      <w:r w:rsidRPr="00695C5B">
        <w:t xml:space="preserve"> equivalent to </w:t>
      </w:r>
      <w:r w:rsidR="00B97414">
        <w:t xml:space="preserve">(or better than) </w:t>
      </w:r>
      <w:r w:rsidRPr="00695C5B">
        <w:t>other</w:t>
      </w:r>
      <w:r w:rsidR="007736E8">
        <w:t xml:space="preserve"> </w:t>
      </w:r>
      <w:r w:rsidRPr="00695C5B">
        <w:t>methods</w:t>
      </w:r>
      <w:r w:rsidR="00B97414">
        <w:t xml:space="preserve"> of diagnosing vocal disorders</w:t>
      </w:r>
      <w:r w:rsidRPr="00695C5B">
        <w:t>?</w:t>
      </w:r>
    </w:p>
    <w:p w14:paraId="2F51B30A" w14:textId="77777777" w:rsidR="00F85147" w:rsidRPr="00695C5B" w:rsidRDefault="00F85147" w:rsidP="00156B1C">
      <w:r w:rsidRPr="00695C5B">
        <w:t xml:space="preserve">As </w:t>
      </w:r>
      <w:proofErr w:type="spellStart"/>
      <w:r w:rsidRPr="00695C5B">
        <w:t>stroboscopy</w:t>
      </w:r>
      <w:proofErr w:type="spellEnd"/>
      <w:r w:rsidRPr="00695C5B">
        <w:t xml:space="preserve"> refers to the lighting source (strobe vs continuous) and not the endoscopic procedure per se, it is difficult to identify a true comparator. Whilst continuous light laryngoscopy is said to be useful in assessing the anatomy of laryngeal lesions and supraglottic constriction, </w:t>
      </w:r>
      <w:proofErr w:type="spellStart"/>
      <w:r w:rsidRPr="00695C5B">
        <w:t>laryngostroboscopy</w:t>
      </w:r>
      <w:proofErr w:type="spellEnd"/>
      <w:r w:rsidRPr="00695C5B">
        <w:t xml:space="preserve"> is considered more useful in assessing amplitude, vibratory features and glottis closure.</w:t>
      </w:r>
      <w:r w:rsidRPr="00695C5B">
        <w:rPr>
          <w:vertAlign w:val="superscript"/>
        </w:rPr>
        <w:fldChar w:fldCharType="begin"/>
      </w:r>
      <w:r w:rsidRPr="00695C5B">
        <w:rPr>
          <w:vertAlign w:val="superscript"/>
        </w:rPr>
        <w:instrText xml:space="preserve"> ADDIN EN.CITE &lt;EndNote&gt;&lt;Cite&gt;&lt;Author&gt;Yiu&lt;/Author&gt;&lt;Year&gt;2014&lt;/Year&gt;&lt;RecNum&gt;23&lt;/RecNum&gt;&lt;DisplayText&gt;(26)&lt;/DisplayText&gt;&lt;record&gt;&lt;rec-number&gt;23&lt;/rec-number&gt;&lt;foreign-keys&gt;&lt;key app="EN" db-id="9eda02e5ur2203epr0b59etbtzsf0ssz2xxd" timestamp="1467610653"&gt;23&lt;/key&gt;&lt;/foreign-keys&gt;&lt;ref-type name="Journal Article"&gt;17&lt;/ref-type&gt;&lt;contributors&gt;&lt;authors&gt;&lt;author&gt;Yiu, EM&lt;/author&gt;&lt;author&gt;Lau, VCY&lt;/author&gt;&lt;author&gt;Ma, EPM&lt;/author&gt;&lt;author&gt;Chan, KMK&lt;/author&gt;&lt;author&gt;Barrett, E&lt;/author&gt;&lt;/authors&gt;&lt;/contributors&gt;&lt;titles&gt;&lt;title&gt;Reliability of Laryngostroboscopic Evaluation on Lesion Size and Glottal Configuration: A Revist&lt;/title&gt;&lt;secondary-title&gt;The Laryngoscope&lt;/secondary-title&gt;&lt;/titles&gt;&lt;periodical&gt;&lt;full-title&gt;The Laryngoscope&lt;/full-title&gt;&lt;/periodical&gt;&lt;pages&gt;1638-44&lt;/pages&gt;&lt;volume&gt;124&lt;/volume&gt;&lt;dates&gt;&lt;year&gt;2014&lt;/year&gt;&lt;/dates&gt;&lt;urls&gt;&lt;/urls&gt;&lt;/record&gt;&lt;/Cite&gt;&lt;/EndNote&gt;</w:instrText>
      </w:r>
      <w:r w:rsidRPr="00695C5B">
        <w:rPr>
          <w:vertAlign w:val="superscript"/>
        </w:rPr>
        <w:fldChar w:fldCharType="separate"/>
      </w:r>
      <w:r w:rsidRPr="00695C5B">
        <w:rPr>
          <w:noProof/>
          <w:vertAlign w:val="superscript"/>
        </w:rPr>
        <w:t>(26)</w:t>
      </w:r>
      <w:r w:rsidRPr="00695C5B">
        <w:rPr>
          <w:vertAlign w:val="superscript"/>
        </w:rPr>
        <w:fldChar w:fldCharType="end"/>
      </w:r>
    </w:p>
    <w:p w14:paraId="6C4E457F" w14:textId="77777777" w:rsidR="00F85147" w:rsidRPr="00695C5B" w:rsidRDefault="00F85147" w:rsidP="00156B1C">
      <w:proofErr w:type="spellStart"/>
      <w:r w:rsidRPr="00695C5B">
        <w:t>Videostroboscopy</w:t>
      </w:r>
      <w:proofErr w:type="spellEnd"/>
      <w:r w:rsidRPr="00695C5B">
        <w:t xml:space="preserve"> may employ the use of either flexible or rigid endoscopes, though few studies directly compare the two.</w:t>
      </w:r>
      <w:r w:rsidR="007736E8">
        <w:t xml:space="preserve"> </w:t>
      </w:r>
      <w:r w:rsidRPr="00695C5B">
        <w:t xml:space="preserve">Singh et al performed a prospective pilot study involving 24 patients undergoing stroboscopic evaluation of their </w:t>
      </w:r>
      <w:proofErr w:type="spellStart"/>
      <w:r w:rsidRPr="00695C5B">
        <w:t>neoglottis</w:t>
      </w:r>
      <w:proofErr w:type="spellEnd"/>
      <w:r w:rsidRPr="00695C5B">
        <w:t xml:space="preserve"> using either flexible or rigid endoscopes. They found flexible </w:t>
      </w:r>
      <w:proofErr w:type="spellStart"/>
      <w:r w:rsidRPr="00695C5B">
        <w:t>videostroboscopy</w:t>
      </w:r>
      <w:proofErr w:type="spellEnd"/>
      <w:r w:rsidRPr="00695C5B">
        <w:t xml:space="preserve"> to be better tolerated and allowed further analysis of mucosal wave patterns. </w:t>
      </w:r>
      <w:r w:rsidRPr="00695C5B">
        <w:rPr>
          <w:vertAlign w:val="superscript"/>
        </w:rPr>
        <w:fldChar w:fldCharType="begin"/>
      </w:r>
      <w:r w:rsidRPr="00695C5B">
        <w:rPr>
          <w:vertAlign w:val="superscript"/>
        </w:rPr>
        <w:instrText xml:space="preserve"> ADDIN EN.CITE &lt;EndNote&gt;&lt;Cite&gt;&lt;Author&gt;A&lt;/Author&gt;&lt;Year&gt;2008&lt;/Year&gt;&lt;RecNum&gt;27&lt;/RecNum&gt;&lt;DisplayText&gt;(27)&lt;/DisplayText&gt;&lt;record&gt;&lt;rec-number&gt;27&lt;/rec-number&gt;&lt;foreign-keys&gt;&lt;key app="EN" db-id="9eda02e5ur2203epr0b59etbtzsf0ssz2xxd" timestamp="1467637948"&gt;27&lt;/key&gt;&lt;/foreign-keys&gt;&lt;ref-type name="Journal Article"&gt;17&lt;/ref-type&gt;&lt;contributors&gt;&lt;authors&gt;&lt;author&gt;Singh. A&lt;/author&gt;&lt;author&gt;Kazi, R&lt;/author&gt;&lt;author&gt;Venkitaraman, R&lt;/author&gt;&lt;author&gt;Kapoor, K&lt;/author&gt;&lt;author&gt;Nutting, CM&lt;/author&gt;&lt;author&gt;Clarke, P&lt;/author&gt;&lt;author&gt;Evans, R&lt;/author&gt;&lt;author&gt;Harrington, KJ&lt;/author&gt;&lt;/authors&gt;&lt;/contributors&gt;&lt;titles&gt;&lt;title&gt;Does flexible videostroboscopy compare with rigid videostroboscopy in the assessment of the neoglottis? A preliminary report&lt;/title&gt;&lt;secondary-title&gt;Clin Otolaryngol&lt;/secondary-title&gt;&lt;/titles&gt;&lt;periodical&gt;&lt;full-title&gt;Clin Otolaryngol&lt;/full-title&gt;&lt;/periodical&gt;&lt;pages&gt;56-66&lt;/pages&gt;&lt;volume&gt;33&lt;/volume&gt;&lt;dates&gt;&lt;year&gt;2008&lt;/year&gt;&lt;/dates&gt;&lt;urls&gt;&lt;/urls&gt;&lt;/record&gt;&lt;/Cite&gt;&lt;/EndNote&gt;</w:instrText>
      </w:r>
      <w:r w:rsidRPr="00695C5B">
        <w:rPr>
          <w:vertAlign w:val="superscript"/>
        </w:rPr>
        <w:fldChar w:fldCharType="separate"/>
      </w:r>
      <w:r w:rsidRPr="00695C5B">
        <w:rPr>
          <w:noProof/>
          <w:vertAlign w:val="superscript"/>
        </w:rPr>
        <w:t>(27)</w:t>
      </w:r>
      <w:r w:rsidRPr="00695C5B">
        <w:rPr>
          <w:vertAlign w:val="superscript"/>
        </w:rPr>
        <w:fldChar w:fldCharType="end"/>
      </w:r>
    </w:p>
    <w:p w14:paraId="11CD0230" w14:textId="77777777" w:rsidR="00F85147" w:rsidRPr="00695C5B" w:rsidRDefault="00F85147" w:rsidP="00156B1C">
      <w:r w:rsidRPr="00695C5B">
        <w:t xml:space="preserve">The literature appears to predominantly compare </w:t>
      </w:r>
      <w:proofErr w:type="spellStart"/>
      <w:r w:rsidRPr="00695C5B">
        <w:t>videostroboscopy</w:t>
      </w:r>
      <w:proofErr w:type="spellEnd"/>
      <w:r w:rsidRPr="00695C5B">
        <w:t xml:space="preserve"> to other visualization techniques including </w:t>
      </w:r>
      <w:proofErr w:type="spellStart"/>
      <w:r w:rsidRPr="00695C5B">
        <w:t>microlaryngoscopy</w:t>
      </w:r>
      <w:proofErr w:type="spellEnd"/>
      <w:r w:rsidRPr="00695C5B">
        <w:t xml:space="preserve"> and more recently high-speed digital imaging and </w:t>
      </w:r>
      <w:proofErr w:type="spellStart"/>
      <w:r w:rsidRPr="00695C5B">
        <w:t>videokymography</w:t>
      </w:r>
      <w:proofErr w:type="spellEnd"/>
      <w:r w:rsidRPr="00695C5B">
        <w:t>.</w:t>
      </w:r>
      <w:r w:rsidR="007736E8">
        <w:t xml:space="preserve"> </w:t>
      </w:r>
      <w:r w:rsidRPr="00695C5B">
        <w:t xml:space="preserve">Each is briefly discussed below. </w:t>
      </w:r>
    </w:p>
    <w:p w14:paraId="00D9B865" w14:textId="77777777" w:rsidR="00F85147" w:rsidRPr="00695C5B" w:rsidRDefault="00F85147">
      <w:pPr>
        <w:pStyle w:val="Heading4"/>
      </w:pPr>
      <w:proofErr w:type="spellStart"/>
      <w:r w:rsidRPr="00695C5B">
        <w:t>Microlaryngoscopy</w:t>
      </w:r>
      <w:proofErr w:type="spellEnd"/>
      <w:r w:rsidRPr="00695C5B">
        <w:t xml:space="preserve"> </w:t>
      </w:r>
    </w:p>
    <w:p w14:paraId="3B839CB6" w14:textId="77777777" w:rsidR="00F85147" w:rsidRPr="00695C5B" w:rsidRDefault="00F85147" w:rsidP="00156B1C">
      <w:proofErr w:type="spellStart"/>
      <w:r w:rsidRPr="00695C5B">
        <w:t>Microlaryngoscopy</w:t>
      </w:r>
      <w:proofErr w:type="spellEnd"/>
      <w:r w:rsidR="007736E8">
        <w:t xml:space="preserve"> </w:t>
      </w:r>
      <w:r w:rsidRPr="00695C5B">
        <w:t xml:space="preserve">is carried out by suspension laryngoscopy with general anaesthesia, and provides improved visualization with magnification and enables palpation of the vocal cords. </w:t>
      </w:r>
      <w:r w:rsidRPr="00695C5B">
        <w:rPr>
          <w:vertAlign w:val="superscript"/>
        </w:rPr>
        <w:fldChar w:fldCharType="begin"/>
      </w:r>
      <w:r w:rsidRPr="00695C5B">
        <w:rPr>
          <w:vertAlign w:val="superscript"/>
        </w:rPr>
        <w:instrText xml:space="preserve"> ADDIN EN.CITE &lt;EndNote&gt;&lt;Cite&gt;&lt;Author&gt;Akbulut&lt;/Author&gt;&lt;Year&gt;2015&lt;/Year&gt;&lt;RecNum&gt;20&lt;/RecNum&gt;&lt;DisplayText&gt;(28)&lt;/DisplayText&gt;&lt;record&gt;&lt;rec-number&gt;20&lt;/rec-number&gt;&lt;foreign-keys&gt;&lt;key app="EN" db-id="9eda02e5ur2203epr0b59etbtzsf0ssz2xxd" timestamp="1467605530"&gt;20&lt;/key&gt;&lt;/foreign-keys&gt;&lt;ref-type name="Journal Article"&gt;17&lt;/ref-type&gt;&lt;contributors&gt;&lt;authors&gt;&lt;author&gt;Akbulut, S&lt;/author&gt;&lt;author&gt;Altintas, H&lt;/author&gt;&lt;author&gt;Oguz, H&lt;/author&gt;&lt;/authors&gt;&lt;/contributors&gt;&lt;titles&gt;&lt;title&gt;Videolaryngostroboscopy versus microlaryngoscopy for the diagnosis of benign vocal cord lesions: a prospective clinical study&lt;/title&gt;&lt;secondary-title&gt;Eur Arch Otorhinolaryngol&lt;/secondary-title&gt;&lt;/titles&gt;&lt;periodical&gt;&lt;full-title&gt;Eur Arch Otorhinolaryngol&lt;/full-title&gt;&lt;/periodical&gt;&lt;pages&gt;131-6&lt;/pages&gt;&lt;volume&gt;272&lt;/volume&gt;&lt;number&gt;1&lt;/number&gt;&lt;dates&gt;&lt;year&gt;2015&lt;/year&gt;&lt;/dates&gt;&lt;urls&gt;&lt;/urls&gt;&lt;/record&gt;&lt;/Cite&gt;&lt;/EndNote&gt;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(28)</w:t>
      </w:r>
      <w:r w:rsidRPr="00695C5B">
        <w:rPr>
          <w:vertAlign w:val="superscript"/>
        </w:rPr>
        <w:fldChar w:fldCharType="end"/>
      </w:r>
    </w:p>
    <w:p w14:paraId="431FB76D" w14:textId="77777777" w:rsidR="00F85147" w:rsidRPr="00695C5B" w:rsidRDefault="00F85147" w:rsidP="00156B1C">
      <w:proofErr w:type="spellStart"/>
      <w:r w:rsidRPr="00695C5B">
        <w:t>Akbulut</w:t>
      </w:r>
      <w:proofErr w:type="spellEnd"/>
      <w:r w:rsidRPr="00695C5B">
        <w:t xml:space="preserve"> et all compared rigid </w:t>
      </w:r>
      <w:proofErr w:type="spellStart"/>
      <w:r w:rsidRPr="00695C5B">
        <w:t>videolaryngostroboscopy</w:t>
      </w:r>
      <w:proofErr w:type="spellEnd"/>
      <w:r w:rsidRPr="00695C5B">
        <w:t xml:space="preserve"> with </w:t>
      </w:r>
      <w:proofErr w:type="spellStart"/>
      <w:r w:rsidRPr="00695C5B">
        <w:t>microlaryngoscopy</w:t>
      </w:r>
      <w:proofErr w:type="spellEnd"/>
      <w:r w:rsidRPr="00695C5B">
        <w:t xml:space="preserve"> in the diagnosis of benign vocal cord lesions in 85 patients with 199 lesions identified during </w:t>
      </w:r>
      <w:r>
        <w:t>the latter</w:t>
      </w:r>
      <w:r w:rsidRPr="00695C5B">
        <w:t xml:space="preserve">. 58 lesions, </w:t>
      </w:r>
      <w:r w:rsidRPr="00695C5B">
        <w:lastRenderedPageBreak/>
        <w:t>involving 50.6</w:t>
      </w:r>
      <w:r w:rsidR="00C50295">
        <w:t xml:space="preserve"> per cent</w:t>
      </w:r>
      <w:r w:rsidRPr="00695C5B">
        <w:t xml:space="preserve"> of pat</w:t>
      </w:r>
      <w:r>
        <w:t xml:space="preserve">ients were diagnosed only by </w:t>
      </w:r>
      <w:proofErr w:type="spellStart"/>
      <w:r>
        <w:t>microlaryngoscopy</w:t>
      </w:r>
      <w:proofErr w:type="spellEnd"/>
      <w:r w:rsidRPr="00695C5B">
        <w:t>, with the m</w:t>
      </w:r>
      <w:r>
        <w:t xml:space="preserve">ajority of lesions missed by </w:t>
      </w:r>
      <w:proofErr w:type="spellStart"/>
      <w:r>
        <w:t>videolaryngostroboscopy</w:t>
      </w:r>
      <w:proofErr w:type="spellEnd"/>
      <w:r w:rsidRPr="00695C5B">
        <w:t xml:space="preserve"> being structural abnormalities such as sulcus vocalis, vascular ectasia, cysts and mucosal bridge.</w:t>
      </w:r>
      <w:r w:rsidRPr="00695C5B">
        <w:rPr>
          <w:vertAlign w:val="superscript"/>
        </w:rPr>
        <w:fldChar w:fldCharType="begin"/>
      </w:r>
      <w:r w:rsidRPr="00695C5B">
        <w:rPr>
          <w:vertAlign w:val="superscript"/>
        </w:rPr>
        <w:instrText xml:space="preserve"> ADDIN EN.CITE &lt;EndNote&gt;&lt;Cite&gt;&lt;Author&gt;Akbulut&lt;/Author&gt;&lt;Year&gt;2015&lt;/Year&gt;&lt;RecNum&gt;20&lt;/RecNum&gt;&lt;DisplayText&gt;(28)&lt;/DisplayText&gt;&lt;record&gt;&lt;rec-number&gt;20&lt;/rec-number&gt;&lt;foreign-keys&gt;&lt;key app="EN" db-id="9eda02e5ur2203epr0b59etbtzsf0ssz2xxd" timestamp="1467605530"&gt;20&lt;/key&gt;&lt;/foreign-keys&gt;&lt;ref-type name="Journal Article"&gt;17&lt;/ref-type&gt;&lt;contributors&gt;&lt;authors&gt;&lt;author&gt;Akbulut, S&lt;/author&gt;&lt;author&gt;Altintas, H&lt;/author&gt;&lt;author&gt;Oguz, H&lt;/author&gt;&lt;/authors&gt;&lt;/contributors&gt;&lt;titles&gt;&lt;title&gt;Videolaryngostroboscopy versus microlaryngoscopy for the diagnosis of benign vocal cord lesions: a prospective clinical study&lt;/title&gt;&lt;secondary-title&gt;Eur Arch Otorhinolaryngol&lt;/secondary-title&gt;&lt;/titles&gt;&lt;periodical&gt;&lt;full-title&gt;Eur Arch Otorhinolaryngol&lt;/full-title&gt;&lt;/periodical&gt;&lt;pages&gt;131-6&lt;/pages&gt;&lt;volume&gt;272&lt;/volume&gt;&lt;number&gt;1&lt;/number&gt;&lt;dates&gt;&lt;year&gt;2015&lt;/year&gt;&lt;/dates&gt;&lt;urls&gt;&lt;/urls&gt;&lt;/record&gt;&lt;/Cite&gt;&lt;/EndNote&gt;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(28)</w:t>
      </w:r>
      <w:r w:rsidRPr="00695C5B">
        <w:rPr>
          <w:vertAlign w:val="superscript"/>
        </w:rPr>
        <w:fldChar w:fldCharType="end"/>
      </w:r>
      <w:r w:rsidRPr="00695C5B">
        <w:t xml:space="preserve"> It was noted that many of the lesions missed were pathologies such as mucosal bridge, wh</w:t>
      </w:r>
      <w:r>
        <w:t xml:space="preserve">ich may only be diagnosed on </w:t>
      </w:r>
      <w:proofErr w:type="spellStart"/>
      <w:r>
        <w:t>microlaryngoscopy</w:t>
      </w:r>
      <w:proofErr w:type="spellEnd"/>
      <w:r w:rsidRPr="00695C5B">
        <w:t xml:space="preserve"> with direct palpation and meticulous examination of the vocal cords. </w:t>
      </w:r>
      <w:r w:rsidRPr="00695C5B">
        <w:rPr>
          <w:vertAlign w:val="superscript"/>
        </w:rPr>
        <w:fldChar w:fldCharType="begin"/>
      </w:r>
      <w:r w:rsidRPr="00695C5B">
        <w:rPr>
          <w:vertAlign w:val="superscript"/>
        </w:rPr>
        <w:instrText xml:space="preserve"> ADDIN EN.CITE &lt;EndNote&gt;&lt;Cite&gt;&lt;Author&gt;Akbulut&lt;/Author&gt;&lt;Year&gt;2015&lt;/Year&gt;&lt;RecNum&gt;20&lt;/RecNum&gt;&lt;DisplayText&gt;(28)&lt;/DisplayText&gt;&lt;record&gt;&lt;rec-number&gt;20&lt;/rec-number&gt;&lt;foreign-keys&gt;&lt;key app="EN" db-id="9eda02e5ur2203epr0b59etbtzsf0ssz2xxd" timestamp="1467605530"&gt;20&lt;/key&gt;&lt;/foreign-keys&gt;&lt;ref-type name="Journal Article"&gt;17&lt;/ref-type&gt;&lt;contributors&gt;&lt;authors&gt;&lt;author&gt;Akbulut, S&lt;/author&gt;&lt;author&gt;Altintas, H&lt;/author&gt;&lt;author&gt;Oguz, H&lt;/author&gt;&lt;/authors&gt;&lt;/contributors&gt;&lt;titles&gt;&lt;title&gt;Videolaryngostroboscopy versus microlaryngoscopy for the diagnosis of benign vocal cord lesions: a prospective clinical study&lt;/title&gt;&lt;secondary-title&gt;Eur Arch Otorhinolaryngol&lt;/secondary-title&gt;&lt;/titles&gt;&lt;periodical&gt;&lt;full-title&gt;Eur Arch Otorhinolaryngol&lt;/full-title&gt;&lt;/periodical&gt;&lt;pages&gt;131-6&lt;/pages&gt;&lt;volume&gt;272&lt;/volume&gt;&lt;number&gt;1&lt;/number&gt;&lt;dates&gt;&lt;year&gt;2015&lt;/year&gt;&lt;/dates&gt;&lt;urls&gt;&lt;/urls&gt;&lt;/record&gt;&lt;/Cite&gt;&lt;/EndNote&gt;</w:instrText>
      </w:r>
      <w:r w:rsidRPr="00695C5B">
        <w:rPr>
          <w:vertAlign w:val="superscript"/>
        </w:rPr>
        <w:fldChar w:fldCharType="separate"/>
      </w:r>
      <w:r w:rsidRPr="00695C5B">
        <w:rPr>
          <w:noProof/>
          <w:vertAlign w:val="superscript"/>
        </w:rPr>
        <w:t>(28)</w:t>
      </w:r>
      <w:r w:rsidRPr="00695C5B">
        <w:rPr>
          <w:vertAlign w:val="superscript"/>
        </w:rPr>
        <w:fldChar w:fldCharType="end"/>
      </w:r>
      <w:r w:rsidRPr="00695C5B">
        <w:t xml:space="preserve"> </w:t>
      </w:r>
    </w:p>
    <w:p w14:paraId="32CCB694" w14:textId="77777777" w:rsidR="00F85147" w:rsidRPr="00695C5B" w:rsidRDefault="00F85147" w:rsidP="00156B1C">
      <w:r w:rsidRPr="00695C5B">
        <w:t>Dailey et al, in a retrospective r</w:t>
      </w:r>
      <w:r>
        <w:t xml:space="preserve">eview of 100 patients, found </w:t>
      </w:r>
      <w:proofErr w:type="spellStart"/>
      <w:r>
        <w:t>microlaryngoscopy</w:t>
      </w:r>
      <w:proofErr w:type="spellEnd"/>
      <w:r w:rsidRPr="00695C5B">
        <w:t xml:space="preserve"> to have found an additional 16 lesions in </w:t>
      </w:r>
      <w:r w:rsidR="00C50295">
        <w:t>nine</w:t>
      </w:r>
      <w:r w:rsidRPr="00695C5B">
        <w:t xml:space="preserve"> patients, with </w:t>
      </w:r>
      <w:r w:rsidR="00C50295">
        <w:t>four</w:t>
      </w:r>
      <w:r w:rsidRPr="00695C5B">
        <w:t xml:space="preserve"> of the </w:t>
      </w:r>
      <w:r w:rsidR="00C50295">
        <w:t>nine</w:t>
      </w:r>
      <w:r w:rsidRPr="00695C5B">
        <w:t xml:space="preserve"> patients undergoing a management change intra-operatively.</w:t>
      </w:r>
      <w:r w:rsidRPr="00695C5B">
        <w:rPr>
          <w:vertAlign w:val="superscript"/>
        </w:rPr>
        <w:fldChar w:fldCharType="begin"/>
      </w:r>
      <w:r w:rsidRPr="00695C5B">
        <w:rPr>
          <w:vertAlign w:val="superscript"/>
        </w:rPr>
        <w:instrText xml:space="preserve"> ADDIN EN.CITE &lt;EndNote&gt;&lt;Cite&gt;&lt;Author&gt;Dailey&lt;/Author&gt;&lt;Year&gt;2007&lt;/Year&gt;&lt;RecNum&gt;26&lt;/RecNum&gt;&lt;DisplayText&gt;(5)&lt;/DisplayText&gt;&lt;record&gt;&lt;rec-number&gt;26&lt;/rec-number&gt;&lt;foreign-keys&gt;&lt;key app="EN" db-id="9eda02e5ur2203epr0b59etbtzsf0ssz2xxd" timestamp="1467635084"&gt;26&lt;/key&gt;&lt;/foreign-keys&gt;&lt;ref-type name="Journal Article"&gt;17&lt;/ref-type&gt;&lt;contributors&gt;&lt;authors&gt;&lt;author&gt;Dailey, SH&lt;/author&gt;&lt;author&gt;Spanou, K&lt;/author&gt;&lt;author&gt;Zeitels, SM&lt;/author&gt;&lt;/authors&gt;&lt;/contributors&gt;&lt;titles&gt;&lt;title&gt;The Evaluation of Benign Glottic Lesions: Rigid Telescopic Stroboscopy Versus Suspension Microlaryngoscopy&lt;/title&gt;&lt;secondary-title&gt;Journal of Voice&lt;/secondary-title&gt;&lt;/titles&gt;&lt;periodical&gt;&lt;full-title&gt;Journal of Voice&lt;/full-title&gt;&lt;/periodical&gt;&lt;pages&gt;112-118&lt;/pages&gt;&lt;volume&gt;21&lt;/volume&gt;&lt;number&gt;1&lt;/number&gt;&lt;dates&gt;&lt;year&gt;2007&lt;/year&gt;&lt;/dates&gt;&lt;urls&gt;&lt;/urls&gt;&lt;/record&gt;&lt;/Cite&gt;&lt;/EndNote&gt;</w:instrText>
      </w:r>
      <w:r w:rsidRPr="00695C5B">
        <w:rPr>
          <w:vertAlign w:val="superscript"/>
        </w:rPr>
        <w:fldChar w:fldCharType="separate"/>
      </w:r>
      <w:r w:rsidRPr="00695C5B">
        <w:rPr>
          <w:noProof/>
          <w:vertAlign w:val="superscript"/>
        </w:rPr>
        <w:t>(5)</w:t>
      </w:r>
      <w:r w:rsidRPr="00695C5B">
        <w:rPr>
          <w:vertAlign w:val="superscript"/>
        </w:rPr>
        <w:fldChar w:fldCharType="end"/>
      </w:r>
      <w:r w:rsidRPr="00695C5B">
        <w:t xml:space="preserve"> Again the vast majority of these additional lesions were sulci or mucosal bridges. </w:t>
      </w:r>
      <w:r w:rsidRPr="00695C5B">
        <w:rPr>
          <w:vertAlign w:val="superscript"/>
        </w:rPr>
        <w:fldChar w:fldCharType="begin"/>
      </w:r>
      <w:r w:rsidRPr="00695C5B">
        <w:rPr>
          <w:vertAlign w:val="superscript"/>
        </w:rPr>
        <w:instrText xml:space="preserve"> ADDIN EN.CITE &lt;EndNote&gt;&lt;Cite&gt;&lt;Author&gt;Dailey&lt;/Author&gt;&lt;Year&gt;2007&lt;/Year&gt;&lt;RecNum&gt;26&lt;/RecNum&gt;&lt;DisplayText&gt;(5)&lt;/DisplayText&gt;&lt;record&gt;&lt;rec-number&gt;26&lt;/rec-number&gt;&lt;foreign-keys&gt;&lt;key app="EN" db-id="9eda02e5ur2203epr0b59etbtzsf0ssz2xxd" timestamp="1467635084"&gt;26&lt;/key&gt;&lt;/foreign-keys&gt;&lt;ref-type name="Journal Article"&gt;17&lt;/ref-type&gt;&lt;contributors&gt;&lt;authors&gt;&lt;author&gt;Dailey, SH&lt;/author&gt;&lt;author&gt;Spanou, K&lt;/author&gt;&lt;author&gt;Zeitels, SM&lt;/author&gt;&lt;/authors&gt;&lt;/contributors&gt;&lt;titles&gt;&lt;title&gt;The Evaluation of Benign Glottic Lesions: Rigid Telescopic Stroboscopy Versus Suspension Microlaryngoscopy&lt;/title&gt;&lt;secondary-title&gt;Journal of Voice&lt;/secondary-title&gt;&lt;/titles&gt;&lt;periodical&gt;&lt;full-title&gt;Journal of Voice&lt;/full-title&gt;&lt;/periodical&gt;&lt;pages&gt;112-118&lt;/pages&gt;&lt;volume&gt;21&lt;/volume&gt;&lt;number&gt;1&lt;/number&gt;&lt;dates&gt;&lt;year&gt;2007&lt;/year&gt;&lt;/dates&gt;&lt;urls&gt;&lt;/urls&gt;&lt;/record&gt;&lt;/Cite&gt;&lt;/EndNote&gt;</w:instrText>
      </w:r>
      <w:r w:rsidRPr="00695C5B">
        <w:rPr>
          <w:vertAlign w:val="superscript"/>
        </w:rPr>
        <w:fldChar w:fldCharType="separate"/>
      </w:r>
      <w:r w:rsidRPr="00695C5B">
        <w:rPr>
          <w:noProof/>
          <w:vertAlign w:val="superscript"/>
        </w:rPr>
        <w:t>(5)</w:t>
      </w:r>
      <w:r w:rsidRPr="00695C5B">
        <w:rPr>
          <w:vertAlign w:val="superscript"/>
        </w:rPr>
        <w:fldChar w:fldCharType="end"/>
      </w:r>
    </w:p>
    <w:p w14:paraId="72850768" w14:textId="77777777" w:rsidR="00F85147" w:rsidRPr="00695C5B" w:rsidRDefault="00F85147">
      <w:pPr>
        <w:pStyle w:val="Heading4"/>
      </w:pPr>
      <w:r w:rsidRPr="00695C5B">
        <w:t xml:space="preserve">High –speed digital imaging </w:t>
      </w:r>
      <w:r>
        <w:t xml:space="preserve">/ high-speed </w:t>
      </w:r>
      <w:proofErr w:type="spellStart"/>
      <w:r>
        <w:t>videolaryngoscopy</w:t>
      </w:r>
      <w:proofErr w:type="spellEnd"/>
    </w:p>
    <w:p w14:paraId="747A1119" w14:textId="77777777" w:rsidR="00F85147" w:rsidRPr="00695C5B" w:rsidRDefault="00F85147" w:rsidP="00B964DD">
      <w:r w:rsidRPr="00695C5B">
        <w:t xml:space="preserve">High-speed </w:t>
      </w:r>
      <w:proofErr w:type="spellStart"/>
      <w:r w:rsidRPr="00695C5B">
        <w:t>videolaryngoscopy</w:t>
      </w:r>
      <w:proofErr w:type="spellEnd"/>
      <w:r w:rsidRPr="00695C5B">
        <w:t xml:space="preserve"> (HSV) allows images to be recorded at considerably faster rates than </w:t>
      </w:r>
      <w:proofErr w:type="spellStart"/>
      <w:proofErr w:type="gramStart"/>
      <w:r w:rsidRPr="00695C5B">
        <w:t>stroboscopy</w:t>
      </w:r>
      <w:proofErr w:type="spellEnd"/>
      <w:r w:rsidRPr="00695C5B">
        <w:t>, and</w:t>
      </w:r>
      <w:proofErr w:type="gramEnd"/>
      <w:r w:rsidRPr="00695C5B">
        <w:t xml:space="preserve"> allows vibratory movement to be visualized in detail regardless of regularity of </w:t>
      </w:r>
      <w:r w:rsidR="00922C21" w:rsidRPr="00695C5B">
        <w:t>behaviour</w:t>
      </w:r>
      <w:r w:rsidRPr="00695C5B">
        <w:t xml:space="preserve">. HSV is able to view onset and offset, phonatory breaks and laryngospasm, which occurs too quickly to be picked up on </w:t>
      </w:r>
      <w:proofErr w:type="spellStart"/>
      <w:r w:rsidRPr="00695C5B">
        <w:t>stroboscopy</w:t>
      </w:r>
      <w:proofErr w:type="spellEnd"/>
      <w:r w:rsidRPr="00695C5B">
        <w:t>.</w:t>
      </w:r>
      <w:r w:rsidRPr="00695C5B">
        <w:rPr>
          <w:vertAlign w:val="superscript"/>
        </w:rPr>
        <w:fldChar w:fldCharType="begin"/>
      </w:r>
      <w:r w:rsidRPr="00695C5B">
        <w:rPr>
          <w:vertAlign w:val="superscript"/>
        </w:rPr>
        <w:instrText xml:space="preserve"> ADDIN EN.CITE &lt;EndNote&gt;&lt;Cite&gt;&lt;Author&gt;Tsuji&lt;/Author&gt;&lt;Year&gt;2014&lt;/Year&gt;&lt;RecNum&gt;2&lt;/RecNum&gt;&lt;DisplayText&gt;(24)&lt;/DisplayText&gt;&lt;record&gt;&lt;rec-number&gt;2&lt;/rec-number&gt;&lt;foreign-keys&gt;&lt;key app="EN" db-id="9eda02e5ur2203epr0b59etbtzsf0ssz2xxd" timestamp="1466328892"&gt;2&lt;/key&gt;&lt;/foreign-keys&gt;&lt;ref-type name="Journal Article"&gt;17&lt;/ref-type&gt;&lt;contributors&gt;&lt;authors&gt;&lt;author&gt;Tsuji, DH&lt;/author&gt;&lt;author&gt;Hachiya, A&lt;/author&gt;&lt;author&gt;Dajer, ME&lt;/author&gt;&lt;author&gt;Ishikawa, CC&lt;/author&gt;&lt;author&gt;Takahashi, MT&lt;/author&gt;&lt;author&gt;Montagnoli, AN&lt;/author&gt;&lt;/authors&gt;&lt;/contributors&gt;&lt;titles&gt;&lt;title&gt;Improvement of Vocal Pathologies Diagnosis Using HIgh-Speed Videolaryngoscopy&lt;/title&gt;&lt;secondary-title&gt;Int Arch Otorhinolaryngol&lt;/secondary-title&gt;&lt;/titles&gt;&lt;periodical&gt;&lt;full-title&gt;Int Arch Otorhinolaryngol&lt;/full-title&gt;&lt;/periodical&gt;&lt;pages&gt;294-302&lt;/pages&gt;&lt;volume&gt;18&lt;/volume&gt;&lt;dates&gt;&lt;year&gt;2014&lt;/year&gt;&lt;/dates&gt;&lt;urls&gt;&lt;/urls&gt;&lt;/record&gt;&lt;/Cite&gt;&lt;/EndNote&gt;</w:instrText>
      </w:r>
      <w:r w:rsidRPr="00695C5B">
        <w:rPr>
          <w:vertAlign w:val="superscript"/>
        </w:rPr>
        <w:fldChar w:fldCharType="separate"/>
      </w:r>
      <w:r w:rsidRPr="00695C5B">
        <w:rPr>
          <w:noProof/>
          <w:vertAlign w:val="superscript"/>
        </w:rPr>
        <w:t>(24)</w:t>
      </w:r>
      <w:r w:rsidRPr="00695C5B">
        <w:rPr>
          <w:vertAlign w:val="superscript"/>
        </w:rPr>
        <w:fldChar w:fldCharType="end"/>
      </w:r>
      <w:r w:rsidRPr="00695C5B">
        <w:t xml:space="preserve"> Technologies involving high-speed imaging are relatively new compared with </w:t>
      </w:r>
      <w:proofErr w:type="spellStart"/>
      <w:r w:rsidRPr="00695C5B">
        <w:t>stroboscopy</w:t>
      </w:r>
      <w:proofErr w:type="spellEnd"/>
      <w:r w:rsidRPr="00695C5B">
        <w:t>, and have not as yet developed as significant an evidence base.</w:t>
      </w:r>
      <w:r w:rsidR="007736E8">
        <w:t xml:space="preserve"> </w:t>
      </w:r>
      <w:r w:rsidRPr="00695C5B">
        <w:t xml:space="preserve">However evidence to date appears to conclude that there is no significant difference in reliability of measures obtained from HSV and </w:t>
      </w:r>
      <w:proofErr w:type="spellStart"/>
      <w:r w:rsidRPr="00695C5B">
        <w:t>videostroboscopy</w:t>
      </w:r>
      <w:proofErr w:type="spellEnd"/>
      <w:r w:rsidRPr="00695C5B">
        <w:t xml:space="preserve"> with the exception of assessment of periodicity and symmetry.</w:t>
      </w:r>
      <w:r w:rsidRPr="00695C5B">
        <w:rPr>
          <w:vertAlign w:val="superscript"/>
        </w:rPr>
        <w:fldChar w:fldCharType="begin"/>
      </w:r>
      <w:r w:rsidRPr="00695C5B">
        <w:rPr>
          <w:vertAlign w:val="superscript"/>
        </w:rPr>
        <w:instrText xml:space="preserve"> ADDIN EN.CITE &lt;EndNote&gt;&lt;Cite&gt;&lt;Author&gt;Kendall&lt;/Author&gt;&lt;Year&gt;2009&lt;/Year&gt;&lt;RecNum&gt;37&lt;/RecNum&gt;&lt;DisplayText&gt;(29, 30)&lt;/DisplayText&gt;&lt;record&gt;&lt;rec-number&gt;37&lt;/rec-number&gt;&lt;foreign-keys&gt;&lt;key app="EN" db-id="9eda02e5ur2203epr0b59etbtzsf0ssz2xxd" timestamp="1467681401"&gt;37&lt;/key&gt;&lt;/foreign-keys&gt;&lt;ref-type name="Journal Article"&gt;17&lt;/ref-type&gt;&lt;contributors&gt;&lt;authors&gt;&lt;author&gt;Kendall, K&lt;/author&gt;&lt;/authors&gt;&lt;/contributors&gt;&lt;titles&gt;&lt;title&gt;High-Speed Laryngeal Imaging Compared With Videostroboscopy in Healthy Subjects&lt;/title&gt;&lt;secondary-title&gt;Arch Otolaryngol Head Neck Surg&lt;/secondary-title&gt;&lt;/titles&gt;&lt;periodical&gt;&lt;full-title&gt;Arch Otolaryngol Head Neck Surg&lt;/full-title&gt;&lt;/periodical&gt;&lt;pages&gt;274-281&lt;/pages&gt;&lt;volume&gt;135&lt;/volume&gt;&lt;number&gt;3&lt;/number&gt;&lt;dates&gt;&lt;year&gt;2009&lt;/year&gt;&lt;/dates&gt;&lt;urls&gt;&lt;/urls&gt;&lt;/record&gt;&lt;/Cite&gt;&lt;Cite&gt;&lt;Author&gt;Mendelsohn&lt;/Author&gt;&lt;Year&gt;2013&lt;/Year&gt;&lt;RecNum&gt;39&lt;/RecNum&gt;&lt;record&gt;&lt;rec-number&gt;39&lt;/rec-number&gt;&lt;foreign-keys&gt;&lt;key app="EN" db-id="9eda02e5ur2203epr0b59etbtzsf0ssz2xxd" timestamp="1467721906"&gt;39&lt;/key&gt;&lt;/foreign-keys&gt;&lt;ref-type name="Journal Article"&gt;17&lt;/ref-type&gt;&lt;contributors&gt;&lt;authors&gt;&lt;author&gt;Mendelsohn, AH&lt;/author&gt;&lt;author&gt;Remacle, M&lt;/author&gt;&lt;author&gt;Courey, MS&lt;/author&gt;&lt;author&gt;Postma, GN&lt;/author&gt;&lt;/authors&gt;&lt;/contributors&gt;&lt;titles&gt;&lt;title&gt;The diagnostic role of high-speed vocal fold vibratory imaging&lt;/title&gt;&lt;secondary-title&gt;J Voice&lt;/secondary-title&gt;&lt;/titles&gt;&lt;periodical&gt;&lt;full-title&gt;J Voice&lt;/full-title&gt;&lt;/periodical&gt;&lt;pages&gt;627-31&lt;/pages&gt;&lt;volume&gt;27&lt;/volume&gt;&lt;number&gt;5&lt;/number&gt;&lt;dates&gt;&lt;year&gt;2013&lt;/year&gt;&lt;/dates&gt;&lt;urls&gt;&lt;/urls&gt;&lt;/record&gt;&lt;/Cite&gt;&lt;/EndNote&gt;</w:instrText>
      </w:r>
      <w:r w:rsidRPr="00695C5B">
        <w:rPr>
          <w:vertAlign w:val="superscript"/>
        </w:rPr>
        <w:fldChar w:fldCharType="separate"/>
      </w:r>
      <w:r w:rsidRPr="00695C5B">
        <w:rPr>
          <w:noProof/>
          <w:vertAlign w:val="superscript"/>
        </w:rPr>
        <w:t>(29, 30)</w:t>
      </w:r>
      <w:r w:rsidRPr="00695C5B">
        <w:rPr>
          <w:vertAlign w:val="superscript"/>
        </w:rPr>
        <w:fldChar w:fldCharType="end"/>
      </w:r>
      <w:r w:rsidRPr="00695C5B">
        <w:t xml:space="preserve"> Video </w:t>
      </w:r>
      <w:proofErr w:type="spellStart"/>
      <w:r w:rsidRPr="00695C5B">
        <w:t>stroboscopy</w:t>
      </w:r>
      <w:proofErr w:type="spellEnd"/>
      <w:r w:rsidRPr="00695C5B">
        <w:t xml:space="preserve"> is more easily able to identify aperiodic vibrations, whilst HSV has been shown to be more sensitive in evaluating phase asymmetry.</w:t>
      </w:r>
      <w:r w:rsidRPr="00695C5B">
        <w:rPr>
          <w:vertAlign w:val="superscript"/>
        </w:rPr>
        <w:fldChar w:fldCharType="begin"/>
      </w:r>
      <w:r w:rsidRPr="00695C5B">
        <w:rPr>
          <w:vertAlign w:val="superscript"/>
        </w:rPr>
        <w:instrText xml:space="preserve"> ADDIN EN.CITE &lt;EndNote&gt;&lt;Cite&gt;&lt;Author&gt;Kendall&lt;/Author&gt;&lt;Year&gt;2009&lt;/Year&gt;&lt;RecNum&gt;37&lt;/RecNum&gt;&lt;DisplayText&gt;(23, 29)&lt;/DisplayText&gt;&lt;record&gt;&lt;rec-number&gt;37&lt;/rec-number&gt;&lt;foreign-keys&gt;&lt;key app="EN" db-id="9eda02e5ur2203epr0b59etbtzsf0ssz2xxd" timestamp="1467681401"&gt;37&lt;/key&gt;&lt;/foreign-keys&gt;&lt;ref-type name="Journal Article"&gt;17&lt;/ref-type&gt;&lt;contributors&gt;&lt;authors&gt;&lt;author&gt;Kendall, K&lt;/author&gt;&lt;/authors&gt;&lt;/contributors&gt;&lt;titles&gt;&lt;title&gt;High-Speed Laryngeal Imaging Compared With Videostroboscopy in Healthy Subjects&lt;/title&gt;&lt;secondary-title&gt;Arch Otolaryngol Head Neck Surg&lt;/secondary-title&gt;&lt;/titles&gt;&lt;periodical&gt;&lt;full-title&gt;Arch Otolaryngol Head Neck Surg&lt;/full-title&gt;&lt;/periodical&gt;&lt;pages&gt;274-281&lt;/pages&gt;&lt;volume&gt;135&lt;/volume&gt;&lt;number&gt;3&lt;/number&gt;&lt;dates&gt;&lt;year&gt;2009&lt;/year&gt;&lt;/dates&gt;&lt;urls&gt;&lt;/urls&gt;&lt;/record&gt;&lt;/Cite&gt;&lt;Cite&gt;&lt;Author&gt;Mehta&lt;/Author&gt;&lt;Year&gt;2012&lt;/Year&gt;&lt;RecNum&gt;7&lt;/RecNum&gt;&lt;record&gt;&lt;rec-number&gt;7&lt;/rec-number&gt;&lt;foreign-keys&gt;&lt;key app="EN" db-id="9eda02e5ur2203epr0b59etbtzsf0ssz2xxd" timestamp="1467442103"&gt;7&lt;/key&gt;&lt;/foreign-keys&gt;&lt;ref-type name="Journal Article"&gt;17&lt;/ref-type&gt;&lt;contributors&gt;&lt;authors&gt;&lt;author&gt;Mehta, DD&lt;/author&gt;&lt;author&gt;Hillman, RE&lt;/author&gt;&lt;/authors&gt;&lt;/contributors&gt;&lt;titles&gt;&lt;title&gt;Current role of stroboscopy in laryngeal imaging&lt;/title&gt;&lt;secondary-title&gt;Curr Opin Otolaryngol Head Neck Surg&lt;/secondary-title&gt;&lt;/titles&gt;&lt;periodical&gt;&lt;full-title&gt;Curr Opin Otolaryngol Head Neck Surg&lt;/full-title&gt;&lt;/periodical&gt;&lt;pages&gt;429-36&lt;/pages&gt;&lt;volume&gt;20&lt;/volume&gt;&lt;number&gt;6&lt;/number&gt;&lt;dates&gt;&lt;year&gt;2012&lt;/year&gt;&lt;/dates&gt;&lt;urls&gt;&lt;/urls&gt;&lt;/record&gt;&lt;/Cite&gt;&lt;/EndNote&gt;</w:instrText>
      </w:r>
      <w:r w:rsidRPr="00695C5B">
        <w:rPr>
          <w:vertAlign w:val="superscript"/>
        </w:rPr>
        <w:fldChar w:fldCharType="separate"/>
      </w:r>
      <w:r w:rsidRPr="00695C5B">
        <w:rPr>
          <w:noProof/>
          <w:vertAlign w:val="superscript"/>
        </w:rPr>
        <w:t>(23, 29)</w:t>
      </w:r>
      <w:r w:rsidRPr="00695C5B">
        <w:rPr>
          <w:vertAlign w:val="superscript"/>
        </w:rPr>
        <w:fldChar w:fldCharType="end"/>
      </w:r>
      <w:r w:rsidRPr="00695C5B">
        <w:t xml:space="preserve"> HSV however, is said to be more expensive, less widely available, necessitates greater storage capacity and is highly dependent upon the skill and experience of the examiner.</w:t>
      </w:r>
      <w:r w:rsidRPr="00695C5B">
        <w:rPr>
          <w:vertAlign w:val="superscript"/>
        </w:rPr>
        <w:fldChar w:fldCharType="begin"/>
      </w:r>
      <w:r w:rsidRPr="00695C5B">
        <w:rPr>
          <w:vertAlign w:val="superscript"/>
        </w:rPr>
        <w:instrText xml:space="preserve"> ADDIN EN.CITE &lt;EndNote&gt;&lt;Cite&gt;&lt;Author&gt;Kazi&lt;/Author&gt;&lt;Year&gt;2009&lt;/Year&gt;&lt;RecNum&gt;3&lt;/RecNum&gt;&lt;DisplayText&gt;(31, 32)&lt;/DisplayText&gt;&lt;record&gt;&lt;rec-number&gt;3&lt;/rec-number&gt;&lt;foreign-keys&gt;&lt;key app="EN" db-id="9eda02e5ur2203epr0b59etbtzsf0ssz2xxd" timestamp="1466335688"&gt;3&lt;/key&gt;&lt;/foreign-keys&gt;&lt;ref-type name="Journal Article"&gt;17&lt;/ref-type&gt;&lt;contributors&gt;&lt;authors&gt;&lt;author&gt;Kazi, R&lt;/author&gt;&lt;author&gt;Rhys-Evans, P&lt;/author&gt;&lt;author&gt;Nutting, CM&lt;/author&gt;&lt;author&gt;Harrington, KJ&lt;/author&gt;&lt;/authors&gt;&lt;/contributors&gt;&lt;titles&gt;&lt;title&gt;The great debate: Stroboscopy vs high-speed imaging for assesment of alaryngeal phonation &lt;/title&gt;&lt;secondary-title&gt;J Can Res Ther&lt;/secondary-title&gt;&lt;/titles&gt;&lt;periodical&gt;&lt;full-title&gt;J Can Res Ther&lt;/full-title&gt;&lt;/periodical&gt;&lt;pages&gt;121-123&lt;/pages&gt;&lt;volume&gt;5&lt;/volume&gt;&lt;number&gt;2&lt;/number&gt;&lt;dates&gt;&lt;year&gt;2009&lt;/year&gt;&lt;/dates&gt;&lt;urls&gt;&lt;/urls&gt;&lt;/record&gt;&lt;/Cite&gt;&lt;Cite&gt;&lt;Author&gt;Nunez-Batalla&lt;/Author&gt;&lt;Year&gt;2007&lt;/Year&gt;&lt;RecNum&gt;21&lt;/RecNum&gt;&lt;record&gt;&lt;rec-number&gt;21&lt;/rec-number&gt;&lt;foreign-keys&gt;&lt;key app="EN" db-id="9eda02e5ur2203epr0b59etbtzsf0ssz2xxd" timestamp="1467609273"&gt;21&lt;/key&gt;&lt;/foreign-keys&gt;&lt;ref-type name="Journal Article"&gt;17&lt;/ref-type&gt;&lt;contributors&gt;&lt;authors&gt;&lt;author&gt;Nunez-Batalla, F&lt;/author&gt;&lt;author&gt;Senaris-Gonzalez, B&lt;/author&gt;&lt;author&gt;Corte-Santos, P&lt;/author&gt;&lt;author&gt;Sevilla-Garcia, MA &lt;/author&gt;&lt;author&gt;Coca-Pelaza, A&lt;/author&gt;&lt;author&gt;Charlone-Granucci, R&lt;/author&gt;&lt;author&gt;Suarez-Nieto, C&lt;/author&gt;&lt;/authors&gt;&lt;/contributors&gt;&lt;titles&gt;&lt;title&gt;The Diagnostic Role of Direct Microlaryngoscopy&lt;/title&gt;&lt;secondary-title&gt;Acta Otorrinolaringol Esp&lt;/secondary-title&gt;&lt;/titles&gt;&lt;periodical&gt;&lt;full-title&gt;Acta Otorrinolaringol Esp&lt;/full-title&gt;&lt;/periodical&gt;&lt;pages&gt;362-6&lt;/pages&gt;&lt;volume&gt;58&lt;/volume&gt;&lt;number&gt;8&lt;/number&gt;&lt;dates&gt;&lt;year&gt;2007&lt;/year&gt;&lt;/dates&gt;&lt;urls&gt;&lt;/urls&gt;&lt;/record&gt;&lt;/Cite&gt;&lt;/EndNote&gt;</w:instrText>
      </w:r>
      <w:r w:rsidRPr="00695C5B">
        <w:rPr>
          <w:vertAlign w:val="superscript"/>
        </w:rPr>
        <w:fldChar w:fldCharType="separate"/>
      </w:r>
      <w:r w:rsidRPr="00695C5B">
        <w:rPr>
          <w:noProof/>
          <w:vertAlign w:val="superscript"/>
        </w:rPr>
        <w:t>(31, 32)</w:t>
      </w:r>
      <w:r w:rsidRPr="00695C5B">
        <w:rPr>
          <w:vertAlign w:val="superscript"/>
        </w:rPr>
        <w:fldChar w:fldCharType="end"/>
      </w:r>
      <w:r w:rsidR="007736E8">
        <w:t xml:space="preserve"> </w:t>
      </w:r>
    </w:p>
    <w:p w14:paraId="09EED0B7" w14:textId="77777777" w:rsidR="00F85147" w:rsidRDefault="00B964DD" w:rsidP="00B964DD">
      <w:r>
        <w:t xml:space="preserve">The following table </w:t>
      </w:r>
      <w:r w:rsidRPr="00B964DD">
        <w:rPr>
          <w:szCs w:val="22"/>
        </w:rPr>
        <w:t xml:space="preserve">(taken from </w:t>
      </w:r>
      <w:proofErr w:type="spellStart"/>
      <w:r w:rsidRPr="00B964DD">
        <w:rPr>
          <w:szCs w:val="22"/>
        </w:rPr>
        <w:t>Krausert</w:t>
      </w:r>
      <w:proofErr w:type="spellEnd"/>
      <w:r w:rsidRPr="00B964DD">
        <w:rPr>
          <w:szCs w:val="22"/>
        </w:rPr>
        <w:t xml:space="preserve"> et al</w:t>
      </w:r>
      <w:r w:rsidRPr="00B964DD">
        <w:rPr>
          <w:szCs w:val="22"/>
          <w:vertAlign w:val="superscript"/>
        </w:rPr>
        <w:fldChar w:fldCharType="begin"/>
      </w:r>
      <w:r w:rsidRPr="00B964DD">
        <w:rPr>
          <w:szCs w:val="22"/>
          <w:vertAlign w:val="superscript"/>
        </w:rPr>
        <w:instrText xml:space="preserve"> ADDIN EN.CITE &lt;EndNote&gt;&lt;Cite&gt;&lt;Author&gt;Krausert&lt;/Author&gt;&lt;Year&gt;2012&lt;/Year&gt;&lt;RecNum&gt;38&lt;/RecNum&gt;&lt;DisplayText&gt;(33)&lt;/DisplayText&gt;&lt;record&gt;&lt;rec-number&gt;38&lt;/rec-number&gt;&lt;foreign-keys&gt;&lt;key app="EN" db-id="9eda02e5ur2203epr0b59etbtzsf0ssz2xxd" timestamp="1467717091"&gt;38&lt;/key&gt;&lt;/foreign-keys&gt;&lt;ref-type name="Journal Article"&gt;17&lt;/ref-type&gt;&lt;contributors&gt;&lt;authors&gt;&lt;author&gt;Krausert, CR&lt;/author&gt;&lt;author&gt;Olszewski, AE&lt;/author&gt;&lt;author&gt;Taylor, LN&lt;/author&gt;&lt;author&gt;McMurray, JS&lt;/author&gt;&lt;author&gt;Dailey, SH&lt;/author&gt;&lt;author&gt;Jiang, JJ&lt;/author&gt;&lt;/authors&gt;&lt;/contributors&gt;&lt;titles&gt;&lt;title&gt;Mucosal Wave Measurement and Visualization Techniques&lt;/title&gt;&lt;secondary-title&gt;J Voice&lt;/secondary-title&gt;&lt;/titles&gt;&lt;periodical&gt;&lt;full-title&gt;J Voice&lt;/full-title&gt;&lt;/periodical&gt;&lt;pages&gt;395-405&lt;/pages&gt;&lt;volume&gt;25&lt;/volume&gt;&lt;number&gt;4&lt;/number&gt;&lt;dates&gt;&lt;year&gt;2012&lt;/year&gt;&lt;/dates&gt;&lt;urls&gt;&lt;/urls&gt;&lt;/record&gt;&lt;/Cite&gt;&lt;/EndNote&gt;</w:instrText>
      </w:r>
      <w:r w:rsidRPr="00B964DD">
        <w:rPr>
          <w:szCs w:val="22"/>
          <w:vertAlign w:val="superscript"/>
        </w:rPr>
        <w:fldChar w:fldCharType="separate"/>
      </w:r>
      <w:r w:rsidRPr="00B964DD">
        <w:rPr>
          <w:noProof/>
          <w:szCs w:val="22"/>
          <w:vertAlign w:val="superscript"/>
        </w:rPr>
        <w:t>(33)</w:t>
      </w:r>
      <w:r w:rsidRPr="00B964DD">
        <w:rPr>
          <w:szCs w:val="22"/>
          <w:vertAlign w:val="superscript"/>
        </w:rPr>
        <w:fldChar w:fldCharType="end"/>
      </w:r>
      <w:r w:rsidRPr="00B964DD">
        <w:rPr>
          <w:szCs w:val="22"/>
        </w:rPr>
        <w:t>)</w:t>
      </w:r>
      <w:r w:rsidR="0085654A">
        <w:rPr>
          <w:szCs w:val="22"/>
        </w:rPr>
        <w:t xml:space="preserve"> </w:t>
      </w:r>
      <w:r w:rsidR="00F85147" w:rsidRPr="00B964DD">
        <w:t>compares</w:t>
      </w:r>
      <w:r w:rsidR="00F85147" w:rsidRPr="00695C5B">
        <w:t xml:space="preserve"> various features of high-speed imaging with </w:t>
      </w:r>
      <w:proofErr w:type="spellStart"/>
      <w:r w:rsidR="00F85147" w:rsidRPr="00695C5B">
        <w:t>videostroboscopy</w:t>
      </w:r>
      <w:proofErr w:type="spellEnd"/>
      <w:r w:rsidR="00F85147" w:rsidRPr="00695C5B">
        <w:t>.</w:t>
      </w:r>
    </w:p>
    <w:p w14:paraId="29C9ADDC" w14:textId="77777777" w:rsidR="002E1611" w:rsidRDefault="002E1611" w:rsidP="00474061">
      <w:pPr>
        <w:pStyle w:val="Caption"/>
      </w:pPr>
      <w:r>
        <w:br w:type="page"/>
      </w:r>
    </w:p>
    <w:p w14:paraId="391F9F4C" w14:textId="77777777" w:rsidR="00474061" w:rsidRDefault="001C3B56" w:rsidP="00474061">
      <w:pPr>
        <w:pStyle w:val="Caption"/>
      </w:pPr>
      <w:r>
        <w:lastRenderedPageBreak/>
        <w:t>Table C1:</w:t>
      </w:r>
      <w:r>
        <w:tab/>
      </w:r>
      <w:r w:rsidR="003B0A5F">
        <w:t>Comparison of current mucosal wave imaging te</w:t>
      </w:r>
      <w:r w:rsidR="0085654A">
        <w:t>c</w:t>
      </w:r>
      <w:r w:rsidR="003B0A5F">
        <w:t>hniques</w:t>
      </w:r>
      <w:r w:rsidR="00C960F1">
        <w:t xml:space="preserve"> - </w:t>
      </w:r>
      <w:r w:rsidR="00C960F1" w:rsidRPr="00C960F1">
        <w:t>Rows refer to different techniques, while columns describe attributes. Compared cost includes maintenance and long-term use; compared cost and compared resolution are based on a scale of 0 (least costly, lowest resolution) to 3 (most costly, highest resolution).</w:t>
      </w:r>
    </w:p>
    <w:tbl>
      <w:tblPr>
        <w:tblW w:w="9699" w:type="dxa"/>
        <w:tblBorders>
          <w:top w:val="single" w:sz="4" w:space="0" w:color="B5601D"/>
          <w:bottom w:val="single" w:sz="4" w:space="0" w:color="B5601D"/>
          <w:insideH w:val="single" w:sz="4" w:space="0" w:color="B5601D"/>
        </w:tblBorders>
        <w:tblLayout w:type="fixed"/>
        <w:tblCellMar>
          <w:left w:w="60" w:type="dxa"/>
          <w:right w:w="60" w:type="dxa"/>
        </w:tblCellMar>
        <w:tblLook w:val="0000" w:firstRow="0" w:lastRow="0" w:firstColumn="0" w:lastColumn="0" w:noHBand="0" w:noVBand="0"/>
        <w:tblDescription w:val="Table C1 is taken from Krausert et al (reference 33. It compares curent mucosal wave imaging techniques. Rows refer to different techniques, while columns describe the purpose of the technique and attributes (that is, compared cost, frame rate, compared resolution and best use). "/>
      </w:tblPr>
      <w:tblGrid>
        <w:gridCol w:w="1761"/>
        <w:gridCol w:w="2835"/>
        <w:gridCol w:w="1418"/>
        <w:gridCol w:w="1134"/>
        <w:gridCol w:w="1134"/>
        <w:gridCol w:w="1417"/>
      </w:tblGrid>
      <w:tr w:rsidR="00474061" w:rsidRPr="00474061" w14:paraId="0F5D032C" w14:textId="77777777" w:rsidTr="00D0141D">
        <w:trPr>
          <w:tblHeader/>
        </w:trPr>
        <w:tc>
          <w:tcPr>
            <w:tcW w:w="1761" w:type="dxa"/>
            <w:shd w:val="clear" w:color="auto" w:fill="auto"/>
          </w:tcPr>
          <w:p w14:paraId="0D2F004D" w14:textId="77777777" w:rsidR="00474061" w:rsidRPr="00474061" w:rsidRDefault="00474061" w:rsidP="003B0A5F">
            <w:pPr>
              <w:pStyle w:val="Tableheading"/>
            </w:pPr>
            <w:r>
              <w:t>Technique</w:t>
            </w:r>
          </w:p>
        </w:tc>
        <w:tc>
          <w:tcPr>
            <w:tcW w:w="2835" w:type="dxa"/>
            <w:shd w:val="clear" w:color="auto" w:fill="auto"/>
          </w:tcPr>
          <w:p w14:paraId="5F2B4DB5" w14:textId="77777777" w:rsidR="00474061" w:rsidRPr="00474061" w:rsidRDefault="00474061" w:rsidP="003B0A5F">
            <w:pPr>
              <w:pStyle w:val="Tableheading"/>
            </w:pPr>
            <w:r w:rsidRPr="00474061">
              <w:t>Purpose</w:t>
            </w:r>
          </w:p>
        </w:tc>
        <w:tc>
          <w:tcPr>
            <w:tcW w:w="1418" w:type="dxa"/>
          </w:tcPr>
          <w:p w14:paraId="1B50FA63" w14:textId="77777777" w:rsidR="00474061" w:rsidRPr="0085654A" w:rsidRDefault="00474061" w:rsidP="00D0141D">
            <w:pPr>
              <w:pStyle w:val="Tableheading"/>
              <w:rPr>
                <w:vertAlign w:val="superscript"/>
              </w:rPr>
            </w:pPr>
            <w:r w:rsidRPr="00474061">
              <w:t>Compared cost</w:t>
            </w:r>
          </w:p>
        </w:tc>
        <w:tc>
          <w:tcPr>
            <w:tcW w:w="1134" w:type="dxa"/>
          </w:tcPr>
          <w:p w14:paraId="0CA27572" w14:textId="77777777" w:rsidR="00474061" w:rsidRPr="00474061" w:rsidRDefault="00474061" w:rsidP="003B0A5F">
            <w:pPr>
              <w:pStyle w:val="Tableheading"/>
            </w:pPr>
            <w:r>
              <w:t>Frame rate</w:t>
            </w:r>
          </w:p>
        </w:tc>
        <w:tc>
          <w:tcPr>
            <w:tcW w:w="1134" w:type="dxa"/>
          </w:tcPr>
          <w:p w14:paraId="4F8042D9" w14:textId="77777777" w:rsidR="00474061" w:rsidRPr="00474061" w:rsidRDefault="00474061" w:rsidP="003B0A5F">
            <w:pPr>
              <w:pStyle w:val="Tableheading"/>
            </w:pPr>
            <w:r>
              <w:t>Compared resolution</w:t>
            </w:r>
          </w:p>
        </w:tc>
        <w:tc>
          <w:tcPr>
            <w:tcW w:w="1417" w:type="dxa"/>
          </w:tcPr>
          <w:p w14:paraId="06914DA9" w14:textId="77777777" w:rsidR="00474061" w:rsidRPr="00474061" w:rsidRDefault="00474061" w:rsidP="003B0A5F">
            <w:pPr>
              <w:pStyle w:val="Tableheading"/>
            </w:pPr>
            <w:r>
              <w:t>Best use</w:t>
            </w:r>
          </w:p>
        </w:tc>
      </w:tr>
      <w:tr w:rsidR="00474061" w:rsidRPr="002E1611" w14:paraId="63598BAF" w14:textId="77777777" w:rsidTr="00D0141D">
        <w:trPr>
          <w:tblHeader/>
        </w:trPr>
        <w:tc>
          <w:tcPr>
            <w:tcW w:w="1761" w:type="dxa"/>
            <w:shd w:val="clear" w:color="auto" w:fill="auto"/>
          </w:tcPr>
          <w:p w14:paraId="7E4F59FD" w14:textId="77777777" w:rsidR="00474061" w:rsidRPr="00F86BD1" w:rsidRDefault="00474061" w:rsidP="002E1611">
            <w:pPr>
              <w:pStyle w:val="Tabletext"/>
            </w:pPr>
            <w:proofErr w:type="spellStart"/>
            <w:r w:rsidRPr="00F86BD1">
              <w:t>Stroboscopy</w:t>
            </w:r>
            <w:proofErr w:type="spellEnd"/>
          </w:p>
        </w:tc>
        <w:tc>
          <w:tcPr>
            <w:tcW w:w="2835" w:type="dxa"/>
            <w:shd w:val="clear" w:color="auto" w:fill="auto"/>
          </w:tcPr>
          <w:p w14:paraId="453C4927" w14:textId="77777777" w:rsidR="00474061" w:rsidRPr="00F86BD1" w:rsidRDefault="00F72C5B" w:rsidP="002E1611">
            <w:pPr>
              <w:pStyle w:val="Tabletext"/>
            </w:pPr>
            <w:r w:rsidRPr="00F86BD1">
              <w:t>Visualization</w:t>
            </w:r>
            <w:r w:rsidR="003341AB" w:rsidRPr="00F86BD1">
              <w:t xml:space="preserve"> of periodic vocal fold vibration, mucosal wave patterns</w:t>
            </w:r>
          </w:p>
        </w:tc>
        <w:tc>
          <w:tcPr>
            <w:tcW w:w="1418" w:type="dxa"/>
          </w:tcPr>
          <w:p w14:paraId="34CF3BF4" w14:textId="77777777" w:rsidR="00474061" w:rsidRPr="00F86BD1" w:rsidRDefault="003341AB" w:rsidP="002E1611">
            <w:pPr>
              <w:pStyle w:val="Tabletext"/>
              <w:jc w:val="center"/>
            </w:pPr>
            <w:r w:rsidRPr="00F86BD1">
              <w:t>1</w:t>
            </w:r>
          </w:p>
        </w:tc>
        <w:tc>
          <w:tcPr>
            <w:tcW w:w="1134" w:type="dxa"/>
          </w:tcPr>
          <w:p w14:paraId="0D3BD0DE" w14:textId="77777777" w:rsidR="00474061" w:rsidRPr="00F86BD1" w:rsidRDefault="003341AB" w:rsidP="00D0141D">
            <w:pPr>
              <w:pStyle w:val="Tabletext"/>
            </w:pPr>
            <w:r w:rsidRPr="00F86BD1">
              <w:t xml:space="preserve">30 </w:t>
            </w:r>
            <w:r w:rsidR="00D0141D">
              <w:t>frames per second</w:t>
            </w:r>
          </w:p>
        </w:tc>
        <w:tc>
          <w:tcPr>
            <w:tcW w:w="1134" w:type="dxa"/>
          </w:tcPr>
          <w:p w14:paraId="4AC8843A" w14:textId="77777777" w:rsidR="00474061" w:rsidRPr="00F86BD1" w:rsidRDefault="003341AB" w:rsidP="002E1611">
            <w:pPr>
              <w:pStyle w:val="Tabletext"/>
              <w:jc w:val="center"/>
            </w:pPr>
            <w:r w:rsidRPr="00F86BD1">
              <w:t>3</w:t>
            </w:r>
          </w:p>
        </w:tc>
        <w:tc>
          <w:tcPr>
            <w:tcW w:w="1417" w:type="dxa"/>
          </w:tcPr>
          <w:p w14:paraId="09858C07" w14:textId="77777777" w:rsidR="00474061" w:rsidRPr="00F86BD1" w:rsidRDefault="003341AB" w:rsidP="002E1611">
            <w:pPr>
              <w:pStyle w:val="Tabletext"/>
            </w:pPr>
            <w:r w:rsidRPr="00F86BD1">
              <w:t>Initial evaluative</w:t>
            </w:r>
          </w:p>
        </w:tc>
      </w:tr>
      <w:tr w:rsidR="00474061" w:rsidRPr="002E1611" w14:paraId="12371AF4" w14:textId="77777777" w:rsidTr="00D0141D">
        <w:trPr>
          <w:tblHeader/>
        </w:trPr>
        <w:tc>
          <w:tcPr>
            <w:tcW w:w="1761" w:type="dxa"/>
            <w:shd w:val="clear" w:color="auto" w:fill="auto"/>
          </w:tcPr>
          <w:p w14:paraId="7D5099AE" w14:textId="77777777" w:rsidR="00474061" w:rsidRPr="00F86BD1" w:rsidRDefault="003341AB" w:rsidP="002E1611">
            <w:pPr>
              <w:pStyle w:val="Tabletext"/>
            </w:pPr>
            <w:proofErr w:type="spellStart"/>
            <w:r w:rsidRPr="00F86BD1">
              <w:t>Videokymography</w:t>
            </w:r>
            <w:proofErr w:type="spellEnd"/>
            <w:r w:rsidRPr="00F86BD1">
              <w:t xml:space="preserve"> (VKG</w:t>
            </w:r>
            <w:r w:rsidR="0085654A" w:rsidRPr="002E1611">
              <w:rPr>
                <w:sz w:val="18"/>
                <w:szCs w:val="18"/>
              </w:rPr>
              <w:t>)</w:t>
            </w:r>
          </w:p>
        </w:tc>
        <w:tc>
          <w:tcPr>
            <w:tcW w:w="2835" w:type="dxa"/>
            <w:shd w:val="clear" w:color="auto" w:fill="auto"/>
          </w:tcPr>
          <w:p w14:paraId="182491A3" w14:textId="77777777" w:rsidR="00474061" w:rsidRPr="00F86BD1" w:rsidRDefault="003B0A5F" w:rsidP="002E1611">
            <w:pPr>
              <w:pStyle w:val="Tabletext"/>
            </w:pPr>
            <w:r w:rsidRPr="00F86BD1">
              <w:t>Quantitative and qualitative description of periodic and aperiodic vocal fold vibration, mucosal wave pattern</w:t>
            </w:r>
          </w:p>
        </w:tc>
        <w:tc>
          <w:tcPr>
            <w:tcW w:w="1418" w:type="dxa"/>
          </w:tcPr>
          <w:p w14:paraId="4DF3E392" w14:textId="77777777" w:rsidR="00474061" w:rsidRPr="00F86BD1" w:rsidRDefault="003341AB" w:rsidP="002E1611">
            <w:pPr>
              <w:pStyle w:val="Tabletext"/>
              <w:jc w:val="center"/>
            </w:pPr>
            <w:r w:rsidRPr="00F86BD1">
              <w:t>2</w:t>
            </w:r>
          </w:p>
        </w:tc>
        <w:tc>
          <w:tcPr>
            <w:tcW w:w="1134" w:type="dxa"/>
          </w:tcPr>
          <w:p w14:paraId="206E2B36" w14:textId="77777777" w:rsidR="00474061" w:rsidRPr="00F86BD1" w:rsidRDefault="003341AB" w:rsidP="002E1611">
            <w:pPr>
              <w:pStyle w:val="Tabletext"/>
            </w:pPr>
            <w:r w:rsidRPr="00F86BD1">
              <w:t>8,000 lines per second</w:t>
            </w:r>
          </w:p>
        </w:tc>
        <w:tc>
          <w:tcPr>
            <w:tcW w:w="1134" w:type="dxa"/>
          </w:tcPr>
          <w:p w14:paraId="3D7C81EC" w14:textId="77777777" w:rsidR="00474061" w:rsidRPr="00F86BD1" w:rsidRDefault="003341AB" w:rsidP="002E1611">
            <w:pPr>
              <w:pStyle w:val="Tabletext"/>
              <w:jc w:val="center"/>
            </w:pPr>
            <w:r w:rsidRPr="00F86BD1">
              <w:t>1</w:t>
            </w:r>
          </w:p>
        </w:tc>
        <w:tc>
          <w:tcPr>
            <w:tcW w:w="1417" w:type="dxa"/>
          </w:tcPr>
          <w:p w14:paraId="6C910343" w14:textId="77777777" w:rsidR="00474061" w:rsidRPr="00F86BD1" w:rsidRDefault="003341AB" w:rsidP="002E1611">
            <w:pPr>
              <w:pStyle w:val="Tabletext"/>
            </w:pPr>
            <w:r w:rsidRPr="00F86BD1">
              <w:t xml:space="preserve">Supplement to </w:t>
            </w:r>
            <w:proofErr w:type="spellStart"/>
            <w:r w:rsidR="003B0A5F" w:rsidRPr="00F86BD1">
              <w:t>s</w:t>
            </w:r>
            <w:r w:rsidRPr="00F86BD1">
              <w:t>troboscopy</w:t>
            </w:r>
            <w:proofErr w:type="spellEnd"/>
          </w:p>
        </w:tc>
      </w:tr>
      <w:tr w:rsidR="00474061" w:rsidRPr="002E1611" w14:paraId="120121E2" w14:textId="77777777" w:rsidTr="00D0141D">
        <w:trPr>
          <w:tblHeader/>
        </w:trPr>
        <w:tc>
          <w:tcPr>
            <w:tcW w:w="1761" w:type="dxa"/>
            <w:shd w:val="clear" w:color="auto" w:fill="auto"/>
          </w:tcPr>
          <w:p w14:paraId="6711AE9F" w14:textId="77777777" w:rsidR="00474061" w:rsidRPr="00F86BD1" w:rsidRDefault="003341AB" w:rsidP="002E1611">
            <w:pPr>
              <w:pStyle w:val="Tabletext"/>
            </w:pPr>
            <w:r w:rsidRPr="00F86BD1">
              <w:t>High Speed Digital Imaging (HSDI)</w:t>
            </w:r>
          </w:p>
        </w:tc>
        <w:tc>
          <w:tcPr>
            <w:tcW w:w="2835" w:type="dxa"/>
            <w:shd w:val="clear" w:color="auto" w:fill="auto"/>
          </w:tcPr>
          <w:p w14:paraId="2C64FB81" w14:textId="77777777" w:rsidR="00474061" w:rsidRPr="00F86BD1" w:rsidRDefault="003B0A5F" w:rsidP="002E1611">
            <w:pPr>
              <w:pStyle w:val="Tabletext"/>
            </w:pPr>
            <w:r w:rsidRPr="00F86BD1">
              <w:t>Detailed visualization of periodic and aperiodic vocal fold vibration, mucosal wave patterns</w:t>
            </w:r>
          </w:p>
        </w:tc>
        <w:tc>
          <w:tcPr>
            <w:tcW w:w="1418" w:type="dxa"/>
          </w:tcPr>
          <w:p w14:paraId="3911535D" w14:textId="77777777" w:rsidR="00474061" w:rsidRPr="00F86BD1" w:rsidRDefault="003341AB" w:rsidP="002E1611">
            <w:pPr>
              <w:pStyle w:val="Tabletext"/>
              <w:jc w:val="center"/>
            </w:pPr>
            <w:r w:rsidRPr="00F86BD1">
              <w:t>3</w:t>
            </w:r>
          </w:p>
        </w:tc>
        <w:tc>
          <w:tcPr>
            <w:tcW w:w="1134" w:type="dxa"/>
          </w:tcPr>
          <w:p w14:paraId="68B7E5E8" w14:textId="77777777" w:rsidR="00474061" w:rsidRPr="00F86BD1" w:rsidRDefault="003341AB" w:rsidP="002E1611">
            <w:pPr>
              <w:pStyle w:val="Tabletext"/>
            </w:pPr>
            <w:r w:rsidRPr="00F86BD1">
              <w:t>4,000 frames per second</w:t>
            </w:r>
          </w:p>
        </w:tc>
        <w:tc>
          <w:tcPr>
            <w:tcW w:w="1134" w:type="dxa"/>
          </w:tcPr>
          <w:p w14:paraId="71FBEE4A" w14:textId="77777777" w:rsidR="00474061" w:rsidRPr="00F86BD1" w:rsidRDefault="003341AB" w:rsidP="002E1611">
            <w:pPr>
              <w:pStyle w:val="Tabletext"/>
              <w:jc w:val="center"/>
            </w:pPr>
            <w:r w:rsidRPr="00F86BD1">
              <w:t>2</w:t>
            </w:r>
          </w:p>
        </w:tc>
        <w:tc>
          <w:tcPr>
            <w:tcW w:w="1417" w:type="dxa"/>
          </w:tcPr>
          <w:p w14:paraId="68F17422" w14:textId="77777777" w:rsidR="00474061" w:rsidRPr="00F86BD1" w:rsidRDefault="003B0A5F" w:rsidP="002E1611">
            <w:pPr>
              <w:pStyle w:val="Tabletext"/>
            </w:pPr>
            <w:r w:rsidRPr="00F86BD1">
              <w:t xml:space="preserve">Supplement to </w:t>
            </w:r>
            <w:proofErr w:type="spellStart"/>
            <w:r w:rsidRPr="00F86BD1">
              <w:t>stroboscopy</w:t>
            </w:r>
            <w:proofErr w:type="spellEnd"/>
          </w:p>
        </w:tc>
      </w:tr>
      <w:tr w:rsidR="00474061" w:rsidRPr="002E1611" w14:paraId="58ED7E81" w14:textId="77777777" w:rsidTr="00D0141D">
        <w:trPr>
          <w:tblHeader/>
        </w:trPr>
        <w:tc>
          <w:tcPr>
            <w:tcW w:w="1761" w:type="dxa"/>
            <w:shd w:val="clear" w:color="auto" w:fill="auto"/>
          </w:tcPr>
          <w:p w14:paraId="507D934C" w14:textId="77777777" w:rsidR="00474061" w:rsidRPr="00F86BD1" w:rsidRDefault="003341AB" w:rsidP="002E1611">
            <w:pPr>
              <w:pStyle w:val="Tabletext"/>
            </w:pPr>
            <w:r w:rsidRPr="00F86BD1">
              <w:t>Electroglottography</w:t>
            </w:r>
          </w:p>
        </w:tc>
        <w:tc>
          <w:tcPr>
            <w:tcW w:w="2835" w:type="dxa"/>
            <w:shd w:val="clear" w:color="auto" w:fill="auto"/>
          </w:tcPr>
          <w:p w14:paraId="7C88AD49" w14:textId="77777777" w:rsidR="00474061" w:rsidRPr="00F86BD1" w:rsidRDefault="003B0A5F" w:rsidP="002E1611">
            <w:pPr>
              <w:pStyle w:val="Tabletext"/>
            </w:pPr>
            <w:r w:rsidRPr="00F86BD1">
              <w:t>Describes duration, coordination, relative contact patterns within glottal cycle</w:t>
            </w:r>
          </w:p>
        </w:tc>
        <w:tc>
          <w:tcPr>
            <w:tcW w:w="1418" w:type="dxa"/>
          </w:tcPr>
          <w:p w14:paraId="226CD231" w14:textId="77777777" w:rsidR="00474061" w:rsidRPr="00F86BD1" w:rsidRDefault="003341AB" w:rsidP="002E1611">
            <w:pPr>
              <w:pStyle w:val="Tabletext"/>
              <w:jc w:val="center"/>
            </w:pPr>
            <w:r w:rsidRPr="00F86BD1">
              <w:t>0</w:t>
            </w:r>
          </w:p>
        </w:tc>
        <w:tc>
          <w:tcPr>
            <w:tcW w:w="1134" w:type="dxa"/>
          </w:tcPr>
          <w:p w14:paraId="43C86144" w14:textId="77777777" w:rsidR="00474061" w:rsidRPr="00F86BD1" w:rsidRDefault="003341AB" w:rsidP="002E1611">
            <w:pPr>
              <w:pStyle w:val="Tabletext"/>
            </w:pPr>
            <w:r w:rsidRPr="00F86BD1">
              <w:t>n/a</w:t>
            </w:r>
          </w:p>
        </w:tc>
        <w:tc>
          <w:tcPr>
            <w:tcW w:w="1134" w:type="dxa"/>
          </w:tcPr>
          <w:p w14:paraId="794841C5" w14:textId="77777777" w:rsidR="00474061" w:rsidRPr="00F86BD1" w:rsidRDefault="003341AB" w:rsidP="002E1611">
            <w:pPr>
              <w:pStyle w:val="Tabletext"/>
              <w:jc w:val="center"/>
            </w:pPr>
            <w:r w:rsidRPr="00F86BD1">
              <w:t>n/a</w:t>
            </w:r>
          </w:p>
        </w:tc>
        <w:tc>
          <w:tcPr>
            <w:tcW w:w="1417" w:type="dxa"/>
          </w:tcPr>
          <w:p w14:paraId="64101B20" w14:textId="77777777" w:rsidR="00474061" w:rsidRPr="00F86BD1" w:rsidRDefault="003B0A5F" w:rsidP="002E1611">
            <w:pPr>
              <w:pStyle w:val="Tabletext"/>
            </w:pPr>
            <w:r w:rsidRPr="00F86BD1">
              <w:t>In tandem with VKG, or HSDI</w:t>
            </w:r>
          </w:p>
        </w:tc>
      </w:tr>
    </w:tbl>
    <w:p w14:paraId="2A1AF993" w14:textId="77777777" w:rsidR="00F85147" w:rsidRPr="00695C5B" w:rsidRDefault="00F85147" w:rsidP="00B964DD">
      <w:r w:rsidRPr="00695C5B">
        <w:t>It is quite difficult to make many conclusions from the above comparisons.</w:t>
      </w:r>
      <w:r w:rsidR="007736E8">
        <w:t xml:space="preserve"> </w:t>
      </w:r>
      <w:r w:rsidRPr="00695C5B">
        <w:t xml:space="preserve">Whilst available evidence regarding </w:t>
      </w:r>
      <w:proofErr w:type="spellStart"/>
      <w:r w:rsidRPr="00695C5B">
        <w:t>microlaryngoscopy</w:t>
      </w:r>
      <w:proofErr w:type="spellEnd"/>
      <w:r w:rsidRPr="00695C5B">
        <w:t xml:space="preserve"> appears to conclude that it is diagnostically more accurate, this improved rate may be dependent upon the type of lesion involved.</w:t>
      </w:r>
      <w:r w:rsidR="007736E8">
        <w:t xml:space="preserve"> </w:t>
      </w:r>
      <w:r w:rsidRPr="00695C5B">
        <w:t xml:space="preserve">High-speed imaging technology is continuing to emerge, but due to the expense, expertise required in interpretation and requirement for additional equipment, this has been said to be preferred as an adjunct to </w:t>
      </w:r>
      <w:proofErr w:type="spellStart"/>
      <w:r w:rsidRPr="00695C5B">
        <w:t>videostroboscopy</w:t>
      </w:r>
      <w:proofErr w:type="spellEnd"/>
      <w:r w:rsidRPr="00695C5B">
        <w:t>.</w:t>
      </w:r>
      <w:r w:rsidR="007736E8">
        <w:t xml:space="preserve"> </w:t>
      </w:r>
      <w:r w:rsidRPr="00695C5B">
        <w:t xml:space="preserve">As mentioned previously, the diagnostic accuracy of </w:t>
      </w:r>
      <w:proofErr w:type="spellStart"/>
      <w:r w:rsidRPr="00695C5B">
        <w:t>videostroboscopy</w:t>
      </w:r>
      <w:proofErr w:type="spellEnd"/>
      <w:r w:rsidRPr="00695C5B">
        <w:t xml:space="preserve"> itself is difficult to infer due to great variability amongst the evidence in terms of inter and intra-</w:t>
      </w:r>
      <w:proofErr w:type="spellStart"/>
      <w:r w:rsidRPr="00695C5B">
        <w:t>rater</w:t>
      </w:r>
      <w:proofErr w:type="spellEnd"/>
      <w:r w:rsidRPr="00695C5B">
        <w:t xml:space="preserve"> reliability. There is a suggestion amongst the literature that reliability is improved when </w:t>
      </w:r>
      <w:proofErr w:type="spellStart"/>
      <w:r w:rsidRPr="00695C5B">
        <w:t>stroboscopy</w:t>
      </w:r>
      <w:proofErr w:type="spellEnd"/>
      <w:r w:rsidRPr="00695C5B">
        <w:t xml:space="preserve"> is interpreted by more experienced clinicians, however as many of the relevant studies fail to provide sufficient information regarding this, further research in this area is required. </w:t>
      </w:r>
    </w:p>
    <w:p w14:paraId="67E546A7" w14:textId="77777777" w:rsidR="00F85147" w:rsidRPr="00695C5B" w:rsidRDefault="00F85147" w:rsidP="00BA6D5D">
      <w:pPr>
        <w:pStyle w:val="Heading3"/>
      </w:pPr>
      <w:r w:rsidRPr="00695C5B">
        <w:t>(c)</w:t>
      </w:r>
      <w:r w:rsidR="00957B0C">
        <w:t xml:space="preserve"> </w:t>
      </w:r>
      <w:r w:rsidRPr="00695C5B">
        <w:t>Does</w:t>
      </w:r>
      <w:r w:rsidR="00957B0C">
        <w:t xml:space="preserve"> </w:t>
      </w:r>
      <w:r w:rsidR="00B97414">
        <w:t xml:space="preserve">use of </w:t>
      </w:r>
      <w:proofErr w:type="spellStart"/>
      <w:r w:rsidRPr="00695C5B">
        <w:t>stroboscopy</w:t>
      </w:r>
      <w:proofErr w:type="spellEnd"/>
      <w:r w:rsidRPr="00695C5B">
        <w:t xml:space="preserve"> </w:t>
      </w:r>
      <w:r w:rsidR="00B97414">
        <w:t xml:space="preserve">change management and/or </w:t>
      </w:r>
      <w:r w:rsidRPr="00695C5B">
        <w:t>improve outcomes for patients</w:t>
      </w:r>
      <w:r w:rsidR="00B97414">
        <w:t xml:space="preserve"> with vocal disorders</w:t>
      </w:r>
      <w:r w:rsidRPr="00695C5B">
        <w:t>?</w:t>
      </w:r>
    </w:p>
    <w:p w14:paraId="61D47518" w14:textId="77777777" w:rsidR="00F85147" w:rsidRPr="00695C5B" w:rsidRDefault="00F85147" w:rsidP="00B964DD">
      <w:r w:rsidRPr="00695C5B">
        <w:t xml:space="preserve">There are numerous studies that have found the use of </w:t>
      </w:r>
      <w:proofErr w:type="spellStart"/>
      <w:r w:rsidRPr="00695C5B">
        <w:t>stroboscopy</w:t>
      </w:r>
      <w:proofErr w:type="spellEnd"/>
      <w:r w:rsidRPr="00695C5B">
        <w:t xml:space="preserve"> to have resulted in a change in management in a proportion of cases, although there is considerable variation in terms of magnitude of change.</w:t>
      </w:r>
      <w:r w:rsidR="007736E8">
        <w:t xml:space="preserve"> </w:t>
      </w:r>
      <w:r w:rsidRPr="00695C5B">
        <w:t xml:space="preserve">The majority of studies have noted a change in management of between 10 and 47%, influenced of course by type of lesion and type of prior investigation. </w:t>
      </w:r>
      <w:r w:rsidRPr="00695C5B">
        <w:rPr>
          <w:vertAlign w:val="superscript"/>
        </w:rPr>
        <w:fldChar w:fldCharType="begin"/>
      </w:r>
      <w:r w:rsidRPr="00695C5B">
        <w:rPr>
          <w:vertAlign w:val="superscript"/>
        </w:rPr>
        <w:instrText xml:space="preserve"> ADDIN EN.CITE &lt;EndNote&gt;&lt;Cite&gt;&lt;Author&gt;Cohen&lt;/Author&gt;&lt;Year&gt;2014&lt;/Year&gt;&lt;RecNum&gt;36&lt;/RecNum&gt;&lt;DisplayText&gt;(34)&lt;/DisplayText&gt;&lt;record&gt;&lt;rec-number&gt;36&lt;/rec-number&gt;&lt;foreign-keys&gt;&lt;key app="EN" db-id="9eda02e5ur2203epr0b59etbtzsf0ssz2xxd" timestamp="1467678589"&gt;36&lt;/key&gt;&lt;/foreign-keys&gt;&lt;ref-type name="Journal Article"&gt;17&lt;/ref-type&gt;&lt;contributors&gt;&lt;authors&gt;&lt;author&gt;Cohen, SM&lt;/author&gt;&lt;author&gt;Thomas, S&lt;/author&gt;&lt;author&gt;Roy, N&lt;/author&gt;&lt;author&gt;Kim, J&lt;/author&gt;&lt;author&gt;Courey, M&lt;/author&gt;&lt;/authors&gt;&lt;/contributors&gt;&lt;titles&gt;&lt;title&gt;Frequency and Factors Associated with Use of Videolaryngostroboscopy in Voice Disorder Assessment&lt;/title&gt;&lt;secondary-title&gt;Laryngoscope&lt;/secondary-title&gt;&lt;/titles&gt;&lt;periodical&gt;&lt;full-title&gt;Laryngoscope&lt;/full-title&gt;&lt;/periodical&gt;&lt;pages&gt;2118-24&lt;/pages&gt;&lt;volume&gt;124&lt;/volume&gt;&lt;number&gt;9&lt;/number&gt;&lt;dates&gt;&lt;year&gt;2014&lt;/year&gt;&lt;/dates&gt;&lt;urls&gt;&lt;/urls&gt;&lt;/record&gt;&lt;/Cite&gt;&lt;/EndNote&gt;</w:instrText>
      </w:r>
      <w:r w:rsidRPr="00695C5B">
        <w:rPr>
          <w:vertAlign w:val="superscript"/>
        </w:rPr>
        <w:fldChar w:fldCharType="separate"/>
      </w:r>
      <w:r w:rsidRPr="00695C5B">
        <w:rPr>
          <w:noProof/>
          <w:vertAlign w:val="superscript"/>
        </w:rPr>
        <w:t>(34)</w:t>
      </w:r>
      <w:r w:rsidRPr="00695C5B">
        <w:rPr>
          <w:vertAlign w:val="superscript"/>
        </w:rPr>
        <w:fldChar w:fldCharType="end"/>
      </w:r>
    </w:p>
    <w:p w14:paraId="2E9D004C" w14:textId="77777777" w:rsidR="00F85147" w:rsidRPr="00695C5B" w:rsidRDefault="00F85147" w:rsidP="00B964DD">
      <w:proofErr w:type="spellStart"/>
      <w:r w:rsidRPr="00695C5B">
        <w:t>Casiano</w:t>
      </w:r>
      <w:proofErr w:type="spellEnd"/>
      <w:r w:rsidRPr="00695C5B">
        <w:t xml:space="preserve"> et al in a study of 292 dysphonic patients undergoing </w:t>
      </w:r>
      <w:proofErr w:type="spellStart"/>
      <w:r w:rsidRPr="00695C5B">
        <w:t>videolar</w:t>
      </w:r>
      <w:r w:rsidR="0096457B">
        <w:t>y</w:t>
      </w:r>
      <w:r w:rsidRPr="00695C5B">
        <w:t>ngoscopy</w:t>
      </w:r>
      <w:proofErr w:type="spellEnd"/>
      <w:r w:rsidRPr="00695C5B">
        <w:t xml:space="preserve"> with and without stroboscopic examination, found the addition of </w:t>
      </w:r>
      <w:proofErr w:type="spellStart"/>
      <w:r w:rsidRPr="00695C5B">
        <w:t>stroboscopy</w:t>
      </w:r>
      <w:proofErr w:type="spellEnd"/>
      <w:r w:rsidRPr="00695C5B">
        <w:t xml:space="preserve"> to alter diagnosis and treatment outcomes in 14</w:t>
      </w:r>
      <w:r w:rsidR="00C50295">
        <w:t xml:space="preserve"> per cent</w:t>
      </w:r>
      <w:r w:rsidRPr="00695C5B">
        <w:t xml:space="preserve"> of patients.</w:t>
      </w:r>
      <w:r w:rsidRPr="00695C5B">
        <w:rPr>
          <w:vertAlign w:val="superscript"/>
        </w:rPr>
        <w:fldChar w:fldCharType="begin"/>
      </w:r>
      <w:r w:rsidRPr="00695C5B">
        <w:rPr>
          <w:vertAlign w:val="superscript"/>
        </w:rPr>
        <w:instrText xml:space="preserve"> ADDIN EN.CITE &lt;EndNote&gt;&lt;Cite&gt;&lt;Author&gt;Casiano&lt;/Author&gt;&lt;Year&gt;1992&lt;/Year&gt;&lt;RecNum&gt;17&lt;/RecNum&gt;&lt;DisplayText&gt;(21)&lt;/DisplayText&gt;&lt;record&gt;&lt;rec-number&gt;17&lt;/rec-number&gt;&lt;foreign-keys&gt;&lt;key app="EN" db-id="9eda02e5ur2203epr0b59etbtzsf0ssz2xxd" timestamp="1467548845"&gt;17&lt;/key&gt;&lt;/foreign-keys&gt;&lt;ref-type name="Journal Article"&gt;17&lt;/ref-type&gt;&lt;contributors&gt;&lt;authors&gt;&lt;author&gt;Casiano, RR&lt;/author&gt;&lt;author&gt;Zaveri, V&lt;/author&gt;&lt;author&gt;Lundy, DS&lt;/author&gt;&lt;/authors&gt;&lt;/contributors&gt;&lt;titles&gt;&lt;title&gt;Efficacy of videostroboscopy in the diagnosis of voice disorders&lt;/title&gt;&lt;secondary-title&gt;Otolaryngol Head Neck Surg&lt;/secondary-title&gt;&lt;/titles&gt;&lt;periodical&gt;&lt;full-title&gt;Otolaryngol Head Neck Surg&lt;/full-title&gt;&lt;/periodical&gt;&lt;pages&gt;95-100&lt;/pages&gt;&lt;volume&gt;107&lt;/volume&gt;&lt;number&gt;1&lt;/number&gt;&lt;dates&gt;&lt;year&gt;1992&lt;/year&gt;&lt;/dates&gt;&lt;urls&gt;&lt;/urls&gt;&lt;/record&gt;&lt;/Cite&gt;&lt;/EndNote&gt;</w:instrText>
      </w:r>
      <w:r w:rsidRPr="00695C5B">
        <w:rPr>
          <w:vertAlign w:val="superscript"/>
        </w:rPr>
        <w:fldChar w:fldCharType="separate"/>
      </w:r>
      <w:r w:rsidRPr="00695C5B">
        <w:rPr>
          <w:noProof/>
          <w:vertAlign w:val="superscript"/>
        </w:rPr>
        <w:t>(21)</w:t>
      </w:r>
      <w:r w:rsidRPr="00695C5B">
        <w:rPr>
          <w:vertAlign w:val="superscript"/>
        </w:rPr>
        <w:fldChar w:fldCharType="end"/>
      </w:r>
      <w:r w:rsidRPr="00695C5B">
        <w:t xml:space="preserve"> </w:t>
      </w:r>
    </w:p>
    <w:p w14:paraId="582130A2" w14:textId="77777777" w:rsidR="00F85147" w:rsidRPr="00695C5B" w:rsidRDefault="00F85147" w:rsidP="00B964DD">
      <w:proofErr w:type="spellStart"/>
      <w:r w:rsidRPr="00695C5B">
        <w:lastRenderedPageBreak/>
        <w:t>Printza</w:t>
      </w:r>
      <w:proofErr w:type="spellEnd"/>
      <w:r w:rsidRPr="00695C5B">
        <w:t xml:space="preserve"> et al conducted a study of 150 patients with benign laryngeal disease or dysphonia without known cause.</w:t>
      </w:r>
      <w:r w:rsidRPr="00695C5B">
        <w:rPr>
          <w:vertAlign w:val="superscript"/>
        </w:rPr>
        <w:fldChar w:fldCharType="begin"/>
      </w:r>
      <w:r w:rsidRPr="00695C5B">
        <w:rPr>
          <w:vertAlign w:val="superscript"/>
        </w:rPr>
        <w:instrText xml:space="preserve"> ADDIN EN.CITE &lt;EndNote&gt;&lt;Cite&gt;&lt;Author&gt;Printza&lt;/Author&gt;&lt;Year&gt;2012&lt;/Year&gt;&lt;RecNum&gt;19&lt;/RecNum&gt;&lt;DisplayText&gt;(35)&lt;/DisplayText&gt;&lt;record&gt;&lt;rec-number&gt;19&lt;/rec-number&gt;&lt;foreign-keys&gt;&lt;key app="EN" db-id="9eda02e5ur2203epr0b59etbtzsf0ssz2xxd" timestamp="1467605437"&gt;19&lt;/key&gt;&lt;/foreign-keys&gt;&lt;ref-type name="Journal Article"&gt;17&lt;/ref-type&gt;&lt;contributors&gt;&lt;authors&gt;&lt;author&gt;Printza, A&lt;/author&gt;&lt;author&gt;Triaridis, S&lt;/author&gt;&lt;author&gt;Themelis, C&lt;/author&gt;&lt;author&gt;Constantinidis, J&lt;/author&gt;&lt;/authors&gt;&lt;/contributors&gt;&lt;titles&gt;&lt;title&gt;Stroboscopy for benign laryngeal pathology in evidence based health care &lt;/title&gt;&lt;secondary-title&gt;Hippokratia&lt;/secondary-title&gt;&lt;/titles&gt;&lt;periodical&gt;&lt;full-title&gt;Hippokratia&lt;/full-title&gt;&lt;/periodical&gt;&lt;pages&gt;324-328&lt;/pages&gt;&lt;volume&gt;16&lt;/volume&gt;&lt;number&gt;4&lt;/number&gt;&lt;dates&gt;&lt;year&gt;2012&lt;/year&gt;&lt;/dates&gt;&lt;urls&gt;&lt;/urls&gt;&lt;/record&gt;&lt;/Cite&gt;&lt;/EndNote&gt;</w:instrText>
      </w:r>
      <w:r w:rsidRPr="00695C5B">
        <w:rPr>
          <w:vertAlign w:val="superscript"/>
        </w:rPr>
        <w:fldChar w:fldCharType="separate"/>
      </w:r>
      <w:r w:rsidRPr="00695C5B">
        <w:rPr>
          <w:noProof/>
          <w:vertAlign w:val="superscript"/>
        </w:rPr>
        <w:t>(35)</w:t>
      </w:r>
      <w:r w:rsidRPr="00695C5B">
        <w:rPr>
          <w:vertAlign w:val="superscript"/>
        </w:rPr>
        <w:fldChar w:fldCharType="end"/>
      </w:r>
      <w:r w:rsidRPr="00695C5B">
        <w:t xml:space="preserve"> They found that </w:t>
      </w:r>
      <w:proofErr w:type="spellStart"/>
      <w:r w:rsidRPr="00695C5B">
        <w:t>stroboscopy</w:t>
      </w:r>
      <w:proofErr w:type="spellEnd"/>
      <w:r w:rsidRPr="00695C5B">
        <w:t xml:space="preserve"> established the pathological cause in 28.8</w:t>
      </w:r>
      <w:r w:rsidR="00C50295">
        <w:t xml:space="preserve"> per cent</w:t>
      </w:r>
      <w:r w:rsidRPr="00695C5B">
        <w:t xml:space="preserve"> of cases, and altered management choice in 4.7</w:t>
      </w:r>
      <w:r w:rsidR="00C50295">
        <w:t xml:space="preserve"> per cent</w:t>
      </w:r>
      <w:r w:rsidRPr="00695C5B">
        <w:t>.</w:t>
      </w:r>
      <w:r w:rsidR="007736E8">
        <w:t xml:space="preserve"> </w:t>
      </w:r>
      <w:r w:rsidRPr="00695C5B">
        <w:t>In 32.2</w:t>
      </w:r>
      <w:r w:rsidR="00C50295">
        <w:t xml:space="preserve"> per cent</w:t>
      </w:r>
      <w:r w:rsidRPr="00695C5B">
        <w:t xml:space="preserve"> of cases, </w:t>
      </w:r>
      <w:proofErr w:type="spellStart"/>
      <w:r w:rsidRPr="00695C5B">
        <w:t>stroboscopy</w:t>
      </w:r>
      <w:proofErr w:type="spellEnd"/>
      <w:r w:rsidRPr="00695C5B">
        <w:t xml:space="preserve"> added information regarding cause of dysphonia. </w:t>
      </w:r>
      <w:r w:rsidRPr="00695C5B">
        <w:rPr>
          <w:vertAlign w:val="superscript"/>
        </w:rPr>
        <w:fldChar w:fldCharType="begin"/>
      </w:r>
      <w:r w:rsidRPr="00695C5B">
        <w:rPr>
          <w:vertAlign w:val="superscript"/>
        </w:rPr>
        <w:instrText xml:space="preserve"> ADDIN EN.CITE &lt;EndNote&gt;&lt;Cite&gt;&lt;Author&gt;Printza&lt;/Author&gt;&lt;Year&gt;2012&lt;/Year&gt;&lt;RecNum&gt;19&lt;/RecNum&gt;&lt;DisplayText&gt;(35)&lt;/DisplayText&gt;&lt;record&gt;&lt;rec-number&gt;19&lt;/rec-number&gt;&lt;foreign-keys&gt;&lt;key app="EN" db-id="9eda02e5ur2203epr0b59etbtzsf0ssz2xxd" timestamp="1467605437"&gt;19&lt;/key&gt;&lt;/foreign-keys&gt;&lt;ref-type name="Journal Article"&gt;17&lt;/ref-type&gt;&lt;contributors&gt;&lt;authors&gt;&lt;author&gt;Printza, A&lt;/author&gt;&lt;author&gt;Triaridis, S&lt;/author&gt;&lt;author&gt;Themelis, C&lt;/author&gt;&lt;author&gt;Constantinidis, J&lt;/author&gt;&lt;/authors&gt;&lt;/contributors&gt;&lt;titles&gt;&lt;title&gt;Stroboscopy for benign laryngeal pathology in evidence based health care &lt;/title&gt;&lt;secondary-title&gt;Hippokratia&lt;/secondary-title&gt;&lt;/titles&gt;&lt;periodical&gt;&lt;full-title&gt;Hippokratia&lt;/full-title&gt;&lt;/periodical&gt;&lt;pages&gt;324-328&lt;/pages&gt;&lt;volume&gt;16&lt;/volume&gt;&lt;number&gt;4&lt;/number&gt;&lt;dates&gt;&lt;year&gt;2012&lt;/year&gt;&lt;/dates&gt;&lt;urls&gt;&lt;/urls&gt;&lt;/record&gt;&lt;/Cite&gt;&lt;/EndNote&gt;</w:instrText>
      </w:r>
      <w:r w:rsidRPr="00695C5B">
        <w:rPr>
          <w:vertAlign w:val="superscript"/>
        </w:rPr>
        <w:fldChar w:fldCharType="separate"/>
      </w:r>
      <w:r w:rsidRPr="00695C5B">
        <w:rPr>
          <w:noProof/>
          <w:vertAlign w:val="superscript"/>
        </w:rPr>
        <w:t>(35)</w:t>
      </w:r>
      <w:r w:rsidRPr="00695C5B">
        <w:rPr>
          <w:vertAlign w:val="superscript"/>
        </w:rPr>
        <w:fldChar w:fldCharType="end"/>
      </w:r>
      <w:r w:rsidRPr="00695C5B">
        <w:rPr>
          <w:vertAlign w:val="superscript"/>
        </w:rPr>
        <w:t xml:space="preserve"> </w:t>
      </w:r>
      <w:r w:rsidRPr="00695C5B">
        <w:t xml:space="preserve">Fritz et al in a recent case series involving patients referred with a diagnosis of laryngopharyngeal reflux, found that </w:t>
      </w:r>
      <w:proofErr w:type="spellStart"/>
      <w:r w:rsidRPr="00695C5B">
        <w:t>stroboscopy</w:t>
      </w:r>
      <w:proofErr w:type="spellEnd"/>
      <w:r w:rsidRPr="00695C5B">
        <w:t xml:space="preserve"> was relied upon to alter the diagnosis in 83.1</w:t>
      </w:r>
      <w:r w:rsidR="00C50295">
        <w:t xml:space="preserve"> per cent</w:t>
      </w:r>
      <w:r w:rsidRPr="00695C5B">
        <w:t xml:space="preserve"> of patients referred by another otolaryngologist.</w:t>
      </w:r>
      <w:r w:rsidRPr="00695C5B">
        <w:rPr>
          <w:vertAlign w:val="superscript"/>
        </w:rPr>
        <w:fldChar w:fldCharType="begin"/>
      </w:r>
      <w:r w:rsidRPr="00695C5B">
        <w:rPr>
          <w:vertAlign w:val="superscript"/>
        </w:rPr>
        <w:instrText xml:space="preserve"> ADDIN EN.CITE &lt;EndNote&gt;&lt;Cite&gt;&lt;Author&gt;Fritz&lt;/Author&gt;&lt;Year&gt;2016&lt;/Year&gt;&lt;RecNum&gt;15&lt;/RecNum&gt;&lt;DisplayText&gt;(36)&lt;/DisplayText&gt;&lt;record&gt;&lt;rec-number&gt;15&lt;/rec-number&gt;&lt;foreign-keys&gt;&lt;key app="EN" db-id="9eda02e5ur2203epr0b59etbtzsf0ssz2xxd" timestamp="1467547160"&gt;15&lt;/key&gt;&lt;/foreign-keys&gt;&lt;ref-type name="Journal Article"&gt;17&lt;/ref-type&gt;&lt;contributors&gt;&lt;authors&gt;&lt;author&gt;Fritz, MA&lt;/author&gt;&lt;author&gt;Persky, MJ&lt;/author&gt;&lt;author&gt;Fang, Y&lt;/author&gt;&lt;author&gt;Simpson, CB&lt;/author&gt;&lt;author&gt;MAmin, MR&lt;/author&gt;&lt;author&gt;Akst, LM&lt;/author&gt;&lt;author&gt;Postma, GN&lt;/author&gt;&lt;/authors&gt;&lt;/contributors&gt;&lt;titles&gt;&lt;title&gt;The Accuracy of the Laryngopharyngeal Reflux Diagnosis: Utility of the Stroboscopic Exam&lt;/title&gt;&lt;secondary-title&gt;Otolaryngol Head Neck Surg&lt;/secondary-title&gt;&lt;/titles&gt;&lt;periodical&gt;&lt;full-title&gt;Otolaryngol Head Neck Surg&lt;/full-title&gt;&lt;/periodical&gt;&lt;pages&gt;1-6&lt;/pages&gt;&lt;volume&gt;pii: 0194599816655143.&lt;/volume&gt;&lt;dates&gt;&lt;year&gt;2016&lt;/year&gt;&lt;/dates&gt;&lt;urls&gt;&lt;/urls&gt;&lt;electronic-resource-num&gt;10.1177/0194599816655143&lt;/electronic-resource-num&gt;&lt;/record&gt;&lt;/Cite&gt;&lt;/EndNote&gt;</w:instrText>
      </w:r>
      <w:r w:rsidRPr="00695C5B">
        <w:rPr>
          <w:vertAlign w:val="superscript"/>
        </w:rPr>
        <w:fldChar w:fldCharType="separate"/>
      </w:r>
      <w:r w:rsidRPr="00695C5B">
        <w:rPr>
          <w:noProof/>
          <w:vertAlign w:val="superscript"/>
        </w:rPr>
        <w:t>(36)</w:t>
      </w:r>
      <w:r w:rsidRPr="00695C5B">
        <w:rPr>
          <w:vertAlign w:val="superscript"/>
        </w:rPr>
        <w:fldChar w:fldCharType="end"/>
      </w:r>
    </w:p>
    <w:p w14:paraId="0C53AC91" w14:textId="77777777" w:rsidR="00F85147" w:rsidRDefault="00F85147" w:rsidP="00B964DD">
      <w:r w:rsidRPr="00695C5B">
        <w:t xml:space="preserve">A 2013 prospective observational study by </w:t>
      </w:r>
      <w:proofErr w:type="spellStart"/>
      <w:r w:rsidRPr="00695C5B">
        <w:t>Halawa</w:t>
      </w:r>
      <w:proofErr w:type="spellEnd"/>
      <w:r w:rsidRPr="00695C5B">
        <w:t xml:space="preserve"> et al analysed four stroboscopic parameters (glottis closure, vocal fold vibration, mucosal wave and phase symmetry) before and after vocal rehabilitation, stratified by clinical course. </w:t>
      </w:r>
      <w:r w:rsidRPr="00695C5B">
        <w:rPr>
          <w:vertAlign w:val="superscript"/>
        </w:rPr>
        <w:fldChar w:fldCharType="begin"/>
      </w:r>
      <w:r w:rsidRPr="00695C5B">
        <w:rPr>
          <w:vertAlign w:val="superscript"/>
        </w:rPr>
        <w:instrText xml:space="preserve"> ADDIN EN.CITE &lt;EndNote&gt;&lt;Cite&gt;&lt;Author&gt;Halawa&lt;/Author&gt;&lt;Year&gt;2013&lt;/Year&gt;&lt;RecNum&gt;13&lt;/RecNum&gt;&lt;DisplayText&gt;(37)&lt;/DisplayText&gt;&lt;record&gt;&lt;rec-number&gt;13&lt;/rec-number&gt;&lt;foreign-keys&gt;&lt;key app="EN" db-id="9eda02e5ur2203epr0b59etbtzsf0ssz2xxd" timestamp="1467532422"&gt;13&lt;/key&gt;&lt;/foreign-keys&gt;&lt;ref-type name="Journal Article"&gt;17&lt;/ref-type&gt;&lt;contributors&gt;&lt;authors&gt;&lt;author&gt;Halawa, WE&lt;/author&gt;&lt;author&gt;Garcia, AC&lt;/author&gt;&lt;author&gt;Perez, SS&lt;/author&gt;&lt;/authors&gt;&lt;/contributors&gt;&lt;titles&gt;&lt;title&gt;Effectiveness of laryngstroboscopy for monitoring the evolution of vocal nodules after rehabilitator treatment &lt;/title&gt;&lt;secondary-title&gt;Auris Nasus Larynx&lt;/secondary-title&gt;&lt;/titles&gt;&lt;periodical&gt;&lt;full-title&gt;Auris Nasus Larynx&lt;/full-title&gt;&lt;/periodical&gt;&lt;pages&gt;204-206&lt;/pages&gt;&lt;volume&gt;40&lt;/volume&gt;&lt;dates&gt;&lt;year&gt;2013&lt;/year&gt;&lt;/dates&gt;&lt;urls&gt;&lt;/urls&gt;&lt;/record&gt;&lt;/Cite&gt;&lt;/EndNote&gt;</w:instrText>
      </w:r>
      <w:r w:rsidRPr="00695C5B">
        <w:rPr>
          <w:vertAlign w:val="superscript"/>
        </w:rPr>
        <w:fldChar w:fldCharType="separate"/>
      </w:r>
      <w:r w:rsidRPr="00695C5B">
        <w:rPr>
          <w:noProof/>
          <w:vertAlign w:val="superscript"/>
        </w:rPr>
        <w:t>(37)</w:t>
      </w:r>
      <w:r w:rsidRPr="00695C5B">
        <w:rPr>
          <w:vertAlign w:val="superscript"/>
        </w:rPr>
        <w:fldChar w:fldCharType="end"/>
      </w:r>
      <w:r w:rsidRPr="00695C5B">
        <w:t xml:space="preserve"> A statistically significant relationship was found between stroboscopic parameters and clinical course, supporting the utility of </w:t>
      </w:r>
      <w:proofErr w:type="spellStart"/>
      <w:r w:rsidRPr="00695C5B">
        <w:t>stroboscopy</w:t>
      </w:r>
      <w:proofErr w:type="spellEnd"/>
      <w:r w:rsidRPr="00695C5B">
        <w:t xml:space="preserve"> not only in diagnostic differentiation, but also in assessment of clinical progression. </w:t>
      </w:r>
      <w:r w:rsidRPr="00695C5B">
        <w:rPr>
          <w:vertAlign w:val="superscript"/>
        </w:rPr>
        <w:fldChar w:fldCharType="begin"/>
      </w:r>
      <w:r w:rsidRPr="00695C5B">
        <w:rPr>
          <w:vertAlign w:val="superscript"/>
        </w:rPr>
        <w:instrText xml:space="preserve"> ADDIN EN.CITE &lt;EndNote&gt;&lt;Cite&gt;&lt;Author&gt;Halawa&lt;/Author&gt;&lt;Year&gt;2013&lt;/Year&gt;&lt;RecNum&gt;13&lt;/RecNum&gt;&lt;DisplayText&gt;(37)&lt;/DisplayText&gt;&lt;record&gt;&lt;rec-number&gt;13&lt;/rec-number&gt;&lt;foreign-keys&gt;&lt;key app="EN" db-id="9eda02e5ur2203epr0b59etbtzsf0ssz2xxd" timestamp="1467532422"&gt;13&lt;/key&gt;&lt;/foreign-keys&gt;&lt;ref-type name="Journal Article"&gt;17&lt;/ref-type&gt;&lt;contributors&gt;&lt;authors&gt;&lt;author&gt;Halawa, WE&lt;/author&gt;&lt;author&gt;Garcia, AC&lt;/author&gt;&lt;author&gt;Perez, SS&lt;/author&gt;&lt;/authors&gt;&lt;/contributors&gt;&lt;titles&gt;&lt;title&gt;Effectiveness of laryngstroboscopy for monitoring the evolution of vocal nodules after rehabilitator treatment &lt;/title&gt;&lt;secondary-title&gt;Auris Nasus Larynx&lt;/secondary-title&gt;&lt;/titles&gt;&lt;periodical&gt;&lt;full-title&gt;Auris Nasus Larynx&lt;/full-title&gt;&lt;/periodical&gt;&lt;pages&gt;204-206&lt;/pages&gt;&lt;volume&gt;40&lt;/volume&gt;&lt;dates&gt;&lt;year&gt;2013&lt;/year&gt;&lt;/dates&gt;&lt;urls&gt;&lt;/urls&gt;&lt;/record&gt;&lt;/Cite&gt;&lt;/EndNote&gt;</w:instrText>
      </w:r>
      <w:r w:rsidRPr="00695C5B">
        <w:rPr>
          <w:vertAlign w:val="superscript"/>
        </w:rPr>
        <w:fldChar w:fldCharType="separate"/>
      </w:r>
      <w:r w:rsidRPr="00695C5B">
        <w:rPr>
          <w:noProof/>
          <w:vertAlign w:val="superscript"/>
        </w:rPr>
        <w:t>(37)</w:t>
      </w:r>
      <w:r w:rsidRPr="00695C5B">
        <w:rPr>
          <w:vertAlign w:val="superscript"/>
        </w:rPr>
        <w:fldChar w:fldCharType="end"/>
      </w:r>
      <w:r w:rsidRPr="00695C5B">
        <w:t xml:space="preserve"> </w:t>
      </w:r>
    </w:p>
    <w:p w14:paraId="010FF7DE" w14:textId="77777777" w:rsidR="00F85147" w:rsidRDefault="00B964DD" w:rsidP="006508BC">
      <w:pPr>
        <w:pStyle w:val="Heading2a"/>
      </w:pPr>
      <w:r>
        <w:t>Discussion</w:t>
      </w:r>
    </w:p>
    <w:p w14:paraId="5CA4B42C" w14:textId="77777777" w:rsidR="00F85147" w:rsidRPr="00695C5B" w:rsidRDefault="00F85147" w:rsidP="00B964DD">
      <w:r w:rsidRPr="00695C5B">
        <w:t xml:space="preserve">The value of </w:t>
      </w:r>
      <w:proofErr w:type="spellStart"/>
      <w:r w:rsidRPr="00695C5B">
        <w:t>stroboscopy</w:t>
      </w:r>
      <w:proofErr w:type="spellEnd"/>
      <w:r w:rsidRPr="00695C5B">
        <w:t xml:space="preserve"> has been well established in the literature, particularly in the diagnosis of functional dysphonia and vocal fold paralysis.</w:t>
      </w:r>
      <w:r w:rsidR="007736E8">
        <w:t xml:space="preserve"> </w:t>
      </w:r>
      <w:r w:rsidRPr="00695C5B">
        <w:t xml:space="preserve">Improved illumination and magnification enables detailed examination of glottic closure, mucosal wave and amplitude, improving detection of subtle vocal fold pathology otherwise missed by indirect laryngoscopy. </w:t>
      </w:r>
      <w:r w:rsidRPr="00695C5B">
        <w:rPr>
          <w:vertAlign w:val="superscript"/>
        </w:rPr>
        <w:fldChar w:fldCharType="begin"/>
      </w:r>
      <w:r w:rsidRPr="00695C5B">
        <w:rPr>
          <w:vertAlign w:val="superscript"/>
        </w:rPr>
        <w:instrText xml:space="preserve"> ADDIN EN.CITE &lt;EndNote&gt;&lt;Cite&gt;&lt;Author&gt;Casiano&lt;/Author&gt;&lt;Year&gt;1992&lt;/Year&gt;&lt;RecNum&gt;17&lt;/RecNum&gt;&lt;DisplayText&gt;(21)&lt;/DisplayText&gt;&lt;record&gt;&lt;rec-number&gt;17&lt;/rec-number&gt;&lt;foreign-keys&gt;&lt;key app="EN" db-id="9eda02e5ur2203epr0b59etbtzsf0ssz2xxd" timestamp="1467548845"&gt;17&lt;/key&gt;&lt;/foreign-keys&gt;&lt;ref-type name="Journal Article"&gt;17&lt;/ref-type&gt;&lt;contributors&gt;&lt;authors&gt;&lt;author&gt;Casiano, RR&lt;/author&gt;&lt;author&gt;Zaveri, V&lt;/author&gt;&lt;author&gt;Lundy, DS&lt;/author&gt;&lt;/authors&gt;&lt;/contributors&gt;&lt;titles&gt;&lt;title&gt;Efficacy of videostroboscopy in the diagnosis of voice disorders&lt;/title&gt;&lt;secondary-title&gt;Otolaryngol Head Neck Surg&lt;/secondary-title&gt;&lt;/titles&gt;&lt;periodical&gt;&lt;full-title&gt;Otolaryngol Head Neck Surg&lt;/full-title&gt;&lt;/periodical&gt;&lt;pages&gt;95-100&lt;/pages&gt;&lt;volume&gt;107&lt;/volume&gt;&lt;number&gt;1&lt;/number&gt;&lt;dates&gt;&lt;year&gt;1992&lt;/year&gt;&lt;/dates&gt;&lt;urls&gt;&lt;/urls&gt;&lt;/record&gt;&lt;/Cite&gt;&lt;/EndNote&gt;</w:instrText>
      </w:r>
      <w:r w:rsidRPr="00695C5B">
        <w:rPr>
          <w:vertAlign w:val="superscript"/>
        </w:rPr>
        <w:fldChar w:fldCharType="separate"/>
      </w:r>
      <w:r w:rsidRPr="00695C5B">
        <w:rPr>
          <w:noProof/>
          <w:vertAlign w:val="superscript"/>
        </w:rPr>
        <w:t>(21)</w:t>
      </w:r>
      <w:r w:rsidRPr="00695C5B">
        <w:rPr>
          <w:vertAlign w:val="superscript"/>
        </w:rPr>
        <w:fldChar w:fldCharType="end"/>
      </w:r>
      <w:r w:rsidRPr="00695C5B">
        <w:t xml:space="preserve"> A retrospective analysis of a U</w:t>
      </w:r>
      <w:r>
        <w:t>.</w:t>
      </w:r>
      <w:r w:rsidRPr="00695C5B">
        <w:t>S</w:t>
      </w:r>
      <w:r>
        <w:t>.</w:t>
      </w:r>
      <w:r w:rsidRPr="00695C5B">
        <w:t xml:space="preserve"> claims database looked at factors associated with utilization of </w:t>
      </w:r>
      <w:proofErr w:type="spellStart"/>
      <w:r w:rsidRPr="00695C5B">
        <w:t>videostroboscopy</w:t>
      </w:r>
      <w:proofErr w:type="spellEnd"/>
      <w:r w:rsidRPr="00695C5B">
        <w:t>.</w:t>
      </w:r>
      <w:r w:rsidR="007736E8">
        <w:t xml:space="preserve"> </w:t>
      </w:r>
      <w:r w:rsidRPr="00695C5B">
        <w:t xml:space="preserve">They found that </w:t>
      </w:r>
      <w:proofErr w:type="spellStart"/>
      <w:r w:rsidRPr="00695C5B">
        <w:t>videostroboscopy</w:t>
      </w:r>
      <w:proofErr w:type="spellEnd"/>
      <w:r w:rsidRPr="00695C5B">
        <w:t xml:space="preserve"> was associated with specific diagnoses included vocal fold paresis, benign vocal fold lesions (polyps, cysts, nodules) and non-specific dysphonia.</w:t>
      </w:r>
      <w:r w:rsidRPr="008F1D25">
        <w:rPr>
          <w:vertAlign w:val="superscript"/>
        </w:rPr>
        <w:fldChar w:fldCharType="begin"/>
      </w:r>
      <w:r w:rsidRPr="008F1D25">
        <w:rPr>
          <w:vertAlign w:val="superscript"/>
        </w:rPr>
        <w:instrText xml:space="preserve"> ADDIN EN.CITE &lt;EndNote&gt;&lt;Cite&gt;&lt;Author&gt;Cohen&lt;/Author&gt;&lt;Year&gt;2014&lt;/Year&gt;&lt;RecNum&gt;36&lt;/RecNum&gt;&lt;DisplayText&gt;(34)&lt;/DisplayText&gt;&lt;record&gt;&lt;rec-number&gt;36&lt;/rec-number&gt;&lt;foreign-keys&gt;&lt;key app="EN" db-id="9eda02e5ur2203epr0b59etbtzsf0ssz2xxd" timestamp="1467678589"&gt;36&lt;/key&gt;&lt;/foreign-keys&gt;&lt;ref-type name="Journal Article"&gt;17&lt;/ref-type&gt;&lt;contributors&gt;&lt;authors&gt;&lt;author&gt;Cohen, SM&lt;/author&gt;&lt;author&gt;Thomas, S&lt;/author&gt;&lt;author&gt;Roy, N&lt;/author&gt;&lt;author&gt;Kim, J&lt;/author&gt;&lt;author&gt;Courey, M&lt;/author&gt;&lt;/authors&gt;&lt;/contributors&gt;&lt;titles&gt;&lt;title&gt;Frequency and Factors Associated with Use of Videolaryngostroboscopy in Voice Disorder Assessment&lt;/title&gt;&lt;secondary-title&gt;Laryngoscope&lt;/secondary-title&gt;&lt;/titles&gt;&lt;periodical&gt;&lt;full-title&gt;Laryngoscope&lt;/full-title&gt;&lt;/periodical&gt;&lt;pages&gt;2118-24&lt;/pages&gt;&lt;volume&gt;124&lt;/volume&gt;&lt;number&gt;9&lt;/number&gt;&lt;dates&gt;&lt;year&gt;2014&lt;/year&gt;&lt;/dates&gt;&lt;urls&gt;&lt;/urls&gt;&lt;/record&gt;&lt;/Cite&gt;&lt;/EndNote&gt;</w:instrText>
      </w:r>
      <w:r w:rsidRPr="008F1D25">
        <w:rPr>
          <w:vertAlign w:val="superscript"/>
        </w:rPr>
        <w:fldChar w:fldCharType="separate"/>
      </w:r>
      <w:r w:rsidRPr="008F1D25">
        <w:rPr>
          <w:noProof/>
          <w:vertAlign w:val="superscript"/>
        </w:rPr>
        <w:t>(34)</w:t>
      </w:r>
      <w:r w:rsidRPr="008F1D25">
        <w:rPr>
          <w:vertAlign w:val="superscript"/>
        </w:rPr>
        <w:fldChar w:fldCharType="end"/>
      </w:r>
    </w:p>
    <w:p w14:paraId="35A0E27D" w14:textId="77777777" w:rsidR="00F85147" w:rsidRDefault="00F85147" w:rsidP="00B964DD">
      <w:r w:rsidRPr="008F1D25">
        <w:t xml:space="preserve">Clinical use of </w:t>
      </w:r>
      <w:proofErr w:type="spellStart"/>
      <w:r w:rsidRPr="008F1D25">
        <w:t>stroboscopy</w:t>
      </w:r>
      <w:proofErr w:type="spellEnd"/>
      <w:r w:rsidRPr="008F1D25">
        <w:t xml:space="preserve"> has appeared to increase with improvements in endoscopic and imaging technologies.</w:t>
      </w:r>
      <w:r w:rsidR="007736E8">
        <w:t xml:space="preserve"> </w:t>
      </w:r>
      <w:r w:rsidRPr="008F1D25">
        <w:t xml:space="preserve">There are suggestions in the literature that stroboscopic principles will continue to be necessary, with supplementation by newer technologies to improve image capture rate and resolution. </w:t>
      </w:r>
    </w:p>
    <w:p w14:paraId="781DA6EE" w14:textId="77777777" w:rsidR="00F85147" w:rsidRDefault="00F85147" w:rsidP="00B964DD">
      <w:r>
        <w:t xml:space="preserve">The main discrepancy in the literature regarding the use of </w:t>
      </w:r>
      <w:proofErr w:type="spellStart"/>
      <w:r>
        <w:t>stroboscopy</w:t>
      </w:r>
      <w:proofErr w:type="spellEnd"/>
      <w:r>
        <w:t xml:space="preserve"> is related to inter and intra-</w:t>
      </w:r>
      <w:proofErr w:type="spellStart"/>
      <w:r>
        <w:t>rater</w:t>
      </w:r>
      <w:proofErr w:type="spellEnd"/>
      <w:r>
        <w:t xml:space="preserve"> reliability, though the evidence does suggest that reliability is improved with interpretation by highly experienced and trained clinicians.</w:t>
      </w:r>
      <w:r w:rsidR="007736E8">
        <w:t xml:space="preserve"> </w:t>
      </w:r>
      <w:r>
        <w:t xml:space="preserve">There is also evidence that </w:t>
      </w:r>
      <w:proofErr w:type="spellStart"/>
      <w:r>
        <w:t>stroboscopy</w:t>
      </w:r>
      <w:proofErr w:type="spellEnd"/>
      <w:r>
        <w:t xml:space="preserve"> is more useful in the assessment of certain characteristics including mucosal wave.</w:t>
      </w:r>
      <w:r w:rsidR="007736E8">
        <w:t xml:space="preserve"> </w:t>
      </w:r>
    </w:p>
    <w:p w14:paraId="2499EA47" w14:textId="77777777" w:rsidR="002B720C" w:rsidRPr="000C0845" w:rsidRDefault="00F85147" w:rsidP="00BA6D5D">
      <w:r w:rsidRPr="00ED199A">
        <w:t xml:space="preserve">It is clear, that </w:t>
      </w:r>
      <w:proofErr w:type="spellStart"/>
      <w:r w:rsidRPr="00ED199A">
        <w:t>stroboscopy</w:t>
      </w:r>
      <w:proofErr w:type="spellEnd"/>
      <w:r w:rsidRPr="00ED199A">
        <w:t xml:space="preserve"> plays an important role in the investigation of dysphonia, and aside from the limitations associated with the visualization technique itself, has no significant adverse effects.</w:t>
      </w:r>
      <w:r w:rsidR="007736E8">
        <w:t xml:space="preserve"> </w:t>
      </w:r>
      <w:r w:rsidRPr="00ED199A">
        <w:t>In addition, it is widely available, cost-effective and is relatively less time and equipment intensive than alternative modalities.</w:t>
      </w:r>
      <w:r w:rsidR="007736E8">
        <w:t xml:space="preserve"> </w:t>
      </w:r>
      <w:r>
        <w:t xml:space="preserve">Further research into </w:t>
      </w:r>
      <w:proofErr w:type="spellStart"/>
      <w:r>
        <w:t>stroboscopy</w:t>
      </w:r>
      <w:proofErr w:type="spellEnd"/>
      <w:r>
        <w:t xml:space="preserve"> may be required to clarify some of the outstanding doubts, however it currently remains the gold standard for investigation of dysphonia.</w:t>
      </w:r>
      <w:r w:rsidR="007736E8">
        <w:t xml:space="preserve"> </w:t>
      </w:r>
      <w:r w:rsidR="002B720C" w:rsidRPr="000C0845">
        <w:br w:type="page"/>
      </w:r>
    </w:p>
    <w:p w14:paraId="3FBD7C56" w14:textId="77777777" w:rsidR="00F85147" w:rsidRPr="00EE7F9E" w:rsidRDefault="00F85147" w:rsidP="006508BC">
      <w:pPr>
        <w:pStyle w:val="Heading2a"/>
      </w:pPr>
      <w:r>
        <w:lastRenderedPageBreak/>
        <w:t>References</w:t>
      </w:r>
    </w:p>
    <w:p w14:paraId="6357C136" w14:textId="77777777" w:rsidR="00F85147" w:rsidRPr="000C0845" w:rsidRDefault="00F85147" w:rsidP="001C3B56">
      <w:pPr>
        <w:pStyle w:val="References"/>
        <w:rPr>
          <w:noProof/>
        </w:rPr>
      </w:pPr>
      <w:r w:rsidRPr="00C572FF">
        <w:rPr>
          <w:noProof/>
        </w:rPr>
        <w:t>1.</w:t>
      </w:r>
      <w:r w:rsidRPr="00C572FF">
        <w:rPr>
          <w:noProof/>
        </w:rPr>
        <w:tab/>
        <w:t xml:space="preserve">Bryson P. </w:t>
      </w:r>
      <w:hyperlink r:id="rId15" w:history="1">
        <w:r w:rsidRPr="00C572FF">
          <w:rPr>
            <w:rStyle w:val="Hyperlink"/>
            <w:noProof/>
            <w:szCs w:val="20"/>
          </w:rPr>
          <w:t>Stroboscopy</w:t>
        </w:r>
      </w:hyperlink>
      <w:r w:rsidRPr="00C572FF">
        <w:rPr>
          <w:noProof/>
        </w:rPr>
        <w:t>: Medscape; 2015.</w:t>
      </w:r>
    </w:p>
    <w:p w14:paraId="389C29E1" w14:textId="77777777" w:rsidR="00F85147" w:rsidRPr="001C3B56" w:rsidRDefault="00F85147" w:rsidP="001C3B56">
      <w:pPr>
        <w:pStyle w:val="References"/>
      </w:pPr>
      <w:r w:rsidRPr="00B964DD">
        <w:rPr>
          <w:noProof/>
        </w:rPr>
        <w:t>2.</w:t>
      </w:r>
      <w:r w:rsidRPr="00B964DD">
        <w:rPr>
          <w:noProof/>
        </w:rPr>
        <w:tab/>
      </w:r>
      <w:proofErr w:type="spellStart"/>
      <w:r w:rsidRPr="001C3B56">
        <w:t>Sataloff</w:t>
      </w:r>
      <w:proofErr w:type="spellEnd"/>
      <w:r w:rsidRPr="001C3B56">
        <w:t xml:space="preserve"> RT. </w:t>
      </w:r>
      <w:proofErr w:type="spellStart"/>
      <w:r w:rsidRPr="001C3B56">
        <w:t>Sataloff's</w:t>
      </w:r>
      <w:proofErr w:type="spellEnd"/>
      <w:r w:rsidRPr="001C3B56">
        <w:t xml:space="preserve"> Comprehensive Textbook of Otolaryngology: Head &amp; Neck Surgery: Six Volume Set: Jaypee </w:t>
      </w:r>
      <w:proofErr w:type="spellStart"/>
      <w:proofErr w:type="gramStart"/>
      <w:r w:rsidRPr="001C3B56">
        <w:t>Brothers,Medical</w:t>
      </w:r>
      <w:proofErr w:type="spellEnd"/>
      <w:proofErr w:type="gramEnd"/>
      <w:r w:rsidRPr="001C3B56">
        <w:t xml:space="preserve"> Publishers </w:t>
      </w:r>
      <w:proofErr w:type="spellStart"/>
      <w:r w:rsidRPr="001C3B56">
        <w:t>Pvt.</w:t>
      </w:r>
      <w:proofErr w:type="spellEnd"/>
      <w:r w:rsidRPr="001C3B56">
        <w:t xml:space="preserve"> Limited; 2015.</w:t>
      </w:r>
    </w:p>
    <w:p w14:paraId="59FF80D7" w14:textId="77777777" w:rsidR="00F85147" w:rsidRPr="001C3B56" w:rsidRDefault="00F85147" w:rsidP="001C3B56">
      <w:pPr>
        <w:pStyle w:val="References"/>
      </w:pPr>
      <w:r w:rsidRPr="001C3B56">
        <w:t>3.</w:t>
      </w:r>
      <w:r w:rsidRPr="001C3B56">
        <w:tab/>
      </w:r>
      <w:proofErr w:type="spellStart"/>
      <w:r w:rsidRPr="001C3B56">
        <w:t>Bonilha</w:t>
      </w:r>
      <w:proofErr w:type="spellEnd"/>
      <w:r w:rsidRPr="001C3B56">
        <w:t xml:space="preserve"> H, </w:t>
      </w:r>
      <w:proofErr w:type="spellStart"/>
      <w:r w:rsidRPr="001C3B56">
        <w:t>Focht</w:t>
      </w:r>
      <w:proofErr w:type="spellEnd"/>
      <w:r w:rsidRPr="001C3B56">
        <w:t xml:space="preserve"> K, Martin-Harris B. </w:t>
      </w:r>
      <w:proofErr w:type="spellStart"/>
      <w:r w:rsidRPr="001C3B56">
        <w:t>Rater</w:t>
      </w:r>
      <w:proofErr w:type="spellEnd"/>
      <w:r w:rsidRPr="001C3B56">
        <w:t xml:space="preserve"> Methodology for </w:t>
      </w:r>
      <w:proofErr w:type="spellStart"/>
      <w:r w:rsidRPr="001C3B56">
        <w:t>Stroboscopy</w:t>
      </w:r>
      <w:proofErr w:type="spellEnd"/>
      <w:r w:rsidRPr="001C3B56">
        <w:t>: A Systematic Review J Voice. 2015;29(1):101-8.</w:t>
      </w:r>
    </w:p>
    <w:p w14:paraId="39FEABB8" w14:textId="77777777" w:rsidR="00F85147" w:rsidRPr="001C3B56" w:rsidRDefault="00F85147" w:rsidP="001C3B56">
      <w:pPr>
        <w:pStyle w:val="References"/>
      </w:pPr>
      <w:r w:rsidRPr="001C3B56">
        <w:t>4.</w:t>
      </w:r>
      <w:r w:rsidRPr="001C3B56">
        <w:tab/>
        <w:t xml:space="preserve">Schwartz S, Cohen S, Dailey S, Rosenfeld R, Deutsch E, Gillespie M, et al. Clinical Practice Guideline: Hoarseness (Dysphonia). </w:t>
      </w:r>
      <w:proofErr w:type="spellStart"/>
      <w:r w:rsidRPr="001C3B56">
        <w:t>Otolaryngol</w:t>
      </w:r>
      <w:proofErr w:type="spellEnd"/>
      <w:r w:rsidRPr="001C3B56">
        <w:t xml:space="preserve"> Head Neck Surg. 2009;141(</w:t>
      </w:r>
      <w:proofErr w:type="gramStart"/>
      <w:r w:rsidRPr="001C3B56">
        <w:t>3 ):supp</w:t>
      </w:r>
      <w:proofErr w:type="gramEnd"/>
      <w:r w:rsidRPr="001C3B56">
        <w:t xml:space="preserve"> S1-S31.</w:t>
      </w:r>
    </w:p>
    <w:p w14:paraId="7A0E9618" w14:textId="77777777" w:rsidR="00F85147" w:rsidRPr="001C3B56" w:rsidRDefault="00F85147" w:rsidP="001C3B56">
      <w:pPr>
        <w:pStyle w:val="References"/>
      </w:pPr>
      <w:r w:rsidRPr="001C3B56">
        <w:t>5.</w:t>
      </w:r>
      <w:r w:rsidRPr="001C3B56">
        <w:tab/>
        <w:t xml:space="preserve">Dailey S, </w:t>
      </w:r>
      <w:proofErr w:type="spellStart"/>
      <w:r w:rsidRPr="001C3B56">
        <w:t>Spanou</w:t>
      </w:r>
      <w:proofErr w:type="spellEnd"/>
      <w:r w:rsidRPr="001C3B56">
        <w:t xml:space="preserve"> K, Zeitels S. The Evaluation of Benign Glottic Lesions: Rigid Telescopic </w:t>
      </w:r>
      <w:proofErr w:type="spellStart"/>
      <w:r w:rsidRPr="001C3B56">
        <w:t>Stroboscopy</w:t>
      </w:r>
      <w:proofErr w:type="spellEnd"/>
      <w:r w:rsidRPr="001C3B56">
        <w:t xml:space="preserve"> Versus Suspension </w:t>
      </w:r>
      <w:proofErr w:type="spellStart"/>
      <w:r w:rsidRPr="001C3B56">
        <w:t>Microlaryngoscopy</w:t>
      </w:r>
      <w:proofErr w:type="spellEnd"/>
      <w:r w:rsidRPr="001C3B56">
        <w:t>. Journal of Voice. 2007;21(1):112-8.</w:t>
      </w:r>
    </w:p>
    <w:p w14:paraId="1CA11846" w14:textId="77777777" w:rsidR="00F85147" w:rsidRPr="001C3B56" w:rsidRDefault="00F85147" w:rsidP="001C3B56">
      <w:pPr>
        <w:pStyle w:val="References"/>
      </w:pPr>
      <w:r w:rsidRPr="001C3B56">
        <w:t>6.</w:t>
      </w:r>
      <w:r w:rsidRPr="001C3B56">
        <w:tab/>
        <w:t xml:space="preserve">Kennedy T, Gilroy P, </w:t>
      </w:r>
      <w:proofErr w:type="spellStart"/>
      <w:r w:rsidRPr="001C3B56">
        <w:t>Millman</w:t>
      </w:r>
      <w:proofErr w:type="spellEnd"/>
      <w:r w:rsidRPr="001C3B56">
        <w:t xml:space="preserve"> B, Greene J, </w:t>
      </w:r>
      <w:proofErr w:type="spellStart"/>
      <w:r w:rsidRPr="001C3B56">
        <w:t>Pellitteri</w:t>
      </w:r>
      <w:proofErr w:type="spellEnd"/>
      <w:r w:rsidRPr="001C3B56">
        <w:t xml:space="preserve"> P, </w:t>
      </w:r>
      <w:proofErr w:type="spellStart"/>
      <w:r w:rsidRPr="001C3B56">
        <w:t>Harlor</w:t>
      </w:r>
      <w:proofErr w:type="spellEnd"/>
      <w:r w:rsidRPr="001C3B56">
        <w:t xml:space="preserve"> M. </w:t>
      </w:r>
      <w:proofErr w:type="spellStart"/>
      <w:r w:rsidRPr="001C3B56">
        <w:t>Strobovideolaryngoscopy</w:t>
      </w:r>
      <w:proofErr w:type="spellEnd"/>
      <w:r w:rsidRPr="001C3B56">
        <w:t xml:space="preserve"> in the Management of Acute Laryngeal Trauma. Journal of Voice. 2004;18(1):130-7.</w:t>
      </w:r>
    </w:p>
    <w:p w14:paraId="6B2CEB27" w14:textId="77777777" w:rsidR="00F85147" w:rsidRPr="001C3B56" w:rsidRDefault="00F85147" w:rsidP="001C3B56">
      <w:pPr>
        <w:pStyle w:val="References"/>
      </w:pPr>
      <w:r w:rsidRPr="001C3B56">
        <w:t>7.</w:t>
      </w:r>
      <w:r w:rsidRPr="001C3B56">
        <w:tab/>
        <w:t xml:space="preserve">Shohet J, </w:t>
      </w:r>
      <w:proofErr w:type="spellStart"/>
      <w:r w:rsidRPr="001C3B56">
        <w:t>Courey</w:t>
      </w:r>
      <w:proofErr w:type="spellEnd"/>
      <w:r w:rsidRPr="001C3B56">
        <w:t xml:space="preserve"> M, Scott M, </w:t>
      </w:r>
      <w:proofErr w:type="spellStart"/>
      <w:r w:rsidRPr="001C3B56">
        <w:t>POssoff</w:t>
      </w:r>
      <w:proofErr w:type="spellEnd"/>
      <w:r w:rsidRPr="001C3B56">
        <w:t xml:space="preserve"> R. Value of </w:t>
      </w:r>
      <w:proofErr w:type="spellStart"/>
      <w:r w:rsidRPr="001C3B56">
        <w:t>videostroboscopic</w:t>
      </w:r>
      <w:proofErr w:type="spellEnd"/>
      <w:r w:rsidRPr="001C3B56">
        <w:t xml:space="preserve"> parameters in differentiating true vocal fold cysts from polyps. Laryngoscope. 1996;106(1):19-26.</w:t>
      </w:r>
    </w:p>
    <w:p w14:paraId="35461A13" w14:textId="77777777" w:rsidR="00F85147" w:rsidRPr="001C3B56" w:rsidRDefault="00F85147" w:rsidP="001C3B56">
      <w:pPr>
        <w:pStyle w:val="References"/>
      </w:pPr>
      <w:r w:rsidRPr="001C3B56">
        <w:t>8.</w:t>
      </w:r>
      <w:r w:rsidRPr="001C3B56">
        <w:tab/>
      </w:r>
      <w:proofErr w:type="spellStart"/>
      <w:r w:rsidRPr="001C3B56">
        <w:t>Quriba</w:t>
      </w:r>
      <w:proofErr w:type="spellEnd"/>
      <w:r w:rsidRPr="001C3B56">
        <w:t xml:space="preserve"> A, </w:t>
      </w:r>
      <w:proofErr w:type="spellStart"/>
      <w:r w:rsidRPr="001C3B56">
        <w:t>Darweesh</w:t>
      </w:r>
      <w:proofErr w:type="spellEnd"/>
      <w:r w:rsidRPr="001C3B56">
        <w:t xml:space="preserve"> M. Voice changes and laryngo-video-stroboscopic findings in patients with vocal fold polyps and cysts. Egypt J </w:t>
      </w:r>
      <w:proofErr w:type="spellStart"/>
      <w:r w:rsidRPr="001C3B56">
        <w:t>Otolaryngol</w:t>
      </w:r>
      <w:proofErr w:type="spellEnd"/>
      <w:r w:rsidRPr="001C3B56">
        <w:t xml:space="preserve">. </w:t>
      </w:r>
      <w:proofErr w:type="gramStart"/>
      <w:r w:rsidRPr="001C3B56">
        <w:t>2015;31:47</w:t>
      </w:r>
      <w:proofErr w:type="gramEnd"/>
      <w:r w:rsidRPr="001C3B56">
        <w:t>-53.</w:t>
      </w:r>
    </w:p>
    <w:p w14:paraId="5D631BC0" w14:textId="77777777" w:rsidR="00F85147" w:rsidRPr="001C3B56" w:rsidRDefault="00F85147" w:rsidP="001C3B56">
      <w:pPr>
        <w:pStyle w:val="References"/>
      </w:pPr>
      <w:r w:rsidRPr="001C3B56">
        <w:t>9.</w:t>
      </w:r>
      <w:r w:rsidRPr="001C3B56">
        <w:tab/>
        <w:t xml:space="preserve">Wu A, </w:t>
      </w:r>
      <w:proofErr w:type="spellStart"/>
      <w:r w:rsidRPr="001C3B56">
        <w:t>Sulica</w:t>
      </w:r>
      <w:proofErr w:type="spellEnd"/>
      <w:r w:rsidRPr="001C3B56">
        <w:t xml:space="preserve"> L. Diagnosis of vocal fold paresis: current opinion and practice. Laryngoscope. 2015;125(4):904-8.</w:t>
      </w:r>
    </w:p>
    <w:p w14:paraId="3E2C6E37" w14:textId="77777777" w:rsidR="00F85147" w:rsidRPr="001C3B56" w:rsidRDefault="00F85147" w:rsidP="001C3B56">
      <w:pPr>
        <w:pStyle w:val="References"/>
      </w:pPr>
      <w:r w:rsidRPr="001C3B56">
        <w:t>10.</w:t>
      </w:r>
      <w:r w:rsidRPr="001C3B56">
        <w:tab/>
        <w:t xml:space="preserve">Harries M, Morrison M. The role of </w:t>
      </w:r>
      <w:proofErr w:type="spellStart"/>
      <w:r w:rsidRPr="001C3B56">
        <w:t>stroboscopy</w:t>
      </w:r>
      <w:proofErr w:type="spellEnd"/>
      <w:r w:rsidRPr="001C3B56">
        <w:t xml:space="preserve"> in the management of a patient with a unilateral vocal fold paralysis. J </w:t>
      </w:r>
      <w:proofErr w:type="spellStart"/>
      <w:r w:rsidRPr="001C3B56">
        <w:t>Laryngol</w:t>
      </w:r>
      <w:proofErr w:type="spellEnd"/>
      <w:r w:rsidRPr="001C3B56">
        <w:t xml:space="preserve"> Otol. 1996;110(2):141-3.</w:t>
      </w:r>
    </w:p>
    <w:p w14:paraId="498D092C" w14:textId="77777777" w:rsidR="00F85147" w:rsidRPr="001C3B56" w:rsidRDefault="00F85147" w:rsidP="001C3B56">
      <w:pPr>
        <w:pStyle w:val="References"/>
      </w:pPr>
      <w:r w:rsidRPr="001C3B56">
        <w:t>11.</w:t>
      </w:r>
      <w:r w:rsidRPr="001C3B56">
        <w:tab/>
      </w:r>
      <w:proofErr w:type="spellStart"/>
      <w:r w:rsidRPr="001C3B56">
        <w:t>Djukic</w:t>
      </w:r>
      <w:proofErr w:type="spellEnd"/>
      <w:r w:rsidRPr="001C3B56">
        <w:t xml:space="preserve"> V, Milovanovic J, </w:t>
      </w:r>
      <w:proofErr w:type="spellStart"/>
      <w:r w:rsidRPr="001C3B56">
        <w:t>Jotic</w:t>
      </w:r>
      <w:proofErr w:type="spellEnd"/>
      <w:r w:rsidRPr="001C3B56">
        <w:t xml:space="preserve"> A, </w:t>
      </w:r>
      <w:proofErr w:type="spellStart"/>
      <w:r w:rsidRPr="001C3B56">
        <w:t>Vukasinovic</w:t>
      </w:r>
      <w:proofErr w:type="spellEnd"/>
      <w:r w:rsidRPr="001C3B56">
        <w:t xml:space="preserve"> M. </w:t>
      </w:r>
      <w:proofErr w:type="spellStart"/>
      <w:r w:rsidRPr="001C3B56">
        <w:t>Stroboscopy</w:t>
      </w:r>
      <w:proofErr w:type="spellEnd"/>
      <w:r w:rsidRPr="001C3B56">
        <w:t xml:space="preserve"> in Detection of Laryngeal Dysplasia Effectiveness and Limitations. Journal of Voice. 2014;28(2</w:t>
      </w:r>
      <w:proofErr w:type="gramStart"/>
      <w:r w:rsidRPr="001C3B56">
        <w:t>):e</w:t>
      </w:r>
      <w:proofErr w:type="gramEnd"/>
      <w:r w:rsidRPr="001C3B56">
        <w:t>14-e21.</w:t>
      </w:r>
    </w:p>
    <w:p w14:paraId="42A5CAFB" w14:textId="77777777" w:rsidR="00F85147" w:rsidRPr="001C3B56" w:rsidRDefault="00F85147" w:rsidP="001C3B56">
      <w:pPr>
        <w:pStyle w:val="References"/>
      </w:pPr>
      <w:r w:rsidRPr="001C3B56">
        <w:t>12.</w:t>
      </w:r>
      <w:r w:rsidRPr="001C3B56">
        <w:tab/>
        <w:t xml:space="preserve">van </w:t>
      </w:r>
      <w:proofErr w:type="spellStart"/>
      <w:r w:rsidRPr="001C3B56">
        <w:t>Balkum</w:t>
      </w:r>
      <w:proofErr w:type="spellEnd"/>
      <w:r w:rsidRPr="001C3B56">
        <w:t xml:space="preserve"> M, </w:t>
      </w:r>
      <w:proofErr w:type="spellStart"/>
      <w:r w:rsidRPr="001C3B56">
        <w:t>Buijs</w:t>
      </w:r>
      <w:proofErr w:type="spellEnd"/>
      <w:r w:rsidRPr="001C3B56">
        <w:t xml:space="preserve"> B, </w:t>
      </w:r>
      <w:proofErr w:type="spellStart"/>
      <w:r w:rsidRPr="001C3B56">
        <w:t>Donselaar</w:t>
      </w:r>
      <w:proofErr w:type="spellEnd"/>
      <w:r w:rsidRPr="001C3B56">
        <w:t xml:space="preserve"> E, </w:t>
      </w:r>
      <w:proofErr w:type="spellStart"/>
      <w:r w:rsidRPr="001C3B56">
        <w:t>Erkelens</w:t>
      </w:r>
      <w:proofErr w:type="spellEnd"/>
      <w:r w:rsidRPr="001C3B56">
        <w:t xml:space="preserve"> D, Fernandes G, Wegner I, et al. Systematic review of the diagnostic value of laryngeal </w:t>
      </w:r>
      <w:proofErr w:type="spellStart"/>
      <w:r w:rsidRPr="001C3B56">
        <w:t>stroboscopy</w:t>
      </w:r>
      <w:proofErr w:type="spellEnd"/>
      <w:r w:rsidRPr="001C3B56">
        <w:t xml:space="preserve"> in excluding early glottic carcinoma Clin </w:t>
      </w:r>
      <w:proofErr w:type="spellStart"/>
      <w:r w:rsidRPr="001C3B56">
        <w:t>Otolaryngol</w:t>
      </w:r>
      <w:proofErr w:type="spellEnd"/>
      <w:r w:rsidRPr="001C3B56">
        <w:t xml:space="preserve">. </w:t>
      </w:r>
      <w:proofErr w:type="gramStart"/>
      <w:r w:rsidRPr="001C3B56">
        <w:t>2016;00:000</w:t>
      </w:r>
      <w:proofErr w:type="gramEnd"/>
      <w:r w:rsidRPr="001C3B56">
        <w:t>.</w:t>
      </w:r>
    </w:p>
    <w:p w14:paraId="6D68CB88" w14:textId="77777777" w:rsidR="00F85147" w:rsidRPr="001C3B56" w:rsidRDefault="00F85147" w:rsidP="001C3B56">
      <w:pPr>
        <w:pStyle w:val="References"/>
      </w:pPr>
      <w:r w:rsidRPr="001C3B56">
        <w:t>13.</w:t>
      </w:r>
      <w:r w:rsidRPr="001C3B56">
        <w:tab/>
        <w:t>El-</w:t>
      </w:r>
      <w:proofErr w:type="spellStart"/>
      <w:r w:rsidRPr="001C3B56">
        <w:t>Demerdash</w:t>
      </w:r>
      <w:proofErr w:type="spellEnd"/>
      <w:r w:rsidRPr="001C3B56">
        <w:t xml:space="preserve"> A, Fawaz S, Sabri S, </w:t>
      </w:r>
      <w:proofErr w:type="spellStart"/>
      <w:r w:rsidRPr="001C3B56">
        <w:t>Sweedd</w:t>
      </w:r>
      <w:proofErr w:type="spellEnd"/>
      <w:r w:rsidRPr="001C3B56">
        <w:t xml:space="preserve"> A, Rabie H. Sensitivity and speciﬁcity of </w:t>
      </w:r>
      <w:proofErr w:type="spellStart"/>
      <w:r w:rsidRPr="001C3B56">
        <w:t>stroboscopy</w:t>
      </w:r>
      <w:proofErr w:type="spellEnd"/>
      <w:r w:rsidRPr="001C3B56">
        <w:t xml:space="preserve"> in preoperative differentiation of dysplasia from early invasive glottic carcinoma. Eur Arch </w:t>
      </w:r>
      <w:proofErr w:type="spellStart"/>
      <w:r w:rsidRPr="001C3B56">
        <w:t>Otorhinolaryngol</w:t>
      </w:r>
      <w:proofErr w:type="spellEnd"/>
      <w:r w:rsidRPr="001C3B56">
        <w:t xml:space="preserve">. </w:t>
      </w:r>
      <w:proofErr w:type="gramStart"/>
      <w:r w:rsidRPr="001C3B56">
        <w:t>2015;272:1189</w:t>
      </w:r>
      <w:proofErr w:type="gramEnd"/>
      <w:r w:rsidRPr="001C3B56">
        <w:t>-93.</w:t>
      </w:r>
    </w:p>
    <w:p w14:paraId="68552421" w14:textId="77777777" w:rsidR="00F85147" w:rsidRPr="001C3B56" w:rsidRDefault="00F85147" w:rsidP="001C3B56">
      <w:pPr>
        <w:pStyle w:val="References"/>
      </w:pPr>
      <w:r w:rsidRPr="001C3B56">
        <w:t>14.</w:t>
      </w:r>
      <w:r w:rsidRPr="001C3B56">
        <w:tab/>
      </w:r>
      <w:proofErr w:type="spellStart"/>
      <w:r w:rsidRPr="001C3B56">
        <w:t>Mehlum</w:t>
      </w:r>
      <w:proofErr w:type="spellEnd"/>
      <w:r w:rsidRPr="001C3B56">
        <w:t xml:space="preserve"> C, Rosenberg T, </w:t>
      </w:r>
      <w:proofErr w:type="spellStart"/>
      <w:r w:rsidRPr="001C3B56">
        <w:t>AGroentved</w:t>
      </w:r>
      <w:proofErr w:type="spellEnd"/>
      <w:r w:rsidRPr="001C3B56">
        <w:t xml:space="preserve"> A, </w:t>
      </w:r>
      <w:proofErr w:type="spellStart"/>
      <w:r w:rsidRPr="001C3B56">
        <w:t>Dyrvig</w:t>
      </w:r>
      <w:proofErr w:type="spellEnd"/>
      <w:r w:rsidRPr="001C3B56">
        <w:t xml:space="preserve"> A, </w:t>
      </w:r>
      <w:proofErr w:type="spellStart"/>
      <w:r w:rsidRPr="001C3B56">
        <w:t>Godballe</w:t>
      </w:r>
      <w:proofErr w:type="spellEnd"/>
      <w:r w:rsidRPr="001C3B56">
        <w:t xml:space="preserve"> C. Can </w:t>
      </w:r>
      <w:proofErr w:type="spellStart"/>
      <w:r w:rsidRPr="001C3B56">
        <w:t>Videostroboscopy</w:t>
      </w:r>
      <w:proofErr w:type="spellEnd"/>
      <w:r w:rsidRPr="001C3B56">
        <w:t xml:space="preserve"> Predict Early Glottic Cancer? A Systematic Review and Meta-analysis. Laryngoscope. </w:t>
      </w:r>
      <w:proofErr w:type="gramStart"/>
      <w:r w:rsidRPr="001C3B56">
        <w:t>2015;doi</w:t>
      </w:r>
      <w:proofErr w:type="gramEnd"/>
      <w:r w:rsidRPr="001C3B56">
        <w:t>: 10.1002/lary.25745.</w:t>
      </w:r>
    </w:p>
    <w:p w14:paraId="2557EC6B" w14:textId="77777777" w:rsidR="00F85147" w:rsidRPr="001C3B56" w:rsidRDefault="00F85147" w:rsidP="001C3B56">
      <w:pPr>
        <w:pStyle w:val="References"/>
      </w:pPr>
      <w:r w:rsidRPr="001C3B56">
        <w:t>15.</w:t>
      </w:r>
      <w:r w:rsidRPr="001C3B56">
        <w:tab/>
      </w:r>
      <w:proofErr w:type="spellStart"/>
      <w:r w:rsidRPr="001C3B56">
        <w:t>Sulica</w:t>
      </w:r>
      <w:proofErr w:type="spellEnd"/>
      <w:r w:rsidRPr="001C3B56">
        <w:t xml:space="preserve"> L. Laryngoscopy, </w:t>
      </w:r>
      <w:proofErr w:type="spellStart"/>
      <w:r w:rsidRPr="001C3B56">
        <w:t>Stroboscopy</w:t>
      </w:r>
      <w:proofErr w:type="spellEnd"/>
      <w:r w:rsidRPr="001C3B56">
        <w:t xml:space="preserve"> and Other Tools for the Evaluation of Voice Disorders. </w:t>
      </w:r>
      <w:proofErr w:type="spellStart"/>
      <w:r w:rsidRPr="001C3B56">
        <w:t>Otolaryngol</w:t>
      </w:r>
      <w:proofErr w:type="spellEnd"/>
      <w:r w:rsidRPr="001C3B56">
        <w:t xml:space="preserve"> Clinic N Am. </w:t>
      </w:r>
      <w:proofErr w:type="gramStart"/>
      <w:r w:rsidRPr="001C3B56">
        <w:t>2013;46:21</w:t>
      </w:r>
      <w:proofErr w:type="gramEnd"/>
      <w:r w:rsidRPr="001C3B56">
        <w:t>-30.</w:t>
      </w:r>
    </w:p>
    <w:p w14:paraId="391583F6" w14:textId="77777777" w:rsidR="00F85147" w:rsidRPr="00C572FF" w:rsidRDefault="00F85147" w:rsidP="0045305B">
      <w:pPr>
        <w:pStyle w:val="References"/>
        <w:rPr>
          <w:noProof/>
          <w:szCs w:val="20"/>
        </w:rPr>
      </w:pPr>
      <w:r w:rsidRPr="00C572FF">
        <w:rPr>
          <w:noProof/>
          <w:szCs w:val="20"/>
        </w:rPr>
        <w:t>16.</w:t>
      </w:r>
      <w:r w:rsidRPr="00C572FF">
        <w:rPr>
          <w:noProof/>
          <w:szCs w:val="20"/>
        </w:rPr>
        <w:tab/>
      </w:r>
      <w:r w:rsidRPr="00C572FF">
        <w:t>Havas</w:t>
      </w:r>
      <w:r w:rsidRPr="00C572FF">
        <w:rPr>
          <w:noProof/>
          <w:szCs w:val="20"/>
        </w:rPr>
        <w:t xml:space="preserve"> T. </w:t>
      </w:r>
      <w:hyperlink r:id="rId16" w:history="1">
        <w:r w:rsidRPr="00C572FF">
          <w:rPr>
            <w:rStyle w:val="Hyperlink"/>
            <w:noProof/>
            <w:szCs w:val="20"/>
          </w:rPr>
          <w:t>Hoarseness and voice dysfunction</w:t>
        </w:r>
      </w:hyperlink>
      <w:r w:rsidRPr="00C572FF">
        <w:rPr>
          <w:noProof/>
          <w:szCs w:val="20"/>
        </w:rPr>
        <w:t>: Australian Doctor; 2012.</w:t>
      </w:r>
    </w:p>
    <w:p w14:paraId="09744BF6" w14:textId="77777777" w:rsidR="00F85147" w:rsidRPr="00C572FF" w:rsidRDefault="00F85147" w:rsidP="0045305B">
      <w:pPr>
        <w:pStyle w:val="References"/>
        <w:rPr>
          <w:noProof/>
        </w:rPr>
      </w:pPr>
      <w:r w:rsidRPr="00C572FF">
        <w:rPr>
          <w:noProof/>
        </w:rPr>
        <w:t>17.</w:t>
      </w:r>
      <w:r w:rsidRPr="00C572FF">
        <w:rPr>
          <w:noProof/>
        </w:rPr>
        <w:tab/>
        <w:t xml:space="preserve">ASHA. </w:t>
      </w:r>
      <w:hyperlink r:id="rId17" w:history="1">
        <w:r w:rsidRPr="00C572FF">
          <w:rPr>
            <w:rStyle w:val="Hyperlink"/>
            <w:noProof/>
            <w:szCs w:val="20"/>
          </w:rPr>
          <w:t>Use of endoscopy by speeh-language pathologists: position statement</w:t>
        </w:r>
      </w:hyperlink>
      <w:r w:rsidRPr="00C572FF">
        <w:rPr>
          <w:noProof/>
        </w:rPr>
        <w:t>: American Speech-Language-Hearing Association 2008.</w:t>
      </w:r>
    </w:p>
    <w:p w14:paraId="4D92DCCE" w14:textId="77777777" w:rsidR="00F85147" w:rsidRPr="00B964DD" w:rsidRDefault="00F85147" w:rsidP="0045305B">
      <w:pPr>
        <w:pStyle w:val="References"/>
        <w:rPr>
          <w:noProof/>
        </w:rPr>
      </w:pPr>
      <w:r w:rsidRPr="00C572FF">
        <w:rPr>
          <w:noProof/>
        </w:rPr>
        <w:t>18.</w:t>
      </w:r>
      <w:r w:rsidRPr="00C572FF">
        <w:rPr>
          <w:noProof/>
        </w:rPr>
        <w:tab/>
        <w:t xml:space="preserve">ASHA. </w:t>
      </w:r>
      <w:hyperlink r:id="rId18" w:history="1">
        <w:r w:rsidRPr="00C572FF">
          <w:rPr>
            <w:rStyle w:val="Hyperlink"/>
            <w:noProof/>
            <w:szCs w:val="20"/>
          </w:rPr>
          <w:t>ASHA Talking Points on SLPs Performing Endoscopy for Swallowing Assessment</w:t>
        </w:r>
      </w:hyperlink>
      <w:r w:rsidRPr="00C572FF">
        <w:rPr>
          <w:noProof/>
        </w:rPr>
        <w:t xml:space="preserve"> 2007.</w:t>
      </w:r>
    </w:p>
    <w:p w14:paraId="162DACC5" w14:textId="77777777" w:rsidR="00F85147" w:rsidRPr="00B964DD" w:rsidRDefault="00F85147" w:rsidP="001C3B56">
      <w:pPr>
        <w:pStyle w:val="References"/>
        <w:rPr>
          <w:noProof/>
        </w:rPr>
      </w:pPr>
      <w:r w:rsidRPr="00B964DD">
        <w:rPr>
          <w:noProof/>
        </w:rPr>
        <w:t>19.</w:t>
      </w:r>
      <w:r w:rsidRPr="00B964DD">
        <w:rPr>
          <w:noProof/>
        </w:rPr>
        <w:tab/>
        <w:t>Cohen S, Dinan M, Kim J, Roy N. Otolaryngology Utilization of Speech-Language Pathology Services for Voice Disorders. The Laryngoscope. 2016;126:906-12.</w:t>
      </w:r>
    </w:p>
    <w:p w14:paraId="7149C48D" w14:textId="77777777" w:rsidR="00F85147" w:rsidRPr="00B964DD" w:rsidRDefault="00F85147" w:rsidP="001C3B56">
      <w:pPr>
        <w:pStyle w:val="References"/>
        <w:rPr>
          <w:noProof/>
        </w:rPr>
      </w:pPr>
      <w:r w:rsidRPr="00B964DD">
        <w:rPr>
          <w:noProof/>
        </w:rPr>
        <w:t>20.</w:t>
      </w:r>
      <w:r w:rsidRPr="00B964DD">
        <w:rPr>
          <w:noProof/>
        </w:rPr>
        <w:tab/>
        <w:t>Woo P, Colton R, Casper J, Brewer D. Diagnostic calue of stroboscopic examination in hoarse patients. Journal of Voice. 1991;5(3):231-8.</w:t>
      </w:r>
    </w:p>
    <w:p w14:paraId="36063DE6" w14:textId="77777777" w:rsidR="00F85147" w:rsidRPr="00B964DD" w:rsidRDefault="00F85147" w:rsidP="001C3B56">
      <w:pPr>
        <w:pStyle w:val="References"/>
        <w:rPr>
          <w:noProof/>
        </w:rPr>
      </w:pPr>
      <w:r w:rsidRPr="00B964DD">
        <w:rPr>
          <w:noProof/>
        </w:rPr>
        <w:t>21.</w:t>
      </w:r>
      <w:r w:rsidRPr="00B964DD">
        <w:rPr>
          <w:noProof/>
        </w:rPr>
        <w:tab/>
        <w:t>Casiano R, Zaveri V, Lundy D. Efficacy of videostroboscopy in the diagnosis of voice disorders. Otolaryngol Head Neck Surg. 1992;107(1):95-100.</w:t>
      </w:r>
    </w:p>
    <w:p w14:paraId="288170F4" w14:textId="77777777" w:rsidR="00F85147" w:rsidRPr="00B964DD" w:rsidRDefault="00F85147" w:rsidP="001C3B56">
      <w:pPr>
        <w:pStyle w:val="References"/>
        <w:rPr>
          <w:noProof/>
        </w:rPr>
      </w:pPr>
      <w:r w:rsidRPr="00B964DD">
        <w:rPr>
          <w:noProof/>
        </w:rPr>
        <w:t>22.</w:t>
      </w:r>
      <w:r w:rsidRPr="00B964DD">
        <w:rPr>
          <w:noProof/>
        </w:rPr>
        <w:tab/>
        <w:t>Sataloff RT, JR S, Hawkshaw M. Strobovideolaryngoscopy: results and clinical value. Ann Otol Rhinol Laryngol. 1991;100(9 Pt 1):725-7.</w:t>
      </w:r>
    </w:p>
    <w:p w14:paraId="08D716A9" w14:textId="77777777" w:rsidR="00F85147" w:rsidRPr="00B964DD" w:rsidRDefault="00F85147" w:rsidP="001C3B56">
      <w:pPr>
        <w:pStyle w:val="References"/>
        <w:rPr>
          <w:noProof/>
        </w:rPr>
      </w:pPr>
      <w:r w:rsidRPr="00B964DD">
        <w:rPr>
          <w:noProof/>
        </w:rPr>
        <w:lastRenderedPageBreak/>
        <w:t>23.</w:t>
      </w:r>
      <w:r w:rsidRPr="00B964DD">
        <w:rPr>
          <w:noProof/>
        </w:rPr>
        <w:tab/>
        <w:t>Mehta D, Hillman R. Current role of stroboscopy in laryngeal imaging. Curr Opin Otolaryngol Head Neck Surg. 2012;20(6):429-36.</w:t>
      </w:r>
    </w:p>
    <w:p w14:paraId="3E8D18F4" w14:textId="77777777" w:rsidR="00F85147" w:rsidRPr="00B964DD" w:rsidRDefault="00F85147" w:rsidP="001C3B56">
      <w:pPr>
        <w:pStyle w:val="References"/>
        <w:rPr>
          <w:noProof/>
        </w:rPr>
      </w:pPr>
      <w:r w:rsidRPr="00B964DD">
        <w:rPr>
          <w:noProof/>
        </w:rPr>
        <w:t>24.</w:t>
      </w:r>
      <w:r w:rsidRPr="00B964DD">
        <w:rPr>
          <w:noProof/>
        </w:rPr>
        <w:tab/>
        <w:t>Tsuji D, Hachiya A, Dajer M, Ishikawa C, Takahashi M, Montagnoli A. Improvement of Vocal Pathologies Diagnosis Using HIgh-Speed Videolaryngoscopy. Int Arch Otorhinolaryngol. 2014;18:294-302.</w:t>
      </w:r>
    </w:p>
    <w:p w14:paraId="46030E06" w14:textId="77777777" w:rsidR="00F85147" w:rsidRPr="00B964DD" w:rsidRDefault="00F85147" w:rsidP="001C3B56">
      <w:pPr>
        <w:pStyle w:val="References"/>
        <w:rPr>
          <w:noProof/>
        </w:rPr>
      </w:pPr>
      <w:r w:rsidRPr="00B964DD">
        <w:rPr>
          <w:noProof/>
        </w:rPr>
        <w:t>25.</w:t>
      </w:r>
      <w:r w:rsidRPr="00B964DD">
        <w:rPr>
          <w:noProof/>
        </w:rPr>
        <w:tab/>
        <w:t>Nawka T, Konerding U. The interrater reliability of stroboscopy evaluations. J Voice. 2012;26(6):812.</w:t>
      </w:r>
    </w:p>
    <w:p w14:paraId="7E3DDDA8" w14:textId="77777777" w:rsidR="00F85147" w:rsidRPr="00B964DD" w:rsidRDefault="00F85147" w:rsidP="001C3B56">
      <w:pPr>
        <w:pStyle w:val="References"/>
        <w:rPr>
          <w:noProof/>
        </w:rPr>
      </w:pPr>
      <w:r w:rsidRPr="00B964DD">
        <w:rPr>
          <w:noProof/>
        </w:rPr>
        <w:t>26.</w:t>
      </w:r>
      <w:r w:rsidRPr="00B964DD">
        <w:rPr>
          <w:noProof/>
        </w:rPr>
        <w:tab/>
        <w:t>Yiu E, Lau V, Ma E, Chan K, Barrett E. Reliability of Laryngostroboscopic Evaluation on Lesion Size and Glottal Configuration: A Revist. The Laryngoscope. 2014;124:1638-44.</w:t>
      </w:r>
    </w:p>
    <w:p w14:paraId="266D824D" w14:textId="77777777" w:rsidR="00F85147" w:rsidRPr="00B964DD" w:rsidRDefault="00F85147" w:rsidP="001C3B56">
      <w:pPr>
        <w:pStyle w:val="References"/>
        <w:rPr>
          <w:noProof/>
        </w:rPr>
      </w:pPr>
      <w:r w:rsidRPr="00B964DD">
        <w:rPr>
          <w:noProof/>
        </w:rPr>
        <w:t>27.</w:t>
      </w:r>
      <w:r w:rsidRPr="00B964DD">
        <w:rPr>
          <w:noProof/>
        </w:rPr>
        <w:tab/>
        <w:t>A S, Kazi R, Venkitaraman R, Kapoor K, Nutting C, Clarke P, et al. Does flexible videostroboscopy compare with rigid videostroboscopy in the assessment of the neoglottis? A preliminary report. Clin Otolaryngol. 2008;33:56-66.</w:t>
      </w:r>
    </w:p>
    <w:p w14:paraId="522C78A5" w14:textId="77777777" w:rsidR="00F85147" w:rsidRPr="00B964DD" w:rsidRDefault="00F85147" w:rsidP="001C3B56">
      <w:pPr>
        <w:pStyle w:val="References"/>
        <w:rPr>
          <w:noProof/>
        </w:rPr>
      </w:pPr>
      <w:r w:rsidRPr="00B964DD">
        <w:rPr>
          <w:noProof/>
        </w:rPr>
        <w:t>28.</w:t>
      </w:r>
      <w:r w:rsidRPr="00B964DD">
        <w:rPr>
          <w:noProof/>
        </w:rPr>
        <w:tab/>
        <w:t>Akbulut S, Altintas H, Oguz H. Videolaryngostroboscopy versus microlaryngoscopy for the diagnosis of benign vocal cord lesions: a prospective clinical study. Eur Arch Otorhinolaryngol. 2015;272(1):131-6.</w:t>
      </w:r>
    </w:p>
    <w:p w14:paraId="0F1D4662" w14:textId="77777777" w:rsidR="00F85147" w:rsidRPr="00B964DD" w:rsidRDefault="00F85147" w:rsidP="001C3B56">
      <w:pPr>
        <w:pStyle w:val="References"/>
        <w:rPr>
          <w:noProof/>
        </w:rPr>
      </w:pPr>
      <w:r w:rsidRPr="00B964DD">
        <w:rPr>
          <w:noProof/>
        </w:rPr>
        <w:t>29.</w:t>
      </w:r>
      <w:r w:rsidRPr="00B964DD">
        <w:rPr>
          <w:noProof/>
        </w:rPr>
        <w:tab/>
        <w:t>Kendall K. High-Speed Laryngeal Imaging Compared With Videostroboscopy in Healthy Subjects. Arch Otolaryngol Head Neck Surg. 2009;135(3):274-81.</w:t>
      </w:r>
    </w:p>
    <w:p w14:paraId="7121DB6A" w14:textId="77777777" w:rsidR="00F85147" w:rsidRPr="00B964DD" w:rsidRDefault="00F85147" w:rsidP="001C3B56">
      <w:pPr>
        <w:pStyle w:val="References"/>
        <w:rPr>
          <w:noProof/>
        </w:rPr>
      </w:pPr>
      <w:r w:rsidRPr="00B964DD">
        <w:rPr>
          <w:noProof/>
        </w:rPr>
        <w:t>30.</w:t>
      </w:r>
      <w:r w:rsidRPr="00B964DD">
        <w:rPr>
          <w:noProof/>
        </w:rPr>
        <w:tab/>
        <w:t>Mendelsohn A, Remacle M, Courey M, Postma G. The diagnostic role of high-speed vocal fold vibratory imaging. J Voice. 2013;27(5):627-31.</w:t>
      </w:r>
    </w:p>
    <w:p w14:paraId="3AEB6C17" w14:textId="77777777" w:rsidR="00F85147" w:rsidRPr="00B964DD" w:rsidRDefault="00F85147" w:rsidP="001C3B56">
      <w:pPr>
        <w:pStyle w:val="References"/>
        <w:rPr>
          <w:noProof/>
        </w:rPr>
      </w:pPr>
      <w:r w:rsidRPr="00B964DD">
        <w:rPr>
          <w:noProof/>
        </w:rPr>
        <w:t>31.</w:t>
      </w:r>
      <w:r w:rsidRPr="00B964DD">
        <w:rPr>
          <w:noProof/>
        </w:rPr>
        <w:tab/>
        <w:t>Kazi R, Rhys-Evans P, Nutting C, Harrington K. The great debate: Stroboscopy vs high-speed imaging for assesment of alaryngeal phonation J Can Res Ther. 2009;5(2):121-3.</w:t>
      </w:r>
    </w:p>
    <w:p w14:paraId="749E8E7C" w14:textId="77777777" w:rsidR="00F85147" w:rsidRPr="00B964DD" w:rsidRDefault="00F85147" w:rsidP="001C3B56">
      <w:pPr>
        <w:pStyle w:val="References"/>
        <w:rPr>
          <w:noProof/>
        </w:rPr>
      </w:pPr>
      <w:r w:rsidRPr="00B964DD">
        <w:rPr>
          <w:noProof/>
        </w:rPr>
        <w:t>32.</w:t>
      </w:r>
      <w:r w:rsidRPr="00B964DD">
        <w:rPr>
          <w:noProof/>
        </w:rPr>
        <w:tab/>
        <w:t>Nunez-Batalla F, Senaris-Gonzalez B, Corte-Santos P, Sevilla-Garcia M, Coca-Pelaza A, Charlone-Granucci R, et al. The Diagnostic Role of Direct Microlaryngoscopy. Acta Otorrinolaringol Esp. 2007;58(8):362-6.</w:t>
      </w:r>
    </w:p>
    <w:p w14:paraId="01CD2CFA" w14:textId="77777777" w:rsidR="00F85147" w:rsidRPr="00B964DD" w:rsidRDefault="00F85147" w:rsidP="001C3B56">
      <w:pPr>
        <w:pStyle w:val="References"/>
        <w:rPr>
          <w:noProof/>
        </w:rPr>
      </w:pPr>
      <w:r w:rsidRPr="00B964DD">
        <w:rPr>
          <w:noProof/>
        </w:rPr>
        <w:t>33.</w:t>
      </w:r>
      <w:r w:rsidRPr="00B964DD">
        <w:rPr>
          <w:noProof/>
        </w:rPr>
        <w:tab/>
        <w:t>Krausert C, Olszewski A, Taylor L, McMurray J, Dailey S, Jiang J. Mucosal Wave Measurement and Visualization Techniques. J Voice. 2012;25(4):395-405.</w:t>
      </w:r>
    </w:p>
    <w:p w14:paraId="37432519" w14:textId="77777777" w:rsidR="00F85147" w:rsidRPr="00B964DD" w:rsidRDefault="00F85147" w:rsidP="001C3B56">
      <w:pPr>
        <w:pStyle w:val="References"/>
        <w:rPr>
          <w:noProof/>
        </w:rPr>
      </w:pPr>
      <w:r w:rsidRPr="00B964DD">
        <w:rPr>
          <w:noProof/>
        </w:rPr>
        <w:t>34.</w:t>
      </w:r>
      <w:r w:rsidRPr="00B964DD">
        <w:rPr>
          <w:noProof/>
        </w:rPr>
        <w:tab/>
        <w:t>Cohen S, Thomas S, Roy N, Kim J, Courey M. Frequency and Factors Associated with Use of Videolaryngostroboscopy in Voice Disorder Assessment. Laryngoscope. 2014;124(9):2118-24.</w:t>
      </w:r>
    </w:p>
    <w:p w14:paraId="25F3055B" w14:textId="77777777" w:rsidR="00F85147" w:rsidRPr="00B964DD" w:rsidRDefault="00F85147" w:rsidP="001C3B56">
      <w:pPr>
        <w:pStyle w:val="References"/>
        <w:rPr>
          <w:noProof/>
        </w:rPr>
      </w:pPr>
      <w:r w:rsidRPr="00B964DD">
        <w:rPr>
          <w:noProof/>
        </w:rPr>
        <w:t>35.</w:t>
      </w:r>
      <w:r w:rsidRPr="00B964DD">
        <w:rPr>
          <w:noProof/>
        </w:rPr>
        <w:tab/>
        <w:t>Printza A, Triaridis S, Themelis C, Constantinidis J. Stroboscopy for benign laryngeal pathology in evidence based health care Hippokratia. 2012;16(4):324-8.</w:t>
      </w:r>
    </w:p>
    <w:p w14:paraId="7721334C" w14:textId="77777777" w:rsidR="00F85147" w:rsidRPr="00B964DD" w:rsidRDefault="00F85147" w:rsidP="001C3B56">
      <w:pPr>
        <w:pStyle w:val="References"/>
        <w:rPr>
          <w:noProof/>
        </w:rPr>
      </w:pPr>
      <w:r w:rsidRPr="00B964DD">
        <w:rPr>
          <w:noProof/>
        </w:rPr>
        <w:t>36.</w:t>
      </w:r>
      <w:r w:rsidRPr="00B964DD">
        <w:rPr>
          <w:noProof/>
        </w:rPr>
        <w:tab/>
        <w:t>Fritz M, Persky M, Fang Y, Simpson C, MAmin M, Akst L, et al. The Accuracy of the Laryngopharyngeal Reflux Diagnosis: Utility of the Stroboscopic Exam. Otolaryngol Head Neck Surg. 2016;pii: 0194599816655143.:1-6.</w:t>
      </w:r>
    </w:p>
    <w:p w14:paraId="4FB9D023" w14:textId="77777777" w:rsidR="00F85147" w:rsidRPr="00B964DD" w:rsidRDefault="00F85147" w:rsidP="001C3B56">
      <w:pPr>
        <w:pStyle w:val="References"/>
        <w:rPr>
          <w:noProof/>
        </w:rPr>
      </w:pPr>
      <w:r w:rsidRPr="00B964DD">
        <w:rPr>
          <w:noProof/>
        </w:rPr>
        <w:t>37.</w:t>
      </w:r>
      <w:r w:rsidRPr="00B964DD">
        <w:rPr>
          <w:noProof/>
        </w:rPr>
        <w:tab/>
        <w:t>Halawa W, Garcia A, Perez S. Effectiveness of laryngstroboscopy for monitoring the evolution of vocal nodules after rehabilitator treatment Auris Nasus Larynx. 2013;40:204-6.</w:t>
      </w:r>
    </w:p>
    <w:p w14:paraId="2672AD5A" w14:textId="77777777" w:rsidR="00B964DD" w:rsidRPr="001C3B56" w:rsidRDefault="00B964DD" w:rsidP="00BA6D5D">
      <w:r w:rsidRPr="001C3B56">
        <w:br w:type="page"/>
      </w:r>
    </w:p>
    <w:p w14:paraId="187118FC" w14:textId="77777777" w:rsidR="00F85147" w:rsidRPr="00601F1C" w:rsidRDefault="00601F1C" w:rsidP="001815E3">
      <w:pPr>
        <w:pStyle w:val="AppendixStyle1"/>
      </w:pPr>
      <w:bookmarkStart w:id="122" w:name="_Toc457053445"/>
      <w:bookmarkStart w:id="123" w:name="_Toc485723871"/>
      <w:r w:rsidRPr="00601F1C">
        <w:lastRenderedPageBreak/>
        <w:t>Data for items requiring no change</w:t>
      </w:r>
      <w:bookmarkEnd w:id="122"/>
      <w:bookmarkEnd w:id="123"/>
    </w:p>
    <w:p w14:paraId="45D8335E" w14:textId="77777777" w:rsidR="00741054" w:rsidRPr="00741054" w:rsidRDefault="00741054" w:rsidP="00A94A83">
      <w:pPr>
        <w:pStyle w:val="Heading2a"/>
      </w:pPr>
      <w:r w:rsidRPr="00741054">
        <w:t>Item 41590</w:t>
      </w:r>
    </w:p>
    <w:p w14:paraId="1237835B" w14:textId="77777777" w:rsidR="00E754D9" w:rsidRPr="006D0141" w:rsidRDefault="00B23EBF" w:rsidP="00B23EBF">
      <w:pPr>
        <w:pStyle w:val="Caption"/>
      </w:pPr>
      <w:r>
        <w:t>Table D1:</w:t>
      </w:r>
      <w:r>
        <w:tab/>
      </w:r>
      <w:r w:rsidR="00E754D9">
        <w:t>Item 41590 – Description</w:t>
      </w:r>
    </w:p>
    <w:tbl>
      <w:tblPr>
        <w:tblW w:w="8820"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MBS item including description of service as well as Fees and Benefits"/>
      </w:tblPr>
      <w:tblGrid>
        <w:gridCol w:w="5580"/>
        <w:gridCol w:w="1620"/>
        <w:gridCol w:w="1620"/>
      </w:tblGrid>
      <w:tr w:rsidR="007736E8" w:rsidRPr="006D0141" w14:paraId="2C4CCDE0" w14:textId="77777777" w:rsidTr="007736E8">
        <w:trPr>
          <w:trHeight w:val="402"/>
        </w:trPr>
        <w:tc>
          <w:tcPr>
            <w:tcW w:w="5580" w:type="dxa"/>
            <w:shd w:val="clear" w:color="auto" w:fill="auto"/>
          </w:tcPr>
          <w:p w14:paraId="76B6E43D" w14:textId="77777777" w:rsidR="007736E8" w:rsidRPr="000512F5" w:rsidRDefault="007736E8" w:rsidP="002C20E6">
            <w:pPr>
              <w:pStyle w:val="Tableheading"/>
            </w:pPr>
            <w:r w:rsidRPr="000512F5">
              <w:t>Descript</w:t>
            </w:r>
            <w:r>
              <w:t>i</w:t>
            </w:r>
            <w:r w:rsidRPr="000512F5">
              <w:t>o</w:t>
            </w:r>
            <w:r>
              <w:t>n</w:t>
            </w:r>
          </w:p>
        </w:tc>
        <w:tc>
          <w:tcPr>
            <w:tcW w:w="1620" w:type="dxa"/>
          </w:tcPr>
          <w:p w14:paraId="615F027A" w14:textId="77777777" w:rsidR="007736E8" w:rsidRPr="000512F5" w:rsidRDefault="007736E8" w:rsidP="002C20E6">
            <w:pPr>
              <w:pStyle w:val="Tableheading"/>
            </w:pPr>
            <w:r>
              <w:t>Fee</w:t>
            </w:r>
          </w:p>
        </w:tc>
        <w:tc>
          <w:tcPr>
            <w:tcW w:w="1620" w:type="dxa"/>
          </w:tcPr>
          <w:p w14:paraId="14EEE827" w14:textId="77777777" w:rsidR="007736E8" w:rsidRPr="000512F5" w:rsidRDefault="007736E8" w:rsidP="002C20E6">
            <w:pPr>
              <w:pStyle w:val="Tableheading"/>
            </w:pPr>
            <w:r>
              <w:t>Benefit</w:t>
            </w:r>
          </w:p>
        </w:tc>
      </w:tr>
      <w:tr w:rsidR="007736E8" w:rsidRPr="006D0141" w14:paraId="74F3B3FD" w14:textId="77777777" w:rsidTr="007736E8">
        <w:trPr>
          <w:trHeight w:val="632"/>
        </w:trPr>
        <w:tc>
          <w:tcPr>
            <w:tcW w:w="5580" w:type="dxa"/>
            <w:shd w:val="clear" w:color="auto" w:fill="FFFFFF" w:themeFill="background1"/>
          </w:tcPr>
          <w:p w14:paraId="1982DC93" w14:textId="77777777" w:rsidR="007736E8" w:rsidRPr="006D0141" w:rsidRDefault="007736E8" w:rsidP="00422EC8">
            <w:pPr>
              <w:pStyle w:val="Tabletext"/>
            </w:pPr>
            <w:r w:rsidRPr="006D0141">
              <w:t xml:space="preserve">Endolymphatic sac, </w:t>
            </w:r>
            <w:proofErr w:type="spellStart"/>
            <w:r w:rsidRPr="006D0141">
              <w:t>transmastoid</w:t>
            </w:r>
            <w:proofErr w:type="spellEnd"/>
            <w:r w:rsidRPr="006D0141">
              <w:t xml:space="preserve"> decompression with or without drainage of (</w:t>
            </w:r>
            <w:proofErr w:type="spellStart"/>
            <w:r w:rsidRPr="006D0141">
              <w:t>Anaes</w:t>
            </w:r>
            <w:proofErr w:type="spellEnd"/>
            <w:r w:rsidRPr="006D0141">
              <w:t>.) (Assist.)</w:t>
            </w:r>
            <w:r w:rsidRPr="006D0141">
              <w:rPr>
                <w:b/>
              </w:rPr>
              <w:t xml:space="preserve"> </w:t>
            </w:r>
          </w:p>
        </w:tc>
        <w:tc>
          <w:tcPr>
            <w:tcW w:w="1620" w:type="dxa"/>
            <w:shd w:val="clear" w:color="auto" w:fill="FFFFFF" w:themeFill="background1"/>
          </w:tcPr>
          <w:p w14:paraId="4C54B0D8" w14:textId="77777777" w:rsidR="007736E8" w:rsidRPr="006D0141" w:rsidRDefault="007736E8" w:rsidP="00422EC8">
            <w:pPr>
              <w:pStyle w:val="Tabletext"/>
            </w:pPr>
            <w:r w:rsidRPr="006D0141">
              <w:t>$1,194.25</w:t>
            </w:r>
          </w:p>
        </w:tc>
        <w:tc>
          <w:tcPr>
            <w:tcW w:w="1620" w:type="dxa"/>
            <w:shd w:val="clear" w:color="auto" w:fill="FFFFFF" w:themeFill="background1"/>
          </w:tcPr>
          <w:p w14:paraId="68112635" w14:textId="77777777" w:rsidR="007736E8" w:rsidRPr="006D0141" w:rsidRDefault="007736E8" w:rsidP="00422EC8">
            <w:pPr>
              <w:pStyle w:val="Tabletext"/>
            </w:pPr>
            <w:r w:rsidRPr="006D0141">
              <w:t>75% = $895.70</w:t>
            </w:r>
          </w:p>
        </w:tc>
      </w:tr>
    </w:tbl>
    <w:p w14:paraId="444CF0F6" w14:textId="77777777" w:rsidR="00E754D9" w:rsidRPr="00932A16" w:rsidRDefault="00B23EBF" w:rsidP="00B23EBF">
      <w:pPr>
        <w:pStyle w:val="Caption"/>
      </w:pPr>
      <w:r>
        <w:t>Table D2:</w:t>
      </w:r>
      <w:r>
        <w:tab/>
      </w:r>
      <w:r w:rsidR="00E754D9">
        <w:t xml:space="preserve">Item 41590 – </w:t>
      </w:r>
      <w:r w:rsidR="00E754D9" w:rsidRPr="00932A16">
        <w:t xml:space="preserve">Key </w:t>
      </w:r>
      <w:r w:rsidR="00E754D9">
        <w:t>data for item</w:t>
      </w:r>
      <w:r w:rsidR="00E754D9" w:rsidRPr="00932A16">
        <w:t xml:space="preserve"> (date of processing)</w:t>
      </w:r>
    </w:p>
    <w:tbl>
      <w:tblPr>
        <w:tblW w:w="9214"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Services and Benefits paid in last financial year, including trend"/>
      </w:tblPr>
      <w:tblGrid>
        <w:gridCol w:w="1151"/>
        <w:gridCol w:w="1152"/>
        <w:gridCol w:w="1152"/>
        <w:gridCol w:w="1152"/>
        <w:gridCol w:w="1151"/>
        <w:gridCol w:w="1152"/>
        <w:gridCol w:w="1152"/>
        <w:gridCol w:w="1152"/>
      </w:tblGrid>
      <w:tr w:rsidR="00E754D9" w:rsidRPr="00681146" w14:paraId="4C3288E7" w14:textId="77777777" w:rsidTr="003129E4">
        <w:trPr>
          <w:trHeight w:val="632"/>
        </w:trPr>
        <w:tc>
          <w:tcPr>
            <w:tcW w:w="1151" w:type="dxa"/>
            <w:shd w:val="clear" w:color="auto" w:fill="auto"/>
            <w:vAlign w:val="center"/>
          </w:tcPr>
          <w:p w14:paraId="56C4F78A" w14:textId="77777777" w:rsidR="00E754D9" w:rsidRPr="00681146" w:rsidRDefault="00E754D9" w:rsidP="002C20E6">
            <w:pPr>
              <w:pStyle w:val="Tableheading"/>
            </w:pPr>
            <w:r w:rsidRPr="00681146">
              <w:t>Descriptor</w:t>
            </w:r>
          </w:p>
          <w:p w14:paraId="5D5951BB" w14:textId="77777777" w:rsidR="00E754D9" w:rsidRPr="00681146" w:rsidRDefault="00E754D9" w:rsidP="002C20E6">
            <w:pPr>
              <w:pStyle w:val="Tableheading"/>
            </w:pPr>
            <w:r w:rsidRPr="00681146">
              <w:t>start date</w:t>
            </w:r>
          </w:p>
        </w:tc>
        <w:tc>
          <w:tcPr>
            <w:tcW w:w="1152" w:type="dxa"/>
            <w:shd w:val="clear" w:color="auto" w:fill="auto"/>
            <w:vAlign w:val="center"/>
          </w:tcPr>
          <w:p w14:paraId="46A162A7" w14:textId="77777777" w:rsidR="00E754D9" w:rsidRPr="00681146" w:rsidRDefault="00E754D9" w:rsidP="002C20E6">
            <w:pPr>
              <w:pStyle w:val="Tableheading"/>
            </w:pPr>
            <w:r w:rsidRPr="00681146">
              <w:t xml:space="preserve">Total Benefits paid </w:t>
            </w:r>
          </w:p>
          <w:p w14:paraId="385273D7" w14:textId="77777777" w:rsidR="00E754D9" w:rsidRPr="00681146" w:rsidRDefault="00E754D9" w:rsidP="002C20E6">
            <w:pPr>
              <w:pStyle w:val="Tableheading"/>
            </w:pPr>
            <w:r w:rsidRPr="00681146">
              <w:t xml:space="preserve">2014-15 </w:t>
            </w:r>
          </w:p>
        </w:tc>
        <w:tc>
          <w:tcPr>
            <w:tcW w:w="1152" w:type="dxa"/>
            <w:shd w:val="clear" w:color="auto" w:fill="auto"/>
            <w:vAlign w:val="center"/>
          </w:tcPr>
          <w:p w14:paraId="4E32CA68" w14:textId="77777777" w:rsidR="00E754D9" w:rsidRPr="00681146" w:rsidRDefault="00E754D9" w:rsidP="002C20E6">
            <w:pPr>
              <w:pStyle w:val="Tableheading"/>
            </w:pPr>
            <w:r w:rsidRPr="00681146">
              <w:t>Number of services 2014-15</w:t>
            </w:r>
          </w:p>
        </w:tc>
        <w:tc>
          <w:tcPr>
            <w:tcW w:w="1152" w:type="dxa"/>
            <w:shd w:val="clear" w:color="auto" w:fill="auto"/>
            <w:vAlign w:val="center"/>
          </w:tcPr>
          <w:p w14:paraId="0D8BE6AE" w14:textId="77777777" w:rsidR="00E754D9" w:rsidRPr="00681146" w:rsidRDefault="00E754D9" w:rsidP="002C20E6">
            <w:pPr>
              <w:pStyle w:val="Tableheading"/>
            </w:pPr>
            <w:r w:rsidRPr="00681146">
              <w:t xml:space="preserve">Total Patient count </w:t>
            </w:r>
          </w:p>
          <w:p w14:paraId="4B1D4E18" w14:textId="77777777" w:rsidR="00E754D9" w:rsidRPr="00681146" w:rsidRDefault="00E754D9" w:rsidP="002C20E6">
            <w:pPr>
              <w:pStyle w:val="Tableheading"/>
            </w:pPr>
            <w:r w:rsidRPr="00681146">
              <w:t>2014-15</w:t>
            </w:r>
          </w:p>
        </w:tc>
        <w:tc>
          <w:tcPr>
            <w:tcW w:w="1151" w:type="dxa"/>
            <w:shd w:val="clear" w:color="auto" w:fill="auto"/>
            <w:vAlign w:val="center"/>
          </w:tcPr>
          <w:p w14:paraId="3E49C0FE" w14:textId="77777777" w:rsidR="00E754D9" w:rsidRPr="00681146" w:rsidRDefault="00E754D9" w:rsidP="002C20E6">
            <w:pPr>
              <w:pStyle w:val="Tableheading"/>
            </w:pPr>
            <w:r w:rsidRPr="00681146">
              <w:t xml:space="preserve">Total provider count </w:t>
            </w:r>
          </w:p>
          <w:p w14:paraId="2E7D94AF" w14:textId="77777777" w:rsidR="00E754D9" w:rsidRPr="00681146" w:rsidRDefault="00E754D9" w:rsidP="002C20E6">
            <w:pPr>
              <w:pStyle w:val="Tableheading"/>
            </w:pPr>
            <w:r w:rsidRPr="00681146">
              <w:t>2014-15</w:t>
            </w:r>
          </w:p>
        </w:tc>
        <w:tc>
          <w:tcPr>
            <w:tcW w:w="1152" w:type="dxa"/>
            <w:shd w:val="clear" w:color="auto" w:fill="auto"/>
            <w:vAlign w:val="center"/>
          </w:tcPr>
          <w:p w14:paraId="22BDD132" w14:textId="77777777" w:rsidR="00E754D9" w:rsidRPr="00681146" w:rsidRDefault="00E754D9" w:rsidP="002C20E6">
            <w:pPr>
              <w:pStyle w:val="Tableheading"/>
            </w:pPr>
            <w:r w:rsidRPr="00681146">
              <w:t xml:space="preserve">Benefits Change (%) from </w:t>
            </w:r>
          </w:p>
          <w:p w14:paraId="670F39E9" w14:textId="77777777" w:rsidR="00E754D9" w:rsidRPr="00681146" w:rsidRDefault="00E754D9" w:rsidP="002C20E6">
            <w:pPr>
              <w:pStyle w:val="Tableheading"/>
            </w:pPr>
            <w:r w:rsidRPr="00681146">
              <w:t>2011-12 to 2014-15</w:t>
            </w:r>
          </w:p>
        </w:tc>
        <w:tc>
          <w:tcPr>
            <w:tcW w:w="1152" w:type="dxa"/>
            <w:shd w:val="clear" w:color="auto" w:fill="auto"/>
            <w:vAlign w:val="center"/>
          </w:tcPr>
          <w:p w14:paraId="4E2D9C2D" w14:textId="77777777" w:rsidR="00E754D9" w:rsidRPr="00681146" w:rsidRDefault="00E754D9" w:rsidP="002C20E6">
            <w:pPr>
              <w:pStyle w:val="Tableheading"/>
            </w:pPr>
            <w:r w:rsidRPr="00681146">
              <w:t xml:space="preserve">Service Change (%) from </w:t>
            </w:r>
          </w:p>
          <w:p w14:paraId="46CD3FD7" w14:textId="77777777" w:rsidR="00E754D9" w:rsidRPr="00681146" w:rsidRDefault="00E754D9" w:rsidP="002C20E6">
            <w:pPr>
              <w:pStyle w:val="Tableheading"/>
            </w:pPr>
            <w:r w:rsidRPr="00681146">
              <w:t>2011-12 to 2014-15</w:t>
            </w:r>
          </w:p>
        </w:tc>
        <w:tc>
          <w:tcPr>
            <w:tcW w:w="1152" w:type="dxa"/>
            <w:shd w:val="clear" w:color="auto" w:fill="auto"/>
            <w:vAlign w:val="center"/>
          </w:tcPr>
          <w:p w14:paraId="4B16FE9C" w14:textId="77777777" w:rsidR="00E754D9" w:rsidRPr="00681146" w:rsidRDefault="00E754D9" w:rsidP="002C20E6">
            <w:pPr>
              <w:pStyle w:val="Tableheading"/>
            </w:pPr>
            <w:r w:rsidRPr="00681146">
              <w:t>% services provided out-of-hospital 2014-15</w:t>
            </w:r>
          </w:p>
        </w:tc>
      </w:tr>
      <w:tr w:rsidR="00E754D9" w:rsidRPr="00932A16" w14:paraId="221F51E4" w14:textId="77777777" w:rsidTr="003129E4">
        <w:trPr>
          <w:trHeight w:val="306"/>
        </w:trPr>
        <w:tc>
          <w:tcPr>
            <w:tcW w:w="1151" w:type="dxa"/>
            <w:shd w:val="clear" w:color="auto" w:fill="FFFFFF" w:themeFill="background1"/>
            <w:vAlign w:val="center"/>
          </w:tcPr>
          <w:p w14:paraId="49BAE4C7" w14:textId="77777777" w:rsidR="00E754D9" w:rsidRPr="00932A16" w:rsidRDefault="00E754D9" w:rsidP="00422EC8">
            <w:pPr>
              <w:pStyle w:val="Tabletext"/>
            </w:pPr>
            <w:r w:rsidRPr="00932A16">
              <w:t>1991</w:t>
            </w:r>
          </w:p>
        </w:tc>
        <w:tc>
          <w:tcPr>
            <w:tcW w:w="1152" w:type="dxa"/>
            <w:shd w:val="clear" w:color="auto" w:fill="FFFFFF" w:themeFill="background1"/>
            <w:vAlign w:val="center"/>
          </w:tcPr>
          <w:p w14:paraId="21E77E7C" w14:textId="77777777" w:rsidR="00E754D9" w:rsidRPr="00932A16" w:rsidRDefault="00E754D9" w:rsidP="00422EC8">
            <w:pPr>
              <w:pStyle w:val="Tabletext"/>
              <w:rPr>
                <w:bCs/>
              </w:rPr>
            </w:pPr>
            <w:r w:rsidRPr="00932A16">
              <w:rPr>
                <w:bCs/>
              </w:rPr>
              <w:t xml:space="preserve">9,464 </w:t>
            </w:r>
          </w:p>
        </w:tc>
        <w:tc>
          <w:tcPr>
            <w:tcW w:w="1152" w:type="dxa"/>
            <w:shd w:val="clear" w:color="auto" w:fill="FFFFFF" w:themeFill="background1"/>
            <w:vAlign w:val="center"/>
          </w:tcPr>
          <w:p w14:paraId="48EC2CDE" w14:textId="77777777" w:rsidR="00E754D9" w:rsidRPr="00932A16" w:rsidRDefault="00E754D9" w:rsidP="00422EC8">
            <w:pPr>
              <w:pStyle w:val="Tabletext"/>
              <w:rPr>
                <w:bCs/>
              </w:rPr>
            </w:pPr>
            <w:r w:rsidRPr="00932A16">
              <w:rPr>
                <w:bCs/>
              </w:rPr>
              <w:t xml:space="preserve">13 </w:t>
            </w:r>
          </w:p>
        </w:tc>
        <w:tc>
          <w:tcPr>
            <w:tcW w:w="1152" w:type="dxa"/>
            <w:shd w:val="clear" w:color="auto" w:fill="FFFFFF" w:themeFill="background1"/>
            <w:vAlign w:val="center"/>
          </w:tcPr>
          <w:p w14:paraId="278227FA" w14:textId="77777777" w:rsidR="00E754D9" w:rsidRPr="00932A16" w:rsidRDefault="00E754D9" w:rsidP="00422EC8">
            <w:pPr>
              <w:pStyle w:val="Tabletext"/>
              <w:rPr>
                <w:bCs/>
              </w:rPr>
            </w:pPr>
            <w:r w:rsidRPr="00932A16">
              <w:rPr>
                <w:bCs/>
              </w:rPr>
              <w:t xml:space="preserve">13 </w:t>
            </w:r>
          </w:p>
        </w:tc>
        <w:tc>
          <w:tcPr>
            <w:tcW w:w="1151" w:type="dxa"/>
            <w:shd w:val="clear" w:color="auto" w:fill="FFFFFF" w:themeFill="background1"/>
            <w:vAlign w:val="center"/>
          </w:tcPr>
          <w:p w14:paraId="474467CE" w14:textId="77777777" w:rsidR="00E754D9" w:rsidRPr="00932A16" w:rsidRDefault="00E754D9" w:rsidP="00422EC8">
            <w:pPr>
              <w:pStyle w:val="Tabletext"/>
              <w:rPr>
                <w:bCs/>
              </w:rPr>
            </w:pPr>
            <w:r w:rsidRPr="00932A16">
              <w:rPr>
                <w:bCs/>
              </w:rPr>
              <w:t xml:space="preserve">8 </w:t>
            </w:r>
          </w:p>
        </w:tc>
        <w:tc>
          <w:tcPr>
            <w:tcW w:w="1152" w:type="dxa"/>
            <w:shd w:val="clear" w:color="auto" w:fill="FFFFFF" w:themeFill="background1"/>
            <w:vAlign w:val="center"/>
          </w:tcPr>
          <w:p w14:paraId="264F1657" w14:textId="77777777" w:rsidR="00E754D9" w:rsidRPr="00932A16" w:rsidRDefault="00E754D9" w:rsidP="00422EC8">
            <w:pPr>
              <w:pStyle w:val="Tabletext"/>
              <w:rPr>
                <w:bCs/>
              </w:rPr>
            </w:pPr>
            <w:r w:rsidRPr="00932A16">
              <w:rPr>
                <w:bCs/>
              </w:rPr>
              <w:t>-47.3%</w:t>
            </w:r>
          </w:p>
        </w:tc>
        <w:tc>
          <w:tcPr>
            <w:tcW w:w="1152" w:type="dxa"/>
            <w:shd w:val="clear" w:color="auto" w:fill="FFFFFF" w:themeFill="background1"/>
            <w:vAlign w:val="center"/>
          </w:tcPr>
          <w:p w14:paraId="4318CC8A" w14:textId="77777777" w:rsidR="00E754D9" w:rsidRPr="00932A16" w:rsidRDefault="00E754D9" w:rsidP="00422EC8">
            <w:pPr>
              <w:pStyle w:val="Tabletext"/>
              <w:rPr>
                <w:bCs/>
              </w:rPr>
            </w:pPr>
            <w:r w:rsidRPr="00932A16">
              <w:rPr>
                <w:bCs/>
              </w:rPr>
              <w:t>-38.1%</w:t>
            </w:r>
          </w:p>
        </w:tc>
        <w:tc>
          <w:tcPr>
            <w:tcW w:w="1152" w:type="dxa"/>
            <w:shd w:val="clear" w:color="auto" w:fill="FFFFFF" w:themeFill="background1"/>
            <w:vAlign w:val="center"/>
          </w:tcPr>
          <w:p w14:paraId="296BA82B" w14:textId="77777777" w:rsidR="00E754D9" w:rsidRPr="00932A16" w:rsidRDefault="00E754D9" w:rsidP="00422EC8">
            <w:pPr>
              <w:pStyle w:val="Tabletext"/>
              <w:rPr>
                <w:bCs/>
              </w:rPr>
            </w:pPr>
            <w:r w:rsidRPr="00932A16">
              <w:rPr>
                <w:bCs/>
              </w:rPr>
              <w:t>0.0%</w:t>
            </w:r>
          </w:p>
        </w:tc>
      </w:tr>
    </w:tbl>
    <w:p w14:paraId="26954A42" w14:textId="77777777" w:rsidR="00E754D9" w:rsidRDefault="00E754D9" w:rsidP="00E754D9">
      <w:pPr>
        <w:pStyle w:val="TableUnderlast"/>
      </w:pPr>
      <w:r w:rsidRPr="00B65B58">
        <w:t>Unpublished data (Department of Health).</w:t>
      </w:r>
    </w:p>
    <w:p w14:paraId="484E82D1" w14:textId="77777777" w:rsidR="00E754D9" w:rsidRPr="00681146" w:rsidRDefault="00B23EBF" w:rsidP="00B23EBF">
      <w:pPr>
        <w:pStyle w:val="Caption"/>
        <w:rPr>
          <w:iCs/>
        </w:rPr>
      </w:pPr>
      <w:r>
        <w:t>Table D3:</w:t>
      </w:r>
      <w:r>
        <w:tab/>
      </w:r>
      <w:r w:rsidR="00E754D9">
        <w:t xml:space="preserve">Item 41590 – </w:t>
      </w:r>
      <w:r w:rsidR="00E754D9" w:rsidRPr="007A5A96">
        <w:t>Number of services by state in 2014</w:t>
      </w:r>
      <w:r w:rsidR="00C50295">
        <w:t>–</w:t>
      </w:r>
      <w:r w:rsidR="00E754D9" w:rsidRPr="007A5A96">
        <w:t xml:space="preserve">15 </w:t>
      </w:r>
    </w:p>
    <w:tbl>
      <w:tblPr>
        <w:tblW w:w="9072" w:type="dxa"/>
        <w:jc w:val="center"/>
        <w:tblBorders>
          <w:top w:val="single" w:sz="4" w:space="0" w:color="B56011"/>
          <w:bottom w:val="single" w:sz="4" w:space="0" w:color="B56011"/>
          <w:insideH w:val="single" w:sz="4" w:space="0" w:color="B56011"/>
        </w:tblBorders>
        <w:tblLook w:val="04A0" w:firstRow="1" w:lastRow="0" w:firstColumn="1" w:lastColumn="0" w:noHBand="0" w:noVBand="1"/>
        <w:tblCaption w:val="Total services from above table divided by State or Territory"/>
      </w:tblPr>
      <w:tblGrid>
        <w:gridCol w:w="1050"/>
        <w:gridCol w:w="1026"/>
        <w:gridCol w:w="1040"/>
        <w:gridCol w:w="1015"/>
        <w:gridCol w:w="1030"/>
        <w:gridCol w:w="1033"/>
        <w:gridCol w:w="1036"/>
        <w:gridCol w:w="1018"/>
        <w:gridCol w:w="824"/>
      </w:tblGrid>
      <w:tr w:rsidR="00E754D9" w:rsidRPr="00932A16" w14:paraId="2F0EAD2F" w14:textId="77777777" w:rsidTr="003129E4">
        <w:trPr>
          <w:trHeight w:val="305"/>
          <w:tblHeader/>
          <w:jc w:val="center"/>
        </w:trPr>
        <w:tc>
          <w:tcPr>
            <w:tcW w:w="1149" w:type="dxa"/>
            <w:shd w:val="clear" w:color="auto" w:fill="auto"/>
            <w:vAlign w:val="center"/>
            <w:hideMark/>
          </w:tcPr>
          <w:p w14:paraId="06FD78A7" w14:textId="77777777" w:rsidR="00E754D9" w:rsidRPr="00932A16" w:rsidRDefault="00E754D9" w:rsidP="002C20E6">
            <w:pPr>
              <w:pStyle w:val="Tableheading"/>
            </w:pPr>
            <w:r w:rsidRPr="00932A16">
              <w:t>NSW</w:t>
            </w:r>
          </w:p>
        </w:tc>
        <w:tc>
          <w:tcPr>
            <w:tcW w:w="1150" w:type="dxa"/>
            <w:shd w:val="clear" w:color="auto" w:fill="auto"/>
            <w:vAlign w:val="center"/>
            <w:hideMark/>
          </w:tcPr>
          <w:p w14:paraId="450A4149" w14:textId="77777777" w:rsidR="00E754D9" w:rsidRPr="00932A16" w:rsidRDefault="00E754D9" w:rsidP="002C20E6">
            <w:pPr>
              <w:pStyle w:val="Tableheading"/>
            </w:pPr>
            <w:r w:rsidRPr="00932A16">
              <w:t>VIC</w:t>
            </w:r>
          </w:p>
        </w:tc>
        <w:tc>
          <w:tcPr>
            <w:tcW w:w="1150" w:type="dxa"/>
            <w:shd w:val="clear" w:color="auto" w:fill="auto"/>
            <w:vAlign w:val="center"/>
            <w:hideMark/>
          </w:tcPr>
          <w:p w14:paraId="35776436" w14:textId="77777777" w:rsidR="00E754D9" w:rsidRPr="00932A16" w:rsidRDefault="00E754D9" w:rsidP="002C20E6">
            <w:pPr>
              <w:pStyle w:val="Tableheading"/>
            </w:pPr>
            <w:r w:rsidRPr="00932A16">
              <w:t>QLD</w:t>
            </w:r>
          </w:p>
        </w:tc>
        <w:tc>
          <w:tcPr>
            <w:tcW w:w="1150" w:type="dxa"/>
            <w:shd w:val="clear" w:color="auto" w:fill="auto"/>
            <w:vAlign w:val="center"/>
            <w:hideMark/>
          </w:tcPr>
          <w:p w14:paraId="404C4B87" w14:textId="77777777" w:rsidR="00E754D9" w:rsidRPr="00932A16" w:rsidRDefault="00E754D9" w:rsidP="002C20E6">
            <w:pPr>
              <w:pStyle w:val="Tableheading"/>
            </w:pPr>
            <w:r w:rsidRPr="00932A16">
              <w:t>SA</w:t>
            </w:r>
          </w:p>
        </w:tc>
        <w:tc>
          <w:tcPr>
            <w:tcW w:w="1149" w:type="dxa"/>
            <w:shd w:val="clear" w:color="auto" w:fill="auto"/>
            <w:vAlign w:val="center"/>
            <w:hideMark/>
          </w:tcPr>
          <w:p w14:paraId="49FA40B3" w14:textId="77777777" w:rsidR="00E754D9" w:rsidRPr="00932A16" w:rsidRDefault="00E754D9" w:rsidP="002C20E6">
            <w:pPr>
              <w:pStyle w:val="Tableheading"/>
            </w:pPr>
            <w:r w:rsidRPr="00932A16">
              <w:t>WA</w:t>
            </w:r>
          </w:p>
        </w:tc>
        <w:tc>
          <w:tcPr>
            <w:tcW w:w="1150" w:type="dxa"/>
            <w:shd w:val="clear" w:color="auto" w:fill="auto"/>
            <w:vAlign w:val="center"/>
            <w:hideMark/>
          </w:tcPr>
          <w:p w14:paraId="2090F7E2" w14:textId="77777777" w:rsidR="00E754D9" w:rsidRPr="00932A16" w:rsidRDefault="00E754D9" w:rsidP="002C20E6">
            <w:pPr>
              <w:pStyle w:val="Tableheading"/>
            </w:pPr>
            <w:r w:rsidRPr="00932A16">
              <w:t>TAS</w:t>
            </w:r>
          </w:p>
        </w:tc>
        <w:tc>
          <w:tcPr>
            <w:tcW w:w="1150" w:type="dxa"/>
            <w:shd w:val="clear" w:color="auto" w:fill="auto"/>
            <w:vAlign w:val="center"/>
            <w:hideMark/>
          </w:tcPr>
          <w:p w14:paraId="74825F4E" w14:textId="77777777" w:rsidR="00E754D9" w:rsidRPr="00932A16" w:rsidRDefault="00E754D9" w:rsidP="002C20E6">
            <w:pPr>
              <w:pStyle w:val="Tableheading"/>
            </w:pPr>
            <w:r w:rsidRPr="00932A16">
              <w:t>ACT</w:t>
            </w:r>
          </w:p>
        </w:tc>
        <w:tc>
          <w:tcPr>
            <w:tcW w:w="1150" w:type="dxa"/>
            <w:shd w:val="clear" w:color="auto" w:fill="auto"/>
            <w:vAlign w:val="center"/>
            <w:hideMark/>
          </w:tcPr>
          <w:p w14:paraId="488F3B1B" w14:textId="77777777" w:rsidR="00E754D9" w:rsidRPr="00932A16" w:rsidRDefault="00E754D9" w:rsidP="002C20E6">
            <w:pPr>
              <w:pStyle w:val="Tableheading"/>
            </w:pPr>
            <w:r w:rsidRPr="00932A16">
              <w:t>NT</w:t>
            </w:r>
          </w:p>
        </w:tc>
        <w:tc>
          <w:tcPr>
            <w:tcW w:w="867" w:type="dxa"/>
            <w:shd w:val="clear" w:color="auto" w:fill="auto"/>
            <w:vAlign w:val="center"/>
            <w:hideMark/>
          </w:tcPr>
          <w:p w14:paraId="39DB59BE" w14:textId="77777777" w:rsidR="00E754D9" w:rsidRPr="00932A16" w:rsidRDefault="00E754D9" w:rsidP="002C20E6">
            <w:pPr>
              <w:pStyle w:val="Tableheading"/>
            </w:pPr>
            <w:r>
              <w:t>Total</w:t>
            </w:r>
          </w:p>
        </w:tc>
      </w:tr>
      <w:tr w:rsidR="00E754D9" w:rsidRPr="00932A16" w14:paraId="18729AEB" w14:textId="77777777" w:rsidTr="003129E4">
        <w:trPr>
          <w:trHeight w:val="305"/>
          <w:jc w:val="center"/>
        </w:trPr>
        <w:tc>
          <w:tcPr>
            <w:tcW w:w="1149" w:type="dxa"/>
            <w:shd w:val="clear" w:color="auto" w:fill="auto"/>
            <w:vAlign w:val="center"/>
          </w:tcPr>
          <w:p w14:paraId="6116B1C6" w14:textId="77777777" w:rsidR="00E754D9" w:rsidRPr="00932A16" w:rsidRDefault="00E754D9" w:rsidP="00422EC8">
            <w:pPr>
              <w:pStyle w:val="Tabletext"/>
            </w:pPr>
            <w:r w:rsidRPr="00932A16">
              <w:t>7</w:t>
            </w:r>
          </w:p>
        </w:tc>
        <w:tc>
          <w:tcPr>
            <w:tcW w:w="1150" w:type="dxa"/>
            <w:shd w:val="clear" w:color="auto" w:fill="auto"/>
            <w:vAlign w:val="center"/>
          </w:tcPr>
          <w:p w14:paraId="3EAEE0A1" w14:textId="77777777" w:rsidR="00E754D9" w:rsidRPr="00932A16" w:rsidRDefault="00E754D9" w:rsidP="00422EC8">
            <w:pPr>
              <w:pStyle w:val="Tabletext"/>
            </w:pPr>
            <w:r w:rsidRPr="00932A16">
              <w:t>2</w:t>
            </w:r>
          </w:p>
        </w:tc>
        <w:tc>
          <w:tcPr>
            <w:tcW w:w="1150" w:type="dxa"/>
            <w:shd w:val="clear" w:color="auto" w:fill="auto"/>
            <w:vAlign w:val="center"/>
          </w:tcPr>
          <w:p w14:paraId="55EC6950" w14:textId="77777777" w:rsidR="00E754D9" w:rsidRPr="00932A16" w:rsidRDefault="00E754D9" w:rsidP="00422EC8">
            <w:pPr>
              <w:pStyle w:val="Tabletext"/>
            </w:pPr>
            <w:r w:rsidRPr="00932A16">
              <w:t>2</w:t>
            </w:r>
          </w:p>
        </w:tc>
        <w:tc>
          <w:tcPr>
            <w:tcW w:w="1150" w:type="dxa"/>
            <w:shd w:val="clear" w:color="auto" w:fill="auto"/>
            <w:vAlign w:val="center"/>
          </w:tcPr>
          <w:p w14:paraId="69910052" w14:textId="77777777" w:rsidR="00E754D9" w:rsidRPr="00932A16" w:rsidRDefault="00E754D9" w:rsidP="00422EC8">
            <w:pPr>
              <w:pStyle w:val="Tabletext"/>
            </w:pPr>
            <w:r w:rsidRPr="00932A16">
              <w:t>0</w:t>
            </w:r>
          </w:p>
        </w:tc>
        <w:tc>
          <w:tcPr>
            <w:tcW w:w="1149" w:type="dxa"/>
            <w:shd w:val="clear" w:color="auto" w:fill="auto"/>
            <w:vAlign w:val="center"/>
          </w:tcPr>
          <w:p w14:paraId="7AC636F5" w14:textId="77777777" w:rsidR="00E754D9" w:rsidRPr="00932A16" w:rsidRDefault="00E754D9" w:rsidP="00422EC8">
            <w:pPr>
              <w:pStyle w:val="Tabletext"/>
            </w:pPr>
            <w:r w:rsidRPr="00932A16">
              <w:t>0</w:t>
            </w:r>
          </w:p>
        </w:tc>
        <w:tc>
          <w:tcPr>
            <w:tcW w:w="1150" w:type="dxa"/>
            <w:shd w:val="clear" w:color="auto" w:fill="auto"/>
            <w:vAlign w:val="center"/>
          </w:tcPr>
          <w:p w14:paraId="213747CC" w14:textId="77777777" w:rsidR="00E754D9" w:rsidRPr="00932A16" w:rsidRDefault="00E754D9" w:rsidP="00422EC8">
            <w:pPr>
              <w:pStyle w:val="Tabletext"/>
            </w:pPr>
            <w:r w:rsidRPr="00932A16">
              <w:t>2</w:t>
            </w:r>
          </w:p>
        </w:tc>
        <w:tc>
          <w:tcPr>
            <w:tcW w:w="1150" w:type="dxa"/>
            <w:shd w:val="clear" w:color="auto" w:fill="auto"/>
            <w:vAlign w:val="center"/>
          </w:tcPr>
          <w:p w14:paraId="60CA1B13" w14:textId="77777777" w:rsidR="00E754D9" w:rsidRPr="00932A16" w:rsidRDefault="00E754D9" w:rsidP="00422EC8">
            <w:pPr>
              <w:pStyle w:val="Tabletext"/>
            </w:pPr>
            <w:r w:rsidRPr="00932A16">
              <w:t>0</w:t>
            </w:r>
          </w:p>
        </w:tc>
        <w:tc>
          <w:tcPr>
            <w:tcW w:w="1150" w:type="dxa"/>
            <w:shd w:val="clear" w:color="auto" w:fill="auto"/>
            <w:vAlign w:val="center"/>
          </w:tcPr>
          <w:p w14:paraId="447D8A0F" w14:textId="77777777" w:rsidR="00E754D9" w:rsidRPr="00932A16" w:rsidRDefault="00E754D9" w:rsidP="00422EC8">
            <w:pPr>
              <w:pStyle w:val="Tabletext"/>
            </w:pPr>
            <w:r w:rsidRPr="00932A16">
              <w:t>0</w:t>
            </w:r>
          </w:p>
        </w:tc>
        <w:tc>
          <w:tcPr>
            <w:tcW w:w="867" w:type="dxa"/>
            <w:shd w:val="clear" w:color="auto" w:fill="auto"/>
            <w:vAlign w:val="center"/>
          </w:tcPr>
          <w:p w14:paraId="1F263958" w14:textId="77777777" w:rsidR="00E754D9" w:rsidRPr="00932A16" w:rsidRDefault="00E754D9" w:rsidP="00422EC8">
            <w:pPr>
              <w:pStyle w:val="Tabletext"/>
            </w:pPr>
            <w:r w:rsidRPr="00932A16">
              <w:t>13</w:t>
            </w:r>
          </w:p>
        </w:tc>
      </w:tr>
    </w:tbl>
    <w:p w14:paraId="7FADFAD1" w14:textId="77777777" w:rsidR="00E754D9" w:rsidRDefault="00E754D9" w:rsidP="00E754D9">
      <w:pPr>
        <w:pStyle w:val="TableUnderlast"/>
      </w:pPr>
      <w:r w:rsidRPr="00B65B58">
        <w:t>Public data (Department of Human Services website)</w:t>
      </w:r>
      <w:r>
        <w:t>.</w:t>
      </w:r>
    </w:p>
    <w:p w14:paraId="507C0EC6" w14:textId="77777777" w:rsidR="00E754D9" w:rsidRPr="00681146" w:rsidRDefault="00B23EBF" w:rsidP="00B23EBF">
      <w:pPr>
        <w:pStyle w:val="Caption"/>
        <w:rPr>
          <w:iCs/>
        </w:rPr>
      </w:pPr>
      <w:r>
        <w:t>Table D4:</w:t>
      </w:r>
      <w:r>
        <w:tab/>
      </w:r>
      <w:r w:rsidR="00E754D9">
        <w:t xml:space="preserve">Item 41590 – </w:t>
      </w:r>
      <w:r w:rsidR="00E754D9" w:rsidRPr="007A5A96">
        <w:t xml:space="preserve">Number of services by financial year </w:t>
      </w:r>
    </w:p>
    <w:tbl>
      <w:tblPr>
        <w:tblW w:w="9072" w:type="dxa"/>
        <w:jc w:val="center"/>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Trend for use of the MBS item over time"/>
      </w:tblPr>
      <w:tblGrid>
        <w:gridCol w:w="824"/>
        <w:gridCol w:w="825"/>
        <w:gridCol w:w="825"/>
        <w:gridCol w:w="824"/>
        <w:gridCol w:w="825"/>
        <w:gridCol w:w="825"/>
        <w:gridCol w:w="825"/>
        <w:gridCol w:w="824"/>
        <w:gridCol w:w="825"/>
        <w:gridCol w:w="825"/>
        <w:gridCol w:w="825"/>
      </w:tblGrid>
      <w:tr w:rsidR="00E754D9" w:rsidRPr="00681146" w14:paraId="775F17ED" w14:textId="77777777" w:rsidTr="003129E4">
        <w:trPr>
          <w:trHeight w:val="300"/>
          <w:jc w:val="center"/>
        </w:trPr>
        <w:tc>
          <w:tcPr>
            <w:tcW w:w="940" w:type="dxa"/>
            <w:shd w:val="clear" w:color="auto" w:fill="auto"/>
            <w:noWrap/>
            <w:hideMark/>
          </w:tcPr>
          <w:p w14:paraId="424F9CAB" w14:textId="77777777" w:rsidR="00E754D9" w:rsidRPr="00AA632A" w:rsidRDefault="00E754D9" w:rsidP="00AA632A">
            <w:pPr>
              <w:pStyle w:val="Tableheading"/>
              <w:rPr>
                <w:sz w:val="18"/>
                <w:szCs w:val="18"/>
              </w:rPr>
            </w:pPr>
            <w:r w:rsidRPr="00AA632A">
              <w:rPr>
                <w:sz w:val="18"/>
                <w:szCs w:val="18"/>
              </w:rPr>
              <w:t>2004-05</w:t>
            </w:r>
          </w:p>
        </w:tc>
        <w:tc>
          <w:tcPr>
            <w:tcW w:w="941" w:type="dxa"/>
            <w:shd w:val="clear" w:color="auto" w:fill="auto"/>
            <w:noWrap/>
            <w:hideMark/>
          </w:tcPr>
          <w:p w14:paraId="033A24B1" w14:textId="77777777" w:rsidR="00E754D9" w:rsidRPr="00AA632A" w:rsidRDefault="00E754D9" w:rsidP="00AA632A">
            <w:pPr>
              <w:pStyle w:val="Tableheading"/>
              <w:rPr>
                <w:sz w:val="18"/>
                <w:szCs w:val="18"/>
              </w:rPr>
            </w:pPr>
            <w:r w:rsidRPr="00AA632A">
              <w:rPr>
                <w:sz w:val="18"/>
                <w:szCs w:val="18"/>
              </w:rPr>
              <w:t>2005-06</w:t>
            </w:r>
          </w:p>
        </w:tc>
        <w:tc>
          <w:tcPr>
            <w:tcW w:w="941" w:type="dxa"/>
            <w:shd w:val="clear" w:color="auto" w:fill="auto"/>
            <w:noWrap/>
            <w:hideMark/>
          </w:tcPr>
          <w:p w14:paraId="689E423C" w14:textId="77777777" w:rsidR="00E754D9" w:rsidRPr="00AA632A" w:rsidRDefault="00E754D9" w:rsidP="00AA632A">
            <w:pPr>
              <w:pStyle w:val="Tableheading"/>
              <w:rPr>
                <w:sz w:val="18"/>
                <w:szCs w:val="18"/>
              </w:rPr>
            </w:pPr>
            <w:r w:rsidRPr="00AA632A">
              <w:rPr>
                <w:sz w:val="18"/>
                <w:szCs w:val="18"/>
              </w:rPr>
              <w:t>2006-07</w:t>
            </w:r>
          </w:p>
        </w:tc>
        <w:tc>
          <w:tcPr>
            <w:tcW w:w="940" w:type="dxa"/>
            <w:shd w:val="clear" w:color="auto" w:fill="auto"/>
            <w:noWrap/>
            <w:hideMark/>
          </w:tcPr>
          <w:p w14:paraId="1A5FF0E3" w14:textId="77777777" w:rsidR="00E754D9" w:rsidRPr="00AA632A" w:rsidRDefault="00E754D9" w:rsidP="00AA632A">
            <w:pPr>
              <w:pStyle w:val="Tableheading"/>
              <w:rPr>
                <w:sz w:val="18"/>
                <w:szCs w:val="18"/>
              </w:rPr>
            </w:pPr>
            <w:r w:rsidRPr="00AA632A">
              <w:rPr>
                <w:sz w:val="18"/>
                <w:szCs w:val="18"/>
              </w:rPr>
              <w:t>2007-08</w:t>
            </w:r>
          </w:p>
        </w:tc>
        <w:tc>
          <w:tcPr>
            <w:tcW w:w="941" w:type="dxa"/>
            <w:shd w:val="clear" w:color="auto" w:fill="auto"/>
            <w:noWrap/>
            <w:hideMark/>
          </w:tcPr>
          <w:p w14:paraId="6DA8ECF5" w14:textId="77777777" w:rsidR="00E754D9" w:rsidRPr="00AA632A" w:rsidRDefault="00E754D9" w:rsidP="00AA632A">
            <w:pPr>
              <w:pStyle w:val="Tableheading"/>
              <w:rPr>
                <w:sz w:val="18"/>
                <w:szCs w:val="18"/>
              </w:rPr>
            </w:pPr>
            <w:r w:rsidRPr="00AA632A">
              <w:rPr>
                <w:sz w:val="18"/>
                <w:szCs w:val="18"/>
              </w:rPr>
              <w:t>2008-09</w:t>
            </w:r>
          </w:p>
        </w:tc>
        <w:tc>
          <w:tcPr>
            <w:tcW w:w="941" w:type="dxa"/>
            <w:shd w:val="clear" w:color="auto" w:fill="auto"/>
            <w:noWrap/>
            <w:hideMark/>
          </w:tcPr>
          <w:p w14:paraId="04977190" w14:textId="77777777" w:rsidR="00E754D9" w:rsidRPr="00AA632A" w:rsidRDefault="00E754D9" w:rsidP="00AA632A">
            <w:pPr>
              <w:pStyle w:val="Tableheading"/>
              <w:rPr>
                <w:sz w:val="18"/>
                <w:szCs w:val="18"/>
              </w:rPr>
            </w:pPr>
            <w:r w:rsidRPr="00AA632A">
              <w:rPr>
                <w:sz w:val="18"/>
                <w:szCs w:val="18"/>
              </w:rPr>
              <w:t>2009-10</w:t>
            </w:r>
          </w:p>
        </w:tc>
        <w:tc>
          <w:tcPr>
            <w:tcW w:w="941" w:type="dxa"/>
            <w:shd w:val="clear" w:color="auto" w:fill="auto"/>
            <w:noWrap/>
            <w:hideMark/>
          </w:tcPr>
          <w:p w14:paraId="40EC4CD9" w14:textId="77777777" w:rsidR="00E754D9" w:rsidRPr="00AA632A" w:rsidRDefault="00E754D9" w:rsidP="00AA632A">
            <w:pPr>
              <w:pStyle w:val="Tableheading"/>
              <w:rPr>
                <w:sz w:val="18"/>
                <w:szCs w:val="18"/>
              </w:rPr>
            </w:pPr>
            <w:r w:rsidRPr="00AA632A">
              <w:rPr>
                <w:sz w:val="18"/>
                <w:szCs w:val="18"/>
              </w:rPr>
              <w:t>2010-11</w:t>
            </w:r>
          </w:p>
        </w:tc>
        <w:tc>
          <w:tcPr>
            <w:tcW w:w="940" w:type="dxa"/>
            <w:shd w:val="clear" w:color="auto" w:fill="auto"/>
            <w:noWrap/>
            <w:hideMark/>
          </w:tcPr>
          <w:p w14:paraId="444CE8C3" w14:textId="77777777" w:rsidR="00E754D9" w:rsidRPr="00AA632A" w:rsidRDefault="00E754D9" w:rsidP="00AA632A">
            <w:pPr>
              <w:pStyle w:val="Tableheading"/>
              <w:rPr>
                <w:sz w:val="18"/>
                <w:szCs w:val="18"/>
              </w:rPr>
            </w:pPr>
            <w:r w:rsidRPr="00AA632A">
              <w:rPr>
                <w:sz w:val="18"/>
                <w:szCs w:val="18"/>
              </w:rPr>
              <w:t>2011-12</w:t>
            </w:r>
          </w:p>
        </w:tc>
        <w:tc>
          <w:tcPr>
            <w:tcW w:w="941" w:type="dxa"/>
            <w:shd w:val="clear" w:color="auto" w:fill="auto"/>
            <w:noWrap/>
            <w:hideMark/>
          </w:tcPr>
          <w:p w14:paraId="558A6910" w14:textId="77777777" w:rsidR="00E754D9" w:rsidRPr="00AA632A" w:rsidRDefault="00E754D9" w:rsidP="00AA632A">
            <w:pPr>
              <w:pStyle w:val="Tableheading"/>
              <w:rPr>
                <w:sz w:val="18"/>
                <w:szCs w:val="18"/>
              </w:rPr>
            </w:pPr>
            <w:r w:rsidRPr="00AA632A">
              <w:rPr>
                <w:sz w:val="18"/>
                <w:szCs w:val="18"/>
              </w:rPr>
              <w:t>2012-13</w:t>
            </w:r>
          </w:p>
        </w:tc>
        <w:tc>
          <w:tcPr>
            <w:tcW w:w="941" w:type="dxa"/>
            <w:shd w:val="clear" w:color="auto" w:fill="auto"/>
            <w:noWrap/>
            <w:hideMark/>
          </w:tcPr>
          <w:p w14:paraId="39ED7E0E" w14:textId="77777777" w:rsidR="00E754D9" w:rsidRPr="00AA632A" w:rsidRDefault="00E754D9" w:rsidP="00AA632A">
            <w:pPr>
              <w:pStyle w:val="Tableheading"/>
              <w:rPr>
                <w:sz w:val="18"/>
                <w:szCs w:val="18"/>
              </w:rPr>
            </w:pPr>
            <w:r w:rsidRPr="00AA632A">
              <w:rPr>
                <w:sz w:val="18"/>
                <w:szCs w:val="18"/>
              </w:rPr>
              <w:t>2013-14</w:t>
            </w:r>
          </w:p>
        </w:tc>
        <w:tc>
          <w:tcPr>
            <w:tcW w:w="941" w:type="dxa"/>
            <w:shd w:val="clear" w:color="auto" w:fill="auto"/>
            <w:noWrap/>
            <w:hideMark/>
          </w:tcPr>
          <w:p w14:paraId="6709A07F" w14:textId="77777777" w:rsidR="00E754D9" w:rsidRPr="00AA632A" w:rsidRDefault="00E754D9" w:rsidP="00AA632A">
            <w:pPr>
              <w:pStyle w:val="Tableheading"/>
              <w:rPr>
                <w:sz w:val="18"/>
                <w:szCs w:val="18"/>
              </w:rPr>
            </w:pPr>
            <w:r w:rsidRPr="00AA632A">
              <w:rPr>
                <w:sz w:val="18"/>
                <w:szCs w:val="18"/>
              </w:rPr>
              <w:t>2014-15</w:t>
            </w:r>
          </w:p>
        </w:tc>
      </w:tr>
      <w:tr w:rsidR="00E754D9" w:rsidRPr="00932A16" w14:paraId="30C87EA0" w14:textId="77777777" w:rsidTr="003129E4">
        <w:trPr>
          <w:trHeight w:val="306"/>
          <w:jc w:val="center"/>
        </w:trPr>
        <w:tc>
          <w:tcPr>
            <w:tcW w:w="940" w:type="dxa"/>
            <w:shd w:val="clear" w:color="auto" w:fill="auto"/>
            <w:noWrap/>
          </w:tcPr>
          <w:p w14:paraId="1625DF9A" w14:textId="77777777" w:rsidR="00E754D9" w:rsidRPr="00932A16" w:rsidRDefault="00E754D9" w:rsidP="00422EC8">
            <w:pPr>
              <w:pStyle w:val="Tabletext"/>
            </w:pPr>
            <w:r w:rsidRPr="00932A16">
              <w:t>32</w:t>
            </w:r>
          </w:p>
        </w:tc>
        <w:tc>
          <w:tcPr>
            <w:tcW w:w="941" w:type="dxa"/>
            <w:shd w:val="clear" w:color="auto" w:fill="auto"/>
            <w:noWrap/>
          </w:tcPr>
          <w:p w14:paraId="45FFDE34" w14:textId="77777777" w:rsidR="00E754D9" w:rsidRPr="00932A16" w:rsidRDefault="00E754D9" w:rsidP="00422EC8">
            <w:pPr>
              <w:pStyle w:val="Tabletext"/>
            </w:pPr>
            <w:r w:rsidRPr="00932A16">
              <w:t>36</w:t>
            </w:r>
          </w:p>
        </w:tc>
        <w:tc>
          <w:tcPr>
            <w:tcW w:w="941" w:type="dxa"/>
            <w:shd w:val="clear" w:color="auto" w:fill="auto"/>
            <w:noWrap/>
          </w:tcPr>
          <w:p w14:paraId="03FC40C5" w14:textId="77777777" w:rsidR="00E754D9" w:rsidRPr="00932A16" w:rsidRDefault="00E754D9" w:rsidP="00422EC8">
            <w:pPr>
              <w:pStyle w:val="Tabletext"/>
            </w:pPr>
            <w:r w:rsidRPr="00932A16">
              <w:t>20</w:t>
            </w:r>
          </w:p>
        </w:tc>
        <w:tc>
          <w:tcPr>
            <w:tcW w:w="940" w:type="dxa"/>
            <w:shd w:val="clear" w:color="auto" w:fill="auto"/>
            <w:noWrap/>
          </w:tcPr>
          <w:p w14:paraId="7F4D6ACD" w14:textId="77777777" w:rsidR="00E754D9" w:rsidRPr="00932A16" w:rsidRDefault="00E754D9" w:rsidP="00422EC8">
            <w:pPr>
              <w:pStyle w:val="Tabletext"/>
            </w:pPr>
            <w:r w:rsidRPr="00932A16">
              <w:t>20</w:t>
            </w:r>
          </w:p>
        </w:tc>
        <w:tc>
          <w:tcPr>
            <w:tcW w:w="941" w:type="dxa"/>
            <w:shd w:val="clear" w:color="auto" w:fill="auto"/>
            <w:noWrap/>
          </w:tcPr>
          <w:p w14:paraId="5807453D" w14:textId="77777777" w:rsidR="00E754D9" w:rsidRPr="00932A16" w:rsidRDefault="00E754D9" w:rsidP="00422EC8">
            <w:pPr>
              <w:pStyle w:val="Tabletext"/>
            </w:pPr>
            <w:r w:rsidRPr="00932A16">
              <w:t>24</w:t>
            </w:r>
          </w:p>
        </w:tc>
        <w:tc>
          <w:tcPr>
            <w:tcW w:w="941" w:type="dxa"/>
            <w:shd w:val="clear" w:color="auto" w:fill="auto"/>
            <w:noWrap/>
          </w:tcPr>
          <w:p w14:paraId="29F81E49" w14:textId="77777777" w:rsidR="00E754D9" w:rsidRPr="00932A16" w:rsidRDefault="00E754D9" w:rsidP="00422EC8">
            <w:pPr>
              <w:pStyle w:val="Tabletext"/>
            </w:pPr>
            <w:r w:rsidRPr="00932A16">
              <w:t>17</w:t>
            </w:r>
          </w:p>
        </w:tc>
        <w:tc>
          <w:tcPr>
            <w:tcW w:w="941" w:type="dxa"/>
            <w:shd w:val="clear" w:color="auto" w:fill="auto"/>
            <w:noWrap/>
          </w:tcPr>
          <w:p w14:paraId="2EAEAA4A" w14:textId="77777777" w:rsidR="00E754D9" w:rsidRPr="00932A16" w:rsidRDefault="00E754D9" w:rsidP="00422EC8">
            <w:pPr>
              <w:pStyle w:val="Tabletext"/>
            </w:pPr>
            <w:r w:rsidRPr="00932A16">
              <w:t>15</w:t>
            </w:r>
          </w:p>
        </w:tc>
        <w:tc>
          <w:tcPr>
            <w:tcW w:w="940" w:type="dxa"/>
            <w:shd w:val="clear" w:color="auto" w:fill="auto"/>
            <w:noWrap/>
          </w:tcPr>
          <w:p w14:paraId="7DC7B591" w14:textId="77777777" w:rsidR="00E754D9" w:rsidRPr="00932A16" w:rsidRDefault="00E754D9" w:rsidP="00422EC8">
            <w:pPr>
              <w:pStyle w:val="Tabletext"/>
            </w:pPr>
            <w:r w:rsidRPr="00932A16">
              <w:t>21</w:t>
            </w:r>
          </w:p>
        </w:tc>
        <w:tc>
          <w:tcPr>
            <w:tcW w:w="941" w:type="dxa"/>
            <w:shd w:val="clear" w:color="auto" w:fill="auto"/>
            <w:noWrap/>
          </w:tcPr>
          <w:p w14:paraId="718D6FF6" w14:textId="77777777" w:rsidR="00E754D9" w:rsidRPr="00932A16" w:rsidRDefault="00E754D9" w:rsidP="00422EC8">
            <w:pPr>
              <w:pStyle w:val="Tabletext"/>
            </w:pPr>
            <w:r w:rsidRPr="00932A16">
              <w:t>37</w:t>
            </w:r>
          </w:p>
        </w:tc>
        <w:tc>
          <w:tcPr>
            <w:tcW w:w="941" w:type="dxa"/>
            <w:shd w:val="clear" w:color="auto" w:fill="auto"/>
            <w:noWrap/>
          </w:tcPr>
          <w:p w14:paraId="5A0D2CF9" w14:textId="77777777" w:rsidR="00E754D9" w:rsidRPr="00932A16" w:rsidRDefault="00E754D9" w:rsidP="00422EC8">
            <w:pPr>
              <w:pStyle w:val="Tabletext"/>
            </w:pPr>
            <w:r w:rsidRPr="00932A16">
              <w:t>14</w:t>
            </w:r>
          </w:p>
        </w:tc>
        <w:tc>
          <w:tcPr>
            <w:tcW w:w="941" w:type="dxa"/>
            <w:shd w:val="clear" w:color="auto" w:fill="auto"/>
            <w:noWrap/>
          </w:tcPr>
          <w:p w14:paraId="468328FE" w14:textId="77777777" w:rsidR="00E754D9" w:rsidRPr="00932A16" w:rsidRDefault="00E754D9" w:rsidP="00422EC8">
            <w:pPr>
              <w:pStyle w:val="Tabletext"/>
            </w:pPr>
            <w:r w:rsidRPr="00932A16">
              <w:t>13</w:t>
            </w:r>
          </w:p>
        </w:tc>
      </w:tr>
    </w:tbl>
    <w:p w14:paraId="16AE9E9D" w14:textId="77777777" w:rsidR="00E754D9" w:rsidRDefault="00E754D9" w:rsidP="00B23EBF">
      <w:pPr>
        <w:pStyle w:val="TableUnderlast"/>
        <w:rPr>
          <w:rFonts w:eastAsiaTheme="minorHAnsi"/>
          <w:lang w:val="en-US" w:eastAsia="en-US"/>
        </w:rPr>
      </w:pPr>
      <w:r w:rsidRPr="00B65B58">
        <w:t>Public data (Department of Human Services website)</w:t>
      </w:r>
      <w:r>
        <w:t>.</w:t>
      </w:r>
      <w:r>
        <w:br w:type="page"/>
      </w:r>
    </w:p>
    <w:p w14:paraId="4407A262" w14:textId="77777777" w:rsidR="00E754D9" w:rsidRPr="00741054" w:rsidRDefault="00E754D9" w:rsidP="00A94A83">
      <w:pPr>
        <w:pStyle w:val="Heading2a"/>
      </w:pPr>
      <w:r>
        <w:lastRenderedPageBreak/>
        <w:t>Item 41614</w:t>
      </w:r>
    </w:p>
    <w:p w14:paraId="73ED7007" w14:textId="77777777" w:rsidR="00E754D9" w:rsidRPr="006D0141" w:rsidRDefault="00B23EBF" w:rsidP="00B23EBF">
      <w:pPr>
        <w:pStyle w:val="Caption"/>
      </w:pPr>
      <w:r>
        <w:t>Table D5:</w:t>
      </w:r>
      <w:r>
        <w:tab/>
      </w:r>
      <w:r w:rsidR="00E754D9">
        <w:t>Item 41614 – Description</w:t>
      </w:r>
    </w:p>
    <w:tbl>
      <w:tblPr>
        <w:tblW w:w="9180"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MBS item including description of service as well as Fees and Benefits"/>
      </w:tblPr>
      <w:tblGrid>
        <w:gridCol w:w="6210"/>
        <w:gridCol w:w="1260"/>
        <w:gridCol w:w="1620"/>
        <w:gridCol w:w="90"/>
      </w:tblGrid>
      <w:tr w:rsidR="00B23EBF" w:rsidRPr="00447430" w14:paraId="3CE1FE98" w14:textId="77777777" w:rsidTr="00B23EBF">
        <w:trPr>
          <w:trHeight w:val="402"/>
        </w:trPr>
        <w:tc>
          <w:tcPr>
            <w:tcW w:w="6210" w:type="dxa"/>
            <w:shd w:val="clear" w:color="auto" w:fill="auto"/>
          </w:tcPr>
          <w:p w14:paraId="76EFA1FE" w14:textId="77777777" w:rsidR="00B23EBF" w:rsidRPr="00447430" w:rsidRDefault="00B23EBF" w:rsidP="00447430">
            <w:pPr>
              <w:pStyle w:val="Tableheading"/>
            </w:pPr>
            <w:r w:rsidRPr="00447430">
              <w:t>Description</w:t>
            </w:r>
          </w:p>
        </w:tc>
        <w:tc>
          <w:tcPr>
            <w:tcW w:w="1260" w:type="dxa"/>
          </w:tcPr>
          <w:p w14:paraId="62268B60" w14:textId="77777777" w:rsidR="00B23EBF" w:rsidRPr="00447430" w:rsidRDefault="00B23EBF" w:rsidP="00447430">
            <w:pPr>
              <w:pStyle w:val="Tableheading"/>
            </w:pPr>
            <w:r w:rsidRPr="00447430">
              <w:t>Fees</w:t>
            </w:r>
          </w:p>
        </w:tc>
        <w:tc>
          <w:tcPr>
            <w:tcW w:w="1710" w:type="dxa"/>
            <w:gridSpan w:val="2"/>
          </w:tcPr>
          <w:p w14:paraId="7BBDD6AF" w14:textId="77777777" w:rsidR="00B23EBF" w:rsidRPr="00447430" w:rsidRDefault="0096457B" w:rsidP="00447430">
            <w:pPr>
              <w:pStyle w:val="Tableheading"/>
            </w:pPr>
            <w:r w:rsidRPr="00447430">
              <w:t>Benefit</w:t>
            </w:r>
          </w:p>
        </w:tc>
      </w:tr>
      <w:tr w:rsidR="00B23EBF" w:rsidRPr="006D0141" w14:paraId="25A5D826" w14:textId="77777777" w:rsidTr="00B23EBF">
        <w:trPr>
          <w:gridAfter w:val="1"/>
          <w:wAfter w:w="90" w:type="dxa"/>
          <w:trHeight w:val="632"/>
        </w:trPr>
        <w:tc>
          <w:tcPr>
            <w:tcW w:w="6210" w:type="dxa"/>
            <w:shd w:val="clear" w:color="auto" w:fill="FFFFFF" w:themeFill="background1"/>
          </w:tcPr>
          <w:p w14:paraId="44F0F359" w14:textId="77777777" w:rsidR="00B23EBF" w:rsidRPr="006D0141" w:rsidRDefault="00B23EBF" w:rsidP="00422EC8">
            <w:pPr>
              <w:pStyle w:val="Tabletext"/>
            </w:pPr>
            <w:r w:rsidRPr="007A5A96">
              <w:t xml:space="preserve">ROUND WINDOW SURGERY including repair of </w:t>
            </w:r>
            <w:proofErr w:type="spellStart"/>
            <w:r w:rsidRPr="007A5A96">
              <w:t>cochleotomy</w:t>
            </w:r>
            <w:proofErr w:type="spellEnd"/>
            <w:r w:rsidRPr="007A5A96">
              <w:t xml:space="preserve"> (</w:t>
            </w:r>
            <w:proofErr w:type="spellStart"/>
            <w:r w:rsidRPr="007A5A96">
              <w:t>Anaes</w:t>
            </w:r>
            <w:proofErr w:type="spellEnd"/>
            <w:r w:rsidRPr="007A5A96">
              <w:t>.) (Assist.)</w:t>
            </w:r>
          </w:p>
        </w:tc>
        <w:tc>
          <w:tcPr>
            <w:tcW w:w="1260" w:type="dxa"/>
            <w:shd w:val="clear" w:color="auto" w:fill="FFFFFF" w:themeFill="background1"/>
          </w:tcPr>
          <w:p w14:paraId="6AB466E9" w14:textId="77777777" w:rsidR="00B23EBF" w:rsidRPr="007A5A96" w:rsidRDefault="00B23EBF" w:rsidP="00422EC8">
            <w:pPr>
              <w:pStyle w:val="Tabletext"/>
            </w:pPr>
            <w:r w:rsidRPr="007A5A96">
              <w:t>$1,089.90</w:t>
            </w:r>
          </w:p>
        </w:tc>
        <w:tc>
          <w:tcPr>
            <w:tcW w:w="1620" w:type="dxa"/>
            <w:shd w:val="clear" w:color="auto" w:fill="FFFFFF" w:themeFill="background1"/>
          </w:tcPr>
          <w:p w14:paraId="25DCE0B9" w14:textId="77777777" w:rsidR="00B23EBF" w:rsidRPr="007A5A96" w:rsidRDefault="00B23EBF" w:rsidP="00422EC8">
            <w:pPr>
              <w:pStyle w:val="Tabletext"/>
            </w:pPr>
            <w:r w:rsidRPr="007A5A96">
              <w:t>75% = $817.45</w:t>
            </w:r>
            <w:r>
              <w:t xml:space="preserve">; </w:t>
            </w:r>
            <w:r w:rsidRPr="007A5A96">
              <w:t>85% = $1,011.50</w:t>
            </w:r>
          </w:p>
        </w:tc>
      </w:tr>
    </w:tbl>
    <w:p w14:paraId="6661F375" w14:textId="77777777" w:rsidR="00E754D9" w:rsidRPr="00932A16" w:rsidRDefault="00B23EBF" w:rsidP="00B23EBF">
      <w:pPr>
        <w:pStyle w:val="Caption"/>
      </w:pPr>
      <w:r>
        <w:t>Table D6:</w:t>
      </w:r>
      <w:r>
        <w:tab/>
      </w:r>
      <w:r w:rsidR="00E754D9">
        <w:t>Item 41614</w:t>
      </w:r>
      <w:r w:rsidR="007736E8">
        <w:t xml:space="preserve"> </w:t>
      </w:r>
      <w:r w:rsidR="00E754D9">
        <w:t xml:space="preserve">– </w:t>
      </w:r>
      <w:r w:rsidR="00E754D9" w:rsidRPr="00932A16">
        <w:t xml:space="preserve">Key </w:t>
      </w:r>
      <w:r w:rsidR="00E754D9">
        <w:t>data for item</w:t>
      </w:r>
      <w:r w:rsidR="00E754D9" w:rsidRPr="00932A16">
        <w:t xml:space="preserve"> (date of processing)</w:t>
      </w:r>
    </w:p>
    <w:tbl>
      <w:tblPr>
        <w:tblW w:w="9214"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Services and Benefits paid in last financial year, including trend"/>
      </w:tblPr>
      <w:tblGrid>
        <w:gridCol w:w="1151"/>
        <w:gridCol w:w="1152"/>
        <w:gridCol w:w="1152"/>
        <w:gridCol w:w="1152"/>
        <w:gridCol w:w="1151"/>
        <w:gridCol w:w="1152"/>
        <w:gridCol w:w="1152"/>
        <w:gridCol w:w="1152"/>
      </w:tblGrid>
      <w:tr w:rsidR="00E754D9" w:rsidRPr="00447430" w14:paraId="6DF14F2F" w14:textId="77777777" w:rsidTr="003129E4">
        <w:trPr>
          <w:trHeight w:val="632"/>
        </w:trPr>
        <w:tc>
          <w:tcPr>
            <w:tcW w:w="1151" w:type="dxa"/>
            <w:shd w:val="clear" w:color="auto" w:fill="auto"/>
            <w:vAlign w:val="center"/>
          </w:tcPr>
          <w:p w14:paraId="56C5BE8C" w14:textId="77777777" w:rsidR="00E754D9" w:rsidRPr="00447430" w:rsidRDefault="00E754D9" w:rsidP="00447430">
            <w:pPr>
              <w:pStyle w:val="Tableheading"/>
            </w:pPr>
            <w:r w:rsidRPr="00447430">
              <w:t>Descriptor</w:t>
            </w:r>
          </w:p>
          <w:p w14:paraId="7B2BE20A" w14:textId="77777777" w:rsidR="00E754D9" w:rsidRPr="00447430" w:rsidRDefault="00E754D9" w:rsidP="00447430">
            <w:pPr>
              <w:pStyle w:val="Tableheading"/>
            </w:pPr>
            <w:r w:rsidRPr="00447430">
              <w:t>start date</w:t>
            </w:r>
          </w:p>
        </w:tc>
        <w:tc>
          <w:tcPr>
            <w:tcW w:w="1152" w:type="dxa"/>
            <w:shd w:val="clear" w:color="auto" w:fill="auto"/>
            <w:vAlign w:val="center"/>
          </w:tcPr>
          <w:p w14:paraId="5D8B8A06" w14:textId="77777777" w:rsidR="00E754D9" w:rsidRPr="00447430" w:rsidRDefault="00E754D9" w:rsidP="00447430">
            <w:pPr>
              <w:pStyle w:val="Tableheading"/>
            </w:pPr>
            <w:r w:rsidRPr="00447430">
              <w:t xml:space="preserve"> Total Benefits paid 2014-15 </w:t>
            </w:r>
          </w:p>
        </w:tc>
        <w:tc>
          <w:tcPr>
            <w:tcW w:w="1152" w:type="dxa"/>
            <w:shd w:val="clear" w:color="auto" w:fill="auto"/>
            <w:vAlign w:val="center"/>
          </w:tcPr>
          <w:p w14:paraId="4D3AF3B4" w14:textId="77777777" w:rsidR="00E754D9" w:rsidRPr="00447430" w:rsidRDefault="00E754D9" w:rsidP="00447430">
            <w:pPr>
              <w:pStyle w:val="Tableheading"/>
            </w:pPr>
            <w:r w:rsidRPr="00447430">
              <w:t>Number of services 2014-15</w:t>
            </w:r>
          </w:p>
        </w:tc>
        <w:tc>
          <w:tcPr>
            <w:tcW w:w="1152" w:type="dxa"/>
            <w:shd w:val="clear" w:color="auto" w:fill="auto"/>
            <w:vAlign w:val="center"/>
          </w:tcPr>
          <w:p w14:paraId="69A40CF7" w14:textId="77777777" w:rsidR="00E754D9" w:rsidRPr="00447430" w:rsidRDefault="00E754D9" w:rsidP="00447430">
            <w:pPr>
              <w:pStyle w:val="Tableheading"/>
            </w:pPr>
            <w:r w:rsidRPr="00447430">
              <w:t>Total Patient count 2014-15</w:t>
            </w:r>
          </w:p>
        </w:tc>
        <w:tc>
          <w:tcPr>
            <w:tcW w:w="1151" w:type="dxa"/>
            <w:shd w:val="clear" w:color="auto" w:fill="auto"/>
            <w:vAlign w:val="center"/>
          </w:tcPr>
          <w:p w14:paraId="559251FF" w14:textId="77777777" w:rsidR="00E754D9" w:rsidRPr="00447430" w:rsidRDefault="00E754D9" w:rsidP="00447430">
            <w:pPr>
              <w:pStyle w:val="Tableheading"/>
            </w:pPr>
            <w:r w:rsidRPr="00447430">
              <w:t xml:space="preserve">Total provider </w:t>
            </w:r>
            <w:proofErr w:type="gramStart"/>
            <w:r w:rsidRPr="00447430">
              <w:t>count</w:t>
            </w:r>
            <w:proofErr w:type="gramEnd"/>
            <w:r w:rsidRPr="00447430">
              <w:t xml:space="preserve"> 2014-15</w:t>
            </w:r>
          </w:p>
        </w:tc>
        <w:tc>
          <w:tcPr>
            <w:tcW w:w="1152" w:type="dxa"/>
            <w:shd w:val="clear" w:color="auto" w:fill="auto"/>
            <w:vAlign w:val="center"/>
          </w:tcPr>
          <w:p w14:paraId="69607D8C" w14:textId="77777777" w:rsidR="00E754D9" w:rsidRPr="00447430" w:rsidRDefault="00E754D9" w:rsidP="00447430">
            <w:pPr>
              <w:pStyle w:val="Tableheading"/>
            </w:pPr>
            <w:r w:rsidRPr="00447430">
              <w:t>Benefits Change (%) from 2011-12 to 2014-15</w:t>
            </w:r>
          </w:p>
        </w:tc>
        <w:tc>
          <w:tcPr>
            <w:tcW w:w="1152" w:type="dxa"/>
            <w:shd w:val="clear" w:color="auto" w:fill="auto"/>
            <w:vAlign w:val="center"/>
          </w:tcPr>
          <w:p w14:paraId="35BD62DD" w14:textId="77777777" w:rsidR="00E754D9" w:rsidRPr="00447430" w:rsidRDefault="00E754D9" w:rsidP="00447430">
            <w:pPr>
              <w:pStyle w:val="Tableheading"/>
            </w:pPr>
            <w:r w:rsidRPr="00447430">
              <w:t>Service Change (%) from 2011-12 to 2014-15</w:t>
            </w:r>
          </w:p>
        </w:tc>
        <w:tc>
          <w:tcPr>
            <w:tcW w:w="1152" w:type="dxa"/>
            <w:shd w:val="clear" w:color="auto" w:fill="auto"/>
            <w:vAlign w:val="center"/>
          </w:tcPr>
          <w:p w14:paraId="3D868D8E" w14:textId="77777777" w:rsidR="00E754D9" w:rsidRPr="00447430" w:rsidRDefault="00E754D9" w:rsidP="00447430">
            <w:pPr>
              <w:pStyle w:val="Tableheading"/>
            </w:pPr>
            <w:r w:rsidRPr="00447430">
              <w:t>% services provided out-of-hospital 2014-15</w:t>
            </w:r>
          </w:p>
        </w:tc>
      </w:tr>
      <w:tr w:rsidR="00E754D9" w:rsidRPr="00932A16" w14:paraId="214D6497" w14:textId="77777777" w:rsidTr="003129E4">
        <w:trPr>
          <w:trHeight w:val="306"/>
        </w:trPr>
        <w:tc>
          <w:tcPr>
            <w:tcW w:w="1151" w:type="dxa"/>
            <w:shd w:val="clear" w:color="auto" w:fill="FFFFFF" w:themeFill="background1"/>
            <w:vAlign w:val="center"/>
          </w:tcPr>
          <w:p w14:paraId="5D77ACAB" w14:textId="77777777" w:rsidR="00E754D9" w:rsidRPr="00932A16" w:rsidRDefault="00E754D9" w:rsidP="00422EC8">
            <w:pPr>
              <w:pStyle w:val="Tabletext"/>
            </w:pPr>
            <w:r w:rsidRPr="00F46D5B">
              <w:t>1991</w:t>
            </w:r>
          </w:p>
        </w:tc>
        <w:tc>
          <w:tcPr>
            <w:tcW w:w="1152" w:type="dxa"/>
            <w:shd w:val="clear" w:color="auto" w:fill="FFFFFF" w:themeFill="background1"/>
            <w:vAlign w:val="center"/>
          </w:tcPr>
          <w:p w14:paraId="5327F9DB" w14:textId="77777777" w:rsidR="00E754D9" w:rsidRPr="00932A16" w:rsidRDefault="00E754D9" w:rsidP="00422EC8">
            <w:pPr>
              <w:pStyle w:val="Tabletext"/>
              <w:rPr>
                <w:bCs/>
              </w:rPr>
            </w:pPr>
            <w:r w:rsidRPr="00F46D5B">
              <w:rPr>
                <w:bCs/>
              </w:rPr>
              <w:t xml:space="preserve">81,567 </w:t>
            </w:r>
          </w:p>
        </w:tc>
        <w:tc>
          <w:tcPr>
            <w:tcW w:w="1152" w:type="dxa"/>
            <w:shd w:val="clear" w:color="auto" w:fill="FFFFFF" w:themeFill="background1"/>
            <w:vAlign w:val="center"/>
          </w:tcPr>
          <w:p w14:paraId="3FA92950" w14:textId="77777777" w:rsidR="00E754D9" w:rsidRPr="00932A16" w:rsidRDefault="00E754D9" w:rsidP="00422EC8">
            <w:pPr>
              <w:pStyle w:val="Tabletext"/>
              <w:rPr>
                <w:bCs/>
              </w:rPr>
            </w:pPr>
            <w:r w:rsidRPr="00F46D5B">
              <w:rPr>
                <w:bCs/>
              </w:rPr>
              <w:t xml:space="preserve">177 </w:t>
            </w:r>
          </w:p>
        </w:tc>
        <w:tc>
          <w:tcPr>
            <w:tcW w:w="1152" w:type="dxa"/>
            <w:shd w:val="clear" w:color="auto" w:fill="FFFFFF" w:themeFill="background1"/>
            <w:vAlign w:val="center"/>
          </w:tcPr>
          <w:p w14:paraId="57A2CB56" w14:textId="77777777" w:rsidR="00E754D9" w:rsidRPr="00932A16" w:rsidRDefault="00E754D9" w:rsidP="00422EC8">
            <w:pPr>
              <w:pStyle w:val="Tabletext"/>
              <w:rPr>
                <w:bCs/>
              </w:rPr>
            </w:pPr>
            <w:r w:rsidRPr="00F46D5B">
              <w:rPr>
                <w:bCs/>
              </w:rPr>
              <w:t xml:space="preserve">168 </w:t>
            </w:r>
          </w:p>
        </w:tc>
        <w:tc>
          <w:tcPr>
            <w:tcW w:w="1151" w:type="dxa"/>
            <w:shd w:val="clear" w:color="auto" w:fill="FFFFFF" w:themeFill="background1"/>
            <w:vAlign w:val="center"/>
          </w:tcPr>
          <w:p w14:paraId="1B5F83F4" w14:textId="77777777" w:rsidR="00E754D9" w:rsidRPr="00932A16" w:rsidRDefault="00E754D9" w:rsidP="00422EC8">
            <w:pPr>
              <w:pStyle w:val="Tabletext"/>
              <w:rPr>
                <w:bCs/>
              </w:rPr>
            </w:pPr>
            <w:r w:rsidRPr="00F46D5B">
              <w:rPr>
                <w:bCs/>
              </w:rPr>
              <w:t xml:space="preserve">24 </w:t>
            </w:r>
          </w:p>
        </w:tc>
        <w:tc>
          <w:tcPr>
            <w:tcW w:w="1152" w:type="dxa"/>
            <w:shd w:val="clear" w:color="auto" w:fill="FFFFFF" w:themeFill="background1"/>
            <w:vAlign w:val="center"/>
          </w:tcPr>
          <w:p w14:paraId="3A55D5B9" w14:textId="77777777" w:rsidR="00E754D9" w:rsidRPr="00932A16" w:rsidRDefault="00E754D9" w:rsidP="00422EC8">
            <w:pPr>
              <w:pStyle w:val="Tabletext"/>
              <w:rPr>
                <w:bCs/>
              </w:rPr>
            </w:pPr>
            <w:r w:rsidRPr="00F46D5B">
              <w:rPr>
                <w:bCs/>
              </w:rPr>
              <w:t>71.3%</w:t>
            </w:r>
          </w:p>
        </w:tc>
        <w:tc>
          <w:tcPr>
            <w:tcW w:w="1152" w:type="dxa"/>
            <w:shd w:val="clear" w:color="auto" w:fill="FFFFFF" w:themeFill="background1"/>
            <w:vAlign w:val="center"/>
          </w:tcPr>
          <w:p w14:paraId="09F4E8E3" w14:textId="77777777" w:rsidR="00E754D9" w:rsidRPr="00932A16" w:rsidRDefault="00E754D9" w:rsidP="00422EC8">
            <w:pPr>
              <w:pStyle w:val="Tabletext"/>
              <w:rPr>
                <w:bCs/>
              </w:rPr>
            </w:pPr>
            <w:r w:rsidRPr="00F46D5B">
              <w:rPr>
                <w:bCs/>
              </w:rPr>
              <w:t>77.0%</w:t>
            </w:r>
          </w:p>
        </w:tc>
        <w:tc>
          <w:tcPr>
            <w:tcW w:w="1152" w:type="dxa"/>
            <w:shd w:val="clear" w:color="auto" w:fill="FFFFFF" w:themeFill="background1"/>
            <w:vAlign w:val="center"/>
          </w:tcPr>
          <w:p w14:paraId="1396F54E" w14:textId="77777777" w:rsidR="00E754D9" w:rsidRPr="00932A16" w:rsidRDefault="00E754D9" w:rsidP="00422EC8">
            <w:pPr>
              <w:pStyle w:val="Tabletext"/>
              <w:rPr>
                <w:bCs/>
              </w:rPr>
            </w:pPr>
            <w:r w:rsidRPr="00F46D5B">
              <w:rPr>
                <w:bCs/>
              </w:rPr>
              <w:t>1.1%</w:t>
            </w:r>
          </w:p>
        </w:tc>
      </w:tr>
    </w:tbl>
    <w:p w14:paraId="3118B1A0" w14:textId="77777777" w:rsidR="00E754D9" w:rsidRDefault="00E754D9" w:rsidP="00E754D9">
      <w:pPr>
        <w:pStyle w:val="TableUnderlast"/>
      </w:pPr>
      <w:r w:rsidRPr="00B65B58">
        <w:t>Unpublished data (Department of Health).</w:t>
      </w:r>
    </w:p>
    <w:p w14:paraId="1B630684" w14:textId="77777777" w:rsidR="00E754D9" w:rsidRPr="00681146" w:rsidRDefault="00B23EBF" w:rsidP="00B23EBF">
      <w:pPr>
        <w:pStyle w:val="Caption"/>
        <w:rPr>
          <w:iCs/>
        </w:rPr>
      </w:pPr>
      <w:r>
        <w:t>Table D7:</w:t>
      </w:r>
      <w:r>
        <w:tab/>
      </w:r>
      <w:r w:rsidR="00E754D9">
        <w:t xml:space="preserve">Item 41614 – </w:t>
      </w:r>
      <w:r w:rsidR="00E754D9" w:rsidRPr="007A5A96">
        <w:t>Number of services by state in 2014</w:t>
      </w:r>
      <w:r w:rsidR="00C50295">
        <w:t>–</w:t>
      </w:r>
      <w:r w:rsidR="00E754D9" w:rsidRPr="007A5A96">
        <w:t xml:space="preserve">15 </w:t>
      </w:r>
    </w:p>
    <w:tbl>
      <w:tblPr>
        <w:tblW w:w="9072" w:type="dxa"/>
        <w:jc w:val="center"/>
        <w:tblBorders>
          <w:top w:val="single" w:sz="4" w:space="0" w:color="B56011"/>
          <w:bottom w:val="single" w:sz="4" w:space="0" w:color="B56011"/>
          <w:insideH w:val="single" w:sz="4" w:space="0" w:color="B56011"/>
        </w:tblBorders>
        <w:tblLook w:val="04A0" w:firstRow="1" w:lastRow="0" w:firstColumn="1" w:lastColumn="0" w:noHBand="0" w:noVBand="1"/>
        <w:tblCaption w:val="Total services from above table divided by State or Territory"/>
      </w:tblPr>
      <w:tblGrid>
        <w:gridCol w:w="1050"/>
        <w:gridCol w:w="1026"/>
        <w:gridCol w:w="1040"/>
        <w:gridCol w:w="1015"/>
        <w:gridCol w:w="1030"/>
        <w:gridCol w:w="1033"/>
        <w:gridCol w:w="1036"/>
        <w:gridCol w:w="1018"/>
        <w:gridCol w:w="824"/>
      </w:tblGrid>
      <w:tr w:rsidR="00E754D9" w:rsidRPr="00447430" w14:paraId="4D116159" w14:textId="77777777" w:rsidTr="003129E4">
        <w:trPr>
          <w:trHeight w:val="305"/>
          <w:tblHeader/>
          <w:jc w:val="center"/>
        </w:trPr>
        <w:tc>
          <w:tcPr>
            <w:tcW w:w="1050" w:type="dxa"/>
            <w:shd w:val="clear" w:color="auto" w:fill="auto"/>
            <w:vAlign w:val="center"/>
            <w:hideMark/>
          </w:tcPr>
          <w:p w14:paraId="40FDC30E" w14:textId="77777777" w:rsidR="00E754D9" w:rsidRPr="00447430" w:rsidRDefault="00E754D9" w:rsidP="00447430">
            <w:pPr>
              <w:pStyle w:val="Tableheading"/>
            </w:pPr>
            <w:r w:rsidRPr="00447430">
              <w:t>NSW</w:t>
            </w:r>
          </w:p>
        </w:tc>
        <w:tc>
          <w:tcPr>
            <w:tcW w:w="1026" w:type="dxa"/>
            <w:shd w:val="clear" w:color="auto" w:fill="auto"/>
            <w:vAlign w:val="center"/>
            <w:hideMark/>
          </w:tcPr>
          <w:p w14:paraId="6230C667" w14:textId="77777777" w:rsidR="00E754D9" w:rsidRPr="00447430" w:rsidRDefault="00E754D9" w:rsidP="00447430">
            <w:pPr>
              <w:pStyle w:val="Tableheading"/>
            </w:pPr>
            <w:r w:rsidRPr="00447430">
              <w:t>VIC</w:t>
            </w:r>
          </w:p>
        </w:tc>
        <w:tc>
          <w:tcPr>
            <w:tcW w:w="1040" w:type="dxa"/>
            <w:shd w:val="clear" w:color="auto" w:fill="auto"/>
            <w:vAlign w:val="center"/>
            <w:hideMark/>
          </w:tcPr>
          <w:p w14:paraId="043840DA" w14:textId="77777777" w:rsidR="00E754D9" w:rsidRPr="00447430" w:rsidRDefault="00E754D9" w:rsidP="00447430">
            <w:pPr>
              <w:pStyle w:val="Tableheading"/>
            </w:pPr>
            <w:r w:rsidRPr="00447430">
              <w:t>QLD</w:t>
            </w:r>
          </w:p>
        </w:tc>
        <w:tc>
          <w:tcPr>
            <w:tcW w:w="1015" w:type="dxa"/>
            <w:shd w:val="clear" w:color="auto" w:fill="auto"/>
            <w:vAlign w:val="center"/>
            <w:hideMark/>
          </w:tcPr>
          <w:p w14:paraId="7D1CA017" w14:textId="77777777" w:rsidR="00E754D9" w:rsidRPr="00447430" w:rsidRDefault="00E754D9" w:rsidP="00447430">
            <w:pPr>
              <w:pStyle w:val="Tableheading"/>
            </w:pPr>
            <w:r w:rsidRPr="00447430">
              <w:t>SA</w:t>
            </w:r>
          </w:p>
        </w:tc>
        <w:tc>
          <w:tcPr>
            <w:tcW w:w="1030" w:type="dxa"/>
            <w:shd w:val="clear" w:color="auto" w:fill="auto"/>
            <w:vAlign w:val="center"/>
            <w:hideMark/>
          </w:tcPr>
          <w:p w14:paraId="4E369BB3" w14:textId="77777777" w:rsidR="00E754D9" w:rsidRPr="00447430" w:rsidRDefault="00E754D9" w:rsidP="00447430">
            <w:pPr>
              <w:pStyle w:val="Tableheading"/>
            </w:pPr>
            <w:r w:rsidRPr="00447430">
              <w:t>WA</w:t>
            </w:r>
          </w:p>
        </w:tc>
        <w:tc>
          <w:tcPr>
            <w:tcW w:w="1033" w:type="dxa"/>
            <w:shd w:val="clear" w:color="auto" w:fill="auto"/>
            <w:vAlign w:val="center"/>
            <w:hideMark/>
          </w:tcPr>
          <w:p w14:paraId="1FFFF9EC" w14:textId="77777777" w:rsidR="00E754D9" w:rsidRPr="00447430" w:rsidRDefault="00E754D9" w:rsidP="00447430">
            <w:pPr>
              <w:pStyle w:val="Tableheading"/>
            </w:pPr>
            <w:r w:rsidRPr="00447430">
              <w:t>TAS</w:t>
            </w:r>
          </w:p>
        </w:tc>
        <w:tc>
          <w:tcPr>
            <w:tcW w:w="1036" w:type="dxa"/>
            <w:shd w:val="clear" w:color="auto" w:fill="auto"/>
            <w:vAlign w:val="center"/>
            <w:hideMark/>
          </w:tcPr>
          <w:p w14:paraId="3A2388AF" w14:textId="77777777" w:rsidR="00E754D9" w:rsidRPr="00447430" w:rsidRDefault="00E754D9" w:rsidP="00447430">
            <w:pPr>
              <w:pStyle w:val="Tableheading"/>
            </w:pPr>
            <w:r w:rsidRPr="00447430">
              <w:t>ACT</w:t>
            </w:r>
          </w:p>
        </w:tc>
        <w:tc>
          <w:tcPr>
            <w:tcW w:w="1018" w:type="dxa"/>
            <w:shd w:val="clear" w:color="auto" w:fill="auto"/>
            <w:vAlign w:val="center"/>
            <w:hideMark/>
          </w:tcPr>
          <w:p w14:paraId="003F7307" w14:textId="77777777" w:rsidR="00E754D9" w:rsidRPr="00447430" w:rsidRDefault="00E754D9" w:rsidP="00447430">
            <w:pPr>
              <w:pStyle w:val="Tableheading"/>
            </w:pPr>
            <w:r w:rsidRPr="00447430">
              <w:t>NT</w:t>
            </w:r>
          </w:p>
        </w:tc>
        <w:tc>
          <w:tcPr>
            <w:tcW w:w="824" w:type="dxa"/>
            <w:shd w:val="clear" w:color="auto" w:fill="auto"/>
            <w:vAlign w:val="center"/>
            <w:hideMark/>
          </w:tcPr>
          <w:p w14:paraId="1D2C71AB" w14:textId="77777777" w:rsidR="00E754D9" w:rsidRPr="00447430" w:rsidRDefault="00E754D9" w:rsidP="00447430">
            <w:pPr>
              <w:pStyle w:val="Tableheading"/>
            </w:pPr>
            <w:r w:rsidRPr="00447430">
              <w:t>Total</w:t>
            </w:r>
          </w:p>
        </w:tc>
      </w:tr>
      <w:tr w:rsidR="00E754D9" w:rsidRPr="00932A16" w14:paraId="1E27F9EF" w14:textId="77777777" w:rsidTr="003129E4">
        <w:trPr>
          <w:trHeight w:val="305"/>
          <w:jc w:val="center"/>
        </w:trPr>
        <w:tc>
          <w:tcPr>
            <w:tcW w:w="1050" w:type="dxa"/>
            <w:shd w:val="clear" w:color="auto" w:fill="auto"/>
            <w:vAlign w:val="center"/>
          </w:tcPr>
          <w:p w14:paraId="2ED06C59" w14:textId="77777777" w:rsidR="00E754D9" w:rsidRPr="00932A16" w:rsidRDefault="00E754D9" w:rsidP="00422EC8">
            <w:pPr>
              <w:pStyle w:val="Tabletext"/>
            </w:pPr>
            <w:r w:rsidRPr="00F46D5B">
              <w:t>113</w:t>
            </w:r>
          </w:p>
        </w:tc>
        <w:tc>
          <w:tcPr>
            <w:tcW w:w="1026" w:type="dxa"/>
            <w:shd w:val="clear" w:color="auto" w:fill="auto"/>
            <w:vAlign w:val="center"/>
          </w:tcPr>
          <w:p w14:paraId="0CD96415" w14:textId="77777777" w:rsidR="00E754D9" w:rsidRPr="00932A16" w:rsidRDefault="00E754D9" w:rsidP="00422EC8">
            <w:pPr>
              <w:pStyle w:val="Tabletext"/>
            </w:pPr>
            <w:r w:rsidRPr="00F46D5B">
              <w:t>5</w:t>
            </w:r>
          </w:p>
        </w:tc>
        <w:tc>
          <w:tcPr>
            <w:tcW w:w="1040" w:type="dxa"/>
            <w:shd w:val="clear" w:color="auto" w:fill="auto"/>
            <w:vAlign w:val="center"/>
          </w:tcPr>
          <w:p w14:paraId="0AE133A1" w14:textId="77777777" w:rsidR="00E754D9" w:rsidRPr="00932A16" w:rsidRDefault="00E754D9" w:rsidP="00422EC8">
            <w:pPr>
              <w:pStyle w:val="Tabletext"/>
            </w:pPr>
            <w:r w:rsidRPr="00F46D5B">
              <w:t>6</w:t>
            </w:r>
          </w:p>
        </w:tc>
        <w:tc>
          <w:tcPr>
            <w:tcW w:w="1015" w:type="dxa"/>
            <w:shd w:val="clear" w:color="auto" w:fill="auto"/>
            <w:vAlign w:val="center"/>
          </w:tcPr>
          <w:p w14:paraId="7C864B3A" w14:textId="77777777" w:rsidR="00E754D9" w:rsidRPr="00932A16" w:rsidRDefault="00E754D9" w:rsidP="00422EC8">
            <w:pPr>
              <w:pStyle w:val="Tabletext"/>
            </w:pPr>
            <w:r w:rsidRPr="00F46D5B">
              <w:t>9</w:t>
            </w:r>
          </w:p>
        </w:tc>
        <w:tc>
          <w:tcPr>
            <w:tcW w:w="1030" w:type="dxa"/>
            <w:shd w:val="clear" w:color="auto" w:fill="auto"/>
            <w:vAlign w:val="center"/>
          </w:tcPr>
          <w:p w14:paraId="4700E290" w14:textId="77777777" w:rsidR="00E754D9" w:rsidRPr="00932A16" w:rsidRDefault="00E754D9" w:rsidP="00422EC8">
            <w:pPr>
              <w:pStyle w:val="Tabletext"/>
            </w:pPr>
            <w:r w:rsidRPr="00F46D5B">
              <w:t>43</w:t>
            </w:r>
          </w:p>
        </w:tc>
        <w:tc>
          <w:tcPr>
            <w:tcW w:w="1033" w:type="dxa"/>
            <w:shd w:val="clear" w:color="auto" w:fill="auto"/>
            <w:vAlign w:val="center"/>
          </w:tcPr>
          <w:p w14:paraId="080076C6" w14:textId="77777777" w:rsidR="00E754D9" w:rsidRPr="00932A16" w:rsidRDefault="00E754D9" w:rsidP="00422EC8">
            <w:pPr>
              <w:pStyle w:val="Tabletext"/>
            </w:pPr>
            <w:r w:rsidRPr="00F46D5B">
              <w:t>0</w:t>
            </w:r>
          </w:p>
        </w:tc>
        <w:tc>
          <w:tcPr>
            <w:tcW w:w="1036" w:type="dxa"/>
            <w:shd w:val="clear" w:color="auto" w:fill="auto"/>
            <w:vAlign w:val="center"/>
          </w:tcPr>
          <w:p w14:paraId="14D92FD9" w14:textId="77777777" w:rsidR="00E754D9" w:rsidRPr="00932A16" w:rsidRDefault="00E754D9" w:rsidP="00422EC8">
            <w:pPr>
              <w:pStyle w:val="Tabletext"/>
            </w:pPr>
            <w:r w:rsidRPr="00F46D5B">
              <w:t>0</w:t>
            </w:r>
          </w:p>
        </w:tc>
        <w:tc>
          <w:tcPr>
            <w:tcW w:w="1018" w:type="dxa"/>
            <w:shd w:val="clear" w:color="auto" w:fill="auto"/>
            <w:vAlign w:val="center"/>
          </w:tcPr>
          <w:p w14:paraId="6B0D47DC" w14:textId="77777777" w:rsidR="00E754D9" w:rsidRPr="00932A16" w:rsidRDefault="00E754D9" w:rsidP="00422EC8">
            <w:pPr>
              <w:pStyle w:val="Tabletext"/>
            </w:pPr>
            <w:r w:rsidRPr="00F46D5B">
              <w:t>1</w:t>
            </w:r>
          </w:p>
        </w:tc>
        <w:tc>
          <w:tcPr>
            <w:tcW w:w="824" w:type="dxa"/>
            <w:shd w:val="clear" w:color="auto" w:fill="auto"/>
            <w:vAlign w:val="center"/>
          </w:tcPr>
          <w:p w14:paraId="778AAD51" w14:textId="77777777" w:rsidR="00E754D9" w:rsidRPr="00932A16" w:rsidRDefault="00E754D9" w:rsidP="00422EC8">
            <w:pPr>
              <w:pStyle w:val="Tabletext"/>
            </w:pPr>
            <w:r w:rsidRPr="00F46D5B">
              <w:t>177</w:t>
            </w:r>
          </w:p>
        </w:tc>
      </w:tr>
    </w:tbl>
    <w:p w14:paraId="7EAC02E3" w14:textId="77777777" w:rsidR="00E754D9" w:rsidRDefault="00E754D9" w:rsidP="00E754D9">
      <w:pPr>
        <w:pStyle w:val="TableUnderlast"/>
      </w:pPr>
      <w:r w:rsidRPr="00B65B58">
        <w:t>Public data (Department of Human Services website)</w:t>
      </w:r>
      <w:r>
        <w:t>.</w:t>
      </w:r>
    </w:p>
    <w:p w14:paraId="27F7C018" w14:textId="77777777" w:rsidR="00E754D9" w:rsidRDefault="00B23EBF" w:rsidP="00B23EBF">
      <w:pPr>
        <w:pStyle w:val="Caption"/>
      </w:pPr>
      <w:r>
        <w:t>Table D8:</w:t>
      </w:r>
      <w:r>
        <w:tab/>
      </w:r>
      <w:r w:rsidR="00E754D9">
        <w:t xml:space="preserve">Item 41614 – </w:t>
      </w:r>
      <w:r w:rsidR="00E754D9" w:rsidRPr="007A5A96">
        <w:t xml:space="preserve">Number of services by financial year </w:t>
      </w:r>
    </w:p>
    <w:tbl>
      <w:tblPr>
        <w:tblW w:w="9361" w:type="dxa"/>
        <w:jc w:val="center"/>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Trend for use of the MBS item over time"/>
      </w:tblPr>
      <w:tblGrid>
        <w:gridCol w:w="824"/>
        <w:gridCol w:w="900"/>
        <w:gridCol w:w="851"/>
        <w:gridCol w:w="850"/>
        <w:gridCol w:w="851"/>
        <w:gridCol w:w="850"/>
        <w:gridCol w:w="851"/>
        <w:gridCol w:w="850"/>
        <w:gridCol w:w="851"/>
        <w:gridCol w:w="850"/>
        <w:gridCol w:w="833"/>
      </w:tblGrid>
      <w:tr w:rsidR="000B6E74" w:rsidRPr="00681146" w14:paraId="55F2F9CF" w14:textId="77777777" w:rsidTr="00743224">
        <w:trPr>
          <w:trHeight w:val="300"/>
          <w:jc w:val="center"/>
        </w:trPr>
        <w:tc>
          <w:tcPr>
            <w:tcW w:w="824" w:type="dxa"/>
            <w:shd w:val="clear" w:color="auto" w:fill="auto"/>
            <w:noWrap/>
            <w:hideMark/>
          </w:tcPr>
          <w:p w14:paraId="6691157C" w14:textId="77777777" w:rsidR="00E754D9" w:rsidRPr="00AA632A" w:rsidRDefault="00E754D9" w:rsidP="00AA632A">
            <w:pPr>
              <w:pStyle w:val="Tableheading"/>
              <w:rPr>
                <w:sz w:val="18"/>
                <w:szCs w:val="18"/>
              </w:rPr>
            </w:pPr>
            <w:r w:rsidRPr="00AA632A">
              <w:rPr>
                <w:sz w:val="18"/>
                <w:szCs w:val="18"/>
              </w:rPr>
              <w:t>2004-05</w:t>
            </w:r>
          </w:p>
        </w:tc>
        <w:tc>
          <w:tcPr>
            <w:tcW w:w="900" w:type="dxa"/>
            <w:shd w:val="clear" w:color="auto" w:fill="auto"/>
            <w:noWrap/>
            <w:hideMark/>
          </w:tcPr>
          <w:p w14:paraId="66F21BCC" w14:textId="77777777" w:rsidR="00E754D9" w:rsidRPr="00AA632A" w:rsidRDefault="00E754D9" w:rsidP="00AA632A">
            <w:pPr>
              <w:pStyle w:val="Tableheading"/>
              <w:rPr>
                <w:sz w:val="18"/>
                <w:szCs w:val="18"/>
              </w:rPr>
            </w:pPr>
            <w:r w:rsidRPr="00AA632A">
              <w:rPr>
                <w:sz w:val="18"/>
                <w:szCs w:val="18"/>
              </w:rPr>
              <w:t>2005-06</w:t>
            </w:r>
          </w:p>
        </w:tc>
        <w:tc>
          <w:tcPr>
            <w:tcW w:w="851" w:type="dxa"/>
            <w:shd w:val="clear" w:color="auto" w:fill="auto"/>
            <w:noWrap/>
            <w:hideMark/>
          </w:tcPr>
          <w:p w14:paraId="71215492" w14:textId="77777777" w:rsidR="00E754D9" w:rsidRPr="00AA632A" w:rsidRDefault="00E754D9" w:rsidP="00AA632A">
            <w:pPr>
              <w:pStyle w:val="Tableheading"/>
              <w:rPr>
                <w:sz w:val="18"/>
                <w:szCs w:val="18"/>
              </w:rPr>
            </w:pPr>
            <w:r w:rsidRPr="00AA632A">
              <w:rPr>
                <w:sz w:val="18"/>
                <w:szCs w:val="18"/>
              </w:rPr>
              <w:t>2006-07</w:t>
            </w:r>
          </w:p>
        </w:tc>
        <w:tc>
          <w:tcPr>
            <w:tcW w:w="850" w:type="dxa"/>
            <w:shd w:val="clear" w:color="auto" w:fill="auto"/>
            <w:noWrap/>
            <w:hideMark/>
          </w:tcPr>
          <w:p w14:paraId="26B661B9" w14:textId="77777777" w:rsidR="00E754D9" w:rsidRPr="00AA632A" w:rsidRDefault="00E754D9" w:rsidP="00AA632A">
            <w:pPr>
              <w:pStyle w:val="Tableheading"/>
              <w:rPr>
                <w:sz w:val="18"/>
                <w:szCs w:val="18"/>
              </w:rPr>
            </w:pPr>
            <w:r w:rsidRPr="00AA632A">
              <w:rPr>
                <w:sz w:val="18"/>
                <w:szCs w:val="18"/>
              </w:rPr>
              <w:t>2007-08</w:t>
            </w:r>
          </w:p>
        </w:tc>
        <w:tc>
          <w:tcPr>
            <w:tcW w:w="851" w:type="dxa"/>
            <w:shd w:val="clear" w:color="auto" w:fill="auto"/>
            <w:noWrap/>
            <w:hideMark/>
          </w:tcPr>
          <w:p w14:paraId="3DCFB346" w14:textId="77777777" w:rsidR="00E754D9" w:rsidRPr="00AA632A" w:rsidRDefault="00E754D9" w:rsidP="00AA632A">
            <w:pPr>
              <w:pStyle w:val="Tableheading"/>
              <w:rPr>
                <w:sz w:val="18"/>
                <w:szCs w:val="18"/>
              </w:rPr>
            </w:pPr>
            <w:r w:rsidRPr="00AA632A">
              <w:rPr>
                <w:sz w:val="18"/>
                <w:szCs w:val="18"/>
              </w:rPr>
              <w:t>2008-09</w:t>
            </w:r>
          </w:p>
        </w:tc>
        <w:tc>
          <w:tcPr>
            <w:tcW w:w="850" w:type="dxa"/>
            <w:shd w:val="clear" w:color="auto" w:fill="auto"/>
            <w:noWrap/>
            <w:hideMark/>
          </w:tcPr>
          <w:p w14:paraId="641D5FB1" w14:textId="77777777" w:rsidR="00E754D9" w:rsidRPr="00AA632A" w:rsidRDefault="00E754D9" w:rsidP="00AA632A">
            <w:pPr>
              <w:pStyle w:val="Tableheading"/>
              <w:rPr>
                <w:sz w:val="18"/>
                <w:szCs w:val="18"/>
              </w:rPr>
            </w:pPr>
            <w:r w:rsidRPr="00AA632A">
              <w:rPr>
                <w:sz w:val="18"/>
                <w:szCs w:val="18"/>
              </w:rPr>
              <w:t>2009-10</w:t>
            </w:r>
          </w:p>
        </w:tc>
        <w:tc>
          <w:tcPr>
            <w:tcW w:w="851" w:type="dxa"/>
            <w:shd w:val="clear" w:color="auto" w:fill="auto"/>
            <w:noWrap/>
            <w:hideMark/>
          </w:tcPr>
          <w:p w14:paraId="55ECEC48" w14:textId="77777777" w:rsidR="00E754D9" w:rsidRPr="00AA632A" w:rsidRDefault="00E754D9" w:rsidP="00AA632A">
            <w:pPr>
              <w:pStyle w:val="Tableheading"/>
              <w:rPr>
                <w:sz w:val="18"/>
                <w:szCs w:val="18"/>
              </w:rPr>
            </w:pPr>
            <w:r w:rsidRPr="00AA632A">
              <w:rPr>
                <w:sz w:val="18"/>
                <w:szCs w:val="18"/>
              </w:rPr>
              <w:t>2010-11</w:t>
            </w:r>
          </w:p>
        </w:tc>
        <w:tc>
          <w:tcPr>
            <w:tcW w:w="850" w:type="dxa"/>
            <w:shd w:val="clear" w:color="auto" w:fill="auto"/>
            <w:noWrap/>
            <w:hideMark/>
          </w:tcPr>
          <w:p w14:paraId="7D315DF8" w14:textId="77777777" w:rsidR="00E754D9" w:rsidRPr="00AA632A" w:rsidRDefault="00E754D9" w:rsidP="00AA632A">
            <w:pPr>
              <w:pStyle w:val="Tableheading"/>
              <w:rPr>
                <w:sz w:val="18"/>
                <w:szCs w:val="18"/>
              </w:rPr>
            </w:pPr>
            <w:r w:rsidRPr="00AA632A">
              <w:rPr>
                <w:sz w:val="18"/>
                <w:szCs w:val="18"/>
              </w:rPr>
              <w:t>2011-12</w:t>
            </w:r>
          </w:p>
        </w:tc>
        <w:tc>
          <w:tcPr>
            <w:tcW w:w="851" w:type="dxa"/>
            <w:shd w:val="clear" w:color="auto" w:fill="auto"/>
            <w:noWrap/>
            <w:hideMark/>
          </w:tcPr>
          <w:p w14:paraId="69EEEECC" w14:textId="77777777" w:rsidR="00E754D9" w:rsidRPr="00AA632A" w:rsidRDefault="00E754D9" w:rsidP="00AA632A">
            <w:pPr>
              <w:pStyle w:val="Tableheading"/>
              <w:rPr>
                <w:sz w:val="18"/>
                <w:szCs w:val="18"/>
              </w:rPr>
            </w:pPr>
            <w:r w:rsidRPr="00AA632A">
              <w:rPr>
                <w:sz w:val="18"/>
                <w:szCs w:val="18"/>
              </w:rPr>
              <w:t>2012-13</w:t>
            </w:r>
          </w:p>
        </w:tc>
        <w:tc>
          <w:tcPr>
            <w:tcW w:w="850" w:type="dxa"/>
            <w:shd w:val="clear" w:color="auto" w:fill="auto"/>
            <w:noWrap/>
            <w:hideMark/>
          </w:tcPr>
          <w:p w14:paraId="0E4C041E" w14:textId="77777777" w:rsidR="00E754D9" w:rsidRPr="00AA632A" w:rsidRDefault="00E754D9" w:rsidP="00AA632A">
            <w:pPr>
              <w:pStyle w:val="Tableheading"/>
              <w:rPr>
                <w:sz w:val="18"/>
                <w:szCs w:val="18"/>
              </w:rPr>
            </w:pPr>
            <w:r w:rsidRPr="00AA632A">
              <w:rPr>
                <w:sz w:val="18"/>
                <w:szCs w:val="18"/>
              </w:rPr>
              <w:t>2013-14</w:t>
            </w:r>
          </w:p>
        </w:tc>
        <w:tc>
          <w:tcPr>
            <w:tcW w:w="833" w:type="dxa"/>
            <w:shd w:val="clear" w:color="auto" w:fill="auto"/>
            <w:noWrap/>
            <w:hideMark/>
          </w:tcPr>
          <w:p w14:paraId="1546BDFB" w14:textId="77777777" w:rsidR="00E754D9" w:rsidRPr="00AA632A" w:rsidRDefault="00E754D9" w:rsidP="00AA632A">
            <w:pPr>
              <w:pStyle w:val="Tableheading"/>
              <w:rPr>
                <w:sz w:val="18"/>
                <w:szCs w:val="18"/>
              </w:rPr>
            </w:pPr>
            <w:r w:rsidRPr="00AA632A">
              <w:rPr>
                <w:sz w:val="18"/>
                <w:szCs w:val="18"/>
              </w:rPr>
              <w:t>2014-15</w:t>
            </w:r>
          </w:p>
        </w:tc>
      </w:tr>
      <w:tr w:rsidR="000B6E74" w:rsidRPr="00932A16" w14:paraId="33D9CC3A" w14:textId="77777777" w:rsidTr="00743224">
        <w:trPr>
          <w:trHeight w:val="306"/>
          <w:jc w:val="center"/>
        </w:trPr>
        <w:tc>
          <w:tcPr>
            <w:tcW w:w="824" w:type="dxa"/>
            <w:shd w:val="clear" w:color="auto" w:fill="auto"/>
            <w:noWrap/>
            <w:vAlign w:val="center"/>
          </w:tcPr>
          <w:p w14:paraId="656659CE" w14:textId="77777777" w:rsidR="00E754D9" w:rsidRPr="00932A16" w:rsidRDefault="00E754D9" w:rsidP="00422EC8">
            <w:pPr>
              <w:pStyle w:val="Tabletext"/>
            </w:pPr>
            <w:r w:rsidRPr="00F46D5B">
              <w:t>79</w:t>
            </w:r>
          </w:p>
        </w:tc>
        <w:tc>
          <w:tcPr>
            <w:tcW w:w="900" w:type="dxa"/>
            <w:shd w:val="clear" w:color="auto" w:fill="auto"/>
            <w:noWrap/>
            <w:vAlign w:val="center"/>
          </w:tcPr>
          <w:p w14:paraId="22902B59" w14:textId="77777777" w:rsidR="00E754D9" w:rsidRPr="00932A16" w:rsidRDefault="00E754D9" w:rsidP="00422EC8">
            <w:pPr>
              <w:pStyle w:val="Tabletext"/>
            </w:pPr>
            <w:r w:rsidRPr="00F46D5B">
              <w:t>90</w:t>
            </w:r>
          </w:p>
        </w:tc>
        <w:tc>
          <w:tcPr>
            <w:tcW w:w="851" w:type="dxa"/>
            <w:shd w:val="clear" w:color="auto" w:fill="auto"/>
            <w:noWrap/>
            <w:vAlign w:val="center"/>
          </w:tcPr>
          <w:p w14:paraId="0FDBC44F" w14:textId="77777777" w:rsidR="00E754D9" w:rsidRPr="00932A16" w:rsidRDefault="00E754D9" w:rsidP="00422EC8">
            <w:pPr>
              <w:pStyle w:val="Tabletext"/>
            </w:pPr>
            <w:r w:rsidRPr="00F46D5B">
              <w:t>74</w:t>
            </w:r>
          </w:p>
        </w:tc>
        <w:tc>
          <w:tcPr>
            <w:tcW w:w="850" w:type="dxa"/>
            <w:shd w:val="clear" w:color="auto" w:fill="auto"/>
            <w:noWrap/>
            <w:vAlign w:val="center"/>
          </w:tcPr>
          <w:p w14:paraId="7D06CF68" w14:textId="77777777" w:rsidR="00E754D9" w:rsidRPr="00932A16" w:rsidRDefault="00E754D9" w:rsidP="00422EC8">
            <w:pPr>
              <w:pStyle w:val="Tabletext"/>
            </w:pPr>
            <w:r w:rsidRPr="00F46D5B">
              <w:t>56</w:t>
            </w:r>
          </w:p>
        </w:tc>
        <w:tc>
          <w:tcPr>
            <w:tcW w:w="851" w:type="dxa"/>
            <w:shd w:val="clear" w:color="auto" w:fill="auto"/>
            <w:noWrap/>
            <w:vAlign w:val="center"/>
          </w:tcPr>
          <w:p w14:paraId="094FB847" w14:textId="77777777" w:rsidR="00E754D9" w:rsidRPr="00932A16" w:rsidRDefault="00E754D9" w:rsidP="00422EC8">
            <w:pPr>
              <w:pStyle w:val="Tabletext"/>
            </w:pPr>
            <w:r w:rsidRPr="00F46D5B">
              <w:t>57</w:t>
            </w:r>
          </w:p>
        </w:tc>
        <w:tc>
          <w:tcPr>
            <w:tcW w:w="850" w:type="dxa"/>
            <w:shd w:val="clear" w:color="auto" w:fill="auto"/>
            <w:noWrap/>
            <w:vAlign w:val="center"/>
          </w:tcPr>
          <w:p w14:paraId="525D3A0F" w14:textId="77777777" w:rsidR="00E754D9" w:rsidRPr="00932A16" w:rsidRDefault="00E754D9" w:rsidP="00422EC8">
            <w:pPr>
              <w:pStyle w:val="Tabletext"/>
            </w:pPr>
            <w:r w:rsidRPr="00F46D5B">
              <w:t>66</w:t>
            </w:r>
          </w:p>
        </w:tc>
        <w:tc>
          <w:tcPr>
            <w:tcW w:w="851" w:type="dxa"/>
            <w:shd w:val="clear" w:color="auto" w:fill="auto"/>
            <w:noWrap/>
            <w:vAlign w:val="center"/>
          </w:tcPr>
          <w:p w14:paraId="5D89291D" w14:textId="77777777" w:rsidR="00E754D9" w:rsidRPr="00932A16" w:rsidRDefault="00E754D9" w:rsidP="00422EC8">
            <w:pPr>
              <w:pStyle w:val="Tabletext"/>
            </w:pPr>
            <w:r w:rsidRPr="00F46D5B">
              <w:t>87</w:t>
            </w:r>
          </w:p>
        </w:tc>
        <w:tc>
          <w:tcPr>
            <w:tcW w:w="850" w:type="dxa"/>
            <w:shd w:val="clear" w:color="auto" w:fill="auto"/>
            <w:noWrap/>
            <w:vAlign w:val="center"/>
          </w:tcPr>
          <w:p w14:paraId="71FB2B4D" w14:textId="77777777" w:rsidR="00E754D9" w:rsidRPr="00932A16" w:rsidRDefault="00E754D9" w:rsidP="00422EC8">
            <w:pPr>
              <w:pStyle w:val="Tabletext"/>
            </w:pPr>
            <w:r w:rsidRPr="00F46D5B">
              <w:t>100</w:t>
            </w:r>
          </w:p>
        </w:tc>
        <w:tc>
          <w:tcPr>
            <w:tcW w:w="851" w:type="dxa"/>
            <w:shd w:val="clear" w:color="auto" w:fill="auto"/>
            <w:noWrap/>
            <w:vAlign w:val="center"/>
          </w:tcPr>
          <w:p w14:paraId="4BB92D25" w14:textId="77777777" w:rsidR="00E754D9" w:rsidRPr="00932A16" w:rsidRDefault="00E754D9" w:rsidP="00422EC8">
            <w:pPr>
              <w:pStyle w:val="Tabletext"/>
            </w:pPr>
            <w:r w:rsidRPr="00F46D5B">
              <w:t>127</w:t>
            </w:r>
          </w:p>
        </w:tc>
        <w:tc>
          <w:tcPr>
            <w:tcW w:w="850" w:type="dxa"/>
            <w:shd w:val="clear" w:color="auto" w:fill="auto"/>
            <w:noWrap/>
            <w:vAlign w:val="center"/>
          </w:tcPr>
          <w:p w14:paraId="1A05CE2B" w14:textId="77777777" w:rsidR="00E754D9" w:rsidRPr="00932A16" w:rsidRDefault="00E754D9" w:rsidP="00422EC8">
            <w:pPr>
              <w:pStyle w:val="Tabletext"/>
            </w:pPr>
            <w:r w:rsidRPr="00F46D5B">
              <w:t>182</w:t>
            </w:r>
          </w:p>
        </w:tc>
        <w:tc>
          <w:tcPr>
            <w:tcW w:w="833" w:type="dxa"/>
            <w:shd w:val="clear" w:color="auto" w:fill="auto"/>
            <w:noWrap/>
            <w:vAlign w:val="center"/>
          </w:tcPr>
          <w:p w14:paraId="6BC30669" w14:textId="77777777" w:rsidR="00E754D9" w:rsidRPr="00932A16" w:rsidRDefault="00E754D9" w:rsidP="00422EC8">
            <w:pPr>
              <w:pStyle w:val="Tabletext"/>
            </w:pPr>
            <w:r w:rsidRPr="00F46D5B">
              <w:t>177</w:t>
            </w:r>
          </w:p>
        </w:tc>
      </w:tr>
    </w:tbl>
    <w:p w14:paraId="457C9E11" w14:textId="77777777" w:rsidR="00E754D9" w:rsidRDefault="00E754D9" w:rsidP="00B23EBF">
      <w:pPr>
        <w:rPr>
          <w:rFonts w:eastAsiaTheme="minorHAnsi"/>
          <w:lang w:val="en-US" w:eastAsia="en-US"/>
        </w:rPr>
      </w:pPr>
      <w:r>
        <w:br w:type="page"/>
      </w:r>
    </w:p>
    <w:p w14:paraId="58C8D993" w14:textId="77777777" w:rsidR="00E754D9" w:rsidRPr="00741054" w:rsidRDefault="00E754D9" w:rsidP="00A94A83">
      <w:pPr>
        <w:pStyle w:val="Heading2a"/>
      </w:pPr>
      <w:r w:rsidRPr="00741054">
        <w:lastRenderedPageBreak/>
        <w:t>Item 41</w:t>
      </w:r>
      <w:r>
        <w:t>615</w:t>
      </w:r>
    </w:p>
    <w:p w14:paraId="2C4FCFB8" w14:textId="77777777" w:rsidR="00E754D9" w:rsidRPr="006D0141" w:rsidRDefault="00B23EBF" w:rsidP="00B23EBF">
      <w:pPr>
        <w:pStyle w:val="Caption"/>
      </w:pPr>
      <w:r>
        <w:t>Table D9:</w:t>
      </w:r>
      <w:r>
        <w:tab/>
      </w:r>
      <w:r w:rsidR="00E754D9">
        <w:t>Item 41615 – Description</w:t>
      </w:r>
    </w:p>
    <w:tbl>
      <w:tblPr>
        <w:tblW w:w="9090"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MBS item including description of service as well as Fees and Benefits"/>
      </w:tblPr>
      <w:tblGrid>
        <w:gridCol w:w="6030"/>
        <w:gridCol w:w="1440"/>
        <w:gridCol w:w="1620"/>
      </w:tblGrid>
      <w:tr w:rsidR="00B23EBF" w:rsidRPr="006D0141" w14:paraId="641912C6" w14:textId="77777777" w:rsidTr="00B23EBF">
        <w:trPr>
          <w:trHeight w:val="402"/>
        </w:trPr>
        <w:tc>
          <w:tcPr>
            <w:tcW w:w="6030" w:type="dxa"/>
            <w:shd w:val="clear" w:color="auto" w:fill="auto"/>
          </w:tcPr>
          <w:p w14:paraId="0CE08E3A" w14:textId="77777777" w:rsidR="00B23EBF" w:rsidRPr="000512F5" w:rsidRDefault="00B23EBF" w:rsidP="002C20E6">
            <w:pPr>
              <w:pStyle w:val="Tableheading"/>
            </w:pPr>
            <w:r w:rsidRPr="000512F5">
              <w:t>Descript</w:t>
            </w:r>
            <w:r>
              <w:t>i</w:t>
            </w:r>
            <w:r w:rsidRPr="000512F5">
              <w:t>o</w:t>
            </w:r>
            <w:r>
              <w:t>n</w:t>
            </w:r>
          </w:p>
        </w:tc>
        <w:tc>
          <w:tcPr>
            <w:tcW w:w="1440" w:type="dxa"/>
          </w:tcPr>
          <w:p w14:paraId="1DBD0C62" w14:textId="77777777" w:rsidR="00B23EBF" w:rsidRPr="000512F5" w:rsidRDefault="00B23EBF" w:rsidP="002C20E6">
            <w:pPr>
              <w:pStyle w:val="Tableheading"/>
            </w:pPr>
            <w:r>
              <w:t>Fee</w:t>
            </w:r>
          </w:p>
        </w:tc>
        <w:tc>
          <w:tcPr>
            <w:tcW w:w="1620" w:type="dxa"/>
          </w:tcPr>
          <w:p w14:paraId="7890BFC0" w14:textId="77777777" w:rsidR="00B23EBF" w:rsidRPr="000512F5" w:rsidRDefault="00B23EBF" w:rsidP="002C20E6">
            <w:pPr>
              <w:pStyle w:val="Tableheading"/>
            </w:pPr>
            <w:r>
              <w:t>Benefit</w:t>
            </w:r>
          </w:p>
        </w:tc>
      </w:tr>
      <w:tr w:rsidR="00B23EBF" w:rsidRPr="00422EC8" w14:paraId="4A2C34E1" w14:textId="77777777" w:rsidTr="00B23EBF">
        <w:trPr>
          <w:trHeight w:val="632"/>
        </w:trPr>
        <w:tc>
          <w:tcPr>
            <w:tcW w:w="6030" w:type="dxa"/>
            <w:shd w:val="clear" w:color="auto" w:fill="FFFFFF" w:themeFill="background1"/>
          </w:tcPr>
          <w:p w14:paraId="30F210AB" w14:textId="77777777" w:rsidR="00B23EBF" w:rsidRPr="00422EC8" w:rsidRDefault="00B23EBF" w:rsidP="00422EC8">
            <w:pPr>
              <w:pStyle w:val="Tabletext"/>
            </w:pPr>
            <w:r w:rsidRPr="00422EC8">
              <w:t>OVAL WINDOW SURGERY, including repair of fistula, not being a service associated with a service to which any other item in this Group applies (</w:t>
            </w:r>
            <w:proofErr w:type="spellStart"/>
            <w:r w:rsidRPr="00422EC8">
              <w:t>Anaes</w:t>
            </w:r>
            <w:proofErr w:type="spellEnd"/>
            <w:r w:rsidRPr="00422EC8">
              <w:t xml:space="preserve">.) (Assist.) </w:t>
            </w:r>
          </w:p>
        </w:tc>
        <w:tc>
          <w:tcPr>
            <w:tcW w:w="1440" w:type="dxa"/>
            <w:shd w:val="clear" w:color="auto" w:fill="FFFFFF" w:themeFill="background1"/>
          </w:tcPr>
          <w:p w14:paraId="517648B0" w14:textId="77777777" w:rsidR="00B23EBF" w:rsidRPr="00422EC8" w:rsidRDefault="00B23EBF" w:rsidP="00422EC8">
            <w:pPr>
              <w:pStyle w:val="Tabletext"/>
            </w:pPr>
            <w:r w:rsidRPr="00422EC8">
              <w:t>$1,089.90</w:t>
            </w:r>
          </w:p>
        </w:tc>
        <w:tc>
          <w:tcPr>
            <w:tcW w:w="1620" w:type="dxa"/>
            <w:shd w:val="clear" w:color="auto" w:fill="FFFFFF" w:themeFill="background1"/>
          </w:tcPr>
          <w:p w14:paraId="41CF563D" w14:textId="77777777" w:rsidR="00B23EBF" w:rsidRPr="00422EC8" w:rsidRDefault="00B23EBF" w:rsidP="00422EC8">
            <w:pPr>
              <w:pStyle w:val="Tabletext"/>
            </w:pPr>
            <w:r w:rsidRPr="00422EC8">
              <w:t>75% = $817.45; 85% = $1,011.50</w:t>
            </w:r>
          </w:p>
        </w:tc>
      </w:tr>
    </w:tbl>
    <w:p w14:paraId="1CF589F6" w14:textId="77777777" w:rsidR="00E754D9" w:rsidRPr="00932A16" w:rsidRDefault="00B23EBF" w:rsidP="00B23EBF">
      <w:pPr>
        <w:pStyle w:val="Caption"/>
      </w:pPr>
      <w:r>
        <w:t>Table D10:</w:t>
      </w:r>
      <w:r>
        <w:tab/>
      </w:r>
      <w:r w:rsidR="00E754D9">
        <w:t xml:space="preserve">Item 41615 – </w:t>
      </w:r>
      <w:r w:rsidR="00E754D9" w:rsidRPr="00932A16">
        <w:t xml:space="preserve">Key </w:t>
      </w:r>
      <w:r w:rsidR="00E754D9">
        <w:t>data for item</w:t>
      </w:r>
      <w:r w:rsidR="00E754D9" w:rsidRPr="00932A16">
        <w:t xml:space="preserve"> (date of processing)</w:t>
      </w:r>
    </w:p>
    <w:tbl>
      <w:tblPr>
        <w:tblW w:w="9214"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Services and Benefits paid in last financial year, including trend"/>
      </w:tblPr>
      <w:tblGrid>
        <w:gridCol w:w="1151"/>
        <w:gridCol w:w="1152"/>
        <w:gridCol w:w="1152"/>
        <w:gridCol w:w="1152"/>
        <w:gridCol w:w="1151"/>
        <w:gridCol w:w="1152"/>
        <w:gridCol w:w="1152"/>
        <w:gridCol w:w="1152"/>
      </w:tblGrid>
      <w:tr w:rsidR="00E754D9" w:rsidRPr="00447430" w14:paraId="60467FA8" w14:textId="77777777" w:rsidTr="003129E4">
        <w:trPr>
          <w:trHeight w:val="632"/>
        </w:trPr>
        <w:tc>
          <w:tcPr>
            <w:tcW w:w="1151" w:type="dxa"/>
            <w:shd w:val="clear" w:color="auto" w:fill="auto"/>
            <w:vAlign w:val="center"/>
          </w:tcPr>
          <w:p w14:paraId="12BA5D44" w14:textId="77777777" w:rsidR="00E754D9" w:rsidRPr="00447430" w:rsidRDefault="0096457B" w:rsidP="00447430">
            <w:pPr>
              <w:pStyle w:val="Tableheading"/>
            </w:pPr>
            <w:r w:rsidRPr="00447430">
              <w:t>Descriptor start</w:t>
            </w:r>
            <w:r w:rsidR="00E754D9" w:rsidRPr="00447430">
              <w:t xml:space="preserve"> date</w:t>
            </w:r>
          </w:p>
        </w:tc>
        <w:tc>
          <w:tcPr>
            <w:tcW w:w="1152" w:type="dxa"/>
            <w:shd w:val="clear" w:color="auto" w:fill="auto"/>
            <w:vAlign w:val="center"/>
          </w:tcPr>
          <w:p w14:paraId="1298A457" w14:textId="77777777" w:rsidR="00E754D9" w:rsidRPr="00447430" w:rsidRDefault="00E754D9" w:rsidP="00C50295">
            <w:pPr>
              <w:pStyle w:val="Tableheading"/>
            </w:pPr>
            <w:r w:rsidRPr="00447430">
              <w:t>Total Benefits paid 2014</w:t>
            </w:r>
            <w:r w:rsidR="00C50295">
              <w:t>–</w:t>
            </w:r>
            <w:r w:rsidRPr="00447430">
              <w:t xml:space="preserve">15 </w:t>
            </w:r>
          </w:p>
        </w:tc>
        <w:tc>
          <w:tcPr>
            <w:tcW w:w="1152" w:type="dxa"/>
            <w:shd w:val="clear" w:color="auto" w:fill="auto"/>
            <w:vAlign w:val="center"/>
          </w:tcPr>
          <w:p w14:paraId="04E55EA6" w14:textId="77777777" w:rsidR="00E754D9" w:rsidRPr="00447430" w:rsidRDefault="00E754D9" w:rsidP="00C50295">
            <w:pPr>
              <w:pStyle w:val="Tableheading"/>
            </w:pPr>
            <w:r w:rsidRPr="00447430">
              <w:t>Number of services 2014</w:t>
            </w:r>
            <w:r w:rsidR="00C50295">
              <w:t>–</w:t>
            </w:r>
            <w:r w:rsidRPr="00447430">
              <w:t>15</w:t>
            </w:r>
          </w:p>
        </w:tc>
        <w:tc>
          <w:tcPr>
            <w:tcW w:w="1152" w:type="dxa"/>
            <w:shd w:val="clear" w:color="auto" w:fill="auto"/>
            <w:vAlign w:val="center"/>
          </w:tcPr>
          <w:p w14:paraId="6E6CACE4" w14:textId="77777777" w:rsidR="00E754D9" w:rsidRPr="00447430" w:rsidRDefault="00E754D9" w:rsidP="00447430">
            <w:pPr>
              <w:pStyle w:val="Tableheading"/>
            </w:pPr>
            <w:r w:rsidRPr="00447430">
              <w:t>Total Patient count 2014-15</w:t>
            </w:r>
          </w:p>
        </w:tc>
        <w:tc>
          <w:tcPr>
            <w:tcW w:w="1151" w:type="dxa"/>
            <w:shd w:val="clear" w:color="auto" w:fill="auto"/>
            <w:vAlign w:val="center"/>
          </w:tcPr>
          <w:p w14:paraId="5A319592" w14:textId="77777777" w:rsidR="00E754D9" w:rsidRPr="00447430" w:rsidRDefault="00E754D9" w:rsidP="00C50295">
            <w:pPr>
              <w:pStyle w:val="Tableheading"/>
            </w:pPr>
            <w:r w:rsidRPr="00447430">
              <w:t>Total provider count 2014</w:t>
            </w:r>
            <w:r w:rsidR="00C50295">
              <w:t>–</w:t>
            </w:r>
            <w:r w:rsidRPr="00447430">
              <w:t>15</w:t>
            </w:r>
          </w:p>
        </w:tc>
        <w:tc>
          <w:tcPr>
            <w:tcW w:w="1152" w:type="dxa"/>
            <w:shd w:val="clear" w:color="auto" w:fill="auto"/>
            <w:vAlign w:val="center"/>
          </w:tcPr>
          <w:p w14:paraId="3B43EDDD" w14:textId="77777777" w:rsidR="00E754D9" w:rsidRPr="00447430" w:rsidRDefault="00E754D9" w:rsidP="00C50295">
            <w:pPr>
              <w:pStyle w:val="Tableheading"/>
            </w:pPr>
            <w:r w:rsidRPr="00447430">
              <w:t>Benefits Change (%) from 2011-12 to 2014</w:t>
            </w:r>
            <w:r w:rsidR="00C50295">
              <w:t>–</w:t>
            </w:r>
            <w:r w:rsidRPr="00447430">
              <w:t>15</w:t>
            </w:r>
          </w:p>
        </w:tc>
        <w:tc>
          <w:tcPr>
            <w:tcW w:w="1152" w:type="dxa"/>
            <w:shd w:val="clear" w:color="auto" w:fill="auto"/>
            <w:vAlign w:val="center"/>
          </w:tcPr>
          <w:p w14:paraId="3808F95F" w14:textId="77777777" w:rsidR="00E754D9" w:rsidRPr="00447430" w:rsidRDefault="00E754D9" w:rsidP="00C50295">
            <w:pPr>
              <w:pStyle w:val="Tableheading"/>
            </w:pPr>
            <w:r w:rsidRPr="00447430">
              <w:t>Service Change (%) from 2011-12 to 2014</w:t>
            </w:r>
            <w:r w:rsidR="00C50295">
              <w:t>–</w:t>
            </w:r>
            <w:r w:rsidRPr="00447430">
              <w:t>15</w:t>
            </w:r>
          </w:p>
        </w:tc>
        <w:tc>
          <w:tcPr>
            <w:tcW w:w="1152" w:type="dxa"/>
            <w:shd w:val="clear" w:color="auto" w:fill="auto"/>
            <w:vAlign w:val="center"/>
          </w:tcPr>
          <w:p w14:paraId="4B53934B" w14:textId="77777777" w:rsidR="00E754D9" w:rsidRPr="00447430" w:rsidRDefault="00E754D9" w:rsidP="00C50295">
            <w:pPr>
              <w:pStyle w:val="Tableheading"/>
            </w:pPr>
            <w:r w:rsidRPr="00447430">
              <w:t>% services provided out-of-hospital 2014</w:t>
            </w:r>
            <w:r w:rsidR="00C50295">
              <w:t>–</w:t>
            </w:r>
            <w:r w:rsidRPr="00447430">
              <w:t>15</w:t>
            </w:r>
          </w:p>
        </w:tc>
      </w:tr>
      <w:tr w:rsidR="00E754D9" w:rsidRPr="00932A16" w14:paraId="4F76555D" w14:textId="77777777" w:rsidTr="003129E4">
        <w:trPr>
          <w:trHeight w:val="306"/>
        </w:trPr>
        <w:tc>
          <w:tcPr>
            <w:tcW w:w="1151" w:type="dxa"/>
            <w:shd w:val="clear" w:color="auto" w:fill="FFFFFF" w:themeFill="background1"/>
            <w:vAlign w:val="center"/>
          </w:tcPr>
          <w:p w14:paraId="0B9C40F4" w14:textId="77777777" w:rsidR="00E754D9" w:rsidRPr="00932A16" w:rsidRDefault="00E754D9" w:rsidP="00422EC8">
            <w:pPr>
              <w:pStyle w:val="Tabletext"/>
            </w:pPr>
            <w:r w:rsidRPr="00F46D5B">
              <w:t>1994</w:t>
            </w:r>
          </w:p>
        </w:tc>
        <w:tc>
          <w:tcPr>
            <w:tcW w:w="1152" w:type="dxa"/>
            <w:shd w:val="clear" w:color="auto" w:fill="FFFFFF" w:themeFill="background1"/>
            <w:vAlign w:val="center"/>
          </w:tcPr>
          <w:p w14:paraId="047479DB" w14:textId="77777777" w:rsidR="00E754D9" w:rsidRPr="00932A16" w:rsidRDefault="00E754D9" w:rsidP="00422EC8">
            <w:pPr>
              <w:pStyle w:val="Tabletext"/>
              <w:rPr>
                <w:bCs/>
              </w:rPr>
            </w:pPr>
            <w:r w:rsidRPr="00F46D5B">
              <w:rPr>
                <w:bCs/>
              </w:rPr>
              <w:t xml:space="preserve">15,707 </w:t>
            </w:r>
          </w:p>
        </w:tc>
        <w:tc>
          <w:tcPr>
            <w:tcW w:w="1152" w:type="dxa"/>
            <w:shd w:val="clear" w:color="auto" w:fill="FFFFFF" w:themeFill="background1"/>
            <w:vAlign w:val="center"/>
          </w:tcPr>
          <w:p w14:paraId="0373764B" w14:textId="77777777" w:rsidR="00E754D9" w:rsidRPr="00932A16" w:rsidRDefault="00E754D9" w:rsidP="00422EC8">
            <w:pPr>
              <w:pStyle w:val="Tabletext"/>
              <w:rPr>
                <w:bCs/>
              </w:rPr>
            </w:pPr>
            <w:r w:rsidRPr="00F46D5B">
              <w:rPr>
                <w:bCs/>
              </w:rPr>
              <w:t xml:space="preserve">20 </w:t>
            </w:r>
          </w:p>
        </w:tc>
        <w:tc>
          <w:tcPr>
            <w:tcW w:w="1152" w:type="dxa"/>
            <w:shd w:val="clear" w:color="auto" w:fill="FFFFFF" w:themeFill="background1"/>
            <w:vAlign w:val="center"/>
          </w:tcPr>
          <w:p w14:paraId="7F8DC367" w14:textId="77777777" w:rsidR="00E754D9" w:rsidRPr="00932A16" w:rsidRDefault="00E754D9" w:rsidP="00422EC8">
            <w:pPr>
              <w:pStyle w:val="Tabletext"/>
              <w:rPr>
                <w:bCs/>
              </w:rPr>
            </w:pPr>
            <w:r w:rsidRPr="00F46D5B">
              <w:rPr>
                <w:bCs/>
              </w:rPr>
              <w:t xml:space="preserve">20 </w:t>
            </w:r>
          </w:p>
        </w:tc>
        <w:tc>
          <w:tcPr>
            <w:tcW w:w="1151" w:type="dxa"/>
            <w:shd w:val="clear" w:color="auto" w:fill="FFFFFF" w:themeFill="background1"/>
            <w:vAlign w:val="center"/>
          </w:tcPr>
          <w:p w14:paraId="7C8E5467" w14:textId="77777777" w:rsidR="00E754D9" w:rsidRPr="00932A16" w:rsidRDefault="00E754D9" w:rsidP="00422EC8">
            <w:pPr>
              <w:pStyle w:val="Tabletext"/>
              <w:rPr>
                <w:bCs/>
              </w:rPr>
            </w:pPr>
            <w:r w:rsidRPr="00F46D5B">
              <w:rPr>
                <w:bCs/>
              </w:rPr>
              <w:t xml:space="preserve">14 </w:t>
            </w:r>
          </w:p>
        </w:tc>
        <w:tc>
          <w:tcPr>
            <w:tcW w:w="1152" w:type="dxa"/>
            <w:shd w:val="clear" w:color="auto" w:fill="FFFFFF" w:themeFill="background1"/>
            <w:vAlign w:val="center"/>
          </w:tcPr>
          <w:p w14:paraId="7B48FBB6" w14:textId="77777777" w:rsidR="00E754D9" w:rsidRPr="00932A16" w:rsidRDefault="00E754D9" w:rsidP="00422EC8">
            <w:pPr>
              <w:pStyle w:val="Tabletext"/>
              <w:rPr>
                <w:bCs/>
              </w:rPr>
            </w:pPr>
            <w:r w:rsidRPr="00F46D5B">
              <w:rPr>
                <w:bCs/>
              </w:rPr>
              <w:t>-24.9%</w:t>
            </w:r>
          </w:p>
        </w:tc>
        <w:tc>
          <w:tcPr>
            <w:tcW w:w="1152" w:type="dxa"/>
            <w:shd w:val="clear" w:color="auto" w:fill="FFFFFF" w:themeFill="background1"/>
            <w:vAlign w:val="center"/>
          </w:tcPr>
          <w:p w14:paraId="39ED5E8B" w14:textId="77777777" w:rsidR="00E754D9" w:rsidRPr="00932A16" w:rsidRDefault="00E754D9" w:rsidP="00422EC8">
            <w:pPr>
              <w:pStyle w:val="Tabletext"/>
              <w:rPr>
                <w:bCs/>
              </w:rPr>
            </w:pPr>
            <w:r w:rsidRPr="00F46D5B">
              <w:rPr>
                <w:bCs/>
              </w:rPr>
              <w:t>-31.0%</w:t>
            </w:r>
          </w:p>
        </w:tc>
        <w:tc>
          <w:tcPr>
            <w:tcW w:w="1152" w:type="dxa"/>
            <w:shd w:val="clear" w:color="auto" w:fill="FFFFFF" w:themeFill="background1"/>
            <w:vAlign w:val="center"/>
          </w:tcPr>
          <w:p w14:paraId="6250C3D9" w14:textId="77777777" w:rsidR="00E754D9" w:rsidRPr="00932A16" w:rsidRDefault="00E754D9" w:rsidP="00422EC8">
            <w:pPr>
              <w:pStyle w:val="Tabletext"/>
              <w:rPr>
                <w:bCs/>
              </w:rPr>
            </w:pPr>
            <w:r w:rsidRPr="00F46D5B">
              <w:rPr>
                <w:bCs/>
              </w:rPr>
              <w:t>0.0%</w:t>
            </w:r>
          </w:p>
        </w:tc>
      </w:tr>
    </w:tbl>
    <w:p w14:paraId="09B5C274" w14:textId="77777777" w:rsidR="00E754D9" w:rsidRDefault="00E754D9" w:rsidP="00E754D9">
      <w:pPr>
        <w:pStyle w:val="TableUnderlast"/>
      </w:pPr>
      <w:r w:rsidRPr="00B65B58">
        <w:t>Unpublished data (Department of Health).</w:t>
      </w:r>
    </w:p>
    <w:p w14:paraId="1CF1A4AC" w14:textId="77777777" w:rsidR="00E754D9" w:rsidRPr="00681146" w:rsidRDefault="00B23EBF" w:rsidP="00B23EBF">
      <w:pPr>
        <w:pStyle w:val="Caption"/>
        <w:rPr>
          <w:iCs/>
        </w:rPr>
      </w:pPr>
      <w:r>
        <w:t>Table D11:</w:t>
      </w:r>
      <w:r>
        <w:tab/>
      </w:r>
      <w:r w:rsidR="00E754D9">
        <w:t xml:space="preserve">Item 41615 – </w:t>
      </w:r>
      <w:r w:rsidR="00E754D9" w:rsidRPr="007A5A96">
        <w:t>Number of services by state in 2014</w:t>
      </w:r>
      <w:r w:rsidR="00C50295">
        <w:t>–</w:t>
      </w:r>
      <w:r w:rsidR="00E754D9" w:rsidRPr="007A5A96">
        <w:t xml:space="preserve">15 </w:t>
      </w:r>
    </w:p>
    <w:tbl>
      <w:tblPr>
        <w:tblW w:w="9072" w:type="dxa"/>
        <w:jc w:val="center"/>
        <w:tblBorders>
          <w:top w:val="single" w:sz="4" w:space="0" w:color="B56011"/>
          <w:bottom w:val="single" w:sz="4" w:space="0" w:color="B56011"/>
          <w:insideH w:val="single" w:sz="4" w:space="0" w:color="B56011"/>
        </w:tblBorders>
        <w:tblLook w:val="04A0" w:firstRow="1" w:lastRow="0" w:firstColumn="1" w:lastColumn="0" w:noHBand="0" w:noVBand="1"/>
        <w:tblCaption w:val="Total services from above table divided by State or Territory"/>
      </w:tblPr>
      <w:tblGrid>
        <w:gridCol w:w="1050"/>
        <w:gridCol w:w="1026"/>
        <w:gridCol w:w="1040"/>
        <w:gridCol w:w="1015"/>
        <w:gridCol w:w="1030"/>
        <w:gridCol w:w="1033"/>
        <w:gridCol w:w="1036"/>
        <w:gridCol w:w="1018"/>
        <w:gridCol w:w="824"/>
      </w:tblGrid>
      <w:tr w:rsidR="00E754D9" w:rsidRPr="00932A16" w14:paraId="5C563936" w14:textId="77777777" w:rsidTr="003129E4">
        <w:trPr>
          <w:trHeight w:val="305"/>
          <w:tblHeader/>
          <w:jc w:val="center"/>
        </w:trPr>
        <w:tc>
          <w:tcPr>
            <w:tcW w:w="1050" w:type="dxa"/>
            <w:shd w:val="clear" w:color="auto" w:fill="auto"/>
            <w:vAlign w:val="center"/>
            <w:hideMark/>
          </w:tcPr>
          <w:p w14:paraId="7D472DBA" w14:textId="77777777" w:rsidR="00E754D9" w:rsidRPr="00932A16" w:rsidRDefault="00E754D9" w:rsidP="002C20E6">
            <w:pPr>
              <w:pStyle w:val="Tableheading"/>
            </w:pPr>
            <w:r w:rsidRPr="00932A16">
              <w:t>NSW</w:t>
            </w:r>
          </w:p>
        </w:tc>
        <w:tc>
          <w:tcPr>
            <w:tcW w:w="1026" w:type="dxa"/>
            <w:shd w:val="clear" w:color="auto" w:fill="auto"/>
            <w:vAlign w:val="center"/>
            <w:hideMark/>
          </w:tcPr>
          <w:p w14:paraId="2EB23135" w14:textId="77777777" w:rsidR="00E754D9" w:rsidRPr="00932A16" w:rsidRDefault="00E754D9" w:rsidP="002C20E6">
            <w:pPr>
              <w:pStyle w:val="Tableheading"/>
            </w:pPr>
            <w:r w:rsidRPr="00932A16">
              <w:t>VIC</w:t>
            </w:r>
          </w:p>
        </w:tc>
        <w:tc>
          <w:tcPr>
            <w:tcW w:w="1040" w:type="dxa"/>
            <w:shd w:val="clear" w:color="auto" w:fill="auto"/>
            <w:vAlign w:val="center"/>
            <w:hideMark/>
          </w:tcPr>
          <w:p w14:paraId="051682D1" w14:textId="77777777" w:rsidR="00E754D9" w:rsidRPr="00932A16" w:rsidRDefault="00E754D9" w:rsidP="002C20E6">
            <w:pPr>
              <w:pStyle w:val="Tableheading"/>
            </w:pPr>
            <w:r w:rsidRPr="00932A16">
              <w:t>QLD</w:t>
            </w:r>
          </w:p>
        </w:tc>
        <w:tc>
          <w:tcPr>
            <w:tcW w:w="1015" w:type="dxa"/>
            <w:shd w:val="clear" w:color="auto" w:fill="auto"/>
            <w:vAlign w:val="center"/>
            <w:hideMark/>
          </w:tcPr>
          <w:p w14:paraId="4BA5471E" w14:textId="77777777" w:rsidR="00E754D9" w:rsidRPr="00932A16" w:rsidRDefault="00E754D9" w:rsidP="002C20E6">
            <w:pPr>
              <w:pStyle w:val="Tableheading"/>
            </w:pPr>
            <w:r w:rsidRPr="00932A16">
              <w:t>SA</w:t>
            </w:r>
          </w:p>
        </w:tc>
        <w:tc>
          <w:tcPr>
            <w:tcW w:w="1030" w:type="dxa"/>
            <w:shd w:val="clear" w:color="auto" w:fill="auto"/>
            <w:vAlign w:val="center"/>
            <w:hideMark/>
          </w:tcPr>
          <w:p w14:paraId="1EA636C6" w14:textId="77777777" w:rsidR="00E754D9" w:rsidRPr="00932A16" w:rsidRDefault="00E754D9" w:rsidP="002C20E6">
            <w:pPr>
              <w:pStyle w:val="Tableheading"/>
            </w:pPr>
            <w:r w:rsidRPr="00932A16">
              <w:t>WA</w:t>
            </w:r>
          </w:p>
        </w:tc>
        <w:tc>
          <w:tcPr>
            <w:tcW w:w="1033" w:type="dxa"/>
            <w:shd w:val="clear" w:color="auto" w:fill="auto"/>
            <w:vAlign w:val="center"/>
            <w:hideMark/>
          </w:tcPr>
          <w:p w14:paraId="698FFA7B" w14:textId="77777777" w:rsidR="00E754D9" w:rsidRPr="00932A16" w:rsidRDefault="00E754D9" w:rsidP="002C20E6">
            <w:pPr>
              <w:pStyle w:val="Tableheading"/>
            </w:pPr>
            <w:r w:rsidRPr="00932A16">
              <w:t>TAS</w:t>
            </w:r>
          </w:p>
        </w:tc>
        <w:tc>
          <w:tcPr>
            <w:tcW w:w="1036" w:type="dxa"/>
            <w:shd w:val="clear" w:color="auto" w:fill="auto"/>
            <w:vAlign w:val="center"/>
            <w:hideMark/>
          </w:tcPr>
          <w:p w14:paraId="5389357F" w14:textId="77777777" w:rsidR="00E754D9" w:rsidRPr="00932A16" w:rsidRDefault="00E754D9" w:rsidP="002C20E6">
            <w:pPr>
              <w:pStyle w:val="Tableheading"/>
            </w:pPr>
            <w:r w:rsidRPr="00932A16">
              <w:t>ACT</w:t>
            </w:r>
          </w:p>
        </w:tc>
        <w:tc>
          <w:tcPr>
            <w:tcW w:w="1018" w:type="dxa"/>
            <w:shd w:val="clear" w:color="auto" w:fill="auto"/>
            <w:vAlign w:val="center"/>
            <w:hideMark/>
          </w:tcPr>
          <w:p w14:paraId="51D629CB" w14:textId="77777777" w:rsidR="00E754D9" w:rsidRPr="00932A16" w:rsidRDefault="00E754D9" w:rsidP="002C20E6">
            <w:pPr>
              <w:pStyle w:val="Tableheading"/>
            </w:pPr>
            <w:r w:rsidRPr="00932A16">
              <w:t>NT</w:t>
            </w:r>
          </w:p>
        </w:tc>
        <w:tc>
          <w:tcPr>
            <w:tcW w:w="824" w:type="dxa"/>
            <w:shd w:val="clear" w:color="auto" w:fill="auto"/>
            <w:vAlign w:val="center"/>
            <w:hideMark/>
          </w:tcPr>
          <w:p w14:paraId="200E36BA" w14:textId="77777777" w:rsidR="00E754D9" w:rsidRPr="00932A16" w:rsidRDefault="00E754D9" w:rsidP="002C20E6">
            <w:pPr>
              <w:pStyle w:val="Tableheading"/>
            </w:pPr>
            <w:r>
              <w:t>Total</w:t>
            </w:r>
          </w:p>
        </w:tc>
      </w:tr>
      <w:tr w:rsidR="00E754D9" w:rsidRPr="00422EC8" w14:paraId="06ADCC05" w14:textId="77777777" w:rsidTr="003129E4">
        <w:trPr>
          <w:trHeight w:val="305"/>
          <w:jc w:val="center"/>
        </w:trPr>
        <w:tc>
          <w:tcPr>
            <w:tcW w:w="1050" w:type="dxa"/>
            <w:shd w:val="clear" w:color="auto" w:fill="auto"/>
            <w:vAlign w:val="center"/>
          </w:tcPr>
          <w:p w14:paraId="72DDBCEF" w14:textId="77777777" w:rsidR="00E754D9" w:rsidRPr="00422EC8" w:rsidRDefault="00E754D9" w:rsidP="00422EC8">
            <w:pPr>
              <w:pStyle w:val="Tabletext"/>
            </w:pPr>
            <w:r w:rsidRPr="00422EC8">
              <w:t>1</w:t>
            </w:r>
          </w:p>
        </w:tc>
        <w:tc>
          <w:tcPr>
            <w:tcW w:w="1026" w:type="dxa"/>
            <w:shd w:val="clear" w:color="auto" w:fill="auto"/>
            <w:vAlign w:val="center"/>
          </w:tcPr>
          <w:p w14:paraId="3FA60161" w14:textId="77777777" w:rsidR="00E754D9" w:rsidRPr="00422EC8" w:rsidRDefault="00E754D9" w:rsidP="00422EC8">
            <w:pPr>
              <w:pStyle w:val="Tabletext"/>
            </w:pPr>
            <w:r w:rsidRPr="00422EC8">
              <w:t>5</w:t>
            </w:r>
          </w:p>
        </w:tc>
        <w:tc>
          <w:tcPr>
            <w:tcW w:w="1040" w:type="dxa"/>
            <w:shd w:val="clear" w:color="auto" w:fill="auto"/>
            <w:vAlign w:val="center"/>
          </w:tcPr>
          <w:p w14:paraId="5E8FB716" w14:textId="77777777" w:rsidR="00E754D9" w:rsidRPr="00422EC8" w:rsidRDefault="00E754D9" w:rsidP="00422EC8">
            <w:pPr>
              <w:pStyle w:val="Tabletext"/>
            </w:pPr>
            <w:r w:rsidRPr="00422EC8">
              <w:t>3</w:t>
            </w:r>
          </w:p>
        </w:tc>
        <w:tc>
          <w:tcPr>
            <w:tcW w:w="1015" w:type="dxa"/>
            <w:shd w:val="clear" w:color="auto" w:fill="auto"/>
            <w:vAlign w:val="center"/>
          </w:tcPr>
          <w:p w14:paraId="4A6FA075" w14:textId="77777777" w:rsidR="00E754D9" w:rsidRPr="00422EC8" w:rsidRDefault="00E754D9" w:rsidP="00422EC8">
            <w:pPr>
              <w:pStyle w:val="Tabletext"/>
            </w:pPr>
            <w:r w:rsidRPr="00422EC8">
              <w:t>4</w:t>
            </w:r>
          </w:p>
        </w:tc>
        <w:tc>
          <w:tcPr>
            <w:tcW w:w="1030" w:type="dxa"/>
            <w:shd w:val="clear" w:color="auto" w:fill="auto"/>
            <w:vAlign w:val="center"/>
          </w:tcPr>
          <w:p w14:paraId="376B7DB3" w14:textId="77777777" w:rsidR="00E754D9" w:rsidRPr="00422EC8" w:rsidRDefault="00E754D9" w:rsidP="00422EC8">
            <w:pPr>
              <w:pStyle w:val="Tabletext"/>
            </w:pPr>
            <w:r w:rsidRPr="00422EC8">
              <w:t>7</w:t>
            </w:r>
          </w:p>
        </w:tc>
        <w:tc>
          <w:tcPr>
            <w:tcW w:w="1033" w:type="dxa"/>
            <w:shd w:val="clear" w:color="auto" w:fill="auto"/>
            <w:vAlign w:val="center"/>
          </w:tcPr>
          <w:p w14:paraId="31C203A9" w14:textId="77777777" w:rsidR="00E754D9" w:rsidRPr="00422EC8" w:rsidRDefault="00E754D9" w:rsidP="00422EC8">
            <w:pPr>
              <w:pStyle w:val="Tabletext"/>
            </w:pPr>
            <w:r w:rsidRPr="00422EC8">
              <w:t>0</w:t>
            </w:r>
          </w:p>
        </w:tc>
        <w:tc>
          <w:tcPr>
            <w:tcW w:w="1036" w:type="dxa"/>
            <w:shd w:val="clear" w:color="auto" w:fill="auto"/>
            <w:vAlign w:val="center"/>
          </w:tcPr>
          <w:p w14:paraId="7B1336BE" w14:textId="77777777" w:rsidR="00E754D9" w:rsidRPr="00422EC8" w:rsidRDefault="00E754D9" w:rsidP="00422EC8">
            <w:pPr>
              <w:pStyle w:val="Tabletext"/>
            </w:pPr>
            <w:r w:rsidRPr="00422EC8">
              <w:t>0</w:t>
            </w:r>
          </w:p>
        </w:tc>
        <w:tc>
          <w:tcPr>
            <w:tcW w:w="1018" w:type="dxa"/>
            <w:shd w:val="clear" w:color="auto" w:fill="auto"/>
            <w:vAlign w:val="center"/>
          </w:tcPr>
          <w:p w14:paraId="2B281AC0" w14:textId="77777777" w:rsidR="00E754D9" w:rsidRPr="00422EC8" w:rsidRDefault="00E754D9" w:rsidP="00422EC8">
            <w:pPr>
              <w:pStyle w:val="Tabletext"/>
            </w:pPr>
            <w:r w:rsidRPr="00422EC8">
              <w:t>0</w:t>
            </w:r>
          </w:p>
        </w:tc>
        <w:tc>
          <w:tcPr>
            <w:tcW w:w="824" w:type="dxa"/>
            <w:shd w:val="clear" w:color="auto" w:fill="auto"/>
            <w:vAlign w:val="center"/>
          </w:tcPr>
          <w:p w14:paraId="3C96F7D0" w14:textId="77777777" w:rsidR="00E754D9" w:rsidRPr="00422EC8" w:rsidRDefault="00E754D9" w:rsidP="00422EC8">
            <w:pPr>
              <w:pStyle w:val="Tabletext"/>
            </w:pPr>
            <w:r w:rsidRPr="00422EC8">
              <w:t>20</w:t>
            </w:r>
          </w:p>
        </w:tc>
      </w:tr>
    </w:tbl>
    <w:p w14:paraId="54788D0B" w14:textId="77777777" w:rsidR="00E754D9" w:rsidRDefault="00E754D9" w:rsidP="00E754D9">
      <w:pPr>
        <w:pStyle w:val="TableUnderlast"/>
      </w:pPr>
      <w:r w:rsidRPr="00B65B58">
        <w:t>Public data (Department of Human Services website)</w:t>
      </w:r>
      <w:r>
        <w:t>.</w:t>
      </w:r>
    </w:p>
    <w:p w14:paraId="2FC7C5CD" w14:textId="77777777" w:rsidR="00E754D9" w:rsidRPr="00681146" w:rsidRDefault="00B23EBF" w:rsidP="00B23EBF">
      <w:pPr>
        <w:pStyle w:val="Caption"/>
        <w:rPr>
          <w:iCs/>
        </w:rPr>
      </w:pPr>
      <w:r>
        <w:t>Table D12:</w:t>
      </w:r>
      <w:r>
        <w:tab/>
      </w:r>
      <w:r w:rsidR="00E754D9">
        <w:t xml:space="preserve">Item 41615 – </w:t>
      </w:r>
      <w:r w:rsidR="00E754D9" w:rsidRPr="007A5A96">
        <w:t xml:space="preserve">Number of services by financial year </w:t>
      </w:r>
    </w:p>
    <w:tbl>
      <w:tblPr>
        <w:tblW w:w="9072" w:type="dxa"/>
        <w:jc w:val="center"/>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Trend for use of the MBS item over time"/>
      </w:tblPr>
      <w:tblGrid>
        <w:gridCol w:w="824"/>
        <w:gridCol w:w="825"/>
        <w:gridCol w:w="825"/>
        <w:gridCol w:w="824"/>
        <w:gridCol w:w="825"/>
        <w:gridCol w:w="825"/>
        <w:gridCol w:w="825"/>
        <w:gridCol w:w="824"/>
        <w:gridCol w:w="825"/>
        <w:gridCol w:w="825"/>
        <w:gridCol w:w="825"/>
      </w:tblGrid>
      <w:tr w:rsidR="00E754D9" w:rsidRPr="00AA632A" w14:paraId="294C89BD" w14:textId="77777777" w:rsidTr="003129E4">
        <w:trPr>
          <w:trHeight w:val="300"/>
          <w:jc w:val="center"/>
        </w:trPr>
        <w:tc>
          <w:tcPr>
            <w:tcW w:w="824" w:type="dxa"/>
            <w:shd w:val="clear" w:color="auto" w:fill="auto"/>
            <w:noWrap/>
            <w:hideMark/>
          </w:tcPr>
          <w:p w14:paraId="1DFC050B" w14:textId="77777777" w:rsidR="00E754D9" w:rsidRPr="00AA632A" w:rsidRDefault="00E754D9" w:rsidP="00AA632A">
            <w:pPr>
              <w:pStyle w:val="Tableheading"/>
              <w:rPr>
                <w:sz w:val="18"/>
              </w:rPr>
            </w:pPr>
            <w:r w:rsidRPr="00AA632A">
              <w:rPr>
                <w:sz w:val="18"/>
              </w:rPr>
              <w:t>2004-05</w:t>
            </w:r>
          </w:p>
        </w:tc>
        <w:tc>
          <w:tcPr>
            <w:tcW w:w="825" w:type="dxa"/>
            <w:shd w:val="clear" w:color="auto" w:fill="auto"/>
            <w:noWrap/>
            <w:hideMark/>
          </w:tcPr>
          <w:p w14:paraId="685A39FB" w14:textId="77777777" w:rsidR="00E754D9" w:rsidRPr="00AA632A" w:rsidRDefault="00E754D9" w:rsidP="00AA632A">
            <w:pPr>
              <w:pStyle w:val="Tableheading"/>
              <w:rPr>
                <w:sz w:val="18"/>
              </w:rPr>
            </w:pPr>
            <w:r w:rsidRPr="00AA632A">
              <w:rPr>
                <w:sz w:val="18"/>
              </w:rPr>
              <w:t>2005-06</w:t>
            </w:r>
          </w:p>
        </w:tc>
        <w:tc>
          <w:tcPr>
            <w:tcW w:w="825" w:type="dxa"/>
            <w:shd w:val="clear" w:color="auto" w:fill="auto"/>
            <w:noWrap/>
            <w:hideMark/>
          </w:tcPr>
          <w:p w14:paraId="686F3ADB" w14:textId="77777777" w:rsidR="00E754D9" w:rsidRPr="00AA632A" w:rsidRDefault="00E754D9" w:rsidP="00AA632A">
            <w:pPr>
              <w:pStyle w:val="Tableheading"/>
              <w:rPr>
                <w:sz w:val="18"/>
              </w:rPr>
            </w:pPr>
            <w:r w:rsidRPr="00AA632A">
              <w:rPr>
                <w:sz w:val="18"/>
              </w:rPr>
              <w:t>2006-07</w:t>
            </w:r>
          </w:p>
        </w:tc>
        <w:tc>
          <w:tcPr>
            <w:tcW w:w="824" w:type="dxa"/>
            <w:shd w:val="clear" w:color="auto" w:fill="auto"/>
            <w:noWrap/>
            <w:hideMark/>
          </w:tcPr>
          <w:p w14:paraId="0E31DA40" w14:textId="77777777" w:rsidR="00E754D9" w:rsidRPr="00AA632A" w:rsidRDefault="00E754D9" w:rsidP="00AA632A">
            <w:pPr>
              <w:pStyle w:val="Tableheading"/>
              <w:rPr>
                <w:sz w:val="18"/>
              </w:rPr>
            </w:pPr>
            <w:r w:rsidRPr="00AA632A">
              <w:rPr>
                <w:sz w:val="18"/>
              </w:rPr>
              <w:t>2007-08</w:t>
            </w:r>
          </w:p>
        </w:tc>
        <w:tc>
          <w:tcPr>
            <w:tcW w:w="825" w:type="dxa"/>
            <w:shd w:val="clear" w:color="auto" w:fill="auto"/>
            <w:noWrap/>
            <w:hideMark/>
          </w:tcPr>
          <w:p w14:paraId="298E71F0" w14:textId="77777777" w:rsidR="00E754D9" w:rsidRPr="00AA632A" w:rsidRDefault="00E754D9" w:rsidP="00AA632A">
            <w:pPr>
              <w:pStyle w:val="Tableheading"/>
              <w:rPr>
                <w:sz w:val="18"/>
              </w:rPr>
            </w:pPr>
            <w:r w:rsidRPr="00AA632A">
              <w:rPr>
                <w:sz w:val="18"/>
              </w:rPr>
              <w:t>2008-09</w:t>
            </w:r>
          </w:p>
        </w:tc>
        <w:tc>
          <w:tcPr>
            <w:tcW w:w="825" w:type="dxa"/>
            <w:shd w:val="clear" w:color="auto" w:fill="auto"/>
            <w:noWrap/>
            <w:hideMark/>
          </w:tcPr>
          <w:p w14:paraId="58B5CFDD" w14:textId="77777777" w:rsidR="00E754D9" w:rsidRPr="00AA632A" w:rsidRDefault="00E754D9" w:rsidP="00AA632A">
            <w:pPr>
              <w:pStyle w:val="Tableheading"/>
              <w:rPr>
                <w:sz w:val="18"/>
              </w:rPr>
            </w:pPr>
            <w:r w:rsidRPr="00AA632A">
              <w:rPr>
                <w:sz w:val="18"/>
              </w:rPr>
              <w:t>2009-10</w:t>
            </w:r>
          </w:p>
        </w:tc>
        <w:tc>
          <w:tcPr>
            <w:tcW w:w="825" w:type="dxa"/>
            <w:shd w:val="clear" w:color="auto" w:fill="auto"/>
            <w:noWrap/>
            <w:hideMark/>
          </w:tcPr>
          <w:p w14:paraId="51F43CA8" w14:textId="77777777" w:rsidR="00E754D9" w:rsidRPr="00AA632A" w:rsidRDefault="00E754D9" w:rsidP="00AA632A">
            <w:pPr>
              <w:pStyle w:val="Tableheading"/>
              <w:rPr>
                <w:sz w:val="18"/>
              </w:rPr>
            </w:pPr>
            <w:r w:rsidRPr="00AA632A">
              <w:rPr>
                <w:sz w:val="18"/>
              </w:rPr>
              <w:t>2010-11</w:t>
            </w:r>
          </w:p>
        </w:tc>
        <w:tc>
          <w:tcPr>
            <w:tcW w:w="824" w:type="dxa"/>
            <w:shd w:val="clear" w:color="auto" w:fill="auto"/>
            <w:noWrap/>
            <w:hideMark/>
          </w:tcPr>
          <w:p w14:paraId="21C7DE09" w14:textId="77777777" w:rsidR="00E754D9" w:rsidRPr="00AA632A" w:rsidRDefault="00E754D9" w:rsidP="00AA632A">
            <w:pPr>
              <w:pStyle w:val="Tableheading"/>
              <w:rPr>
                <w:sz w:val="18"/>
              </w:rPr>
            </w:pPr>
            <w:r w:rsidRPr="00AA632A">
              <w:rPr>
                <w:sz w:val="18"/>
              </w:rPr>
              <w:t>2011-12</w:t>
            </w:r>
          </w:p>
        </w:tc>
        <w:tc>
          <w:tcPr>
            <w:tcW w:w="825" w:type="dxa"/>
            <w:shd w:val="clear" w:color="auto" w:fill="auto"/>
            <w:noWrap/>
            <w:hideMark/>
          </w:tcPr>
          <w:p w14:paraId="0B9DD36B" w14:textId="77777777" w:rsidR="00E754D9" w:rsidRPr="00AA632A" w:rsidRDefault="00E754D9" w:rsidP="00AA632A">
            <w:pPr>
              <w:pStyle w:val="Tableheading"/>
              <w:rPr>
                <w:sz w:val="18"/>
              </w:rPr>
            </w:pPr>
            <w:r w:rsidRPr="00AA632A">
              <w:rPr>
                <w:sz w:val="18"/>
              </w:rPr>
              <w:t>2012-13</w:t>
            </w:r>
          </w:p>
        </w:tc>
        <w:tc>
          <w:tcPr>
            <w:tcW w:w="825" w:type="dxa"/>
            <w:shd w:val="clear" w:color="auto" w:fill="auto"/>
            <w:noWrap/>
            <w:hideMark/>
          </w:tcPr>
          <w:p w14:paraId="40C462AC" w14:textId="77777777" w:rsidR="00E754D9" w:rsidRPr="00AA632A" w:rsidRDefault="00E754D9" w:rsidP="00AA632A">
            <w:pPr>
              <w:pStyle w:val="Tableheading"/>
              <w:rPr>
                <w:sz w:val="18"/>
              </w:rPr>
            </w:pPr>
            <w:r w:rsidRPr="00AA632A">
              <w:rPr>
                <w:sz w:val="18"/>
              </w:rPr>
              <w:t>2013-14</w:t>
            </w:r>
          </w:p>
        </w:tc>
        <w:tc>
          <w:tcPr>
            <w:tcW w:w="825" w:type="dxa"/>
            <w:shd w:val="clear" w:color="auto" w:fill="auto"/>
            <w:noWrap/>
            <w:hideMark/>
          </w:tcPr>
          <w:p w14:paraId="490A402B" w14:textId="77777777" w:rsidR="00E754D9" w:rsidRPr="00AA632A" w:rsidRDefault="00E754D9" w:rsidP="00AA632A">
            <w:pPr>
              <w:pStyle w:val="Tableheading"/>
              <w:rPr>
                <w:sz w:val="18"/>
              </w:rPr>
            </w:pPr>
            <w:r w:rsidRPr="00AA632A">
              <w:rPr>
                <w:sz w:val="18"/>
              </w:rPr>
              <w:t>2014-15</w:t>
            </w:r>
          </w:p>
        </w:tc>
      </w:tr>
      <w:tr w:rsidR="00E754D9" w:rsidRPr="00932A16" w14:paraId="6F0C4C58" w14:textId="77777777" w:rsidTr="003129E4">
        <w:trPr>
          <w:trHeight w:val="306"/>
          <w:jc w:val="center"/>
        </w:trPr>
        <w:tc>
          <w:tcPr>
            <w:tcW w:w="824" w:type="dxa"/>
            <w:shd w:val="clear" w:color="auto" w:fill="auto"/>
            <w:noWrap/>
            <w:vAlign w:val="center"/>
          </w:tcPr>
          <w:p w14:paraId="784CE283" w14:textId="77777777" w:rsidR="00E754D9" w:rsidRPr="00932A16" w:rsidRDefault="00E754D9" w:rsidP="00422EC8">
            <w:pPr>
              <w:pStyle w:val="Tabletext"/>
            </w:pPr>
            <w:r w:rsidRPr="00F46D5B">
              <w:t>41</w:t>
            </w:r>
          </w:p>
        </w:tc>
        <w:tc>
          <w:tcPr>
            <w:tcW w:w="825" w:type="dxa"/>
            <w:shd w:val="clear" w:color="auto" w:fill="auto"/>
            <w:noWrap/>
            <w:vAlign w:val="center"/>
          </w:tcPr>
          <w:p w14:paraId="389AA70A" w14:textId="77777777" w:rsidR="00E754D9" w:rsidRPr="00932A16" w:rsidRDefault="00E754D9" w:rsidP="00422EC8">
            <w:pPr>
              <w:pStyle w:val="Tabletext"/>
            </w:pPr>
            <w:r w:rsidRPr="00F46D5B">
              <w:t>23</w:t>
            </w:r>
          </w:p>
        </w:tc>
        <w:tc>
          <w:tcPr>
            <w:tcW w:w="825" w:type="dxa"/>
            <w:shd w:val="clear" w:color="auto" w:fill="auto"/>
            <w:noWrap/>
            <w:vAlign w:val="center"/>
          </w:tcPr>
          <w:p w14:paraId="2006F065" w14:textId="77777777" w:rsidR="00E754D9" w:rsidRPr="00932A16" w:rsidRDefault="00E754D9" w:rsidP="00422EC8">
            <w:pPr>
              <w:pStyle w:val="Tabletext"/>
            </w:pPr>
            <w:r w:rsidRPr="00F46D5B">
              <w:t>27</w:t>
            </w:r>
          </w:p>
        </w:tc>
        <w:tc>
          <w:tcPr>
            <w:tcW w:w="824" w:type="dxa"/>
            <w:shd w:val="clear" w:color="auto" w:fill="auto"/>
            <w:noWrap/>
            <w:vAlign w:val="center"/>
          </w:tcPr>
          <w:p w14:paraId="45410A4A" w14:textId="77777777" w:rsidR="00E754D9" w:rsidRPr="00932A16" w:rsidRDefault="00E754D9" w:rsidP="00422EC8">
            <w:pPr>
              <w:pStyle w:val="Tabletext"/>
            </w:pPr>
            <w:r w:rsidRPr="00F46D5B">
              <w:t>24</w:t>
            </w:r>
          </w:p>
        </w:tc>
        <w:tc>
          <w:tcPr>
            <w:tcW w:w="825" w:type="dxa"/>
            <w:shd w:val="clear" w:color="auto" w:fill="auto"/>
            <w:noWrap/>
            <w:vAlign w:val="center"/>
          </w:tcPr>
          <w:p w14:paraId="6B348A2D" w14:textId="77777777" w:rsidR="00E754D9" w:rsidRPr="00932A16" w:rsidRDefault="00E754D9" w:rsidP="00422EC8">
            <w:pPr>
              <w:pStyle w:val="Tabletext"/>
            </w:pPr>
            <w:r w:rsidRPr="00F46D5B">
              <w:t>28</w:t>
            </w:r>
          </w:p>
        </w:tc>
        <w:tc>
          <w:tcPr>
            <w:tcW w:w="825" w:type="dxa"/>
            <w:shd w:val="clear" w:color="auto" w:fill="auto"/>
            <w:noWrap/>
            <w:vAlign w:val="center"/>
          </w:tcPr>
          <w:p w14:paraId="59A5E39F" w14:textId="77777777" w:rsidR="00E754D9" w:rsidRPr="00932A16" w:rsidRDefault="00E754D9" w:rsidP="00422EC8">
            <w:pPr>
              <w:pStyle w:val="Tabletext"/>
            </w:pPr>
            <w:r w:rsidRPr="00F46D5B">
              <w:t>22</w:t>
            </w:r>
          </w:p>
        </w:tc>
        <w:tc>
          <w:tcPr>
            <w:tcW w:w="825" w:type="dxa"/>
            <w:shd w:val="clear" w:color="auto" w:fill="auto"/>
            <w:noWrap/>
            <w:vAlign w:val="center"/>
          </w:tcPr>
          <w:p w14:paraId="4C1A2D97" w14:textId="77777777" w:rsidR="00E754D9" w:rsidRPr="00932A16" w:rsidRDefault="00E754D9" w:rsidP="00422EC8">
            <w:pPr>
              <w:pStyle w:val="Tabletext"/>
            </w:pPr>
            <w:r w:rsidRPr="00F46D5B">
              <w:t>30</w:t>
            </w:r>
          </w:p>
        </w:tc>
        <w:tc>
          <w:tcPr>
            <w:tcW w:w="824" w:type="dxa"/>
            <w:shd w:val="clear" w:color="auto" w:fill="auto"/>
            <w:noWrap/>
            <w:vAlign w:val="center"/>
          </w:tcPr>
          <w:p w14:paraId="2353EA1A" w14:textId="77777777" w:rsidR="00E754D9" w:rsidRPr="00932A16" w:rsidRDefault="00E754D9" w:rsidP="00422EC8">
            <w:pPr>
              <w:pStyle w:val="Tabletext"/>
            </w:pPr>
            <w:r w:rsidRPr="00F46D5B">
              <w:t>29</w:t>
            </w:r>
          </w:p>
        </w:tc>
        <w:tc>
          <w:tcPr>
            <w:tcW w:w="825" w:type="dxa"/>
            <w:shd w:val="clear" w:color="auto" w:fill="auto"/>
            <w:noWrap/>
            <w:vAlign w:val="center"/>
          </w:tcPr>
          <w:p w14:paraId="65489EAA" w14:textId="77777777" w:rsidR="00E754D9" w:rsidRPr="00932A16" w:rsidRDefault="00E754D9" w:rsidP="00422EC8">
            <w:pPr>
              <w:pStyle w:val="Tabletext"/>
            </w:pPr>
            <w:r w:rsidRPr="00F46D5B">
              <w:t>31</w:t>
            </w:r>
          </w:p>
        </w:tc>
        <w:tc>
          <w:tcPr>
            <w:tcW w:w="825" w:type="dxa"/>
            <w:shd w:val="clear" w:color="auto" w:fill="auto"/>
            <w:noWrap/>
            <w:vAlign w:val="center"/>
          </w:tcPr>
          <w:p w14:paraId="2DFBDAF1" w14:textId="77777777" w:rsidR="00E754D9" w:rsidRPr="00932A16" w:rsidRDefault="00E754D9" w:rsidP="00422EC8">
            <w:pPr>
              <w:pStyle w:val="Tabletext"/>
            </w:pPr>
            <w:r w:rsidRPr="00F46D5B">
              <w:t>28</w:t>
            </w:r>
          </w:p>
        </w:tc>
        <w:tc>
          <w:tcPr>
            <w:tcW w:w="825" w:type="dxa"/>
            <w:shd w:val="clear" w:color="auto" w:fill="auto"/>
            <w:noWrap/>
            <w:vAlign w:val="center"/>
          </w:tcPr>
          <w:p w14:paraId="320B1AB4" w14:textId="77777777" w:rsidR="00E754D9" w:rsidRPr="00932A16" w:rsidRDefault="00E754D9" w:rsidP="00422EC8">
            <w:pPr>
              <w:pStyle w:val="Tabletext"/>
            </w:pPr>
            <w:r w:rsidRPr="00F46D5B">
              <w:t>20</w:t>
            </w:r>
          </w:p>
        </w:tc>
      </w:tr>
    </w:tbl>
    <w:p w14:paraId="45D9CDD2" w14:textId="77777777" w:rsidR="00E754D9" w:rsidRDefault="00E754D9" w:rsidP="00B23EBF">
      <w:pPr>
        <w:rPr>
          <w:rFonts w:eastAsiaTheme="minorHAnsi"/>
          <w:lang w:val="en-US" w:eastAsia="en-US"/>
        </w:rPr>
      </w:pPr>
      <w:r>
        <w:br w:type="page"/>
      </w:r>
    </w:p>
    <w:p w14:paraId="4FB9C2E3" w14:textId="77777777" w:rsidR="00E754D9" w:rsidRDefault="00E754D9" w:rsidP="00A94A83">
      <w:pPr>
        <w:pStyle w:val="Heading2a"/>
      </w:pPr>
      <w:r w:rsidRPr="00741054">
        <w:lastRenderedPageBreak/>
        <w:t>Item 41</w:t>
      </w:r>
      <w:r>
        <w:t>779</w:t>
      </w:r>
    </w:p>
    <w:p w14:paraId="247650E3" w14:textId="77777777" w:rsidR="00E754D9" w:rsidRPr="006D0141" w:rsidRDefault="00B23EBF" w:rsidP="00B23EBF">
      <w:pPr>
        <w:pStyle w:val="Caption"/>
      </w:pPr>
      <w:r>
        <w:t>Table D13:</w:t>
      </w:r>
      <w:r>
        <w:tab/>
      </w:r>
      <w:r w:rsidR="00E754D9">
        <w:t xml:space="preserve">Item </w:t>
      </w:r>
      <w:r w:rsidR="00E754D9" w:rsidRPr="00741054">
        <w:t>41779</w:t>
      </w:r>
      <w:r w:rsidR="00E754D9">
        <w:t xml:space="preserve"> – Description</w:t>
      </w:r>
    </w:p>
    <w:tbl>
      <w:tblPr>
        <w:tblW w:w="8730"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MBS item including description of service as well as Fees and Benefits"/>
      </w:tblPr>
      <w:tblGrid>
        <w:gridCol w:w="5310"/>
        <w:gridCol w:w="1710"/>
        <w:gridCol w:w="1710"/>
      </w:tblGrid>
      <w:tr w:rsidR="00B23EBF" w:rsidRPr="00447430" w14:paraId="73067ED8" w14:textId="77777777" w:rsidTr="00B23EBF">
        <w:trPr>
          <w:trHeight w:val="402"/>
        </w:trPr>
        <w:tc>
          <w:tcPr>
            <w:tcW w:w="5310" w:type="dxa"/>
            <w:shd w:val="clear" w:color="auto" w:fill="auto"/>
          </w:tcPr>
          <w:p w14:paraId="6A09E6CF" w14:textId="77777777" w:rsidR="00B23EBF" w:rsidRPr="00447430" w:rsidRDefault="00B23EBF" w:rsidP="00447430">
            <w:pPr>
              <w:pStyle w:val="Tableheading"/>
            </w:pPr>
            <w:r w:rsidRPr="00447430">
              <w:t>Description</w:t>
            </w:r>
          </w:p>
        </w:tc>
        <w:tc>
          <w:tcPr>
            <w:tcW w:w="1710" w:type="dxa"/>
          </w:tcPr>
          <w:p w14:paraId="18E884F1" w14:textId="77777777" w:rsidR="00B23EBF" w:rsidRPr="00447430" w:rsidRDefault="00B23EBF" w:rsidP="00447430">
            <w:pPr>
              <w:pStyle w:val="Tableheading"/>
            </w:pPr>
            <w:r w:rsidRPr="00447430">
              <w:t>Fee</w:t>
            </w:r>
          </w:p>
        </w:tc>
        <w:tc>
          <w:tcPr>
            <w:tcW w:w="1710" w:type="dxa"/>
          </w:tcPr>
          <w:p w14:paraId="2B40E10D" w14:textId="77777777" w:rsidR="00B23EBF" w:rsidRPr="00447430" w:rsidRDefault="00B23EBF" w:rsidP="00447430">
            <w:pPr>
              <w:pStyle w:val="Tableheading"/>
            </w:pPr>
            <w:r w:rsidRPr="00447430">
              <w:t>Benefit</w:t>
            </w:r>
          </w:p>
        </w:tc>
      </w:tr>
      <w:tr w:rsidR="00B23EBF" w:rsidRPr="00422EC8" w14:paraId="5E71A962" w14:textId="77777777" w:rsidTr="00B23EBF">
        <w:trPr>
          <w:trHeight w:val="632"/>
        </w:trPr>
        <w:tc>
          <w:tcPr>
            <w:tcW w:w="5310" w:type="dxa"/>
            <w:shd w:val="clear" w:color="auto" w:fill="FFFFFF" w:themeFill="background1"/>
          </w:tcPr>
          <w:p w14:paraId="5B3D1D7A" w14:textId="77777777" w:rsidR="00B23EBF" w:rsidRPr="00422EC8" w:rsidRDefault="00B23EBF" w:rsidP="00422EC8">
            <w:pPr>
              <w:pStyle w:val="Tabletext"/>
            </w:pPr>
            <w:r w:rsidRPr="00422EC8">
              <w:t>PHARYNGOTOMY (lateral), with or without total excision of tongue (</w:t>
            </w:r>
            <w:proofErr w:type="spellStart"/>
            <w:r w:rsidRPr="00422EC8">
              <w:t>Anaes</w:t>
            </w:r>
            <w:proofErr w:type="spellEnd"/>
            <w:r w:rsidRPr="00422EC8">
              <w:t xml:space="preserve">.) (Assist.) </w:t>
            </w:r>
          </w:p>
        </w:tc>
        <w:tc>
          <w:tcPr>
            <w:tcW w:w="1710" w:type="dxa"/>
            <w:shd w:val="clear" w:color="auto" w:fill="FFFFFF" w:themeFill="background1"/>
          </w:tcPr>
          <w:p w14:paraId="52A0B8A5" w14:textId="77777777" w:rsidR="00B23EBF" w:rsidRPr="00422EC8" w:rsidRDefault="00B23EBF" w:rsidP="00422EC8">
            <w:pPr>
              <w:pStyle w:val="Tabletext"/>
            </w:pPr>
            <w:r w:rsidRPr="00422EC8">
              <w:t>$701.30</w:t>
            </w:r>
          </w:p>
        </w:tc>
        <w:tc>
          <w:tcPr>
            <w:tcW w:w="1710" w:type="dxa"/>
            <w:shd w:val="clear" w:color="auto" w:fill="FFFFFF" w:themeFill="background1"/>
          </w:tcPr>
          <w:p w14:paraId="7AD87E49" w14:textId="77777777" w:rsidR="00B23EBF" w:rsidRPr="00422EC8" w:rsidRDefault="00B23EBF" w:rsidP="00422EC8">
            <w:pPr>
              <w:pStyle w:val="Tabletext"/>
            </w:pPr>
            <w:r w:rsidRPr="00422EC8">
              <w:t>75% = $526.00</w:t>
            </w:r>
          </w:p>
        </w:tc>
      </w:tr>
    </w:tbl>
    <w:p w14:paraId="497BFFF9" w14:textId="77777777" w:rsidR="00E754D9" w:rsidRPr="00932A16" w:rsidRDefault="00B23EBF" w:rsidP="00B23EBF">
      <w:pPr>
        <w:pStyle w:val="Caption"/>
      </w:pPr>
      <w:r>
        <w:t>Table D14:</w:t>
      </w:r>
      <w:r>
        <w:tab/>
      </w:r>
      <w:r w:rsidR="00E754D9">
        <w:t xml:space="preserve">Item </w:t>
      </w:r>
      <w:r w:rsidR="00E754D9" w:rsidRPr="00741054">
        <w:t>41779</w:t>
      </w:r>
      <w:r w:rsidR="00E754D9">
        <w:t xml:space="preserve"> – </w:t>
      </w:r>
      <w:r w:rsidR="00E754D9" w:rsidRPr="00932A16">
        <w:t xml:space="preserve">Key </w:t>
      </w:r>
      <w:r w:rsidR="00E754D9">
        <w:t>data for item</w:t>
      </w:r>
      <w:r w:rsidR="00E754D9" w:rsidRPr="00932A16">
        <w:t xml:space="preserve"> (date of processing)</w:t>
      </w:r>
    </w:p>
    <w:tbl>
      <w:tblPr>
        <w:tblW w:w="9214"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Services and Benefits paid in last financial year, including trend"/>
      </w:tblPr>
      <w:tblGrid>
        <w:gridCol w:w="1151"/>
        <w:gridCol w:w="1152"/>
        <w:gridCol w:w="1152"/>
        <w:gridCol w:w="1152"/>
        <w:gridCol w:w="1151"/>
        <w:gridCol w:w="1152"/>
        <w:gridCol w:w="1152"/>
        <w:gridCol w:w="1152"/>
      </w:tblGrid>
      <w:tr w:rsidR="00E754D9" w:rsidRPr="00681146" w14:paraId="40261E48" w14:textId="77777777" w:rsidTr="003129E4">
        <w:trPr>
          <w:trHeight w:val="632"/>
        </w:trPr>
        <w:tc>
          <w:tcPr>
            <w:tcW w:w="1151" w:type="dxa"/>
            <w:shd w:val="clear" w:color="auto" w:fill="auto"/>
            <w:vAlign w:val="center"/>
          </w:tcPr>
          <w:p w14:paraId="3517D876" w14:textId="77777777" w:rsidR="00E754D9" w:rsidRPr="00681146" w:rsidRDefault="0096457B" w:rsidP="002C20E6">
            <w:pPr>
              <w:pStyle w:val="Tableheading"/>
            </w:pPr>
            <w:r w:rsidRPr="00681146">
              <w:t>Descriptor start</w:t>
            </w:r>
            <w:r w:rsidR="00E754D9" w:rsidRPr="00681146">
              <w:t xml:space="preserve"> date</w:t>
            </w:r>
          </w:p>
        </w:tc>
        <w:tc>
          <w:tcPr>
            <w:tcW w:w="1152" w:type="dxa"/>
            <w:shd w:val="clear" w:color="auto" w:fill="auto"/>
            <w:vAlign w:val="center"/>
          </w:tcPr>
          <w:p w14:paraId="6ED7FB02" w14:textId="77777777" w:rsidR="00E754D9" w:rsidRPr="00681146" w:rsidRDefault="00E754D9" w:rsidP="00C50295">
            <w:pPr>
              <w:pStyle w:val="Tableheading"/>
            </w:pPr>
            <w:r w:rsidRPr="00681146">
              <w:t>Total Benefits paid 2014</w:t>
            </w:r>
            <w:r w:rsidR="00C50295">
              <w:t>–</w:t>
            </w:r>
            <w:r w:rsidRPr="00681146">
              <w:t xml:space="preserve">15 </w:t>
            </w:r>
          </w:p>
        </w:tc>
        <w:tc>
          <w:tcPr>
            <w:tcW w:w="1152" w:type="dxa"/>
            <w:shd w:val="clear" w:color="auto" w:fill="auto"/>
            <w:vAlign w:val="center"/>
          </w:tcPr>
          <w:p w14:paraId="6EC57B41" w14:textId="77777777" w:rsidR="00E754D9" w:rsidRPr="00681146" w:rsidRDefault="00E754D9" w:rsidP="00C50295">
            <w:pPr>
              <w:pStyle w:val="Tableheading"/>
            </w:pPr>
            <w:r w:rsidRPr="00681146">
              <w:t>Number of services 2014</w:t>
            </w:r>
            <w:r w:rsidR="00C50295">
              <w:t>–</w:t>
            </w:r>
            <w:r w:rsidRPr="00681146">
              <w:t>15</w:t>
            </w:r>
          </w:p>
        </w:tc>
        <w:tc>
          <w:tcPr>
            <w:tcW w:w="1152" w:type="dxa"/>
            <w:shd w:val="clear" w:color="auto" w:fill="auto"/>
            <w:vAlign w:val="center"/>
          </w:tcPr>
          <w:p w14:paraId="29164C73" w14:textId="77777777" w:rsidR="00E754D9" w:rsidRPr="00681146" w:rsidRDefault="00E754D9" w:rsidP="00C50295">
            <w:pPr>
              <w:pStyle w:val="Tableheading"/>
            </w:pPr>
            <w:r w:rsidRPr="00681146">
              <w:t>Total Patient count 2014</w:t>
            </w:r>
            <w:r w:rsidR="00C50295">
              <w:t>–</w:t>
            </w:r>
            <w:r w:rsidRPr="00681146">
              <w:t>15</w:t>
            </w:r>
          </w:p>
        </w:tc>
        <w:tc>
          <w:tcPr>
            <w:tcW w:w="1151" w:type="dxa"/>
            <w:shd w:val="clear" w:color="auto" w:fill="auto"/>
            <w:vAlign w:val="center"/>
          </w:tcPr>
          <w:p w14:paraId="577F978A" w14:textId="77777777" w:rsidR="00E754D9" w:rsidRPr="00681146" w:rsidRDefault="00E754D9" w:rsidP="00C50295">
            <w:pPr>
              <w:pStyle w:val="Tableheading"/>
            </w:pPr>
            <w:r w:rsidRPr="00681146">
              <w:t>Total provider count 2014</w:t>
            </w:r>
            <w:r w:rsidR="00C50295">
              <w:t>–</w:t>
            </w:r>
            <w:r w:rsidRPr="00681146">
              <w:t>15</w:t>
            </w:r>
          </w:p>
        </w:tc>
        <w:tc>
          <w:tcPr>
            <w:tcW w:w="1152" w:type="dxa"/>
            <w:shd w:val="clear" w:color="auto" w:fill="auto"/>
            <w:vAlign w:val="center"/>
          </w:tcPr>
          <w:p w14:paraId="54E57913" w14:textId="77777777" w:rsidR="00E754D9" w:rsidRPr="00681146" w:rsidRDefault="00E754D9" w:rsidP="00C50295">
            <w:pPr>
              <w:pStyle w:val="Tableheading"/>
            </w:pPr>
            <w:r w:rsidRPr="00681146">
              <w:t>Benefits Change (%) from 2011-12 to 2014</w:t>
            </w:r>
            <w:r w:rsidR="00C50295">
              <w:t>–</w:t>
            </w:r>
            <w:r w:rsidRPr="00681146">
              <w:t>15</w:t>
            </w:r>
          </w:p>
        </w:tc>
        <w:tc>
          <w:tcPr>
            <w:tcW w:w="1152" w:type="dxa"/>
            <w:shd w:val="clear" w:color="auto" w:fill="auto"/>
            <w:vAlign w:val="center"/>
          </w:tcPr>
          <w:p w14:paraId="0262B5FB" w14:textId="77777777" w:rsidR="00E754D9" w:rsidRPr="00681146" w:rsidRDefault="00E754D9" w:rsidP="00C50295">
            <w:pPr>
              <w:pStyle w:val="Tableheading"/>
            </w:pPr>
            <w:r w:rsidRPr="00681146">
              <w:t>Service Change (%) from 2011-12 to 2014</w:t>
            </w:r>
            <w:r w:rsidR="00C50295">
              <w:t>–</w:t>
            </w:r>
            <w:r w:rsidRPr="00681146">
              <w:t>15</w:t>
            </w:r>
          </w:p>
        </w:tc>
        <w:tc>
          <w:tcPr>
            <w:tcW w:w="1152" w:type="dxa"/>
            <w:shd w:val="clear" w:color="auto" w:fill="auto"/>
            <w:vAlign w:val="center"/>
          </w:tcPr>
          <w:p w14:paraId="1FEC1D20" w14:textId="77777777" w:rsidR="00E754D9" w:rsidRPr="00681146" w:rsidRDefault="00E754D9" w:rsidP="00C50295">
            <w:pPr>
              <w:pStyle w:val="Tableheading"/>
            </w:pPr>
            <w:r w:rsidRPr="00681146">
              <w:t>% services provided out-of-hospital 2014</w:t>
            </w:r>
            <w:r w:rsidR="00C50295">
              <w:t>–</w:t>
            </w:r>
            <w:r w:rsidRPr="00681146">
              <w:t>15</w:t>
            </w:r>
          </w:p>
        </w:tc>
      </w:tr>
      <w:tr w:rsidR="00E754D9" w:rsidRPr="00932A16" w14:paraId="6B3C741E" w14:textId="77777777" w:rsidTr="003129E4">
        <w:trPr>
          <w:trHeight w:val="306"/>
        </w:trPr>
        <w:tc>
          <w:tcPr>
            <w:tcW w:w="1151" w:type="dxa"/>
            <w:shd w:val="clear" w:color="auto" w:fill="FFFFFF" w:themeFill="background1"/>
            <w:vAlign w:val="center"/>
          </w:tcPr>
          <w:p w14:paraId="11648FD8" w14:textId="77777777" w:rsidR="00E754D9" w:rsidRPr="00932A16" w:rsidRDefault="00E754D9" w:rsidP="00422EC8">
            <w:pPr>
              <w:pStyle w:val="Tabletext"/>
            </w:pPr>
            <w:r w:rsidRPr="0096214C">
              <w:t>1991</w:t>
            </w:r>
          </w:p>
        </w:tc>
        <w:tc>
          <w:tcPr>
            <w:tcW w:w="1152" w:type="dxa"/>
            <w:shd w:val="clear" w:color="auto" w:fill="FFFFFF" w:themeFill="background1"/>
            <w:vAlign w:val="center"/>
          </w:tcPr>
          <w:p w14:paraId="59EF0338" w14:textId="77777777" w:rsidR="00E754D9" w:rsidRPr="00932A16" w:rsidRDefault="00E754D9" w:rsidP="00422EC8">
            <w:pPr>
              <w:pStyle w:val="Tabletext"/>
              <w:rPr>
                <w:bCs/>
              </w:rPr>
            </w:pPr>
            <w:r w:rsidRPr="0096214C">
              <w:rPr>
                <w:bCs/>
              </w:rPr>
              <w:t xml:space="preserve">526 </w:t>
            </w:r>
          </w:p>
        </w:tc>
        <w:tc>
          <w:tcPr>
            <w:tcW w:w="1152" w:type="dxa"/>
            <w:shd w:val="clear" w:color="auto" w:fill="FFFFFF" w:themeFill="background1"/>
            <w:vAlign w:val="center"/>
          </w:tcPr>
          <w:p w14:paraId="415B6C90" w14:textId="77777777" w:rsidR="00E754D9" w:rsidRPr="00932A16" w:rsidRDefault="00E754D9" w:rsidP="00422EC8">
            <w:pPr>
              <w:pStyle w:val="Tabletext"/>
              <w:rPr>
                <w:bCs/>
              </w:rPr>
            </w:pPr>
            <w:r>
              <w:rPr>
                <w:bCs/>
              </w:rPr>
              <w:t>N/P*</w:t>
            </w:r>
          </w:p>
        </w:tc>
        <w:tc>
          <w:tcPr>
            <w:tcW w:w="1152" w:type="dxa"/>
            <w:shd w:val="clear" w:color="auto" w:fill="FFFFFF" w:themeFill="background1"/>
            <w:vAlign w:val="center"/>
          </w:tcPr>
          <w:p w14:paraId="6B609565" w14:textId="77777777" w:rsidR="00E754D9" w:rsidRPr="00932A16" w:rsidRDefault="00E754D9" w:rsidP="00422EC8">
            <w:pPr>
              <w:pStyle w:val="Tabletext"/>
              <w:rPr>
                <w:bCs/>
              </w:rPr>
            </w:pPr>
            <w:r>
              <w:rPr>
                <w:bCs/>
              </w:rPr>
              <w:t>N/P*</w:t>
            </w:r>
            <w:r w:rsidRPr="0096214C">
              <w:rPr>
                <w:bCs/>
              </w:rPr>
              <w:t xml:space="preserve"> </w:t>
            </w:r>
          </w:p>
        </w:tc>
        <w:tc>
          <w:tcPr>
            <w:tcW w:w="1151" w:type="dxa"/>
            <w:shd w:val="clear" w:color="auto" w:fill="FFFFFF" w:themeFill="background1"/>
            <w:vAlign w:val="center"/>
          </w:tcPr>
          <w:p w14:paraId="73502FA9" w14:textId="77777777" w:rsidR="00E754D9" w:rsidRPr="00932A16" w:rsidRDefault="00E754D9" w:rsidP="00422EC8">
            <w:pPr>
              <w:pStyle w:val="Tabletext"/>
              <w:rPr>
                <w:bCs/>
              </w:rPr>
            </w:pPr>
            <w:r>
              <w:rPr>
                <w:bCs/>
              </w:rPr>
              <w:t>N/P</w:t>
            </w:r>
            <w:r w:rsidRPr="0096214C">
              <w:rPr>
                <w:bCs/>
              </w:rPr>
              <w:t>*</w:t>
            </w:r>
          </w:p>
        </w:tc>
        <w:tc>
          <w:tcPr>
            <w:tcW w:w="1152" w:type="dxa"/>
            <w:shd w:val="clear" w:color="auto" w:fill="FFFFFF" w:themeFill="background1"/>
            <w:vAlign w:val="center"/>
          </w:tcPr>
          <w:p w14:paraId="66415CDB" w14:textId="77777777" w:rsidR="00E754D9" w:rsidRPr="00932A16" w:rsidRDefault="00E754D9" w:rsidP="00422EC8">
            <w:pPr>
              <w:pStyle w:val="Tabletext"/>
              <w:rPr>
                <w:bCs/>
              </w:rPr>
            </w:pPr>
            <w:r w:rsidRPr="0096214C">
              <w:rPr>
                <w:bCs/>
              </w:rPr>
              <w:t>-83.6%</w:t>
            </w:r>
          </w:p>
        </w:tc>
        <w:tc>
          <w:tcPr>
            <w:tcW w:w="1152" w:type="dxa"/>
            <w:shd w:val="clear" w:color="auto" w:fill="FFFFFF" w:themeFill="background1"/>
            <w:vAlign w:val="center"/>
          </w:tcPr>
          <w:p w14:paraId="74941E23" w14:textId="77777777" w:rsidR="00E754D9" w:rsidRPr="00932A16" w:rsidRDefault="00E754D9" w:rsidP="00422EC8">
            <w:pPr>
              <w:pStyle w:val="Tabletext"/>
              <w:rPr>
                <w:bCs/>
              </w:rPr>
            </w:pPr>
            <w:r w:rsidRPr="0096214C">
              <w:rPr>
                <w:bCs/>
              </w:rPr>
              <w:t>-87.5%</w:t>
            </w:r>
          </w:p>
        </w:tc>
        <w:tc>
          <w:tcPr>
            <w:tcW w:w="1152" w:type="dxa"/>
            <w:shd w:val="clear" w:color="auto" w:fill="FFFFFF" w:themeFill="background1"/>
            <w:vAlign w:val="center"/>
          </w:tcPr>
          <w:p w14:paraId="71552A16" w14:textId="77777777" w:rsidR="00E754D9" w:rsidRPr="00932A16" w:rsidRDefault="00E754D9" w:rsidP="00422EC8">
            <w:pPr>
              <w:pStyle w:val="Tabletext"/>
              <w:rPr>
                <w:bCs/>
              </w:rPr>
            </w:pPr>
            <w:r w:rsidRPr="0096214C">
              <w:rPr>
                <w:bCs/>
              </w:rPr>
              <w:t>0.0%</w:t>
            </w:r>
          </w:p>
        </w:tc>
      </w:tr>
    </w:tbl>
    <w:p w14:paraId="093F92EB" w14:textId="77777777" w:rsidR="00E754D9" w:rsidRDefault="00E754D9" w:rsidP="00E754D9">
      <w:pPr>
        <w:pStyle w:val="TableUnderlast"/>
      </w:pPr>
      <w:r w:rsidRPr="00B65B58">
        <w:t>Unpublished data (Department of Health).</w:t>
      </w:r>
    </w:p>
    <w:p w14:paraId="66F40A20" w14:textId="77777777" w:rsidR="00E754D9" w:rsidRPr="00681146" w:rsidRDefault="00B23EBF" w:rsidP="00B23EBF">
      <w:pPr>
        <w:pStyle w:val="Caption"/>
        <w:rPr>
          <w:iCs/>
        </w:rPr>
      </w:pPr>
      <w:r>
        <w:t>Table D15:</w:t>
      </w:r>
      <w:r>
        <w:tab/>
      </w:r>
      <w:r w:rsidR="00E754D9">
        <w:t>Item</w:t>
      </w:r>
      <w:r w:rsidR="00E754D9" w:rsidRPr="00741054">
        <w:t xml:space="preserve"> 41779</w:t>
      </w:r>
      <w:r w:rsidR="00E754D9">
        <w:t xml:space="preserve"> – </w:t>
      </w:r>
      <w:r w:rsidR="00E754D9" w:rsidRPr="007A5A96">
        <w:t>Number of services by state in 2014</w:t>
      </w:r>
      <w:r w:rsidR="00C50295">
        <w:t>–</w:t>
      </w:r>
      <w:r w:rsidR="00E754D9" w:rsidRPr="007A5A96">
        <w:t xml:space="preserve">15 </w:t>
      </w:r>
    </w:p>
    <w:tbl>
      <w:tblPr>
        <w:tblW w:w="9072" w:type="dxa"/>
        <w:jc w:val="center"/>
        <w:tblBorders>
          <w:top w:val="single" w:sz="4" w:space="0" w:color="B56011"/>
          <w:bottom w:val="single" w:sz="4" w:space="0" w:color="B56011"/>
          <w:insideH w:val="single" w:sz="4" w:space="0" w:color="B56011"/>
        </w:tblBorders>
        <w:tblLook w:val="04A0" w:firstRow="1" w:lastRow="0" w:firstColumn="1" w:lastColumn="0" w:noHBand="0" w:noVBand="1"/>
        <w:tblCaption w:val="Total services from above table divided by State or Territory"/>
      </w:tblPr>
      <w:tblGrid>
        <w:gridCol w:w="1050"/>
        <w:gridCol w:w="1026"/>
        <w:gridCol w:w="1040"/>
        <w:gridCol w:w="1015"/>
        <w:gridCol w:w="1030"/>
        <w:gridCol w:w="1033"/>
        <w:gridCol w:w="1036"/>
        <w:gridCol w:w="1018"/>
        <w:gridCol w:w="824"/>
      </w:tblGrid>
      <w:tr w:rsidR="00E754D9" w:rsidRPr="00932A16" w14:paraId="24EB70BD" w14:textId="77777777" w:rsidTr="003129E4">
        <w:trPr>
          <w:trHeight w:val="305"/>
          <w:tblHeader/>
          <w:jc w:val="center"/>
        </w:trPr>
        <w:tc>
          <w:tcPr>
            <w:tcW w:w="1050" w:type="dxa"/>
            <w:shd w:val="clear" w:color="auto" w:fill="auto"/>
            <w:vAlign w:val="center"/>
            <w:hideMark/>
          </w:tcPr>
          <w:p w14:paraId="3B3555C7" w14:textId="77777777" w:rsidR="00E754D9" w:rsidRPr="00932A16" w:rsidRDefault="00E754D9" w:rsidP="00447430">
            <w:pPr>
              <w:pStyle w:val="Tableheading"/>
            </w:pPr>
            <w:r w:rsidRPr="00932A16">
              <w:t>NSW</w:t>
            </w:r>
          </w:p>
        </w:tc>
        <w:tc>
          <w:tcPr>
            <w:tcW w:w="1026" w:type="dxa"/>
            <w:shd w:val="clear" w:color="auto" w:fill="auto"/>
            <w:vAlign w:val="center"/>
            <w:hideMark/>
          </w:tcPr>
          <w:p w14:paraId="08287934" w14:textId="77777777" w:rsidR="00E754D9" w:rsidRPr="00932A16" w:rsidRDefault="00E754D9" w:rsidP="00447430">
            <w:pPr>
              <w:pStyle w:val="Tableheading"/>
            </w:pPr>
            <w:r w:rsidRPr="00932A16">
              <w:t>VIC</w:t>
            </w:r>
          </w:p>
        </w:tc>
        <w:tc>
          <w:tcPr>
            <w:tcW w:w="1040" w:type="dxa"/>
            <w:shd w:val="clear" w:color="auto" w:fill="auto"/>
            <w:vAlign w:val="center"/>
            <w:hideMark/>
          </w:tcPr>
          <w:p w14:paraId="13BE856D" w14:textId="77777777" w:rsidR="00E754D9" w:rsidRPr="00932A16" w:rsidRDefault="00E754D9" w:rsidP="00447430">
            <w:pPr>
              <w:pStyle w:val="Tableheading"/>
            </w:pPr>
            <w:r w:rsidRPr="00932A16">
              <w:t>QLD</w:t>
            </w:r>
          </w:p>
        </w:tc>
        <w:tc>
          <w:tcPr>
            <w:tcW w:w="1015" w:type="dxa"/>
            <w:shd w:val="clear" w:color="auto" w:fill="auto"/>
            <w:vAlign w:val="center"/>
            <w:hideMark/>
          </w:tcPr>
          <w:p w14:paraId="0F116FA8" w14:textId="77777777" w:rsidR="00E754D9" w:rsidRPr="00932A16" w:rsidRDefault="00E754D9" w:rsidP="00447430">
            <w:pPr>
              <w:pStyle w:val="Tableheading"/>
            </w:pPr>
            <w:r w:rsidRPr="00932A16">
              <w:t>SA</w:t>
            </w:r>
          </w:p>
        </w:tc>
        <w:tc>
          <w:tcPr>
            <w:tcW w:w="1030" w:type="dxa"/>
            <w:shd w:val="clear" w:color="auto" w:fill="auto"/>
            <w:vAlign w:val="center"/>
            <w:hideMark/>
          </w:tcPr>
          <w:p w14:paraId="2AF53754" w14:textId="77777777" w:rsidR="00E754D9" w:rsidRPr="00932A16" w:rsidRDefault="00E754D9" w:rsidP="00447430">
            <w:pPr>
              <w:pStyle w:val="Tableheading"/>
            </w:pPr>
            <w:r w:rsidRPr="00932A16">
              <w:t>WA</w:t>
            </w:r>
          </w:p>
        </w:tc>
        <w:tc>
          <w:tcPr>
            <w:tcW w:w="1033" w:type="dxa"/>
            <w:shd w:val="clear" w:color="auto" w:fill="auto"/>
            <w:vAlign w:val="center"/>
            <w:hideMark/>
          </w:tcPr>
          <w:p w14:paraId="1C586D4E" w14:textId="77777777" w:rsidR="00E754D9" w:rsidRPr="00932A16" w:rsidRDefault="00E754D9" w:rsidP="00447430">
            <w:pPr>
              <w:pStyle w:val="Tableheading"/>
            </w:pPr>
            <w:r w:rsidRPr="00932A16">
              <w:t>TAS</w:t>
            </w:r>
          </w:p>
        </w:tc>
        <w:tc>
          <w:tcPr>
            <w:tcW w:w="1036" w:type="dxa"/>
            <w:shd w:val="clear" w:color="auto" w:fill="auto"/>
            <w:vAlign w:val="center"/>
            <w:hideMark/>
          </w:tcPr>
          <w:p w14:paraId="0766105F" w14:textId="77777777" w:rsidR="00E754D9" w:rsidRPr="00932A16" w:rsidRDefault="00E754D9" w:rsidP="00447430">
            <w:pPr>
              <w:pStyle w:val="Tableheading"/>
            </w:pPr>
            <w:r w:rsidRPr="00932A16">
              <w:t>ACT</w:t>
            </w:r>
          </w:p>
        </w:tc>
        <w:tc>
          <w:tcPr>
            <w:tcW w:w="1018" w:type="dxa"/>
            <w:shd w:val="clear" w:color="auto" w:fill="auto"/>
            <w:vAlign w:val="center"/>
            <w:hideMark/>
          </w:tcPr>
          <w:p w14:paraId="718EC77A" w14:textId="77777777" w:rsidR="00E754D9" w:rsidRPr="00932A16" w:rsidRDefault="00E754D9" w:rsidP="00447430">
            <w:pPr>
              <w:pStyle w:val="Tableheading"/>
            </w:pPr>
            <w:r w:rsidRPr="00932A16">
              <w:t>NT</w:t>
            </w:r>
          </w:p>
        </w:tc>
        <w:tc>
          <w:tcPr>
            <w:tcW w:w="824" w:type="dxa"/>
            <w:shd w:val="clear" w:color="auto" w:fill="auto"/>
            <w:vAlign w:val="center"/>
            <w:hideMark/>
          </w:tcPr>
          <w:p w14:paraId="0D8791A7" w14:textId="77777777" w:rsidR="00E754D9" w:rsidRPr="00932A16" w:rsidRDefault="00E754D9" w:rsidP="00447430">
            <w:pPr>
              <w:pStyle w:val="Tableheading"/>
            </w:pPr>
            <w:r>
              <w:t>Total</w:t>
            </w:r>
          </w:p>
        </w:tc>
      </w:tr>
      <w:tr w:rsidR="00E754D9" w:rsidRPr="00932A16" w14:paraId="04E1A5E1" w14:textId="77777777" w:rsidTr="003129E4">
        <w:trPr>
          <w:trHeight w:val="305"/>
          <w:jc w:val="center"/>
        </w:trPr>
        <w:tc>
          <w:tcPr>
            <w:tcW w:w="1050" w:type="dxa"/>
            <w:shd w:val="clear" w:color="auto" w:fill="auto"/>
            <w:vAlign w:val="center"/>
          </w:tcPr>
          <w:p w14:paraId="7750B78E" w14:textId="77777777" w:rsidR="00E754D9" w:rsidRPr="00932A16" w:rsidRDefault="00E754D9" w:rsidP="00422EC8">
            <w:pPr>
              <w:pStyle w:val="Tabletext"/>
            </w:pPr>
            <w:r w:rsidRPr="0096214C">
              <w:t>0</w:t>
            </w:r>
          </w:p>
        </w:tc>
        <w:tc>
          <w:tcPr>
            <w:tcW w:w="1026" w:type="dxa"/>
            <w:shd w:val="clear" w:color="auto" w:fill="auto"/>
            <w:vAlign w:val="center"/>
          </w:tcPr>
          <w:p w14:paraId="6E9ECBED" w14:textId="77777777" w:rsidR="00E754D9" w:rsidRPr="00932A16" w:rsidRDefault="00E754D9" w:rsidP="00422EC8">
            <w:pPr>
              <w:pStyle w:val="Tabletext"/>
            </w:pPr>
            <w:r w:rsidRPr="0096214C">
              <w:t>1</w:t>
            </w:r>
          </w:p>
        </w:tc>
        <w:tc>
          <w:tcPr>
            <w:tcW w:w="1040" w:type="dxa"/>
            <w:shd w:val="clear" w:color="auto" w:fill="auto"/>
            <w:vAlign w:val="center"/>
          </w:tcPr>
          <w:p w14:paraId="5D02415A" w14:textId="77777777" w:rsidR="00E754D9" w:rsidRPr="00932A16" w:rsidRDefault="00E754D9" w:rsidP="00422EC8">
            <w:pPr>
              <w:pStyle w:val="Tabletext"/>
            </w:pPr>
            <w:r w:rsidRPr="0096214C">
              <w:t>0</w:t>
            </w:r>
          </w:p>
        </w:tc>
        <w:tc>
          <w:tcPr>
            <w:tcW w:w="1015" w:type="dxa"/>
            <w:shd w:val="clear" w:color="auto" w:fill="auto"/>
            <w:vAlign w:val="center"/>
          </w:tcPr>
          <w:p w14:paraId="3A91F615" w14:textId="77777777" w:rsidR="00E754D9" w:rsidRPr="00932A16" w:rsidRDefault="00E754D9" w:rsidP="00422EC8">
            <w:pPr>
              <w:pStyle w:val="Tabletext"/>
            </w:pPr>
            <w:r w:rsidRPr="0096214C">
              <w:t>0</w:t>
            </w:r>
          </w:p>
        </w:tc>
        <w:tc>
          <w:tcPr>
            <w:tcW w:w="1030" w:type="dxa"/>
            <w:shd w:val="clear" w:color="auto" w:fill="auto"/>
            <w:vAlign w:val="center"/>
          </w:tcPr>
          <w:p w14:paraId="0C9A5C0C" w14:textId="77777777" w:rsidR="00E754D9" w:rsidRPr="00932A16" w:rsidRDefault="00E754D9" w:rsidP="00422EC8">
            <w:pPr>
              <w:pStyle w:val="Tabletext"/>
            </w:pPr>
            <w:r w:rsidRPr="0096214C">
              <w:t>0</w:t>
            </w:r>
          </w:p>
        </w:tc>
        <w:tc>
          <w:tcPr>
            <w:tcW w:w="1033" w:type="dxa"/>
            <w:shd w:val="clear" w:color="auto" w:fill="auto"/>
            <w:vAlign w:val="center"/>
          </w:tcPr>
          <w:p w14:paraId="18C9F8BA" w14:textId="77777777" w:rsidR="00E754D9" w:rsidRPr="00932A16" w:rsidRDefault="00E754D9" w:rsidP="00422EC8">
            <w:pPr>
              <w:pStyle w:val="Tabletext"/>
            </w:pPr>
            <w:r w:rsidRPr="0096214C">
              <w:t>0</w:t>
            </w:r>
          </w:p>
        </w:tc>
        <w:tc>
          <w:tcPr>
            <w:tcW w:w="1036" w:type="dxa"/>
            <w:shd w:val="clear" w:color="auto" w:fill="auto"/>
            <w:vAlign w:val="center"/>
          </w:tcPr>
          <w:p w14:paraId="1757AC2C" w14:textId="77777777" w:rsidR="00E754D9" w:rsidRPr="00932A16" w:rsidRDefault="00E754D9" w:rsidP="00422EC8">
            <w:pPr>
              <w:pStyle w:val="Tabletext"/>
            </w:pPr>
            <w:r w:rsidRPr="0096214C">
              <w:t>0</w:t>
            </w:r>
          </w:p>
        </w:tc>
        <w:tc>
          <w:tcPr>
            <w:tcW w:w="1018" w:type="dxa"/>
            <w:shd w:val="clear" w:color="auto" w:fill="auto"/>
            <w:vAlign w:val="center"/>
          </w:tcPr>
          <w:p w14:paraId="1974DB18" w14:textId="77777777" w:rsidR="00E754D9" w:rsidRPr="00932A16" w:rsidRDefault="00E754D9" w:rsidP="00422EC8">
            <w:pPr>
              <w:pStyle w:val="Tabletext"/>
            </w:pPr>
            <w:r w:rsidRPr="0096214C">
              <w:t>0</w:t>
            </w:r>
          </w:p>
        </w:tc>
        <w:tc>
          <w:tcPr>
            <w:tcW w:w="824" w:type="dxa"/>
            <w:shd w:val="clear" w:color="auto" w:fill="auto"/>
            <w:vAlign w:val="center"/>
          </w:tcPr>
          <w:p w14:paraId="3305E9A8" w14:textId="77777777" w:rsidR="00E754D9" w:rsidRPr="00932A16" w:rsidRDefault="00E754D9" w:rsidP="00422EC8">
            <w:pPr>
              <w:pStyle w:val="Tabletext"/>
            </w:pPr>
            <w:r w:rsidRPr="0096214C">
              <w:t>1</w:t>
            </w:r>
          </w:p>
        </w:tc>
      </w:tr>
    </w:tbl>
    <w:p w14:paraId="5FA56607" w14:textId="77777777" w:rsidR="00E754D9" w:rsidRDefault="00E754D9" w:rsidP="00E754D9">
      <w:pPr>
        <w:pStyle w:val="TableUnderlast"/>
      </w:pPr>
      <w:r w:rsidRPr="00B65B58">
        <w:t>Public data (Department of Human Services website)</w:t>
      </w:r>
      <w:r>
        <w:t>.</w:t>
      </w:r>
    </w:p>
    <w:p w14:paraId="67480AB5" w14:textId="77777777" w:rsidR="00E754D9" w:rsidRPr="00681146" w:rsidRDefault="00B23EBF" w:rsidP="00B23EBF">
      <w:pPr>
        <w:pStyle w:val="Caption"/>
        <w:rPr>
          <w:iCs/>
        </w:rPr>
      </w:pPr>
      <w:r>
        <w:t>Table D16:</w:t>
      </w:r>
      <w:r>
        <w:tab/>
      </w:r>
      <w:r w:rsidR="00E754D9">
        <w:t xml:space="preserve">Item </w:t>
      </w:r>
      <w:r w:rsidR="00E754D9" w:rsidRPr="00741054">
        <w:t>41779</w:t>
      </w:r>
      <w:r w:rsidR="00E754D9">
        <w:t xml:space="preserve"> – </w:t>
      </w:r>
      <w:r w:rsidR="00E754D9" w:rsidRPr="007A5A96">
        <w:t xml:space="preserve">Number of services by financial year </w:t>
      </w:r>
    </w:p>
    <w:tbl>
      <w:tblPr>
        <w:tblW w:w="9072" w:type="dxa"/>
        <w:jc w:val="center"/>
        <w:tblBorders>
          <w:top w:val="single" w:sz="4" w:space="0" w:color="B56011"/>
          <w:bottom w:val="single" w:sz="4" w:space="0" w:color="B56011"/>
          <w:insideH w:val="single" w:sz="4" w:space="0" w:color="B56011"/>
        </w:tblBorders>
        <w:tblLayout w:type="fixed"/>
        <w:tblLook w:val="04A0" w:firstRow="1" w:lastRow="0" w:firstColumn="1" w:lastColumn="0" w:noHBand="0" w:noVBand="1"/>
        <w:tblCaption w:val="Trend for use of the MBS item over time"/>
      </w:tblPr>
      <w:tblGrid>
        <w:gridCol w:w="824"/>
        <w:gridCol w:w="825"/>
        <w:gridCol w:w="825"/>
        <w:gridCol w:w="824"/>
        <w:gridCol w:w="825"/>
        <w:gridCol w:w="825"/>
        <w:gridCol w:w="825"/>
        <w:gridCol w:w="824"/>
        <w:gridCol w:w="825"/>
        <w:gridCol w:w="825"/>
        <w:gridCol w:w="825"/>
      </w:tblGrid>
      <w:tr w:rsidR="00E754D9" w:rsidRPr="00AA632A" w14:paraId="6DF9FF0A" w14:textId="77777777" w:rsidTr="003129E4">
        <w:trPr>
          <w:trHeight w:val="300"/>
          <w:jc w:val="center"/>
        </w:trPr>
        <w:tc>
          <w:tcPr>
            <w:tcW w:w="824" w:type="dxa"/>
            <w:shd w:val="clear" w:color="auto" w:fill="auto"/>
            <w:noWrap/>
            <w:hideMark/>
          </w:tcPr>
          <w:p w14:paraId="51CFBEBC" w14:textId="77777777" w:rsidR="00E754D9" w:rsidRPr="00AA632A" w:rsidRDefault="00E754D9" w:rsidP="00AA632A">
            <w:pPr>
              <w:pStyle w:val="Tableheading"/>
              <w:rPr>
                <w:sz w:val="18"/>
              </w:rPr>
            </w:pPr>
            <w:r w:rsidRPr="00AA632A">
              <w:rPr>
                <w:sz w:val="18"/>
              </w:rPr>
              <w:t>2004-05</w:t>
            </w:r>
          </w:p>
        </w:tc>
        <w:tc>
          <w:tcPr>
            <w:tcW w:w="825" w:type="dxa"/>
            <w:shd w:val="clear" w:color="auto" w:fill="auto"/>
            <w:noWrap/>
            <w:hideMark/>
          </w:tcPr>
          <w:p w14:paraId="29D50B3D" w14:textId="77777777" w:rsidR="00E754D9" w:rsidRPr="00AA632A" w:rsidRDefault="00E754D9" w:rsidP="00AA632A">
            <w:pPr>
              <w:pStyle w:val="Tableheading"/>
              <w:rPr>
                <w:sz w:val="18"/>
              </w:rPr>
            </w:pPr>
            <w:r w:rsidRPr="00AA632A">
              <w:rPr>
                <w:sz w:val="18"/>
              </w:rPr>
              <w:t>2005-06</w:t>
            </w:r>
          </w:p>
        </w:tc>
        <w:tc>
          <w:tcPr>
            <w:tcW w:w="825" w:type="dxa"/>
            <w:shd w:val="clear" w:color="auto" w:fill="auto"/>
            <w:noWrap/>
            <w:hideMark/>
          </w:tcPr>
          <w:p w14:paraId="6D1CEDF0" w14:textId="77777777" w:rsidR="00E754D9" w:rsidRPr="00AA632A" w:rsidRDefault="00E754D9" w:rsidP="00AA632A">
            <w:pPr>
              <w:pStyle w:val="Tableheading"/>
              <w:rPr>
                <w:sz w:val="18"/>
              </w:rPr>
            </w:pPr>
            <w:r w:rsidRPr="00AA632A">
              <w:rPr>
                <w:sz w:val="18"/>
              </w:rPr>
              <w:t>2006-07</w:t>
            </w:r>
          </w:p>
        </w:tc>
        <w:tc>
          <w:tcPr>
            <w:tcW w:w="824" w:type="dxa"/>
            <w:shd w:val="clear" w:color="auto" w:fill="auto"/>
            <w:noWrap/>
            <w:hideMark/>
          </w:tcPr>
          <w:p w14:paraId="09E0F4AC" w14:textId="77777777" w:rsidR="00E754D9" w:rsidRPr="00AA632A" w:rsidRDefault="00E754D9" w:rsidP="00AA632A">
            <w:pPr>
              <w:pStyle w:val="Tableheading"/>
              <w:rPr>
                <w:sz w:val="18"/>
              </w:rPr>
            </w:pPr>
            <w:r w:rsidRPr="00AA632A">
              <w:rPr>
                <w:sz w:val="18"/>
              </w:rPr>
              <w:t>2007-08</w:t>
            </w:r>
          </w:p>
        </w:tc>
        <w:tc>
          <w:tcPr>
            <w:tcW w:w="825" w:type="dxa"/>
            <w:shd w:val="clear" w:color="auto" w:fill="auto"/>
            <w:noWrap/>
            <w:hideMark/>
          </w:tcPr>
          <w:p w14:paraId="16170DEE" w14:textId="77777777" w:rsidR="00E754D9" w:rsidRPr="00AA632A" w:rsidRDefault="00E754D9" w:rsidP="00AA632A">
            <w:pPr>
              <w:pStyle w:val="Tableheading"/>
              <w:rPr>
                <w:sz w:val="18"/>
              </w:rPr>
            </w:pPr>
            <w:r w:rsidRPr="00AA632A">
              <w:rPr>
                <w:sz w:val="18"/>
              </w:rPr>
              <w:t>2008-09</w:t>
            </w:r>
          </w:p>
        </w:tc>
        <w:tc>
          <w:tcPr>
            <w:tcW w:w="825" w:type="dxa"/>
            <w:shd w:val="clear" w:color="auto" w:fill="auto"/>
            <w:noWrap/>
            <w:hideMark/>
          </w:tcPr>
          <w:p w14:paraId="0D7E13B8" w14:textId="77777777" w:rsidR="00E754D9" w:rsidRPr="00AA632A" w:rsidRDefault="00E754D9" w:rsidP="00AA632A">
            <w:pPr>
              <w:pStyle w:val="Tableheading"/>
              <w:rPr>
                <w:sz w:val="18"/>
              </w:rPr>
            </w:pPr>
            <w:r w:rsidRPr="00AA632A">
              <w:rPr>
                <w:sz w:val="18"/>
              </w:rPr>
              <w:t>2009-10</w:t>
            </w:r>
          </w:p>
        </w:tc>
        <w:tc>
          <w:tcPr>
            <w:tcW w:w="825" w:type="dxa"/>
            <w:shd w:val="clear" w:color="auto" w:fill="auto"/>
            <w:noWrap/>
            <w:hideMark/>
          </w:tcPr>
          <w:p w14:paraId="38C72C6C" w14:textId="77777777" w:rsidR="00E754D9" w:rsidRPr="00AA632A" w:rsidRDefault="00E754D9" w:rsidP="00AA632A">
            <w:pPr>
              <w:pStyle w:val="Tableheading"/>
              <w:rPr>
                <w:sz w:val="18"/>
              </w:rPr>
            </w:pPr>
            <w:r w:rsidRPr="00AA632A">
              <w:rPr>
                <w:sz w:val="18"/>
              </w:rPr>
              <w:t>2010-11</w:t>
            </w:r>
          </w:p>
        </w:tc>
        <w:tc>
          <w:tcPr>
            <w:tcW w:w="824" w:type="dxa"/>
            <w:shd w:val="clear" w:color="auto" w:fill="auto"/>
            <w:noWrap/>
            <w:hideMark/>
          </w:tcPr>
          <w:p w14:paraId="4BFFF603" w14:textId="77777777" w:rsidR="00E754D9" w:rsidRPr="00AA632A" w:rsidRDefault="00E754D9" w:rsidP="00AA632A">
            <w:pPr>
              <w:pStyle w:val="Tableheading"/>
              <w:rPr>
                <w:sz w:val="18"/>
              </w:rPr>
            </w:pPr>
            <w:r w:rsidRPr="00AA632A">
              <w:rPr>
                <w:sz w:val="18"/>
              </w:rPr>
              <w:t>2011-12</w:t>
            </w:r>
          </w:p>
        </w:tc>
        <w:tc>
          <w:tcPr>
            <w:tcW w:w="825" w:type="dxa"/>
            <w:shd w:val="clear" w:color="auto" w:fill="auto"/>
            <w:noWrap/>
            <w:hideMark/>
          </w:tcPr>
          <w:p w14:paraId="358DB592" w14:textId="77777777" w:rsidR="00E754D9" w:rsidRPr="00AA632A" w:rsidRDefault="00E754D9" w:rsidP="00AA632A">
            <w:pPr>
              <w:pStyle w:val="Tableheading"/>
              <w:rPr>
                <w:sz w:val="18"/>
              </w:rPr>
            </w:pPr>
            <w:r w:rsidRPr="00AA632A">
              <w:rPr>
                <w:sz w:val="18"/>
              </w:rPr>
              <w:t>2012-13</w:t>
            </w:r>
          </w:p>
        </w:tc>
        <w:tc>
          <w:tcPr>
            <w:tcW w:w="825" w:type="dxa"/>
            <w:shd w:val="clear" w:color="auto" w:fill="auto"/>
            <w:noWrap/>
            <w:hideMark/>
          </w:tcPr>
          <w:p w14:paraId="187B6BC5" w14:textId="77777777" w:rsidR="00E754D9" w:rsidRPr="00AA632A" w:rsidRDefault="00E754D9" w:rsidP="00AA632A">
            <w:pPr>
              <w:pStyle w:val="Tableheading"/>
              <w:rPr>
                <w:sz w:val="18"/>
              </w:rPr>
            </w:pPr>
            <w:r w:rsidRPr="00AA632A">
              <w:rPr>
                <w:sz w:val="18"/>
              </w:rPr>
              <w:t>2013-14</w:t>
            </w:r>
          </w:p>
        </w:tc>
        <w:tc>
          <w:tcPr>
            <w:tcW w:w="825" w:type="dxa"/>
            <w:shd w:val="clear" w:color="auto" w:fill="auto"/>
            <w:noWrap/>
            <w:hideMark/>
          </w:tcPr>
          <w:p w14:paraId="51E23437" w14:textId="77777777" w:rsidR="00E754D9" w:rsidRPr="00AA632A" w:rsidRDefault="00E754D9" w:rsidP="00AA632A">
            <w:pPr>
              <w:pStyle w:val="Tableheading"/>
              <w:rPr>
                <w:sz w:val="18"/>
              </w:rPr>
            </w:pPr>
            <w:r w:rsidRPr="00AA632A">
              <w:rPr>
                <w:sz w:val="18"/>
              </w:rPr>
              <w:t>2014-15</w:t>
            </w:r>
          </w:p>
        </w:tc>
      </w:tr>
      <w:tr w:rsidR="00E754D9" w:rsidRPr="00932A16" w14:paraId="47CB1822" w14:textId="77777777" w:rsidTr="003129E4">
        <w:trPr>
          <w:trHeight w:val="306"/>
          <w:jc w:val="center"/>
        </w:trPr>
        <w:tc>
          <w:tcPr>
            <w:tcW w:w="824" w:type="dxa"/>
            <w:shd w:val="clear" w:color="auto" w:fill="auto"/>
            <w:noWrap/>
            <w:vAlign w:val="center"/>
          </w:tcPr>
          <w:p w14:paraId="2ABA1367" w14:textId="77777777" w:rsidR="00E754D9" w:rsidRPr="00932A16" w:rsidRDefault="00E754D9" w:rsidP="00422EC8">
            <w:pPr>
              <w:pStyle w:val="Tabletext"/>
            </w:pPr>
            <w:r w:rsidRPr="0096214C">
              <w:t>6</w:t>
            </w:r>
          </w:p>
        </w:tc>
        <w:tc>
          <w:tcPr>
            <w:tcW w:w="825" w:type="dxa"/>
            <w:shd w:val="clear" w:color="auto" w:fill="auto"/>
            <w:noWrap/>
            <w:vAlign w:val="center"/>
          </w:tcPr>
          <w:p w14:paraId="3F871821" w14:textId="77777777" w:rsidR="00E754D9" w:rsidRPr="00932A16" w:rsidRDefault="00E754D9" w:rsidP="00422EC8">
            <w:pPr>
              <w:pStyle w:val="Tabletext"/>
            </w:pPr>
            <w:r w:rsidRPr="0096214C">
              <w:t>3</w:t>
            </w:r>
          </w:p>
        </w:tc>
        <w:tc>
          <w:tcPr>
            <w:tcW w:w="825" w:type="dxa"/>
            <w:shd w:val="clear" w:color="auto" w:fill="auto"/>
            <w:noWrap/>
            <w:vAlign w:val="center"/>
          </w:tcPr>
          <w:p w14:paraId="3CB58F4B" w14:textId="77777777" w:rsidR="00E754D9" w:rsidRPr="00932A16" w:rsidRDefault="00E754D9" w:rsidP="00422EC8">
            <w:pPr>
              <w:pStyle w:val="Tabletext"/>
            </w:pPr>
            <w:r w:rsidRPr="0096214C">
              <w:t>3</w:t>
            </w:r>
          </w:p>
        </w:tc>
        <w:tc>
          <w:tcPr>
            <w:tcW w:w="824" w:type="dxa"/>
            <w:shd w:val="clear" w:color="auto" w:fill="auto"/>
            <w:noWrap/>
            <w:vAlign w:val="center"/>
          </w:tcPr>
          <w:p w14:paraId="1C46F9E7" w14:textId="77777777" w:rsidR="00E754D9" w:rsidRPr="00932A16" w:rsidRDefault="00E754D9" w:rsidP="00422EC8">
            <w:pPr>
              <w:pStyle w:val="Tabletext"/>
            </w:pPr>
            <w:r w:rsidRPr="0096214C">
              <w:t>9</w:t>
            </w:r>
          </w:p>
        </w:tc>
        <w:tc>
          <w:tcPr>
            <w:tcW w:w="825" w:type="dxa"/>
            <w:shd w:val="clear" w:color="auto" w:fill="auto"/>
            <w:noWrap/>
            <w:vAlign w:val="center"/>
          </w:tcPr>
          <w:p w14:paraId="69EDDB99" w14:textId="77777777" w:rsidR="00E754D9" w:rsidRPr="00932A16" w:rsidRDefault="00E754D9" w:rsidP="00422EC8">
            <w:pPr>
              <w:pStyle w:val="Tabletext"/>
            </w:pPr>
            <w:r w:rsidRPr="0096214C">
              <w:t>13</w:t>
            </w:r>
          </w:p>
        </w:tc>
        <w:tc>
          <w:tcPr>
            <w:tcW w:w="825" w:type="dxa"/>
            <w:shd w:val="clear" w:color="auto" w:fill="auto"/>
            <w:noWrap/>
            <w:vAlign w:val="center"/>
          </w:tcPr>
          <w:p w14:paraId="650E5DC3" w14:textId="77777777" w:rsidR="00E754D9" w:rsidRPr="00932A16" w:rsidRDefault="00E754D9" w:rsidP="00422EC8">
            <w:pPr>
              <w:pStyle w:val="Tabletext"/>
            </w:pPr>
            <w:r w:rsidRPr="0096214C">
              <w:t>2</w:t>
            </w:r>
          </w:p>
        </w:tc>
        <w:tc>
          <w:tcPr>
            <w:tcW w:w="825" w:type="dxa"/>
            <w:shd w:val="clear" w:color="auto" w:fill="auto"/>
            <w:noWrap/>
            <w:vAlign w:val="center"/>
          </w:tcPr>
          <w:p w14:paraId="732FF23B" w14:textId="77777777" w:rsidR="00E754D9" w:rsidRPr="00932A16" w:rsidRDefault="00E754D9" w:rsidP="00422EC8">
            <w:pPr>
              <w:pStyle w:val="Tabletext"/>
            </w:pPr>
            <w:r w:rsidRPr="0096214C">
              <w:t>12</w:t>
            </w:r>
          </w:p>
        </w:tc>
        <w:tc>
          <w:tcPr>
            <w:tcW w:w="824" w:type="dxa"/>
            <w:shd w:val="clear" w:color="auto" w:fill="auto"/>
            <w:noWrap/>
            <w:vAlign w:val="center"/>
          </w:tcPr>
          <w:p w14:paraId="116CACF5" w14:textId="77777777" w:rsidR="00E754D9" w:rsidRPr="00932A16" w:rsidRDefault="00E754D9" w:rsidP="00422EC8">
            <w:pPr>
              <w:pStyle w:val="Tabletext"/>
            </w:pPr>
            <w:r w:rsidRPr="0096214C">
              <w:t>8</w:t>
            </w:r>
          </w:p>
        </w:tc>
        <w:tc>
          <w:tcPr>
            <w:tcW w:w="825" w:type="dxa"/>
            <w:shd w:val="clear" w:color="auto" w:fill="auto"/>
            <w:noWrap/>
            <w:vAlign w:val="center"/>
          </w:tcPr>
          <w:p w14:paraId="1133FFA9" w14:textId="77777777" w:rsidR="00E754D9" w:rsidRPr="00932A16" w:rsidRDefault="00E754D9" w:rsidP="00422EC8">
            <w:pPr>
              <w:pStyle w:val="Tabletext"/>
            </w:pPr>
            <w:r w:rsidRPr="0096214C">
              <w:t>6</w:t>
            </w:r>
          </w:p>
        </w:tc>
        <w:tc>
          <w:tcPr>
            <w:tcW w:w="825" w:type="dxa"/>
            <w:shd w:val="clear" w:color="auto" w:fill="auto"/>
            <w:noWrap/>
            <w:vAlign w:val="center"/>
          </w:tcPr>
          <w:p w14:paraId="12E3A2E8" w14:textId="77777777" w:rsidR="00E754D9" w:rsidRPr="00932A16" w:rsidRDefault="00E754D9" w:rsidP="00422EC8">
            <w:pPr>
              <w:pStyle w:val="Tabletext"/>
            </w:pPr>
            <w:r w:rsidRPr="0096214C">
              <w:t>10</w:t>
            </w:r>
          </w:p>
        </w:tc>
        <w:tc>
          <w:tcPr>
            <w:tcW w:w="825" w:type="dxa"/>
            <w:shd w:val="clear" w:color="auto" w:fill="auto"/>
            <w:noWrap/>
            <w:vAlign w:val="center"/>
          </w:tcPr>
          <w:p w14:paraId="41ED4DB6" w14:textId="77777777" w:rsidR="00E754D9" w:rsidRPr="00932A16" w:rsidRDefault="00E754D9" w:rsidP="00422EC8">
            <w:pPr>
              <w:pStyle w:val="Tabletext"/>
            </w:pPr>
            <w:r w:rsidRPr="0096214C">
              <w:t>1</w:t>
            </w:r>
          </w:p>
        </w:tc>
      </w:tr>
    </w:tbl>
    <w:p w14:paraId="5569A219" w14:textId="77777777" w:rsidR="006446E2" w:rsidRDefault="00E754D9" w:rsidP="00B23EBF">
      <w:pPr>
        <w:pStyle w:val="TableUnderlast"/>
      </w:pPr>
      <w:r w:rsidRPr="00B65B58">
        <w:t>Public data (Department of Human Services website)</w:t>
      </w:r>
      <w:r>
        <w:t>.</w:t>
      </w:r>
    </w:p>
    <w:p w14:paraId="507C7970" w14:textId="77777777" w:rsidR="006446E2" w:rsidRDefault="006446E2" w:rsidP="006446E2">
      <w:pPr>
        <w:rPr>
          <w:sz w:val="18"/>
          <w:szCs w:val="16"/>
        </w:rPr>
      </w:pPr>
      <w:r>
        <w:br w:type="page"/>
      </w:r>
    </w:p>
    <w:p w14:paraId="524BAE27" w14:textId="77777777" w:rsidR="006446E2" w:rsidRDefault="006446E2" w:rsidP="00FC6852">
      <w:pPr>
        <w:pStyle w:val="AppendixStyle1"/>
        <w:numPr>
          <w:ilvl w:val="0"/>
          <w:numId w:val="0"/>
        </w:numPr>
      </w:pPr>
      <w:bookmarkStart w:id="124" w:name="_Toc467685000"/>
      <w:bookmarkStart w:id="125" w:name="_Toc485393142"/>
      <w:bookmarkStart w:id="126" w:name="_Toc485723872"/>
      <w:r>
        <w:lastRenderedPageBreak/>
        <w:t>Addendum</w:t>
      </w:r>
      <w:bookmarkEnd w:id="124"/>
      <w:bookmarkEnd w:id="125"/>
      <w:bookmarkEnd w:id="126"/>
    </w:p>
    <w:p w14:paraId="3C6500A9" w14:textId="77777777" w:rsidR="006446E2" w:rsidRDefault="006446E2" w:rsidP="006446E2">
      <w:pPr>
        <w:pStyle w:val="Title"/>
        <w:rPr>
          <w:sz w:val="60"/>
          <w:szCs w:val="60"/>
        </w:rPr>
      </w:pPr>
      <w:r>
        <w:rPr>
          <w:sz w:val="60"/>
          <w:szCs w:val="60"/>
        </w:rPr>
        <w:t>Addendum to the</w:t>
      </w:r>
    </w:p>
    <w:p w14:paraId="09D71BDB" w14:textId="77777777" w:rsidR="006446E2" w:rsidRPr="00375B6D" w:rsidRDefault="006446E2" w:rsidP="006446E2">
      <w:pPr>
        <w:pStyle w:val="Title"/>
        <w:rPr>
          <w:sz w:val="60"/>
          <w:szCs w:val="60"/>
        </w:rPr>
      </w:pPr>
      <w:r w:rsidRPr="00375B6D">
        <w:rPr>
          <w:sz w:val="60"/>
          <w:szCs w:val="60"/>
        </w:rPr>
        <w:t>First Report</w:t>
      </w:r>
      <w:r>
        <w:rPr>
          <w:sz w:val="60"/>
          <w:szCs w:val="60"/>
        </w:rPr>
        <w:t xml:space="preserve"> from the</w:t>
      </w:r>
    </w:p>
    <w:p w14:paraId="1C54467A" w14:textId="77777777" w:rsidR="006446E2" w:rsidRPr="006F282D" w:rsidRDefault="006446E2" w:rsidP="006446E2">
      <w:pPr>
        <w:pStyle w:val="Title"/>
        <w:rPr>
          <w:sz w:val="60"/>
          <w:szCs w:val="60"/>
        </w:rPr>
      </w:pPr>
      <w:r w:rsidRPr="00375B6D">
        <w:rPr>
          <w:sz w:val="60"/>
          <w:szCs w:val="60"/>
        </w:rPr>
        <w:t xml:space="preserve">Ear Nose and Throat (ENT) Surgery Clinical Committee </w:t>
      </w:r>
      <w:r>
        <w:rPr>
          <w:sz w:val="60"/>
          <w:szCs w:val="60"/>
        </w:rPr>
        <w:t>-</w:t>
      </w:r>
      <w:r w:rsidRPr="00375B6D">
        <w:rPr>
          <w:sz w:val="60"/>
          <w:szCs w:val="60"/>
        </w:rPr>
        <w:t xml:space="preserve"> Tonsillectomy, Adenoidectomy &amp; Insertion of Grommets</w:t>
      </w:r>
    </w:p>
    <w:p w14:paraId="68206659" w14:textId="77777777" w:rsidR="006446E2" w:rsidRPr="00E74CB1" w:rsidRDefault="006446E2" w:rsidP="006446E2">
      <w:pPr>
        <w:pStyle w:val="Subtitle"/>
      </w:pPr>
      <w:r w:rsidRPr="00E74CB1">
        <w:t>2016</w:t>
      </w:r>
    </w:p>
    <w:p w14:paraId="3E034EBB" w14:textId="77777777" w:rsidR="006446E2" w:rsidRDefault="006446E2" w:rsidP="006446E2">
      <w:pPr>
        <w:spacing w:before="0" w:after="0" w:line="240" w:lineRule="auto"/>
        <w:rPr>
          <w:sz w:val="18"/>
          <w:szCs w:val="20"/>
        </w:rPr>
      </w:pPr>
      <w:r>
        <w:rPr>
          <w:szCs w:val="20"/>
        </w:rPr>
        <w:br w:type="page"/>
      </w:r>
    </w:p>
    <w:p w14:paraId="1FF03314" w14:textId="77777777" w:rsidR="006446E2" w:rsidRPr="008C248B" w:rsidRDefault="006446E2" w:rsidP="006446E2">
      <w:pPr>
        <w:pStyle w:val="Heading2a"/>
      </w:pPr>
      <w:r w:rsidRPr="008C248B">
        <w:lastRenderedPageBreak/>
        <w:t>A.1 Public Consultation</w:t>
      </w:r>
    </w:p>
    <w:p w14:paraId="5CE44341" w14:textId="77777777" w:rsidR="006446E2" w:rsidRDefault="006446E2" w:rsidP="006446E2">
      <w:r>
        <w:t>The Thoracic Medicine Clinical Committee report was released for public consultation on 9 September 2016 for four weeks.</w:t>
      </w:r>
    </w:p>
    <w:p w14:paraId="3BF50F45" w14:textId="77777777" w:rsidR="006446E2" w:rsidRPr="008C248B" w:rsidRDefault="006446E2" w:rsidP="006446E2">
      <w:pPr>
        <w:pStyle w:val="Heading2a"/>
      </w:pPr>
      <w:r>
        <w:t>A.2</w:t>
      </w:r>
      <w:r w:rsidRPr="008C248B">
        <w:t xml:space="preserve"> Ear, Nose and Throat Surgery Clinical Committee review of public consultation submissions</w:t>
      </w:r>
    </w:p>
    <w:p w14:paraId="4357B12B" w14:textId="77777777" w:rsidR="006446E2" w:rsidRDefault="006446E2" w:rsidP="006446E2">
      <w:r>
        <w:t xml:space="preserve">The Ear, Nose and Throat Surgery Clinical Committee assessed the submissions from public consultation. </w:t>
      </w:r>
    </w:p>
    <w:p w14:paraId="16349611" w14:textId="77777777" w:rsidR="006446E2" w:rsidRDefault="006446E2" w:rsidP="006446E2">
      <w:r>
        <w:t>The Committee noted the main themes included:</w:t>
      </w:r>
    </w:p>
    <w:p w14:paraId="7A6DBCAD" w14:textId="77777777" w:rsidR="006446E2" w:rsidRPr="00744C76" w:rsidRDefault="006446E2" w:rsidP="006446E2">
      <w:pPr>
        <w:pStyle w:val="NormalBulleted"/>
        <w:spacing w:before="60"/>
      </w:pPr>
      <w:r w:rsidRPr="00744C76">
        <w:t xml:space="preserve">that removal of obsolete item 41846 for examination of </w:t>
      </w:r>
      <w:proofErr w:type="gramStart"/>
      <w:r w:rsidRPr="00744C76">
        <w:t>post nasal</w:t>
      </w:r>
      <w:proofErr w:type="gramEnd"/>
      <w:r w:rsidRPr="00744C76">
        <w:t xml:space="preserve"> space should not be removed and should continue to be paid as a separate item. Also, removal should not occur before the new </w:t>
      </w:r>
      <w:proofErr w:type="spellStart"/>
      <w:r w:rsidRPr="00744C76">
        <w:t>stroboscopy</w:t>
      </w:r>
      <w:proofErr w:type="spellEnd"/>
      <w:r w:rsidRPr="00744C76">
        <w:t xml:space="preserve"> item is implemented; and</w:t>
      </w:r>
    </w:p>
    <w:p w14:paraId="5EEC2305" w14:textId="77777777" w:rsidR="006446E2" w:rsidRPr="00744C76" w:rsidRDefault="006446E2" w:rsidP="006446E2">
      <w:pPr>
        <w:pStyle w:val="NormalBulleted"/>
        <w:spacing w:before="60"/>
      </w:pPr>
      <w:r>
        <w:t>d</w:t>
      </w:r>
      <w:r w:rsidRPr="00744C76">
        <w:t>isagreement with the co-claiming restriction between item 41764 and the adenoidectomy and tonsillectomy items</w:t>
      </w:r>
      <w:r>
        <w:t>.</w:t>
      </w:r>
    </w:p>
    <w:p w14:paraId="24085F7E" w14:textId="77777777" w:rsidR="006446E2" w:rsidRPr="003423C5" w:rsidRDefault="006446E2" w:rsidP="006446E2">
      <w:pPr>
        <w:pStyle w:val="Heading2a"/>
      </w:pPr>
      <w:r>
        <w:t xml:space="preserve">A.3 </w:t>
      </w:r>
      <w:r w:rsidRPr="003423C5">
        <w:t>Amended item description</w:t>
      </w:r>
    </w:p>
    <w:p w14:paraId="70443518" w14:textId="77777777" w:rsidR="006446E2" w:rsidRDefault="006446E2" w:rsidP="006446E2">
      <w:pPr>
        <w:rPr>
          <w:szCs w:val="20"/>
        </w:rPr>
      </w:pPr>
      <w:r>
        <w:rPr>
          <w:szCs w:val="20"/>
        </w:rPr>
        <w:t xml:space="preserve">The Committee considered public consultation feedback and agreed that no changes were required to the recommendations; and only one change was required to the new </w:t>
      </w:r>
      <w:proofErr w:type="spellStart"/>
      <w:r>
        <w:rPr>
          <w:szCs w:val="20"/>
        </w:rPr>
        <w:t>stroboscopy</w:t>
      </w:r>
      <w:proofErr w:type="spellEnd"/>
      <w:r>
        <w:rPr>
          <w:szCs w:val="20"/>
        </w:rPr>
        <w:t xml:space="preserve"> item descriptor. </w:t>
      </w:r>
    </w:p>
    <w:p w14:paraId="03B5CF23" w14:textId="77777777" w:rsidR="006446E2" w:rsidRDefault="006446E2" w:rsidP="006446E2">
      <w:pPr>
        <w:rPr>
          <w:szCs w:val="20"/>
        </w:rPr>
      </w:pPr>
      <w:r>
        <w:rPr>
          <w:szCs w:val="20"/>
        </w:rPr>
        <w:t xml:space="preserve">The </w:t>
      </w:r>
      <w:proofErr w:type="spellStart"/>
      <w:r>
        <w:rPr>
          <w:szCs w:val="20"/>
        </w:rPr>
        <w:t>stroboscopy</w:t>
      </w:r>
      <w:proofErr w:type="spellEnd"/>
      <w:r>
        <w:rPr>
          <w:szCs w:val="20"/>
        </w:rPr>
        <w:t xml:space="preserve"> item descriptor was changed to include the recording of the glottic cycle and amend one indication, as shown below (and on page 27).</w:t>
      </w:r>
    </w:p>
    <w:p w14:paraId="70D8171A" w14:textId="77777777" w:rsidR="006446E2" w:rsidRDefault="006446E2" w:rsidP="006446E2">
      <w:pPr>
        <w:rPr>
          <w:lang w:val="en-US"/>
        </w:rPr>
      </w:pPr>
      <w:r>
        <w:rPr>
          <w:lang w:val="en-US"/>
        </w:rPr>
        <w:t xml:space="preserve">Amended proposed </w:t>
      </w:r>
      <w:proofErr w:type="spellStart"/>
      <w:r>
        <w:rPr>
          <w:lang w:val="en-US"/>
        </w:rPr>
        <w:t>stroboscopy</w:t>
      </w:r>
      <w:proofErr w:type="spellEnd"/>
      <w:r>
        <w:rPr>
          <w:lang w:val="en-US"/>
        </w:rPr>
        <w:t xml:space="preserve"> item descriptor:</w:t>
      </w:r>
    </w:p>
    <w:p w14:paraId="2CFB32CA" w14:textId="77777777" w:rsidR="006446E2" w:rsidRPr="003423C5" w:rsidRDefault="006446E2" w:rsidP="006446E2">
      <w:pPr>
        <w:rPr>
          <w:rFonts w:eastAsiaTheme="minorHAnsi"/>
          <w:szCs w:val="22"/>
          <w:lang w:val="en-US" w:eastAsia="en-US"/>
        </w:rPr>
      </w:pPr>
      <w:r w:rsidRPr="003423C5">
        <w:rPr>
          <w:lang w:val="en-US"/>
        </w:rPr>
        <w:t xml:space="preserve">Examination </w:t>
      </w:r>
      <w:r>
        <w:rPr>
          <w:u w:val="single"/>
          <w:lang w:val="en-US"/>
        </w:rPr>
        <w:t>AND RECORDING</w:t>
      </w:r>
      <w:r>
        <w:rPr>
          <w:lang w:val="en-US"/>
        </w:rPr>
        <w:t xml:space="preserve"> </w:t>
      </w:r>
      <w:r w:rsidRPr="003423C5">
        <w:rPr>
          <w:lang w:val="en-US"/>
        </w:rPr>
        <w:t xml:space="preserve">of glottal cycles and vibratory characteristics of the vocal folds using </w:t>
      </w:r>
      <w:proofErr w:type="spellStart"/>
      <w:r w:rsidRPr="003423C5">
        <w:rPr>
          <w:lang w:val="en-US"/>
        </w:rPr>
        <w:t>stroboscopy</w:t>
      </w:r>
      <w:proofErr w:type="spellEnd"/>
      <w:r w:rsidRPr="003423C5">
        <w:rPr>
          <w:lang w:val="en-US"/>
        </w:rPr>
        <w:t>, for confirmation of diagnosis, or for treatment effectiveness where there is failure to progress or respond as expected for:</w:t>
      </w:r>
    </w:p>
    <w:p w14:paraId="3BD82A0D" w14:textId="77777777" w:rsidR="006446E2" w:rsidRPr="003423C5" w:rsidRDefault="006446E2" w:rsidP="006446E2">
      <w:pPr>
        <w:pStyle w:val="NormalBulleted"/>
        <w:rPr>
          <w:color w:val="auto"/>
        </w:rPr>
      </w:pPr>
      <w:proofErr w:type="gramStart"/>
      <w:r w:rsidRPr="003423C5">
        <w:rPr>
          <w:color w:val="auto"/>
        </w:rPr>
        <w:t>dysphonia;</w:t>
      </w:r>
      <w:proofErr w:type="gramEnd"/>
      <w:r w:rsidRPr="003423C5">
        <w:rPr>
          <w:color w:val="auto"/>
        </w:rPr>
        <w:t xml:space="preserve"> </w:t>
      </w:r>
    </w:p>
    <w:p w14:paraId="6ED2172D" w14:textId="77777777" w:rsidR="006446E2" w:rsidRPr="003423C5" w:rsidRDefault="006446E2" w:rsidP="006446E2">
      <w:pPr>
        <w:pStyle w:val="NormalBulleted"/>
        <w:rPr>
          <w:color w:val="auto"/>
        </w:rPr>
      </w:pPr>
      <w:r>
        <w:rPr>
          <w:color w:val="auto"/>
          <w:u w:val="single"/>
        </w:rPr>
        <w:t xml:space="preserve">BENIGN VOCAL CORD </w:t>
      </w:r>
      <w:proofErr w:type="gramStart"/>
      <w:r>
        <w:rPr>
          <w:color w:val="auto"/>
          <w:u w:val="single"/>
        </w:rPr>
        <w:t>LESIONS</w:t>
      </w:r>
      <w:r w:rsidRPr="003423C5">
        <w:rPr>
          <w:color w:val="auto"/>
        </w:rPr>
        <w:t>;</w:t>
      </w:r>
      <w:proofErr w:type="gramEnd"/>
      <w:r w:rsidRPr="003423C5">
        <w:rPr>
          <w:color w:val="auto"/>
        </w:rPr>
        <w:t xml:space="preserve"> </w:t>
      </w:r>
    </w:p>
    <w:p w14:paraId="0CD00D1E" w14:textId="77777777" w:rsidR="006446E2" w:rsidRPr="003423C5" w:rsidRDefault="006446E2" w:rsidP="006446E2">
      <w:pPr>
        <w:pStyle w:val="NormalBulleted"/>
        <w:rPr>
          <w:color w:val="auto"/>
        </w:rPr>
      </w:pPr>
      <w:r w:rsidRPr="003423C5">
        <w:rPr>
          <w:color w:val="auto"/>
        </w:rPr>
        <w:t xml:space="preserve">vocal fold </w:t>
      </w:r>
      <w:proofErr w:type="gramStart"/>
      <w:r w:rsidRPr="003423C5">
        <w:rPr>
          <w:color w:val="auto"/>
        </w:rPr>
        <w:t>paralysis;</w:t>
      </w:r>
      <w:proofErr w:type="gramEnd"/>
    </w:p>
    <w:p w14:paraId="2493DD71" w14:textId="77777777" w:rsidR="006446E2" w:rsidRPr="003423C5" w:rsidRDefault="006446E2" w:rsidP="006446E2">
      <w:pPr>
        <w:pStyle w:val="NormalBulleted"/>
        <w:rPr>
          <w:color w:val="auto"/>
        </w:rPr>
      </w:pPr>
      <w:r w:rsidRPr="003423C5">
        <w:rPr>
          <w:color w:val="auto"/>
        </w:rPr>
        <w:t xml:space="preserve">laryngeal </w:t>
      </w:r>
      <w:proofErr w:type="gramStart"/>
      <w:r w:rsidRPr="003423C5">
        <w:rPr>
          <w:color w:val="auto"/>
        </w:rPr>
        <w:t>dysplasia;</w:t>
      </w:r>
      <w:proofErr w:type="gramEnd"/>
      <w:r w:rsidRPr="003423C5">
        <w:rPr>
          <w:color w:val="auto"/>
        </w:rPr>
        <w:t xml:space="preserve"> </w:t>
      </w:r>
    </w:p>
    <w:p w14:paraId="57A2EB9A" w14:textId="77777777" w:rsidR="006446E2" w:rsidRPr="003423C5" w:rsidRDefault="006446E2" w:rsidP="006446E2">
      <w:pPr>
        <w:pStyle w:val="NormalBulleted"/>
        <w:rPr>
          <w:color w:val="auto"/>
        </w:rPr>
      </w:pPr>
      <w:r w:rsidRPr="003423C5">
        <w:rPr>
          <w:color w:val="auto"/>
        </w:rPr>
        <w:t xml:space="preserve">glottic </w:t>
      </w:r>
      <w:proofErr w:type="gramStart"/>
      <w:r w:rsidRPr="003423C5">
        <w:rPr>
          <w:color w:val="auto"/>
        </w:rPr>
        <w:t>carcinoma;</w:t>
      </w:r>
      <w:proofErr w:type="gramEnd"/>
    </w:p>
    <w:p w14:paraId="20354B96" w14:textId="77777777" w:rsidR="006446E2" w:rsidRPr="003423C5" w:rsidRDefault="006446E2" w:rsidP="006446E2">
      <w:pPr>
        <w:rPr>
          <w:szCs w:val="20"/>
        </w:rPr>
      </w:pPr>
      <w:r w:rsidRPr="003423C5">
        <w:rPr>
          <w:lang w:val="en-US"/>
        </w:rPr>
        <w:t xml:space="preserve">not being a service associated with the administration of a general </w:t>
      </w:r>
      <w:proofErr w:type="spellStart"/>
      <w:r w:rsidRPr="003423C5">
        <w:rPr>
          <w:lang w:val="en-US"/>
        </w:rPr>
        <w:t>anaesthetic</w:t>
      </w:r>
      <w:proofErr w:type="spellEnd"/>
      <w:r w:rsidRPr="003423C5">
        <w:rPr>
          <w:lang w:val="en-US"/>
        </w:rPr>
        <w:t>; and not being a</w:t>
      </w:r>
      <w:r w:rsidRPr="00FB5721">
        <w:rPr>
          <w:u w:val="single"/>
          <w:lang w:val="en-US"/>
        </w:rPr>
        <w:t xml:space="preserve"> </w:t>
      </w:r>
      <w:r w:rsidRPr="003423C5">
        <w:rPr>
          <w:lang w:val="en-US"/>
        </w:rPr>
        <w:t>service to which item 41764 applies.</w:t>
      </w:r>
    </w:p>
    <w:p w14:paraId="37A18EC3" w14:textId="77777777" w:rsidR="00F417F4" w:rsidRPr="0060697D" w:rsidRDefault="00F417F4" w:rsidP="00B23EBF">
      <w:pPr>
        <w:pStyle w:val="TableUnderlast"/>
        <w:rPr>
          <w:szCs w:val="20"/>
        </w:rPr>
      </w:pPr>
    </w:p>
    <w:sectPr w:rsidR="00F417F4" w:rsidRPr="0060697D" w:rsidSect="00475E69">
      <w:footerReference w:type="default" r:id="rId19"/>
      <w:endnotePr>
        <w:numFmt w:val="decimal"/>
      </w:endnotePr>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4A12" w14:textId="77777777" w:rsidR="00C967D4" w:rsidRDefault="00C967D4" w:rsidP="000D1CF6">
      <w:r>
        <w:separator/>
      </w:r>
    </w:p>
    <w:p w14:paraId="74626336" w14:textId="77777777" w:rsidR="00C967D4" w:rsidRDefault="00C967D4" w:rsidP="000D1CF6"/>
  </w:endnote>
  <w:endnote w:type="continuationSeparator" w:id="0">
    <w:p w14:paraId="72FE3266" w14:textId="77777777" w:rsidR="00C967D4" w:rsidRDefault="00C967D4" w:rsidP="000D1CF6">
      <w:r>
        <w:continuationSeparator/>
      </w:r>
    </w:p>
    <w:p w14:paraId="1CE05D3B" w14:textId="77777777" w:rsidR="00C967D4" w:rsidRDefault="00C967D4" w:rsidP="000D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09B5" w14:textId="77777777" w:rsidR="00C967D4" w:rsidRPr="001C53E1" w:rsidRDefault="00C967D4" w:rsidP="0065052C">
    <w:pPr>
      <w:pStyle w:val="Footer"/>
      <w:pBdr>
        <w:top w:val="single" w:sz="12" w:space="1" w:color="B56012"/>
      </w:pBdr>
      <w:tabs>
        <w:tab w:val="clear" w:pos="4513"/>
        <w:tab w:val="clear" w:pos="9026"/>
        <w:tab w:val="right" w:pos="9000"/>
      </w:tabs>
      <w:rPr>
        <w:color w:val="01653F"/>
        <w:sz w:val="16"/>
      </w:rPr>
    </w:pPr>
    <w:r>
      <w:rPr>
        <w:color w:val="01653F"/>
        <w:sz w:val="16"/>
      </w:rPr>
      <w:t>First</w:t>
    </w:r>
    <w:r w:rsidRPr="001C53E1">
      <w:rPr>
        <w:color w:val="01653F"/>
        <w:sz w:val="16"/>
      </w:rPr>
      <w:t xml:space="preserve"> Report from the Ear, Nose and Throat Surgery Clinical Committee –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641254">
      <w:rPr>
        <w:noProof/>
        <w:color w:val="01653F"/>
        <w:sz w:val="16"/>
      </w:rPr>
      <w:t>1</w:t>
    </w:r>
    <w:r w:rsidRPr="001C53E1">
      <w:rPr>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6EF4D" w14:textId="77777777" w:rsidR="00C967D4" w:rsidRPr="001C53E1" w:rsidRDefault="00C967D4" w:rsidP="0065052C">
    <w:pPr>
      <w:pStyle w:val="Footer"/>
      <w:pBdr>
        <w:top w:val="single" w:sz="12" w:space="1" w:color="B56012"/>
      </w:pBdr>
      <w:tabs>
        <w:tab w:val="clear" w:pos="4513"/>
        <w:tab w:val="clear" w:pos="9026"/>
        <w:tab w:val="right" w:pos="13968"/>
      </w:tabs>
      <w:rPr>
        <w:color w:val="01653F"/>
        <w:sz w:val="16"/>
      </w:rPr>
    </w:pPr>
    <w:r w:rsidRPr="001C53E1">
      <w:rPr>
        <w:color w:val="01653F"/>
        <w:sz w:val="16"/>
      </w:rPr>
      <w:t xml:space="preserve">Preliminary Report from the Ear, Nose and Throat Surgery Clinical Committee – </w:t>
    </w:r>
    <w:r>
      <w:rPr>
        <w:color w:val="01653F"/>
        <w:sz w:val="16"/>
      </w:rPr>
      <w:t>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641254">
      <w:rPr>
        <w:noProof/>
        <w:color w:val="01653F"/>
        <w:sz w:val="16"/>
      </w:rPr>
      <w:t>62</w:t>
    </w:r>
    <w:r w:rsidRPr="001C53E1">
      <w:rPr>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3EEE" w14:textId="77777777" w:rsidR="00C967D4" w:rsidRPr="001C53E1" w:rsidRDefault="00C967D4" w:rsidP="00776CB7">
    <w:pPr>
      <w:pStyle w:val="Footer"/>
      <w:pBdr>
        <w:top w:val="single" w:sz="12" w:space="1" w:color="B56012"/>
      </w:pBdr>
      <w:tabs>
        <w:tab w:val="clear" w:pos="9026"/>
        <w:tab w:val="right" w:pos="14122"/>
      </w:tabs>
    </w:pPr>
    <w:r w:rsidRPr="001C53E1">
      <w:rPr>
        <w:color w:val="01653F"/>
        <w:sz w:val="16"/>
      </w:rPr>
      <w:t xml:space="preserve">Preliminary Report from the Ear, Nose and Throat Surgery Clinical Committee – July </w:t>
    </w:r>
    <w:r>
      <w:rPr>
        <w:color w:val="01653F"/>
        <w:sz w:val="16"/>
      </w:rPr>
      <w:t>August</w:t>
    </w:r>
    <w:r w:rsidRPr="001C53E1">
      <w:rPr>
        <w:color w:val="01653F"/>
        <w:sz w:val="16"/>
      </w:rPr>
      <w:t xml:space="preserve"> 2016</w:t>
    </w:r>
    <w:r>
      <w:rPr>
        <w:color w:val="01653F"/>
        <w:sz w:val="16"/>
      </w:rPr>
      <w:tab/>
      <w:t xml:space="preserve"> </w:t>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641254">
      <w:rPr>
        <w:noProof/>
        <w:color w:val="01653F"/>
        <w:sz w:val="16"/>
      </w:rPr>
      <w:t>70</w:t>
    </w:r>
    <w:r w:rsidRPr="001C53E1">
      <w:rPr>
        <w:color w:val="01653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55B3" w14:textId="77777777" w:rsidR="00C967D4" w:rsidRPr="0042649D" w:rsidRDefault="00C967D4" w:rsidP="0042649D">
    <w:pPr>
      <w:pStyle w:val="Footer"/>
      <w:pBdr>
        <w:top w:val="single" w:sz="12" w:space="1" w:color="B56012"/>
      </w:pBdr>
      <w:rPr>
        <w:color w:val="01653F"/>
        <w:sz w:val="16"/>
      </w:rPr>
    </w:pPr>
    <w:r w:rsidRPr="001C53E1">
      <w:rPr>
        <w:color w:val="01653F"/>
        <w:sz w:val="16"/>
      </w:rPr>
      <w:t>Preliminary Report from the Ear, Nose and Throat Surgery Clinical Committee –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641254">
      <w:rPr>
        <w:noProof/>
        <w:color w:val="01653F"/>
        <w:sz w:val="16"/>
      </w:rPr>
      <w:t>86</w:t>
    </w:r>
    <w:r w:rsidRPr="001C53E1">
      <w:rPr>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E9D70" w14:textId="77777777" w:rsidR="00C967D4" w:rsidRDefault="00C967D4" w:rsidP="000D1CF6">
      <w:r>
        <w:separator/>
      </w:r>
    </w:p>
    <w:p w14:paraId="1C1AC049" w14:textId="77777777" w:rsidR="00C967D4" w:rsidRDefault="00C967D4" w:rsidP="000D1CF6"/>
  </w:footnote>
  <w:footnote w:type="continuationSeparator" w:id="0">
    <w:p w14:paraId="06517896" w14:textId="77777777" w:rsidR="00C967D4" w:rsidRDefault="00C967D4" w:rsidP="000D1CF6">
      <w:r>
        <w:continuationSeparator/>
      </w:r>
    </w:p>
    <w:p w14:paraId="7E8BD566" w14:textId="77777777" w:rsidR="00C967D4" w:rsidRDefault="00C967D4" w:rsidP="000D1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2781A"/>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C343A"/>
    <w:multiLevelType w:val="hybridMultilevel"/>
    <w:tmpl w:val="8E7006B4"/>
    <w:lvl w:ilvl="0" w:tplc="E7F8D23E">
      <w:start w:val="2"/>
      <w:numFmt w:val="bullet"/>
      <w:lvlText w:val="•"/>
      <w:lvlJc w:val="left"/>
      <w:pPr>
        <w:ind w:left="1080" w:hanging="72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894955"/>
    <w:multiLevelType w:val="hybridMultilevel"/>
    <w:tmpl w:val="0908FA42"/>
    <w:lvl w:ilvl="0" w:tplc="1076C908">
      <w:start w:val="6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B96B9D"/>
    <w:multiLevelType w:val="multilevel"/>
    <w:tmpl w:val="620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34C49"/>
    <w:multiLevelType w:val="multilevel"/>
    <w:tmpl w:val="8D6AB5C0"/>
    <w:numStyleLink w:val="StyleBulletedCalibri10ptBlackLeft0cmHanging064"/>
  </w:abstractNum>
  <w:abstractNum w:abstractNumId="5" w15:restartNumberingAfterBreak="0">
    <w:nsid w:val="059C62D0"/>
    <w:multiLevelType w:val="hybridMultilevel"/>
    <w:tmpl w:val="FCF86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8E1C0D"/>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12BD8"/>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B6C4F"/>
    <w:multiLevelType w:val="multilevel"/>
    <w:tmpl w:val="086091DC"/>
    <w:numStyleLink w:val="StyleNumberedLeft0Hanging025"/>
  </w:abstractNum>
  <w:abstractNum w:abstractNumId="9" w15:restartNumberingAfterBreak="0">
    <w:nsid w:val="12F57E52"/>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01876"/>
    <w:multiLevelType w:val="multilevel"/>
    <w:tmpl w:val="8D6AB5C0"/>
    <w:lvl w:ilvl="0">
      <w:start w:val="8"/>
      <w:numFmt w:val="bullet"/>
      <w:lvlText w:val="-"/>
      <w:lvlJc w:val="left"/>
      <w:pPr>
        <w:ind w:left="720" w:hanging="720"/>
      </w:pPr>
      <w:rPr>
        <w:rFonts w:ascii="Calibri" w:hAnsi="Calibri"/>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337A94"/>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A165A8"/>
    <w:multiLevelType w:val="multilevel"/>
    <w:tmpl w:val="086091DC"/>
    <w:styleLink w:val="StyleNumberedLeft0Hanging025"/>
    <w:lvl w:ilvl="0">
      <w:start w:val="1"/>
      <w:numFmt w:val="lowerLetter"/>
      <w:lvlText w:val="(%1)"/>
      <w:lvlJc w:val="left"/>
      <w:pPr>
        <w:ind w:left="720" w:hanging="360"/>
      </w:pPr>
      <w:rPr>
        <w:rFonts w:hint="default"/>
      </w:rPr>
    </w:lvl>
    <w:lvl w:ilvl="1">
      <w:start w:val="1"/>
      <w:numFmt w:val="lowerLetter"/>
      <w:lvlText w:val="(%2)"/>
      <w:lvlJc w:val="left"/>
      <w:pPr>
        <w:ind w:left="360" w:hanging="360"/>
      </w:pPr>
      <w:rPr>
        <w:rFonts w:asciiTheme="minorHAnsi" w:hAnsiTheme="minorHAns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D000A5"/>
    <w:multiLevelType w:val="hybridMultilevel"/>
    <w:tmpl w:val="CD62AC74"/>
    <w:lvl w:ilvl="0" w:tplc="7D7C81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8A"/>
    <w:multiLevelType w:val="hybridMultilevel"/>
    <w:tmpl w:val="6CA21A16"/>
    <w:lvl w:ilvl="0" w:tplc="0C09001B">
      <w:start w:val="1"/>
      <w:numFmt w:val="lowerRoman"/>
      <w:lvlText w:val="%1."/>
      <w:lvlJc w:val="right"/>
      <w:pPr>
        <w:ind w:left="720" w:hanging="360"/>
      </w:pPr>
    </w:lvl>
    <w:lvl w:ilvl="1" w:tplc="42529ABE">
      <w:start w:val="1"/>
      <w:numFmt w:val="lowerLetter"/>
      <w:lvlText w:val="(%2)"/>
      <w:lvlJc w:val="left"/>
      <w:pPr>
        <w:ind w:left="1800" w:hanging="720"/>
      </w:pPr>
      <w:rPr>
        <w:rFonts w:hint="default"/>
      </w:rPr>
    </w:lvl>
    <w:lvl w:ilvl="2" w:tplc="23DC14E8">
      <w:start w:val="1"/>
      <w:numFmt w:val="lowerRoman"/>
      <w:lvlText w:val="(%3)"/>
      <w:lvlJc w:val="left"/>
      <w:pPr>
        <w:ind w:left="431" w:hanging="431"/>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23834"/>
    <w:multiLevelType w:val="hybridMultilevel"/>
    <w:tmpl w:val="E8D4A546"/>
    <w:lvl w:ilvl="0" w:tplc="6A9AF7B8">
      <w:start w:val="1"/>
      <w:numFmt w:val="upperLetter"/>
      <w:pStyle w:val="AppendixStyle1"/>
      <w:lvlText w:val="Appendix %1"/>
      <w:lvlJc w:val="left"/>
      <w:pPr>
        <w:ind w:left="277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CB3404"/>
    <w:multiLevelType w:val="hybridMultilevel"/>
    <w:tmpl w:val="09B85AA2"/>
    <w:lvl w:ilvl="0" w:tplc="770EC7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3576F3"/>
    <w:multiLevelType w:val="multilevel"/>
    <w:tmpl w:val="8D6AB5C0"/>
    <w:numStyleLink w:val="StyleBulletedCalibri10ptBlackLeft0cmHanging064"/>
  </w:abstractNum>
  <w:abstractNum w:abstractNumId="19" w15:restartNumberingAfterBreak="0">
    <w:nsid w:val="1B3D3469"/>
    <w:multiLevelType w:val="hybridMultilevel"/>
    <w:tmpl w:val="E8ACBB74"/>
    <w:lvl w:ilvl="0" w:tplc="41724042">
      <w:start w:val="561"/>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4D7FB1"/>
    <w:multiLevelType w:val="hybridMultilevel"/>
    <w:tmpl w:val="AD6CB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NormalBulleted2Table"/>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12BD3"/>
    <w:multiLevelType w:val="hybridMultilevel"/>
    <w:tmpl w:val="C99AA8BA"/>
    <w:lvl w:ilvl="0" w:tplc="C9344720">
      <w:start w:val="1"/>
      <w:numFmt w:val="decimal"/>
      <w:pStyle w:val="Rec"/>
      <w:lvlText w:val="Recommendation %1:"/>
      <w:lvlJc w:val="left"/>
      <w:pPr>
        <w:ind w:left="720" w:hanging="720"/>
      </w:pPr>
      <w:rPr>
        <w:rFonts w:hint="default"/>
      </w:rPr>
    </w:lvl>
    <w:lvl w:ilvl="1" w:tplc="04090019">
      <w:start w:val="1"/>
      <w:numFmt w:val="lowerLetter"/>
      <w:lvlText w:val="%2."/>
      <w:lvlJc w:val="left"/>
      <w:pPr>
        <w:ind w:left="1440" w:hanging="360"/>
      </w:pPr>
    </w:lvl>
    <w:lvl w:ilvl="2" w:tplc="340E8C68">
      <w:start w:val="1"/>
      <w:numFmt w:val="lowerRoman"/>
      <w:lvlText w:val="(%3)"/>
      <w:lvlJc w:val="left"/>
      <w:pPr>
        <w:ind w:left="2700" w:hanging="720"/>
      </w:pPr>
      <w:rPr>
        <w:rFonts w:hint="default"/>
      </w:rPr>
    </w:lvl>
    <w:lvl w:ilvl="3" w:tplc="60FCF7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732395"/>
    <w:multiLevelType w:val="hybridMultilevel"/>
    <w:tmpl w:val="ADAE8022"/>
    <w:lvl w:ilvl="0" w:tplc="770EC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70EC7D6">
      <w:start w:val="1"/>
      <w:numFmt w:val="low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D79CB"/>
    <w:multiLevelType w:val="multilevel"/>
    <w:tmpl w:val="8D6AB5C0"/>
    <w:styleLink w:val="StyleBulletedCalibri10ptBlackLeft0cmHanging064"/>
    <w:lvl w:ilvl="0">
      <w:start w:val="8"/>
      <w:numFmt w:val="bullet"/>
      <w:lvlText w:val="-"/>
      <w:lvlJc w:val="left"/>
      <w:pPr>
        <w:ind w:left="720" w:hanging="720"/>
      </w:pPr>
      <w:rPr>
        <w:rFonts w:ascii="Calibri" w:hAnsi="Calibri"/>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54843E8"/>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7431B6"/>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D53955"/>
    <w:multiLevelType w:val="hybridMultilevel"/>
    <w:tmpl w:val="420E8ED0"/>
    <w:lvl w:ilvl="0" w:tplc="770EC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70EC7D6">
      <w:start w:val="1"/>
      <w:numFmt w:val="low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3200AE"/>
    <w:multiLevelType w:val="multilevel"/>
    <w:tmpl w:val="086091DC"/>
    <w:numStyleLink w:val="StyleNumberedLeft0Hanging025"/>
  </w:abstractNum>
  <w:abstractNum w:abstractNumId="30" w15:restartNumberingAfterBreak="0">
    <w:nsid w:val="3B8B05FB"/>
    <w:multiLevelType w:val="hybridMultilevel"/>
    <w:tmpl w:val="20361E2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1" w15:restartNumberingAfterBreak="0">
    <w:nsid w:val="3EA50569"/>
    <w:multiLevelType w:val="hybridMultilevel"/>
    <w:tmpl w:val="4C50015C"/>
    <w:lvl w:ilvl="0" w:tplc="625240D6">
      <w:start w:val="1"/>
      <w:numFmt w:val="lowerLetter"/>
      <w:lvlText w:val="(%1)"/>
      <w:lvlJc w:val="left"/>
      <w:pPr>
        <w:ind w:left="360" w:hanging="360"/>
      </w:pPr>
      <w:rPr>
        <w:rFont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15:restartNumberingAfterBreak="0">
    <w:nsid w:val="3EBD23FD"/>
    <w:multiLevelType w:val="hybridMultilevel"/>
    <w:tmpl w:val="D8A839EC"/>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F13421"/>
    <w:multiLevelType w:val="multilevel"/>
    <w:tmpl w:val="1A9E8B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22F42A9"/>
    <w:multiLevelType w:val="hybridMultilevel"/>
    <w:tmpl w:val="61CA09C6"/>
    <w:lvl w:ilvl="0" w:tplc="1CD09CAE">
      <w:start w:val="1"/>
      <w:numFmt w:val="bullet"/>
      <w:lvlText w:val="∆"/>
      <w:lvlJc w:val="left"/>
      <w:pPr>
        <w:ind w:left="284" w:hanging="284"/>
      </w:pPr>
      <w:rPr>
        <w:rFonts w:ascii="Calibri" w:hAnsi="Calibri" w:hint="default"/>
        <w:color w:val="B56012"/>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43F968D9"/>
    <w:multiLevelType w:val="hybridMultilevel"/>
    <w:tmpl w:val="09B85AA2"/>
    <w:lvl w:ilvl="0" w:tplc="770EC7D6">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36" w15:restartNumberingAfterBreak="0">
    <w:nsid w:val="45C7385E"/>
    <w:multiLevelType w:val="multilevel"/>
    <w:tmpl w:val="39E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2F1D8D"/>
    <w:multiLevelType w:val="hybridMultilevel"/>
    <w:tmpl w:val="D8A839EC"/>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E6648A"/>
    <w:multiLevelType w:val="hybridMultilevel"/>
    <w:tmpl w:val="0AF6EC4E"/>
    <w:lvl w:ilvl="0" w:tplc="63F06466">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9" w15:restartNumberingAfterBreak="0">
    <w:nsid w:val="4B611071"/>
    <w:multiLevelType w:val="hybridMultilevel"/>
    <w:tmpl w:val="3BCA1AE8"/>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770EC7D6">
      <w:start w:val="1"/>
      <w:numFmt w:val="lowerLetter"/>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762491"/>
    <w:multiLevelType w:val="hybridMultilevel"/>
    <w:tmpl w:val="00644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A579DD"/>
    <w:multiLevelType w:val="hybridMultilevel"/>
    <w:tmpl w:val="DB469736"/>
    <w:lvl w:ilvl="0" w:tplc="1076C908">
      <w:start w:val="63"/>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95495C"/>
    <w:multiLevelType w:val="hybridMultilevel"/>
    <w:tmpl w:val="1194BBE8"/>
    <w:lvl w:ilvl="0" w:tplc="1076C908">
      <w:start w:val="63"/>
      <w:numFmt w:val="bullet"/>
      <w:lvlText w:val="-"/>
      <w:lvlJc w:val="left"/>
      <w:pPr>
        <w:ind w:left="720" w:hanging="360"/>
      </w:pPr>
      <w:rPr>
        <w:rFonts w:ascii="Arial" w:eastAsia="Times New Roman" w:hAnsi="Arial" w:cs="Arial"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CB1CBB"/>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D45D5F"/>
    <w:multiLevelType w:val="hybridMultilevel"/>
    <w:tmpl w:val="B91C1E6E"/>
    <w:lvl w:ilvl="0" w:tplc="1CD09CAE">
      <w:start w:val="1"/>
      <w:numFmt w:val="bullet"/>
      <w:lvlText w:val="∆"/>
      <w:lvlJc w:val="left"/>
      <w:pPr>
        <w:ind w:left="360" w:hanging="360"/>
      </w:pPr>
      <w:rPr>
        <w:rFonts w:ascii="Calibri" w:hAnsi="Calibri" w:hint="default"/>
        <w:color w:val="B560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99A43D1"/>
    <w:multiLevelType w:val="multilevel"/>
    <w:tmpl w:val="086091DC"/>
    <w:numStyleLink w:val="StyleNumberedLeft0Hanging025"/>
  </w:abstractNum>
  <w:abstractNum w:abstractNumId="46" w15:restartNumberingAfterBreak="0">
    <w:nsid w:val="5E604F05"/>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EBE76E0"/>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4857D6"/>
    <w:multiLevelType w:val="hybridMultilevel"/>
    <w:tmpl w:val="9274D404"/>
    <w:lvl w:ilvl="0" w:tplc="9B044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E71874"/>
    <w:multiLevelType w:val="hybridMultilevel"/>
    <w:tmpl w:val="8D6AB5C0"/>
    <w:lvl w:ilvl="0" w:tplc="82F21F34">
      <w:start w:val="8"/>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FD7579"/>
    <w:multiLevelType w:val="multilevel"/>
    <w:tmpl w:val="3586B74E"/>
    <w:styleLink w:val="StyleNumbered10ptLeft0Hanging025"/>
    <w:lvl w:ilvl="0">
      <w:start w:val="1"/>
      <w:numFmt w:val="lowerLetter"/>
      <w:lvlText w:val="(%1)"/>
      <w:lvlJc w:val="left"/>
      <w:pPr>
        <w:ind w:left="36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9350AB"/>
    <w:multiLevelType w:val="hybridMultilevel"/>
    <w:tmpl w:val="00786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E9153F"/>
    <w:multiLevelType w:val="hybridMultilevel"/>
    <w:tmpl w:val="03DEB060"/>
    <w:lvl w:ilvl="0" w:tplc="F154D568">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2641D7"/>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290F6D"/>
    <w:multiLevelType w:val="hybridMultilevel"/>
    <w:tmpl w:val="A7526A9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A119EA"/>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263B7"/>
    <w:multiLevelType w:val="multilevel"/>
    <w:tmpl w:val="82E065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76197F4A"/>
    <w:multiLevelType w:val="multilevel"/>
    <w:tmpl w:val="8D6AB5C0"/>
    <w:numStyleLink w:val="StyleBulletedCalibri10ptBlackLeft0cmHanging064"/>
  </w:abstractNum>
  <w:abstractNum w:abstractNumId="58" w15:restartNumberingAfterBreak="0">
    <w:nsid w:val="768D6031"/>
    <w:multiLevelType w:val="hybridMultilevel"/>
    <w:tmpl w:val="EF7646F0"/>
    <w:lvl w:ilvl="0" w:tplc="55A891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A44916"/>
    <w:multiLevelType w:val="hybridMultilevel"/>
    <w:tmpl w:val="3586B74E"/>
    <w:lvl w:ilvl="0" w:tplc="770EC7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0575B2"/>
    <w:multiLevelType w:val="multilevel"/>
    <w:tmpl w:val="20023A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7F1216F9"/>
    <w:multiLevelType w:val="hybridMultilevel"/>
    <w:tmpl w:val="086091DC"/>
    <w:lvl w:ilvl="0" w:tplc="770EC7D6">
      <w:start w:val="1"/>
      <w:numFmt w:val="lowerLetter"/>
      <w:lvlText w:val="(%1)"/>
      <w:lvlJc w:val="left"/>
      <w:pPr>
        <w:ind w:left="720" w:hanging="360"/>
      </w:pPr>
      <w:rPr>
        <w:rFonts w:hint="default"/>
      </w:rPr>
    </w:lvl>
    <w:lvl w:ilvl="1" w:tplc="770EC7D6">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34"/>
  </w:num>
  <w:num w:numId="5">
    <w:abstractNumId w:val="60"/>
  </w:num>
  <w:num w:numId="6">
    <w:abstractNumId w:val="23"/>
  </w:num>
  <w:num w:numId="7">
    <w:abstractNumId w:val="52"/>
  </w:num>
  <w:num w:numId="8">
    <w:abstractNumId w:val="35"/>
    <w:lvlOverride w:ilvl="0">
      <w:startOverride w:val="1"/>
    </w:lvlOverride>
  </w:num>
  <w:num w:numId="9">
    <w:abstractNumId w:val="31"/>
  </w:num>
  <w:num w:numId="10">
    <w:abstractNumId w:val="1"/>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1"/>
  </w:num>
  <w:num w:numId="14">
    <w:abstractNumId w:val="17"/>
  </w:num>
  <w:num w:numId="15">
    <w:abstractNumId w:val="15"/>
  </w:num>
  <w:num w:numId="16">
    <w:abstractNumId w:val="49"/>
  </w:num>
  <w:num w:numId="17">
    <w:abstractNumId w:val="61"/>
  </w:num>
  <w:num w:numId="18">
    <w:abstractNumId w:val="24"/>
  </w:num>
  <w:num w:numId="19">
    <w:abstractNumId w:val="28"/>
  </w:num>
  <w:num w:numId="20">
    <w:abstractNumId w:val="39"/>
  </w:num>
  <w:num w:numId="21">
    <w:abstractNumId w:val="32"/>
  </w:num>
  <w:num w:numId="22">
    <w:abstractNumId w:val="59"/>
  </w:num>
  <w:num w:numId="23">
    <w:abstractNumId w:val="37"/>
  </w:num>
  <w:num w:numId="24">
    <w:abstractNumId w:val="43"/>
  </w:num>
  <w:num w:numId="25">
    <w:abstractNumId w:val="11"/>
  </w:num>
  <w:num w:numId="26">
    <w:abstractNumId w:val="55"/>
  </w:num>
  <w:num w:numId="27">
    <w:abstractNumId w:val="54"/>
  </w:num>
  <w:num w:numId="28">
    <w:abstractNumId w:val="7"/>
  </w:num>
  <w:num w:numId="29">
    <w:abstractNumId w:val="47"/>
  </w:num>
  <w:num w:numId="30">
    <w:abstractNumId w:val="6"/>
  </w:num>
  <w:num w:numId="31">
    <w:abstractNumId w:val="0"/>
  </w:num>
  <w:num w:numId="32">
    <w:abstractNumId w:val="9"/>
  </w:num>
  <w:num w:numId="33">
    <w:abstractNumId w:val="46"/>
  </w:num>
  <w:num w:numId="34">
    <w:abstractNumId w:val="26"/>
  </w:num>
  <w:num w:numId="35">
    <w:abstractNumId w:val="40"/>
  </w:num>
  <w:num w:numId="36">
    <w:abstractNumId w:val="30"/>
  </w:num>
  <w:num w:numId="37">
    <w:abstractNumId w:val="2"/>
  </w:num>
  <w:num w:numId="38">
    <w:abstractNumId w:val="19"/>
  </w:num>
  <w:num w:numId="39">
    <w:abstractNumId w:val="44"/>
  </w:num>
  <w:num w:numId="40">
    <w:abstractNumId w:val="3"/>
  </w:num>
  <w:num w:numId="41">
    <w:abstractNumId w:val="33"/>
  </w:num>
  <w:num w:numId="42">
    <w:abstractNumId w:val="56"/>
  </w:num>
  <w:num w:numId="43">
    <w:abstractNumId w:val="14"/>
  </w:num>
  <w:num w:numId="44">
    <w:abstractNumId w:val="48"/>
  </w:num>
  <w:num w:numId="45">
    <w:abstractNumId w:val="56"/>
    <w:lvlOverride w:ilvl="0">
      <w:startOverride w:val="1"/>
    </w:lvlOverride>
  </w:num>
  <w:num w:numId="46">
    <w:abstractNumId w:val="56"/>
    <w:lvlOverride w:ilvl="0">
      <w:startOverride w:val="10"/>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12"/>
  </w:num>
  <w:num w:numId="50">
    <w:abstractNumId w:val="29"/>
  </w:num>
  <w:num w:numId="51">
    <w:abstractNumId w:val="8"/>
  </w:num>
  <w:num w:numId="52">
    <w:abstractNumId w:val="45"/>
  </w:num>
  <w:num w:numId="53">
    <w:abstractNumId w:val="27"/>
  </w:num>
  <w:num w:numId="54">
    <w:abstractNumId w:val="53"/>
  </w:num>
  <w:num w:numId="55">
    <w:abstractNumId w:val="10"/>
  </w:num>
  <w:num w:numId="56">
    <w:abstractNumId w:val="25"/>
  </w:num>
  <w:num w:numId="57">
    <w:abstractNumId w:val="57"/>
  </w:num>
  <w:num w:numId="58">
    <w:abstractNumId w:val="18"/>
  </w:num>
  <w:num w:numId="59">
    <w:abstractNumId w:val="4"/>
  </w:num>
  <w:num w:numId="60">
    <w:abstractNumId w:val="51"/>
  </w:num>
  <w:num w:numId="61">
    <w:abstractNumId w:val="21"/>
  </w:num>
  <w:num w:numId="62">
    <w:abstractNumId w:val="13"/>
  </w:num>
  <w:num w:numId="63">
    <w:abstractNumId w:val="5"/>
  </w:num>
  <w:num w:numId="64">
    <w:abstractNumId w:val="58"/>
  </w:num>
  <w:num w:numId="65">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2D"/>
    <w:rsid w:val="000006E3"/>
    <w:rsid w:val="0000150F"/>
    <w:rsid w:val="00001F7B"/>
    <w:rsid w:val="00002477"/>
    <w:rsid w:val="00002678"/>
    <w:rsid w:val="000036E2"/>
    <w:rsid w:val="000044E9"/>
    <w:rsid w:val="000047F4"/>
    <w:rsid w:val="00004920"/>
    <w:rsid w:val="00004CCA"/>
    <w:rsid w:val="0000566B"/>
    <w:rsid w:val="00006915"/>
    <w:rsid w:val="00006AE9"/>
    <w:rsid w:val="00007CFB"/>
    <w:rsid w:val="000107B3"/>
    <w:rsid w:val="0001084A"/>
    <w:rsid w:val="00013881"/>
    <w:rsid w:val="0001393A"/>
    <w:rsid w:val="000140C8"/>
    <w:rsid w:val="00014712"/>
    <w:rsid w:val="0001545C"/>
    <w:rsid w:val="00015973"/>
    <w:rsid w:val="00020196"/>
    <w:rsid w:val="00020431"/>
    <w:rsid w:val="00020587"/>
    <w:rsid w:val="000206BB"/>
    <w:rsid w:val="00020E0E"/>
    <w:rsid w:val="00021A9A"/>
    <w:rsid w:val="00022E87"/>
    <w:rsid w:val="0002353D"/>
    <w:rsid w:val="00023C89"/>
    <w:rsid w:val="00023C93"/>
    <w:rsid w:val="00024FE0"/>
    <w:rsid w:val="000253EC"/>
    <w:rsid w:val="000278CF"/>
    <w:rsid w:val="000309CE"/>
    <w:rsid w:val="00031095"/>
    <w:rsid w:val="00031ADE"/>
    <w:rsid w:val="00032108"/>
    <w:rsid w:val="00033502"/>
    <w:rsid w:val="000337EF"/>
    <w:rsid w:val="00033DA4"/>
    <w:rsid w:val="00036C0E"/>
    <w:rsid w:val="00040EAC"/>
    <w:rsid w:val="000414AF"/>
    <w:rsid w:val="000427CD"/>
    <w:rsid w:val="00042A17"/>
    <w:rsid w:val="00043742"/>
    <w:rsid w:val="000439D3"/>
    <w:rsid w:val="00045495"/>
    <w:rsid w:val="000459AD"/>
    <w:rsid w:val="00045F6B"/>
    <w:rsid w:val="00046AF0"/>
    <w:rsid w:val="00046C9C"/>
    <w:rsid w:val="00047145"/>
    <w:rsid w:val="00047FB5"/>
    <w:rsid w:val="000501C9"/>
    <w:rsid w:val="00050ED2"/>
    <w:rsid w:val="00050EF0"/>
    <w:rsid w:val="000537C0"/>
    <w:rsid w:val="00054036"/>
    <w:rsid w:val="00054505"/>
    <w:rsid w:val="0005522D"/>
    <w:rsid w:val="0005557F"/>
    <w:rsid w:val="000558E5"/>
    <w:rsid w:val="00056CF7"/>
    <w:rsid w:val="0005752D"/>
    <w:rsid w:val="00057AB0"/>
    <w:rsid w:val="00057F0D"/>
    <w:rsid w:val="00060C76"/>
    <w:rsid w:val="00061127"/>
    <w:rsid w:val="000612DC"/>
    <w:rsid w:val="0006140B"/>
    <w:rsid w:val="0006177C"/>
    <w:rsid w:val="00061E5F"/>
    <w:rsid w:val="0006241C"/>
    <w:rsid w:val="0006309D"/>
    <w:rsid w:val="00064465"/>
    <w:rsid w:val="0006464C"/>
    <w:rsid w:val="000653C1"/>
    <w:rsid w:val="000655C1"/>
    <w:rsid w:val="00065ADB"/>
    <w:rsid w:val="00066AF2"/>
    <w:rsid w:val="00067BEC"/>
    <w:rsid w:val="00070239"/>
    <w:rsid w:val="000703EC"/>
    <w:rsid w:val="000707D3"/>
    <w:rsid w:val="00070CD8"/>
    <w:rsid w:val="0007194A"/>
    <w:rsid w:val="00071AA8"/>
    <w:rsid w:val="0007261D"/>
    <w:rsid w:val="00072D68"/>
    <w:rsid w:val="00073660"/>
    <w:rsid w:val="000737C9"/>
    <w:rsid w:val="00074357"/>
    <w:rsid w:val="000744E0"/>
    <w:rsid w:val="0007506F"/>
    <w:rsid w:val="0007623D"/>
    <w:rsid w:val="000765ED"/>
    <w:rsid w:val="00076AB6"/>
    <w:rsid w:val="00081875"/>
    <w:rsid w:val="00081F8E"/>
    <w:rsid w:val="000831DB"/>
    <w:rsid w:val="00083652"/>
    <w:rsid w:val="000838B7"/>
    <w:rsid w:val="00083CF7"/>
    <w:rsid w:val="00083E2A"/>
    <w:rsid w:val="0008448B"/>
    <w:rsid w:val="00084B53"/>
    <w:rsid w:val="00084F7A"/>
    <w:rsid w:val="00086AFF"/>
    <w:rsid w:val="00086C40"/>
    <w:rsid w:val="00086FD0"/>
    <w:rsid w:val="0008778F"/>
    <w:rsid w:val="00087975"/>
    <w:rsid w:val="00090478"/>
    <w:rsid w:val="000923EA"/>
    <w:rsid w:val="00092463"/>
    <w:rsid w:val="0009284F"/>
    <w:rsid w:val="00092AB5"/>
    <w:rsid w:val="00093404"/>
    <w:rsid w:val="00094411"/>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97F"/>
    <w:rsid w:val="000B2534"/>
    <w:rsid w:val="000B30AF"/>
    <w:rsid w:val="000B48DB"/>
    <w:rsid w:val="000B4B1F"/>
    <w:rsid w:val="000B4CE8"/>
    <w:rsid w:val="000B4EB8"/>
    <w:rsid w:val="000B5054"/>
    <w:rsid w:val="000B52C9"/>
    <w:rsid w:val="000B6E74"/>
    <w:rsid w:val="000B710A"/>
    <w:rsid w:val="000B7216"/>
    <w:rsid w:val="000B76F2"/>
    <w:rsid w:val="000C02F3"/>
    <w:rsid w:val="000C0845"/>
    <w:rsid w:val="000C0CE4"/>
    <w:rsid w:val="000C10BE"/>
    <w:rsid w:val="000C2086"/>
    <w:rsid w:val="000C2699"/>
    <w:rsid w:val="000C2768"/>
    <w:rsid w:val="000C2D92"/>
    <w:rsid w:val="000C366C"/>
    <w:rsid w:val="000C4035"/>
    <w:rsid w:val="000C41CB"/>
    <w:rsid w:val="000C421B"/>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E90"/>
    <w:rsid w:val="000D677B"/>
    <w:rsid w:val="000D68B2"/>
    <w:rsid w:val="000D6C33"/>
    <w:rsid w:val="000D73DF"/>
    <w:rsid w:val="000D7716"/>
    <w:rsid w:val="000D7F4F"/>
    <w:rsid w:val="000E015A"/>
    <w:rsid w:val="000E0278"/>
    <w:rsid w:val="000E03E7"/>
    <w:rsid w:val="000E0690"/>
    <w:rsid w:val="000E0950"/>
    <w:rsid w:val="000E120F"/>
    <w:rsid w:val="000E13E8"/>
    <w:rsid w:val="000E1934"/>
    <w:rsid w:val="000E1B03"/>
    <w:rsid w:val="000E2F64"/>
    <w:rsid w:val="000E4A79"/>
    <w:rsid w:val="000E51CC"/>
    <w:rsid w:val="000E5530"/>
    <w:rsid w:val="000E6B0A"/>
    <w:rsid w:val="000E6C56"/>
    <w:rsid w:val="000E70E3"/>
    <w:rsid w:val="000E7727"/>
    <w:rsid w:val="000E7E41"/>
    <w:rsid w:val="000F0B7D"/>
    <w:rsid w:val="000F0F68"/>
    <w:rsid w:val="000F0F7F"/>
    <w:rsid w:val="000F2CDA"/>
    <w:rsid w:val="000F2E2B"/>
    <w:rsid w:val="000F2E9B"/>
    <w:rsid w:val="000F3C1E"/>
    <w:rsid w:val="000F3F4F"/>
    <w:rsid w:val="000F4DB6"/>
    <w:rsid w:val="000F50E3"/>
    <w:rsid w:val="000F5115"/>
    <w:rsid w:val="000F705F"/>
    <w:rsid w:val="000F72BF"/>
    <w:rsid w:val="000F7608"/>
    <w:rsid w:val="000F7D1F"/>
    <w:rsid w:val="0010003C"/>
    <w:rsid w:val="0010008F"/>
    <w:rsid w:val="001001C8"/>
    <w:rsid w:val="00101268"/>
    <w:rsid w:val="00101DE4"/>
    <w:rsid w:val="00101E86"/>
    <w:rsid w:val="00103DA5"/>
    <w:rsid w:val="00104311"/>
    <w:rsid w:val="00105EB2"/>
    <w:rsid w:val="0010602A"/>
    <w:rsid w:val="00106078"/>
    <w:rsid w:val="0010664E"/>
    <w:rsid w:val="00106987"/>
    <w:rsid w:val="00107B15"/>
    <w:rsid w:val="001104FA"/>
    <w:rsid w:val="00110D0C"/>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E25"/>
    <w:rsid w:val="00123147"/>
    <w:rsid w:val="00123D3B"/>
    <w:rsid w:val="00124A29"/>
    <w:rsid w:val="00125F82"/>
    <w:rsid w:val="00126E67"/>
    <w:rsid w:val="00127BD9"/>
    <w:rsid w:val="00131578"/>
    <w:rsid w:val="001329BB"/>
    <w:rsid w:val="00132F58"/>
    <w:rsid w:val="00135D05"/>
    <w:rsid w:val="0013638A"/>
    <w:rsid w:val="00136C3E"/>
    <w:rsid w:val="001406C1"/>
    <w:rsid w:val="00141F89"/>
    <w:rsid w:val="00142254"/>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C99"/>
    <w:rsid w:val="00153816"/>
    <w:rsid w:val="001545AB"/>
    <w:rsid w:val="001548FB"/>
    <w:rsid w:val="0015505E"/>
    <w:rsid w:val="001553A5"/>
    <w:rsid w:val="0015605B"/>
    <w:rsid w:val="001560F9"/>
    <w:rsid w:val="00156B1C"/>
    <w:rsid w:val="00157102"/>
    <w:rsid w:val="00157337"/>
    <w:rsid w:val="0015789A"/>
    <w:rsid w:val="00157F85"/>
    <w:rsid w:val="00160601"/>
    <w:rsid w:val="001614A0"/>
    <w:rsid w:val="001631CB"/>
    <w:rsid w:val="00163874"/>
    <w:rsid w:val="00163AA0"/>
    <w:rsid w:val="001643F5"/>
    <w:rsid w:val="00164423"/>
    <w:rsid w:val="001644AA"/>
    <w:rsid w:val="0016604A"/>
    <w:rsid w:val="0016694A"/>
    <w:rsid w:val="00166CAF"/>
    <w:rsid w:val="00166D14"/>
    <w:rsid w:val="00167150"/>
    <w:rsid w:val="001672F2"/>
    <w:rsid w:val="001700F4"/>
    <w:rsid w:val="001704D2"/>
    <w:rsid w:val="00170846"/>
    <w:rsid w:val="0017098E"/>
    <w:rsid w:val="00170C2C"/>
    <w:rsid w:val="00171193"/>
    <w:rsid w:val="001717C6"/>
    <w:rsid w:val="00171BA8"/>
    <w:rsid w:val="001722C6"/>
    <w:rsid w:val="0017270D"/>
    <w:rsid w:val="001727E3"/>
    <w:rsid w:val="00172A0E"/>
    <w:rsid w:val="00174822"/>
    <w:rsid w:val="00174940"/>
    <w:rsid w:val="00174BBD"/>
    <w:rsid w:val="00174BD7"/>
    <w:rsid w:val="00175E49"/>
    <w:rsid w:val="00176080"/>
    <w:rsid w:val="001766C6"/>
    <w:rsid w:val="00176F32"/>
    <w:rsid w:val="00177E5A"/>
    <w:rsid w:val="00177E9F"/>
    <w:rsid w:val="0018075E"/>
    <w:rsid w:val="001807AC"/>
    <w:rsid w:val="001807ED"/>
    <w:rsid w:val="001815E3"/>
    <w:rsid w:val="00181C5E"/>
    <w:rsid w:val="00182A9B"/>
    <w:rsid w:val="00183251"/>
    <w:rsid w:val="0018384D"/>
    <w:rsid w:val="0018389D"/>
    <w:rsid w:val="001842C4"/>
    <w:rsid w:val="001849D5"/>
    <w:rsid w:val="00186CD0"/>
    <w:rsid w:val="00187050"/>
    <w:rsid w:val="001871A8"/>
    <w:rsid w:val="00187333"/>
    <w:rsid w:val="00187F36"/>
    <w:rsid w:val="00190347"/>
    <w:rsid w:val="001906B0"/>
    <w:rsid w:val="00191078"/>
    <w:rsid w:val="0019117E"/>
    <w:rsid w:val="00192413"/>
    <w:rsid w:val="001925E8"/>
    <w:rsid w:val="00192A7A"/>
    <w:rsid w:val="00192F97"/>
    <w:rsid w:val="001937BB"/>
    <w:rsid w:val="001938F8"/>
    <w:rsid w:val="001951F7"/>
    <w:rsid w:val="00195D92"/>
    <w:rsid w:val="00196AA8"/>
    <w:rsid w:val="00196F67"/>
    <w:rsid w:val="00197283"/>
    <w:rsid w:val="0019747D"/>
    <w:rsid w:val="00197F7F"/>
    <w:rsid w:val="001A0674"/>
    <w:rsid w:val="001A10D5"/>
    <w:rsid w:val="001A1B51"/>
    <w:rsid w:val="001A1EB9"/>
    <w:rsid w:val="001A2772"/>
    <w:rsid w:val="001A2F4C"/>
    <w:rsid w:val="001A3164"/>
    <w:rsid w:val="001A3D86"/>
    <w:rsid w:val="001A5017"/>
    <w:rsid w:val="001A71AB"/>
    <w:rsid w:val="001A7526"/>
    <w:rsid w:val="001A7644"/>
    <w:rsid w:val="001B0195"/>
    <w:rsid w:val="001B05C2"/>
    <w:rsid w:val="001B0EFC"/>
    <w:rsid w:val="001B21CA"/>
    <w:rsid w:val="001B3443"/>
    <w:rsid w:val="001B44C3"/>
    <w:rsid w:val="001B4762"/>
    <w:rsid w:val="001B5B16"/>
    <w:rsid w:val="001B7A86"/>
    <w:rsid w:val="001B7D4C"/>
    <w:rsid w:val="001B7DCA"/>
    <w:rsid w:val="001C032F"/>
    <w:rsid w:val="001C152C"/>
    <w:rsid w:val="001C1650"/>
    <w:rsid w:val="001C172A"/>
    <w:rsid w:val="001C1BDF"/>
    <w:rsid w:val="001C2780"/>
    <w:rsid w:val="001C2AA1"/>
    <w:rsid w:val="001C2CAA"/>
    <w:rsid w:val="001C2D99"/>
    <w:rsid w:val="001C2FE0"/>
    <w:rsid w:val="001C37C5"/>
    <w:rsid w:val="001C3B56"/>
    <w:rsid w:val="001C53E1"/>
    <w:rsid w:val="001C5E2F"/>
    <w:rsid w:val="001C610D"/>
    <w:rsid w:val="001C79A8"/>
    <w:rsid w:val="001D0D1A"/>
    <w:rsid w:val="001D1C52"/>
    <w:rsid w:val="001D226A"/>
    <w:rsid w:val="001D2AF1"/>
    <w:rsid w:val="001D507E"/>
    <w:rsid w:val="001D5EAC"/>
    <w:rsid w:val="001D658B"/>
    <w:rsid w:val="001D73E5"/>
    <w:rsid w:val="001D7C3C"/>
    <w:rsid w:val="001D7C4E"/>
    <w:rsid w:val="001D7F51"/>
    <w:rsid w:val="001E0B5F"/>
    <w:rsid w:val="001E146E"/>
    <w:rsid w:val="001E2467"/>
    <w:rsid w:val="001E26B2"/>
    <w:rsid w:val="001E2778"/>
    <w:rsid w:val="001E2E7D"/>
    <w:rsid w:val="001E2FA6"/>
    <w:rsid w:val="001E3E01"/>
    <w:rsid w:val="001E3E7E"/>
    <w:rsid w:val="001E59A7"/>
    <w:rsid w:val="001E68C9"/>
    <w:rsid w:val="001E7BD7"/>
    <w:rsid w:val="001F051E"/>
    <w:rsid w:val="001F0F85"/>
    <w:rsid w:val="001F1135"/>
    <w:rsid w:val="001F1810"/>
    <w:rsid w:val="001F297A"/>
    <w:rsid w:val="001F2A9D"/>
    <w:rsid w:val="001F45A9"/>
    <w:rsid w:val="001F50C1"/>
    <w:rsid w:val="001F7873"/>
    <w:rsid w:val="0020090E"/>
    <w:rsid w:val="002009CD"/>
    <w:rsid w:val="00200F16"/>
    <w:rsid w:val="00201125"/>
    <w:rsid w:val="00201595"/>
    <w:rsid w:val="0020199E"/>
    <w:rsid w:val="00202BC7"/>
    <w:rsid w:val="00202DB4"/>
    <w:rsid w:val="00204534"/>
    <w:rsid w:val="00204BEE"/>
    <w:rsid w:val="0020555B"/>
    <w:rsid w:val="00205BC3"/>
    <w:rsid w:val="00205C46"/>
    <w:rsid w:val="00205D2D"/>
    <w:rsid w:val="002065A8"/>
    <w:rsid w:val="00206F6E"/>
    <w:rsid w:val="00206FF1"/>
    <w:rsid w:val="002074CE"/>
    <w:rsid w:val="0020796B"/>
    <w:rsid w:val="002105F7"/>
    <w:rsid w:val="0021097C"/>
    <w:rsid w:val="00210A7C"/>
    <w:rsid w:val="00211A73"/>
    <w:rsid w:val="002129AE"/>
    <w:rsid w:val="00212AF8"/>
    <w:rsid w:val="00212BB5"/>
    <w:rsid w:val="002132C5"/>
    <w:rsid w:val="00213592"/>
    <w:rsid w:val="002147B7"/>
    <w:rsid w:val="00215607"/>
    <w:rsid w:val="00215CDD"/>
    <w:rsid w:val="002161AE"/>
    <w:rsid w:val="00216340"/>
    <w:rsid w:val="00216786"/>
    <w:rsid w:val="00216DD6"/>
    <w:rsid w:val="002173A6"/>
    <w:rsid w:val="002173D9"/>
    <w:rsid w:val="002175F5"/>
    <w:rsid w:val="0021772A"/>
    <w:rsid w:val="00221664"/>
    <w:rsid w:val="0022219C"/>
    <w:rsid w:val="002227B6"/>
    <w:rsid w:val="002229DB"/>
    <w:rsid w:val="00222E2F"/>
    <w:rsid w:val="0022331C"/>
    <w:rsid w:val="00224135"/>
    <w:rsid w:val="00224AC8"/>
    <w:rsid w:val="00225887"/>
    <w:rsid w:val="002262DB"/>
    <w:rsid w:val="00226556"/>
    <w:rsid w:val="00226A36"/>
    <w:rsid w:val="00226CA6"/>
    <w:rsid w:val="0022729C"/>
    <w:rsid w:val="00227512"/>
    <w:rsid w:val="00230619"/>
    <w:rsid w:val="0023138C"/>
    <w:rsid w:val="0023473B"/>
    <w:rsid w:val="00235035"/>
    <w:rsid w:val="002355B4"/>
    <w:rsid w:val="00235840"/>
    <w:rsid w:val="00235DD0"/>
    <w:rsid w:val="00236BB7"/>
    <w:rsid w:val="00236FB1"/>
    <w:rsid w:val="00237403"/>
    <w:rsid w:val="002378DB"/>
    <w:rsid w:val="00237BA5"/>
    <w:rsid w:val="002400C9"/>
    <w:rsid w:val="002407CB"/>
    <w:rsid w:val="00240A81"/>
    <w:rsid w:val="00241429"/>
    <w:rsid w:val="00241D60"/>
    <w:rsid w:val="00241E3C"/>
    <w:rsid w:val="002424EB"/>
    <w:rsid w:val="002429D9"/>
    <w:rsid w:val="00243A06"/>
    <w:rsid w:val="00243BE2"/>
    <w:rsid w:val="00244CFB"/>
    <w:rsid w:val="002454FD"/>
    <w:rsid w:val="002477A3"/>
    <w:rsid w:val="00247BEF"/>
    <w:rsid w:val="00250831"/>
    <w:rsid w:val="0025096F"/>
    <w:rsid w:val="002513F9"/>
    <w:rsid w:val="00251B9C"/>
    <w:rsid w:val="00251EEE"/>
    <w:rsid w:val="00251FF0"/>
    <w:rsid w:val="0025322B"/>
    <w:rsid w:val="00253414"/>
    <w:rsid w:val="00253780"/>
    <w:rsid w:val="00253F2C"/>
    <w:rsid w:val="002545F0"/>
    <w:rsid w:val="00254BE8"/>
    <w:rsid w:val="002552B6"/>
    <w:rsid w:val="00255AD3"/>
    <w:rsid w:val="00255C90"/>
    <w:rsid w:val="00255E89"/>
    <w:rsid w:val="00255F86"/>
    <w:rsid w:val="00256FEA"/>
    <w:rsid w:val="0025740C"/>
    <w:rsid w:val="002575B0"/>
    <w:rsid w:val="00257CB6"/>
    <w:rsid w:val="0026010C"/>
    <w:rsid w:val="00262127"/>
    <w:rsid w:val="00264364"/>
    <w:rsid w:val="002647E1"/>
    <w:rsid w:val="00265446"/>
    <w:rsid w:val="00265DC7"/>
    <w:rsid w:val="00266262"/>
    <w:rsid w:val="00266516"/>
    <w:rsid w:val="0026678E"/>
    <w:rsid w:val="00266968"/>
    <w:rsid w:val="00267E18"/>
    <w:rsid w:val="00270209"/>
    <w:rsid w:val="0027084B"/>
    <w:rsid w:val="00270866"/>
    <w:rsid w:val="00270DA4"/>
    <w:rsid w:val="00270E97"/>
    <w:rsid w:val="00270F66"/>
    <w:rsid w:val="00271ED7"/>
    <w:rsid w:val="00272695"/>
    <w:rsid w:val="00273B42"/>
    <w:rsid w:val="002741EF"/>
    <w:rsid w:val="0027474C"/>
    <w:rsid w:val="002755AF"/>
    <w:rsid w:val="00276A36"/>
    <w:rsid w:val="00277043"/>
    <w:rsid w:val="00280820"/>
    <w:rsid w:val="0028172C"/>
    <w:rsid w:val="00281A36"/>
    <w:rsid w:val="0028345C"/>
    <w:rsid w:val="002843C6"/>
    <w:rsid w:val="00284E84"/>
    <w:rsid w:val="00285E03"/>
    <w:rsid w:val="002866D5"/>
    <w:rsid w:val="00286DBC"/>
    <w:rsid w:val="00286E77"/>
    <w:rsid w:val="00290D04"/>
    <w:rsid w:val="00291A31"/>
    <w:rsid w:val="00291BF6"/>
    <w:rsid w:val="002923D1"/>
    <w:rsid w:val="002926F0"/>
    <w:rsid w:val="00292C7A"/>
    <w:rsid w:val="0029368F"/>
    <w:rsid w:val="00293C64"/>
    <w:rsid w:val="002945B4"/>
    <w:rsid w:val="00294895"/>
    <w:rsid w:val="00295167"/>
    <w:rsid w:val="00295954"/>
    <w:rsid w:val="00295AF0"/>
    <w:rsid w:val="00296439"/>
    <w:rsid w:val="00296C96"/>
    <w:rsid w:val="00297CD3"/>
    <w:rsid w:val="002A0BF1"/>
    <w:rsid w:val="002A1546"/>
    <w:rsid w:val="002A1756"/>
    <w:rsid w:val="002A1D98"/>
    <w:rsid w:val="002A1EDB"/>
    <w:rsid w:val="002A293E"/>
    <w:rsid w:val="002A2B90"/>
    <w:rsid w:val="002A3863"/>
    <w:rsid w:val="002A389E"/>
    <w:rsid w:val="002A53CD"/>
    <w:rsid w:val="002A5C75"/>
    <w:rsid w:val="002A5E16"/>
    <w:rsid w:val="002A614A"/>
    <w:rsid w:val="002A62B0"/>
    <w:rsid w:val="002B03B0"/>
    <w:rsid w:val="002B0429"/>
    <w:rsid w:val="002B11A3"/>
    <w:rsid w:val="002B137D"/>
    <w:rsid w:val="002B1D8A"/>
    <w:rsid w:val="002B1F64"/>
    <w:rsid w:val="002B2866"/>
    <w:rsid w:val="002B2D5B"/>
    <w:rsid w:val="002B2E9C"/>
    <w:rsid w:val="002B462B"/>
    <w:rsid w:val="002B51FB"/>
    <w:rsid w:val="002B720C"/>
    <w:rsid w:val="002B7C6B"/>
    <w:rsid w:val="002C20E6"/>
    <w:rsid w:val="002C2A74"/>
    <w:rsid w:val="002C3AA9"/>
    <w:rsid w:val="002C450D"/>
    <w:rsid w:val="002C4900"/>
    <w:rsid w:val="002C4BDA"/>
    <w:rsid w:val="002C5616"/>
    <w:rsid w:val="002C5905"/>
    <w:rsid w:val="002C5916"/>
    <w:rsid w:val="002C635C"/>
    <w:rsid w:val="002C7C8F"/>
    <w:rsid w:val="002D19FB"/>
    <w:rsid w:val="002D2021"/>
    <w:rsid w:val="002D2F20"/>
    <w:rsid w:val="002D2F76"/>
    <w:rsid w:val="002D2FD2"/>
    <w:rsid w:val="002D3019"/>
    <w:rsid w:val="002D3642"/>
    <w:rsid w:val="002D3E65"/>
    <w:rsid w:val="002D460B"/>
    <w:rsid w:val="002D60CE"/>
    <w:rsid w:val="002D63AE"/>
    <w:rsid w:val="002D6FCA"/>
    <w:rsid w:val="002E0FC2"/>
    <w:rsid w:val="002E1611"/>
    <w:rsid w:val="002E28FD"/>
    <w:rsid w:val="002E2F45"/>
    <w:rsid w:val="002E372E"/>
    <w:rsid w:val="002E4168"/>
    <w:rsid w:val="002E4513"/>
    <w:rsid w:val="002E531B"/>
    <w:rsid w:val="002E5508"/>
    <w:rsid w:val="002E5CDA"/>
    <w:rsid w:val="002E6B81"/>
    <w:rsid w:val="002E7B48"/>
    <w:rsid w:val="002E7F34"/>
    <w:rsid w:val="002F0CCD"/>
    <w:rsid w:val="002F24B5"/>
    <w:rsid w:val="002F300D"/>
    <w:rsid w:val="002F4265"/>
    <w:rsid w:val="002F5A7A"/>
    <w:rsid w:val="002F5F27"/>
    <w:rsid w:val="002F79F4"/>
    <w:rsid w:val="00301524"/>
    <w:rsid w:val="00301CAE"/>
    <w:rsid w:val="00302F55"/>
    <w:rsid w:val="00303AE1"/>
    <w:rsid w:val="00304A10"/>
    <w:rsid w:val="00305745"/>
    <w:rsid w:val="00305D5C"/>
    <w:rsid w:val="00305E4B"/>
    <w:rsid w:val="003067E4"/>
    <w:rsid w:val="00306AC2"/>
    <w:rsid w:val="00306D5B"/>
    <w:rsid w:val="00306EF2"/>
    <w:rsid w:val="003072CD"/>
    <w:rsid w:val="0030786C"/>
    <w:rsid w:val="0030796F"/>
    <w:rsid w:val="00307B0B"/>
    <w:rsid w:val="0031002A"/>
    <w:rsid w:val="00310DC6"/>
    <w:rsid w:val="003126DB"/>
    <w:rsid w:val="003129E4"/>
    <w:rsid w:val="0031317F"/>
    <w:rsid w:val="003136F2"/>
    <w:rsid w:val="00314F69"/>
    <w:rsid w:val="00316D32"/>
    <w:rsid w:val="003174CF"/>
    <w:rsid w:val="0031799A"/>
    <w:rsid w:val="0032076A"/>
    <w:rsid w:val="003216B7"/>
    <w:rsid w:val="00321AF3"/>
    <w:rsid w:val="00322482"/>
    <w:rsid w:val="0032320C"/>
    <w:rsid w:val="00323267"/>
    <w:rsid w:val="00323AE8"/>
    <w:rsid w:val="00323B09"/>
    <w:rsid w:val="00324415"/>
    <w:rsid w:val="003246CB"/>
    <w:rsid w:val="00324818"/>
    <w:rsid w:val="0032559C"/>
    <w:rsid w:val="003263DE"/>
    <w:rsid w:val="00326D7D"/>
    <w:rsid w:val="0032742C"/>
    <w:rsid w:val="00332A99"/>
    <w:rsid w:val="003341AB"/>
    <w:rsid w:val="00334FFC"/>
    <w:rsid w:val="00335767"/>
    <w:rsid w:val="00336BD9"/>
    <w:rsid w:val="00341948"/>
    <w:rsid w:val="003420BD"/>
    <w:rsid w:val="00342A37"/>
    <w:rsid w:val="00342F35"/>
    <w:rsid w:val="00343775"/>
    <w:rsid w:val="003444D2"/>
    <w:rsid w:val="00344975"/>
    <w:rsid w:val="00344A70"/>
    <w:rsid w:val="0034674B"/>
    <w:rsid w:val="00346F24"/>
    <w:rsid w:val="00346FA4"/>
    <w:rsid w:val="00350453"/>
    <w:rsid w:val="00350813"/>
    <w:rsid w:val="00350D59"/>
    <w:rsid w:val="0035187A"/>
    <w:rsid w:val="00353206"/>
    <w:rsid w:val="003549AB"/>
    <w:rsid w:val="00354AC7"/>
    <w:rsid w:val="00354D73"/>
    <w:rsid w:val="00355E4D"/>
    <w:rsid w:val="003562BD"/>
    <w:rsid w:val="00356745"/>
    <w:rsid w:val="0036052D"/>
    <w:rsid w:val="00360B7A"/>
    <w:rsid w:val="0036177A"/>
    <w:rsid w:val="00361E69"/>
    <w:rsid w:val="003627A4"/>
    <w:rsid w:val="00362D8A"/>
    <w:rsid w:val="00364BB7"/>
    <w:rsid w:val="00366D0C"/>
    <w:rsid w:val="00370DEF"/>
    <w:rsid w:val="0037183B"/>
    <w:rsid w:val="00372460"/>
    <w:rsid w:val="00372A48"/>
    <w:rsid w:val="00372BF0"/>
    <w:rsid w:val="00372E34"/>
    <w:rsid w:val="003744D6"/>
    <w:rsid w:val="00374D9F"/>
    <w:rsid w:val="00375B6D"/>
    <w:rsid w:val="00381526"/>
    <w:rsid w:val="003821F6"/>
    <w:rsid w:val="00382C96"/>
    <w:rsid w:val="00382CC5"/>
    <w:rsid w:val="003837AF"/>
    <w:rsid w:val="00384A6E"/>
    <w:rsid w:val="00386D66"/>
    <w:rsid w:val="00387321"/>
    <w:rsid w:val="0039008B"/>
    <w:rsid w:val="00390BD4"/>
    <w:rsid w:val="00390F34"/>
    <w:rsid w:val="003915AF"/>
    <w:rsid w:val="00391B78"/>
    <w:rsid w:val="00391B9B"/>
    <w:rsid w:val="003922A8"/>
    <w:rsid w:val="00392464"/>
    <w:rsid w:val="00392A02"/>
    <w:rsid w:val="00393A1C"/>
    <w:rsid w:val="00394515"/>
    <w:rsid w:val="00394EAE"/>
    <w:rsid w:val="0039568A"/>
    <w:rsid w:val="00396B69"/>
    <w:rsid w:val="003970A7"/>
    <w:rsid w:val="003A0046"/>
    <w:rsid w:val="003A2586"/>
    <w:rsid w:val="003A418B"/>
    <w:rsid w:val="003A527D"/>
    <w:rsid w:val="003A5728"/>
    <w:rsid w:val="003A6B42"/>
    <w:rsid w:val="003B00FD"/>
    <w:rsid w:val="003B04C3"/>
    <w:rsid w:val="003B0769"/>
    <w:rsid w:val="003B0A5F"/>
    <w:rsid w:val="003B0AAD"/>
    <w:rsid w:val="003B0B47"/>
    <w:rsid w:val="003B1222"/>
    <w:rsid w:val="003B23E5"/>
    <w:rsid w:val="003B2657"/>
    <w:rsid w:val="003B2972"/>
    <w:rsid w:val="003B2C42"/>
    <w:rsid w:val="003B2E5C"/>
    <w:rsid w:val="003B3C7F"/>
    <w:rsid w:val="003B44E3"/>
    <w:rsid w:val="003B54BC"/>
    <w:rsid w:val="003B59C4"/>
    <w:rsid w:val="003B5AC1"/>
    <w:rsid w:val="003B6012"/>
    <w:rsid w:val="003B60A7"/>
    <w:rsid w:val="003B797C"/>
    <w:rsid w:val="003C0856"/>
    <w:rsid w:val="003C0974"/>
    <w:rsid w:val="003C1DD5"/>
    <w:rsid w:val="003C2F8E"/>
    <w:rsid w:val="003C36FF"/>
    <w:rsid w:val="003C3E2A"/>
    <w:rsid w:val="003C502B"/>
    <w:rsid w:val="003C51B9"/>
    <w:rsid w:val="003C6180"/>
    <w:rsid w:val="003C729B"/>
    <w:rsid w:val="003C736D"/>
    <w:rsid w:val="003D0BA7"/>
    <w:rsid w:val="003D0D1C"/>
    <w:rsid w:val="003D2F8F"/>
    <w:rsid w:val="003D3218"/>
    <w:rsid w:val="003D3E15"/>
    <w:rsid w:val="003D5E45"/>
    <w:rsid w:val="003D64D2"/>
    <w:rsid w:val="003D705D"/>
    <w:rsid w:val="003D74C9"/>
    <w:rsid w:val="003E1403"/>
    <w:rsid w:val="003E36C5"/>
    <w:rsid w:val="003E39C7"/>
    <w:rsid w:val="003E3BEF"/>
    <w:rsid w:val="003E4622"/>
    <w:rsid w:val="003E4EDB"/>
    <w:rsid w:val="003E63E6"/>
    <w:rsid w:val="003E6B4C"/>
    <w:rsid w:val="003E7AB4"/>
    <w:rsid w:val="003E7ADD"/>
    <w:rsid w:val="003F03D0"/>
    <w:rsid w:val="003F06B0"/>
    <w:rsid w:val="003F09FF"/>
    <w:rsid w:val="003F19D4"/>
    <w:rsid w:val="003F2A8D"/>
    <w:rsid w:val="003F35FA"/>
    <w:rsid w:val="003F485A"/>
    <w:rsid w:val="003F4CF2"/>
    <w:rsid w:val="003F4E26"/>
    <w:rsid w:val="003F50B2"/>
    <w:rsid w:val="003F6163"/>
    <w:rsid w:val="003F777B"/>
    <w:rsid w:val="003F7882"/>
    <w:rsid w:val="003F788A"/>
    <w:rsid w:val="003F7A83"/>
    <w:rsid w:val="00401176"/>
    <w:rsid w:val="0040164D"/>
    <w:rsid w:val="00401E59"/>
    <w:rsid w:val="00402D30"/>
    <w:rsid w:val="00403E1A"/>
    <w:rsid w:val="00404475"/>
    <w:rsid w:val="00406ED1"/>
    <w:rsid w:val="004072A8"/>
    <w:rsid w:val="004074E1"/>
    <w:rsid w:val="004115AD"/>
    <w:rsid w:val="00411892"/>
    <w:rsid w:val="00412122"/>
    <w:rsid w:val="00412607"/>
    <w:rsid w:val="00413087"/>
    <w:rsid w:val="00414175"/>
    <w:rsid w:val="00414954"/>
    <w:rsid w:val="00416622"/>
    <w:rsid w:val="0042033B"/>
    <w:rsid w:val="00420391"/>
    <w:rsid w:val="0042071B"/>
    <w:rsid w:val="00420A01"/>
    <w:rsid w:val="00422829"/>
    <w:rsid w:val="00422EC8"/>
    <w:rsid w:val="00423928"/>
    <w:rsid w:val="00424DB2"/>
    <w:rsid w:val="00425D06"/>
    <w:rsid w:val="0042614A"/>
    <w:rsid w:val="0042649D"/>
    <w:rsid w:val="0042696C"/>
    <w:rsid w:val="0042753C"/>
    <w:rsid w:val="004307C5"/>
    <w:rsid w:val="00430D5B"/>
    <w:rsid w:val="00430EC1"/>
    <w:rsid w:val="0043134E"/>
    <w:rsid w:val="00432023"/>
    <w:rsid w:val="00432FC6"/>
    <w:rsid w:val="0043303C"/>
    <w:rsid w:val="0043359F"/>
    <w:rsid w:val="00434D9D"/>
    <w:rsid w:val="00434F16"/>
    <w:rsid w:val="00435810"/>
    <w:rsid w:val="00435A5F"/>
    <w:rsid w:val="004361D0"/>
    <w:rsid w:val="0043636D"/>
    <w:rsid w:val="00436C63"/>
    <w:rsid w:val="00437620"/>
    <w:rsid w:val="004378E1"/>
    <w:rsid w:val="00441FC2"/>
    <w:rsid w:val="0044224F"/>
    <w:rsid w:val="0044292D"/>
    <w:rsid w:val="00443623"/>
    <w:rsid w:val="00444173"/>
    <w:rsid w:val="00444E4F"/>
    <w:rsid w:val="00445CC7"/>
    <w:rsid w:val="004465C8"/>
    <w:rsid w:val="00446A35"/>
    <w:rsid w:val="00446CE4"/>
    <w:rsid w:val="00447430"/>
    <w:rsid w:val="004477BE"/>
    <w:rsid w:val="00451065"/>
    <w:rsid w:val="00451CA2"/>
    <w:rsid w:val="004520E6"/>
    <w:rsid w:val="0045305B"/>
    <w:rsid w:val="00454FE1"/>
    <w:rsid w:val="0045563F"/>
    <w:rsid w:val="00456EEC"/>
    <w:rsid w:val="00457661"/>
    <w:rsid w:val="00457693"/>
    <w:rsid w:val="00457A12"/>
    <w:rsid w:val="00460A32"/>
    <w:rsid w:val="00462C69"/>
    <w:rsid w:val="00462CB1"/>
    <w:rsid w:val="00463319"/>
    <w:rsid w:val="00463683"/>
    <w:rsid w:val="00463B1C"/>
    <w:rsid w:val="00463CE2"/>
    <w:rsid w:val="004644F9"/>
    <w:rsid w:val="0046512B"/>
    <w:rsid w:val="00466953"/>
    <w:rsid w:val="0046737D"/>
    <w:rsid w:val="00470B37"/>
    <w:rsid w:val="00470CDE"/>
    <w:rsid w:val="00472534"/>
    <w:rsid w:val="0047256D"/>
    <w:rsid w:val="00472743"/>
    <w:rsid w:val="00472BEA"/>
    <w:rsid w:val="00472C91"/>
    <w:rsid w:val="0047393A"/>
    <w:rsid w:val="00474061"/>
    <w:rsid w:val="00474686"/>
    <w:rsid w:val="004749E9"/>
    <w:rsid w:val="00474DAD"/>
    <w:rsid w:val="00475785"/>
    <w:rsid w:val="00475E69"/>
    <w:rsid w:val="0047654A"/>
    <w:rsid w:val="00476C07"/>
    <w:rsid w:val="00477345"/>
    <w:rsid w:val="00480A0A"/>
    <w:rsid w:val="0048125A"/>
    <w:rsid w:val="0048144C"/>
    <w:rsid w:val="00481FDB"/>
    <w:rsid w:val="00482932"/>
    <w:rsid w:val="0048386A"/>
    <w:rsid w:val="00484218"/>
    <w:rsid w:val="004859A5"/>
    <w:rsid w:val="004859DF"/>
    <w:rsid w:val="00485D21"/>
    <w:rsid w:val="004862D3"/>
    <w:rsid w:val="004867E2"/>
    <w:rsid w:val="00486A7D"/>
    <w:rsid w:val="00490F36"/>
    <w:rsid w:val="00491F70"/>
    <w:rsid w:val="0049247B"/>
    <w:rsid w:val="00493564"/>
    <w:rsid w:val="00494B98"/>
    <w:rsid w:val="004963B8"/>
    <w:rsid w:val="00496CD3"/>
    <w:rsid w:val="00497603"/>
    <w:rsid w:val="00497952"/>
    <w:rsid w:val="004A0821"/>
    <w:rsid w:val="004A1D0D"/>
    <w:rsid w:val="004A253B"/>
    <w:rsid w:val="004A29C3"/>
    <w:rsid w:val="004A2F14"/>
    <w:rsid w:val="004A40A5"/>
    <w:rsid w:val="004A43F3"/>
    <w:rsid w:val="004A4D41"/>
    <w:rsid w:val="004A6E95"/>
    <w:rsid w:val="004B0928"/>
    <w:rsid w:val="004B104B"/>
    <w:rsid w:val="004B2987"/>
    <w:rsid w:val="004B2F46"/>
    <w:rsid w:val="004B4440"/>
    <w:rsid w:val="004B4D10"/>
    <w:rsid w:val="004B6382"/>
    <w:rsid w:val="004B6F11"/>
    <w:rsid w:val="004B7242"/>
    <w:rsid w:val="004C0614"/>
    <w:rsid w:val="004C13B1"/>
    <w:rsid w:val="004C1D40"/>
    <w:rsid w:val="004C2904"/>
    <w:rsid w:val="004C4951"/>
    <w:rsid w:val="004C4CAD"/>
    <w:rsid w:val="004C5E9C"/>
    <w:rsid w:val="004C6985"/>
    <w:rsid w:val="004C6CE6"/>
    <w:rsid w:val="004C724D"/>
    <w:rsid w:val="004D0A22"/>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2209"/>
    <w:rsid w:val="004F31FC"/>
    <w:rsid w:val="004F3775"/>
    <w:rsid w:val="004F56EF"/>
    <w:rsid w:val="004F6D63"/>
    <w:rsid w:val="00501A51"/>
    <w:rsid w:val="00502183"/>
    <w:rsid w:val="00502A2A"/>
    <w:rsid w:val="00502C09"/>
    <w:rsid w:val="005040B7"/>
    <w:rsid w:val="005049DD"/>
    <w:rsid w:val="005051FD"/>
    <w:rsid w:val="005057EB"/>
    <w:rsid w:val="005061F1"/>
    <w:rsid w:val="00506727"/>
    <w:rsid w:val="00507402"/>
    <w:rsid w:val="00507F8F"/>
    <w:rsid w:val="00510445"/>
    <w:rsid w:val="00511214"/>
    <w:rsid w:val="00512065"/>
    <w:rsid w:val="0051250F"/>
    <w:rsid w:val="00512756"/>
    <w:rsid w:val="00512DE7"/>
    <w:rsid w:val="005130A6"/>
    <w:rsid w:val="00513994"/>
    <w:rsid w:val="005149E5"/>
    <w:rsid w:val="00515C8C"/>
    <w:rsid w:val="00516298"/>
    <w:rsid w:val="0051650E"/>
    <w:rsid w:val="00516F16"/>
    <w:rsid w:val="00517383"/>
    <w:rsid w:val="005173EC"/>
    <w:rsid w:val="00517D3C"/>
    <w:rsid w:val="0052142D"/>
    <w:rsid w:val="00522B51"/>
    <w:rsid w:val="00523499"/>
    <w:rsid w:val="00523BE9"/>
    <w:rsid w:val="005262C3"/>
    <w:rsid w:val="00526832"/>
    <w:rsid w:val="005269F1"/>
    <w:rsid w:val="00526F40"/>
    <w:rsid w:val="00527034"/>
    <w:rsid w:val="00530122"/>
    <w:rsid w:val="0053053F"/>
    <w:rsid w:val="005307BB"/>
    <w:rsid w:val="00530ED3"/>
    <w:rsid w:val="00532D8C"/>
    <w:rsid w:val="005332A5"/>
    <w:rsid w:val="00533CFE"/>
    <w:rsid w:val="00534C4A"/>
    <w:rsid w:val="00535E22"/>
    <w:rsid w:val="005364D9"/>
    <w:rsid w:val="005366A2"/>
    <w:rsid w:val="0053694B"/>
    <w:rsid w:val="00536EB8"/>
    <w:rsid w:val="005378BB"/>
    <w:rsid w:val="0053791D"/>
    <w:rsid w:val="00540534"/>
    <w:rsid w:val="00541E6E"/>
    <w:rsid w:val="00542990"/>
    <w:rsid w:val="0054443F"/>
    <w:rsid w:val="00544C04"/>
    <w:rsid w:val="0054559B"/>
    <w:rsid w:val="00546C8D"/>
    <w:rsid w:val="00547427"/>
    <w:rsid w:val="00550612"/>
    <w:rsid w:val="005508A4"/>
    <w:rsid w:val="005521F7"/>
    <w:rsid w:val="0055285B"/>
    <w:rsid w:val="00552935"/>
    <w:rsid w:val="00552F9E"/>
    <w:rsid w:val="0055338F"/>
    <w:rsid w:val="0055458C"/>
    <w:rsid w:val="005555DB"/>
    <w:rsid w:val="00555BA9"/>
    <w:rsid w:val="0055643B"/>
    <w:rsid w:val="00557E9F"/>
    <w:rsid w:val="00560BCC"/>
    <w:rsid w:val="00561614"/>
    <w:rsid w:val="0056191C"/>
    <w:rsid w:val="00563284"/>
    <w:rsid w:val="005639B9"/>
    <w:rsid w:val="00563CCC"/>
    <w:rsid w:val="00564DA4"/>
    <w:rsid w:val="00565224"/>
    <w:rsid w:val="0056522B"/>
    <w:rsid w:val="005663D5"/>
    <w:rsid w:val="00566467"/>
    <w:rsid w:val="00566CE0"/>
    <w:rsid w:val="00567A33"/>
    <w:rsid w:val="005703A3"/>
    <w:rsid w:val="00570845"/>
    <w:rsid w:val="00570A1E"/>
    <w:rsid w:val="005717BB"/>
    <w:rsid w:val="005719DA"/>
    <w:rsid w:val="00572B5D"/>
    <w:rsid w:val="00573D95"/>
    <w:rsid w:val="005749DC"/>
    <w:rsid w:val="005755AF"/>
    <w:rsid w:val="00575C2E"/>
    <w:rsid w:val="0057605A"/>
    <w:rsid w:val="005801CC"/>
    <w:rsid w:val="00580207"/>
    <w:rsid w:val="00580263"/>
    <w:rsid w:val="0058196D"/>
    <w:rsid w:val="00581CB6"/>
    <w:rsid w:val="005825D0"/>
    <w:rsid w:val="00583ACA"/>
    <w:rsid w:val="00583C98"/>
    <w:rsid w:val="00583DD1"/>
    <w:rsid w:val="005840F6"/>
    <w:rsid w:val="00584AFC"/>
    <w:rsid w:val="00584C97"/>
    <w:rsid w:val="00585A1A"/>
    <w:rsid w:val="00585C90"/>
    <w:rsid w:val="00585F54"/>
    <w:rsid w:val="00587227"/>
    <w:rsid w:val="005901F2"/>
    <w:rsid w:val="005913C5"/>
    <w:rsid w:val="00591EB8"/>
    <w:rsid w:val="005921B6"/>
    <w:rsid w:val="0059223F"/>
    <w:rsid w:val="00593BB7"/>
    <w:rsid w:val="0059489D"/>
    <w:rsid w:val="005953AE"/>
    <w:rsid w:val="005955C5"/>
    <w:rsid w:val="00595811"/>
    <w:rsid w:val="00595B9E"/>
    <w:rsid w:val="00595F78"/>
    <w:rsid w:val="0059628F"/>
    <w:rsid w:val="00596777"/>
    <w:rsid w:val="00597601"/>
    <w:rsid w:val="005A137A"/>
    <w:rsid w:val="005A1A12"/>
    <w:rsid w:val="005A25E8"/>
    <w:rsid w:val="005A3604"/>
    <w:rsid w:val="005A4485"/>
    <w:rsid w:val="005A462A"/>
    <w:rsid w:val="005A47E9"/>
    <w:rsid w:val="005A48BE"/>
    <w:rsid w:val="005A52F2"/>
    <w:rsid w:val="005A5416"/>
    <w:rsid w:val="005A58DE"/>
    <w:rsid w:val="005A623E"/>
    <w:rsid w:val="005A6B6A"/>
    <w:rsid w:val="005A6D6D"/>
    <w:rsid w:val="005A6EAF"/>
    <w:rsid w:val="005B006C"/>
    <w:rsid w:val="005B2E79"/>
    <w:rsid w:val="005B2EB9"/>
    <w:rsid w:val="005B2F78"/>
    <w:rsid w:val="005B30E9"/>
    <w:rsid w:val="005B3495"/>
    <w:rsid w:val="005B3D3B"/>
    <w:rsid w:val="005B7582"/>
    <w:rsid w:val="005B7D85"/>
    <w:rsid w:val="005C0054"/>
    <w:rsid w:val="005C1005"/>
    <w:rsid w:val="005C11B4"/>
    <w:rsid w:val="005C1B8E"/>
    <w:rsid w:val="005C3B1A"/>
    <w:rsid w:val="005C43A3"/>
    <w:rsid w:val="005C4DFD"/>
    <w:rsid w:val="005C5C4A"/>
    <w:rsid w:val="005C5C96"/>
    <w:rsid w:val="005C6FFC"/>
    <w:rsid w:val="005C7108"/>
    <w:rsid w:val="005D0181"/>
    <w:rsid w:val="005D0441"/>
    <w:rsid w:val="005D0C65"/>
    <w:rsid w:val="005D1190"/>
    <w:rsid w:val="005D1B05"/>
    <w:rsid w:val="005D24EC"/>
    <w:rsid w:val="005D2C6E"/>
    <w:rsid w:val="005D2E12"/>
    <w:rsid w:val="005D3B21"/>
    <w:rsid w:val="005D4CF7"/>
    <w:rsid w:val="005D75DC"/>
    <w:rsid w:val="005E06D0"/>
    <w:rsid w:val="005E1695"/>
    <w:rsid w:val="005E18FB"/>
    <w:rsid w:val="005E2CF2"/>
    <w:rsid w:val="005E2D5A"/>
    <w:rsid w:val="005E3627"/>
    <w:rsid w:val="005E3726"/>
    <w:rsid w:val="005E379F"/>
    <w:rsid w:val="005E4E94"/>
    <w:rsid w:val="005E5468"/>
    <w:rsid w:val="005E55C2"/>
    <w:rsid w:val="005E6F21"/>
    <w:rsid w:val="005E7130"/>
    <w:rsid w:val="005E78AE"/>
    <w:rsid w:val="005F0181"/>
    <w:rsid w:val="005F051D"/>
    <w:rsid w:val="005F16AA"/>
    <w:rsid w:val="005F1818"/>
    <w:rsid w:val="005F2D6B"/>
    <w:rsid w:val="005F2DD9"/>
    <w:rsid w:val="005F3C7E"/>
    <w:rsid w:val="005F5744"/>
    <w:rsid w:val="005F6683"/>
    <w:rsid w:val="005F7C4B"/>
    <w:rsid w:val="0060075E"/>
    <w:rsid w:val="006010BC"/>
    <w:rsid w:val="006013F1"/>
    <w:rsid w:val="00601415"/>
    <w:rsid w:val="00601C45"/>
    <w:rsid w:val="00601DA4"/>
    <w:rsid w:val="00601F1C"/>
    <w:rsid w:val="00602566"/>
    <w:rsid w:val="00602753"/>
    <w:rsid w:val="00603C77"/>
    <w:rsid w:val="00605812"/>
    <w:rsid w:val="006058ED"/>
    <w:rsid w:val="00605B07"/>
    <w:rsid w:val="00605DF3"/>
    <w:rsid w:val="006060E7"/>
    <w:rsid w:val="0060697D"/>
    <w:rsid w:val="0061043D"/>
    <w:rsid w:val="006111F0"/>
    <w:rsid w:val="00611EC0"/>
    <w:rsid w:val="0061248A"/>
    <w:rsid w:val="00613143"/>
    <w:rsid w:val="00613533"/>
    <w:rsid w:val="00614121"/>
    <w:rsid w:val="00614A82"/>
    <w:rsid w:val="00615102"/>
    <w:rsid w:val="006161C7"/>
    <w:rsid w:val="006163D8"/>
    <w:rsid w:val="00616D3D"/>
    <w:rsid w:val="00620F24"/>
    <w:rsid w:val="00622642"/>
    <w:rsid w:val="006237E2"/>
    <w:rsid w:val="00623C5D"/>
    <w:rsid w:val="00625801"/>
    <w:rsid w:val="00630391"/>
    <w:rsid w:val="00631D73"/>
    <w:rsid w:val="0063279E"/>
    <w:rsid w:val="00633420"/>
    <w:rsid w:val="00633424"/>
    <w:rsid w:val="0063478C"/>
    <w:rsid w:val="00634E32"/>
    <w:rsid w:val="00634FA3"/>
    <w:rsid w:val="006351E8"/>
    <w:rsid w:val="00635B53"/>
    <w:rsid w:val="006361A4"/>
    <w:rsid w:val="00636C93"/>
    <w:rsid w:val="00636DBA"/>
    <w:rsid w:val="00636EE9"/>
    <w:rsid w:val="00640207"/>
    <w:rsid w:val="006408F4"/>
    <w:rsid w:val="00640EF8"/>
    <w:rsid w:val="00641254"/>
    <w:rsid w:val="006431E5"/>
    <w:rsid w:val="00643356"/>
    <w:rsid w:val="00643535"/>
    <w:rsid w:val="0064373A"/>
    <w:rsid w:val="006446E2"/>
    <w:rsid w:val="00644D64"/>
    <w:rsid w:val="0064562F"/>
    <w:rsid w:val="006458E6"/>
    <w:rsid w:val="00645949"/>
    <w:rsid w:val="00645ED4"/>
    <w:rsid w:val="00647973"/>
    <w:rsid w:val="0065052C"/>
    <w:rsid w:val="0065067D"/>
    <w:rsid w:val="00650725"/>
    <w:rsid w:val="006508BC"/>
    <w:rsid w:val="00650915"/>
    <w:rsid w:val="006510EF"/>
    <w:rsid w:val="006514AB"/>
    <w:rsid w:val="006519CA"/>
    <w:rsid w:val="0065351B"/>
    <w:rsid w:val="00653785"/>
    <w:rsid w:val="00655054"/>
    <w:rsid w:val="00655586"/>
    <w:rsid w:val="00657C74"/>
    <w:rsid w:val="00660142"/>
    <w:rsid w:val="00662AF3"/>
    <w:rsid w:val="00662D4A"/>
    <w:rsid w:val="006637C7"/>
    <w:rsid w:val="006646CB"/>
    <w:rsid w:val="006655DE"/>
    <w:rsid w:val="00666042"/>
    <w:rsid w:val="00666241"/>
    <w:rsid w:val="006673E0"/>
    <w:rsid w:val="00670376"/>
    <w:rsid w:val="00670C77"/>
    <w:rsid w:val="0067213C"/>
    <w:rsid w:val="00672333"/>
    <w:rsid w:val="0067299F"/>
    <w:rsid w:val="006734A7"/>
    <w:rsid w:val="006748B5"/>
    <w:rsid w:val="00675304"/>
    <w:rsid w:val="00675F01"/>
    <w:rsid w:val="006771AD"/>
    <w:rsid w:val="006776FE"/>
    <w:rsid w:val="00677E98"/>
    <w:rsid w:val="00677EBB"/>
    <w:rsid w:val="00681146"/>
    <w:rsid w:val="00681E75"/>
    <w:rsid w:val="00682C10"/>
    <w:rsid w:val="006835A7"/>
    <w:rsid w:val="0068387C"/>
    <w:rsid w:val="00683966"/>
    <w:rsid w:val="00683B78"/>
    <w:rsid w:val="00684331"/>
    <w:rsid w:val="00685CE3"/>
    <w:rsid w:val="00685E41"/>
    <w:rsid w:val="00686030"/>
    <w:rsid w:val="00686517"/>
    <w:rsid w:val="00686778"/>
    <w:rsid w:val="00686FA0"/>
    <w:rsid w:val="006877D3"/>
    <w:rsid w:val="00691C5B"/>
    <w:rsid w:val="00692057"/>
    <w:rsid w:val="0069342F"/>
    <w:rsid w:val="006959AC"/>
    <w:rsid w:val="00696295"/>
    <w:rsid w:val="00696AEF"/>
    <w:rsid w:val="00696DBE"/>
    <w:rsid w:val="00696E97"/>
    <w:rsid w:val="0069737A"/>
    <w:rsid w:val="006976AE"/>
    <w:rsid w:val="00697EAF"/>
    <w:rsid w:val="00697F76"/>
    <w:rsid w:val="006A24C9"/>
    <w:rsid w:val="006A26B8"/>
    <w:rsid w:val="006A2BC3"/>
    <w:rsid w:val="006A3A98"/>
    <w:rsid w:val="006A3BF1"/>
    <w:rsid w:val="006A406F"/>
    <w:rsid w:val="006A48FC"/>
    <w:rsid w:val="006A4BB7"/>
    <w:rsid w:val="006A5170"/>
    <w:rsid w:val="006A5E0F"/>
    <w:rsid w:val="006A7406"/>
    <w:rsid w:val="006A7956"/>
    <w:rsid w:val="006A7AB2"/>
    <w:rsid w:val="006B034B"/>
    <w:rsid w:val="006B0D15"/>
    <w:rsid w:val="006B15BC"/>
    <w:rsid w:val="006B16BF"/>
    <w:rsid w:val="006B2E99"/>
    <w:rsid w:val="006B31A8"/>
    <w:rsid w:val="006B383C"/>
    <w:rsid w:val="006B3C13"/>
    <w:rsid w:val="006B4430"/>
    <w:rsid w:val="006B5552"/>
    <w:rsid w:val="006B6787"/>
    <w:rsid w:val="006B6DBF"/>
    <w:rsid w:val="006C0049"/>
    <w:rsid w:val="006C02B8"/>
    <w:rsid w:val="006C1FA2"/>
    <w:rsid w:val="006C228B"/>
    <w:rsid w:val="006C2C37"/>
    <w:rsid w:val="006C3338"/>
    <w:rsid w:val="006C3F52"/>
    <w:rsid w:val="006C509C"/>
    <w:rsid w:val="006C5359"/>
    <w:rsid w:val="006C688E"/>
    <w:rsid w:val="006C751B"/>
    <w:rsid w:val="006C7FE8"/>
    <w:rsid w:val="006D0012"/>
    <w:rsid w:val="006D0A6A"/>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9D7"/>
    <w:rsid w:val="006D7C4B"/>
    <w:rsid w:val="006D7C75"/>
    <w:rsid w:val="006E08C4"/>
    <w:rsid w:val="006E0D20"/>
    <w:rsid w:val="006E1CA6"/>
    <w:rsid w:val="006E2919"/>
    <w:rsid w:val="006E2B84"/>
    <w:rsid w:val="006E2C4B"/>
    <w:rsid w:val="006E312A"/>
    <w:rsid w:val="006E4BDB"/>
    <w:rsid w:val="006E6C19"/>
    <w:rsid w:val="006E799D"/>
    <w:rsid w:val="006F0082"/>
    <w:rsid w:val="006F02A9"/>
    <w:rsid w:val="006F05BD"/>
    <w:rsid w:val="006F07CC"/>
    <w:rsid w:val="006F15BF"/>
    <w:rsid w:val="006F1D7C"/>
    <w:rsid w:val="006F2792"/>
    <w:rsid w:val="006F2A16"/>
    <w:rsid w:val="006F3DF0"/>
    <w:rsid w:val="006F57E6"/>
    <w:rsid w:val="006F61CF"/>
    <w:rsid w:val="006F6592"/>
    <w:rsid w:val="006F6B91"/>
    <w:rsid w:val="006F6C56"/>
    <w:rsid w:val="006F7E2D"/>
    <w:rsid w:val="00700528"/>
    <w:rsid w:val="00701F36"/>
    <w:rsid w:val="007023CD"/>
    <w:rsid w:val="00702DE4"/>
    <w:rsid w:val="00702E8E"/>
    <w:rsid w:val="00703DC7"/>
    <w:rsid w:val="00704E29"/>
    <w:rsid w:val="007058EE"/>
    <w:rsid w:val="007060DA"/>
    <w:rsid w:val="0070687A"/>
    <w:rsid w:val="00710394"/>
    <w:rsid w:val="00710E4D"/>
    <w:rsid w:val="00710E65"/>
    <w:rsid w:val="007131DD"/>
    <w:rsid w:val="00713594"/>
    <w:rsid w:val="00713662"/>
    <w:rsid w:val="00713E66"/>
    <w:rsid w:val="0071481F"/>
    <w:rsid w:val="00714C81"/>
    <w:rsid w:val="00714DBD"/>
    <w:rsid w:val="0071509B"/>
    <w:rsid w:val="00715996"/>
    <w:rsid w:val="00715CA7"/>
    <w:rsid w:val="00716A19"/>
    <w:rsid w:val="007171C6"/>
    <w:rsid w:val="0072016D"/>
    <w:rsid w:val="007203D1"/>
    <w:rsid w:val="007205DF"/>
    <w:rsid w:val="007220D9"/>
    <w:rsid w:val="00722DF9"/>
    <w:rsid w:val="007237A9"/>
    <w:rsid w:val="00723932"/>
    <w:rsid w:val="00725D11"/>
    <w:rsid w:val="00725F6C"/>
    <w:rsid w:val="007260AE"/>
    <w:rsid w:val="007266CB"/>
    <w:rsid w:val="007274A9"/>
    <w:rsid w:val="00730545"/>
    <w:rsid w:val="00730C7B"/>
    <w:rsid w:val="00732D25"/>
    <w:rsid w:val="00732EDC"/>
    <w:rsid w:val="00733070"/>
    <w:rsid w:val="0073374D"/>
    <w:rsid w:val="007342BE"/>
    <w:rsid w:val="00737491"/>
    <w:rsid w:val="00737AEE"/>
    <w:rsid w:val="00737B23"/>
    <w:rsid w:val="007405AB"/>
    <w:rsid w:val="00741054"/>
    <w:rsid w:val="0074117E"/>
    <w:rsid w:val="007411EF"/>
    <w:rsid w:val="0074171E"/>
    <w:rsid w:val="00741959"/>
    <w:rsid w:val="00741C5B"/>
    <w:rsid w:val="007427F3"/>
    <w:rsid w:val="00742EAD"/>
    <w:rsid w:val="00743224"/>
    <w:rsid w:val="0074357B"/>
    <w:rsid w:val="00743D9C"/>
    <w:rsid w:val="00744949"/>
    <w:rsid w:val="00744FBE"/>
    <w:rsid w:val="0074538E"/>
    <w:rsid w:val="007457F2"/>
    <w:rsid w:val="00745ABC"/>
    <w:rsid w:val="00746466"/>
    <w:rsid w:val="007467D5"/>
    <w:rsid w:val="00746AF2"/>
    <w:rsid w:val="00746E5F"/>
    <w:rsid w:val="007472BB"/>
    <w:rsid w:val="0074754E"/>
    <w:rsid w:val="007502D6"/>
    <w:rsid w:val="007512B4"/>
    <w:rsid w:val="007524C0"/>
    <w:rsid w:val="00753B3C"/>
    <w:rsid w:val="00754383"/>
    <w:rsid w:val="00755971"/>
    <w:rsid w:val="00755FE9"/>
    <w:rsid w:val="00756090"/>
    <w:rsid w:val="00757C05"/>
    <w:rsid w:val="007623ED"/>
    <w:rsid w:val="007627E0"/>
    <w:rsid w:val="00762D5B"/>
    <w:rsid w:val="007630B3"/>
    <w:rsid w:val="0076332F"/>
    <w:rsid w:val="0076349B"/>
    <w:rsid w:val="00763CD7"/>
    <w:rsid w:val="007645CD"/>
    <w:rsid w:val="007646BE"/>
    <w:rsid w:val="00764AC0"/>
    <w:rsid w:val="00764D6C"/>
    <w:rsid w:val="0076511E"/>
    <w:rsid w:val="00765536"/>
    <w:rsid w:val="007655EC"/>
    <w:rsid w:val="00765E19"/>
    <w:rsid w:val="007660C1"/>
    <w:rsid w:val="0076619C"/>
    <w:rsid w:val="007668FB"/>
    <w:rsid w:val="00767868"/>
    <w:rsid w:val="00767C3E"/>
    <w:rsid w:val="00770F00"/>
    <w:rsid w:val="0077174E"/>
    <w:rsid w:val="007717A5"/>
    <w:rsid w:val="00771FCC"/>
    <w:rsid w:val="0077228B"/>
    <w:rsid w:val="0077269E"/>
    <w:rsid w:val="007728EB"/>
    <w:rsid w:val="007736E8"/>
    <w:rsid w:val="00774B99"/>
    <w:rsid w:val="00774D10"/>
    <w:rsid w:val="00775BF0"/>
    <w:rsid w:val="00776ADA"/>
    <w:rsid w:val="00776CB7"/>
    <w:rsid w:val="00777701"/>
    <w:rsid w:val="007777EE"/>
    <w:rsid w:val="00777D66"/>
    <w:rsid w:val="00777DB4"/>
    <w:rsid w:val="0078241B"/>
    <w:rsid w:val="00782705"/>
    <w:rsid w:val="00783285"/>
    <w:rsid w:val="00783F83"/>
    <w:rsid w:val="00784B22"/>
    <w:rsid w:val="00784EAE"/>
    <w:rsid w:val="007851E8"/>
    <w:rsid w:val="00785236"/>
    <w:rsid w:val="00785C6E"/>
    <w:rsid w:val="00785FF2"/>
    <w:rsid w:val="007869A5"/>
    <w:rsid w:val="0078767F"/>
    <w:rsid w:val="00790C75"/>
    <w:rsid w:val="00790CE0"/>
    <w:rsid w:val="00791154"/>
    <w:rsid w:val="00791B88"/>
    <w:rsid w:val="00791CA7"/>
    <w:rsid w:val="00791ECC"/>
    <w:rsid w:val="0079203B"/>
    <w:rsid w:val="00792521"/>
    <w:rsid w:val="00792914"/>
    <w:rsid w:val="007929E6"/>
    <w:rsid w:val="00792A2F"/>
    <w:rsid w:val="0079346C"/>
    <w:rsid w:val="007934E1"/>
    <w:rsid w:val="00794CCB"/>
    <w:rsid w:val="00795937"/>
    <w:rsid w:val="007967CB"/>
    <w:rsid w:val="00797801"/>
    <w:rsid w:val="007A1647"/>
    <w:rsid w:val="007A1A79"/>
    <w:rsid w:val="007A2143"/>
    <w:rsid w:val="007A287F"/>
    <w:rsid w:val="007A3124"/>
    <w:rsid w:val="007A41A7"/>
    <w:rsid w:val="007A52F9"/>
    <w:rsid w:val="007A64FB"/>
    <w:rsid w:val="007A673E"/>
    <w:rsid w:val="007A6B19"/>
    <w:rsid w:val="007A7A34"/>
    <w:rsid w:val="007B31A4"/>
    <w:rsid w:val="007B3382"/>
    <w:rsid w:val="007B4508"/>
    <w:rsid w:val="007B4FA2"/>
    <w:rsid w:val="007B57A1"/>
    <w:rsid w:val="007B5EF6"/>
    <w:rsid w:val="007C0A8D"/>
    <w:rsid w:val="007C0B33"/>
    <w:rsid w:val="007C1E85"/>
    <w:rsid w:val="007C2345"/>
    <w:rsid w:val="007C49F1"/>
    <w:rsid w:val="007C5DFA"/>
    <w:rsid w:val="007C6DD5"/>
    <w:rsid w:val="007C7016"/>
    <w:rsid w:val="007C787B"/>
    <w:rsid w:val="007D03B6"/>
    <w:rsid w:val="007D15E7"/>
    <w:rsid w:val="007D2992"/>
    <w:rsid w:val="007D2F6A"/>
    <w:rsid w:val="007D3156"/>
    <w:rsid w:val="007D36B9"/>
    <w:rsid w:val="007D4032"/>
    <w:rsid w:val="007D4373"/>
    <w:rsid w:val="007D49F1"/>
    <w:rsid w:val="007D642B"/>
    <w:rsid w:val="007D669C"/>
    <w:rsid w:val="007D7E91"/>
    <w:rsid w:val="007E02E9"/>
    <w:rsid w:val="007E1027"/>
    <w:rsid w:val="007E1388"/>
    <w:rsid w:val="007E1A59"/>
    <w:rsid w:val="007E27AB"/>
    <w:rsid w:val="007E2B6C"/>
    <w:rsid w:val="007E2BD5"/>
    <w:rsid w:val="007E356A"/>
    <w:rsid w:val="007E4154"/>
    <w:rsid w:val="007E47EF"/>
    <w:rsid w:val="007E55D8"/>
    <w:rsid w:val="007E588A"/>
    <w:rsid w:val="007E69FC"/>
    <w:rsid w:val="007E74DC"/>
    <w:rsid w:val="007E79CE"/>
    <w:rsid w:val="007E7FC8"/>
    <w:rsid w:val="007F00FB"/>
    <w:rsid w:val="007F0B1F"/>
    <w:rsid w:val="007F1243"/>
    <w:rsid w:val="007F136B"/>
    <w:rsid w:val="007F1641"/>
    <w:rsid w:val="007F178F"/>
    <w:rsid w:val="007F3ACE"/>
    <w:rsid w:val="007F43E9"/>
    <w:rsid w:val="007F46DF"/>
    <w:rsid w:val="007F55AB"/>
    <w:rsid w:val="007F59A2"/>
    <w:rsid w:val="007F5F99"/>
    <w:rsid w:val="007F60DE"/>
    <w:rsid w:val="007F637C"/>
    <w:rsid w:val="007F65AE"/>
    <w:rsid w:val="007F6814"/>
    <w:rsid w:val="007F70DE"/>
    <w:rsid w:val="00800A30"/>
    <w:rsid w:val="008034AA"/>
    <w:rsid w:val="008037F6"/>
    <w:rsid w:val="00803CBB"/>
    <w:rsid w:val="00803DA5"/>
    <w:rsid w:val="00804630"/>
    <w:rsid w:val="0080478E"/>
    <w:rsid w:val="00804BC5"/>
    <w:rsid w:val="00805802"/>
    <w:rsid w:val="008059EE"/>
    <w:rsid w:val="00805E19"/>
    <w:rsid w:val="008066EC"/>
    <w:rsid w:val="008066FB"/>
    <w:rsid w:val="0080700E"/>
    <w:rsid w:val="00807E7B"/>
    <w:rsid w:val="008108CB"/>
    <w:rsid w:val="00811E9A"/>
    <w:rsid w:val="00812DD2"/>
    <w:rsid w:val="008133E9"/>
    <w:rsid w:val="00814F3A"/>
    <w:rsid w:val="00815C8F"/>
    <w:rsid w:val="00817A04"/>
    <w:rsid w:val="00817E9E"/>
    <w:rsid w:val="008204EF"/>
    <w:rsid w:val="008211BE"/>
    <w:rsid w:val="0082217D"/>
    <w:rsid w:val="00822601"/>
    <w:rsid w:val="00823299"/>
    <w:rsid w:val="00823A9D"/>
    <w:rsid w:val="00824C50"/>
    <w:rsid w:val="00824D9D"/>
    <w:rsid w:val="00825109"/>
    <w:rsid w:val="00825F02"/>
    <w:rsid w:val="0082638A"/>
    <w:rsid w:val="008264EB"/>
    <w:rsid w:val="0082788A"/>
    <w:rsid w:val="00827F65"/>
    <w:rsid w:val="00830811"/>
    <w:rsid w:val="008309AF"/>
    <w:rsid w:val="00830C05"/>
    <w:rsid w:val="00831390"/>
    <w:rsid w:val="00832045"/>
    <w:rsid w:val="0083384B"/>
    <w:rsid w:val="00833C60"/>
    <w:rsid w:val="008342B2"/>
    <w:rsid w:val="00835456"/>
    <w:rsid w:val="00835D9F"/>
    <w:rsid w:val="008374C6"/>
    <w:rsid w:val="00837815"/>
    <w:rsid w:val="00837D41"/>
    <w:rsid w:val="0084061A"/>
    <w:rsid w:val="00840B1E"/>
    <w:rsid w:val="00840C6F"/>
    <w:rsid w:val="008410EF"/>
    <w:rsid w:val="00841D33"/>
    <w:rsid w:val="00842A4F"/>
    <w:rsid w:val="008435C9"/>
    <w:rsid w:val="008435F7"/>
    <w:rsid w:val="0084368A"/>
    <w:rsid w:val="00843A5D"/>
    <w:rsid w:val="008452AC"/>
    <w:rsid w:val="008459AA"/>
    <w:rsid w:val="00847488"/>
    <w:rsid w:val="00847675"/>
    <w:rsid w:val="0084793A"/>
    <w:rsid w:val="00850E21"/>
    <w:rsid w:val="00851353"/>
    <w:rsid w:val="008516C0"/>
    <w:rsid w:val="0085231C"/>
    <w:rsid w:val="00853D82"/>
    <w:rsid w:val="00854A50"/>
    <w:rsid w:val="008552C6"/>
    <w:rsid w:val="0085559A"/>
    <w:rsid w:val="00855EAE"/>
    <w:rsid w:val="0085654A"/>
    <w:rsid w:val="008568E7"/>
    <w:rsid w:val="008572E4"/>
    <w:rsid w:val="00857893"/>
    <w:rsid w:val="00857A32"/>
    <w:rsid w:val="00857BDF"/>
    <w:rsid w:val="0086028B"/>
    <w:rsid w:val="008606E8"/>
    <w:rsid w:val="00861063"/>
    <w:rsid w:val="0086173B"/>
    <w:rsid w:val="00861DAE"/>
    <w:rsid w:val="00863EB5"/>
    <w:rsid w:val="008653C3"/>
    <w:rsid w:val="00865620"/>
    <w:rsid w:val="00870A5E"/>
    <w:rsid w:val="00872175"/>
    <w:rsid w:val="00873E30"/>
    <w:rsid w:val="00874222"/>
    <w:rsid w:val="008745D9"/>
    <w:rsid w:val="00876D06"/>
    <w:rsid w:val="008775F2"/>
    <w:rsid w:val="00880178"/>
    <w:rsid w:val="00880466"/>
    <w:rsid w:val="00880470"/>
    <w:rsid w:val="008810D4"/>
    <w:rsid w:val="00881532"/>
    <w:rsid w:val="00881B7D"/>
    <w:rsid w:val="00882515"/>
    <w:rsid w:val="00885022"/>
    <w:rsid w:val="00885208"/>
    <w:rsid w:val="00885AEE"/>
    <w:rsid w:val="00885DB4"/>
    <w:rsid w:val="00885E8E"/>
    <w:rsid w:val="00890920"/>
    <w:rsid w:val="00890C8B"/>
    <w:rsid w:val="008912C3"/>
    <w:rsid w:val="00891863"/>
    <w:rsid w:val="00892950"/>
    <w:rsid w:val="00892DF3"/>
    <w:rsid w:val="0089315C"/>
    <w:rsid w:val="00893242"/>
    <w:rsid w:val="0089331C"/>
    <w:rsid w:val="00893447"/>
    <w:rsid w:val="00893D9A"/>
    <w:rsid w:val="00894C15"/>
    <w:rsid w:val="00894EDF"/>
    <w:rsid w:val="008958D6"/>
    <w:rsid w:val="00895CE6"/>
    <w:rsid w:val="00896BCD"/>
    <w:rsid w:val="00897111"/>
    <w:rsid w:val="00897EBD"/>
    <w:rsid w:val="00897F3D"/>
    <w:rsid w:val="008A00F0"/>
    <w:rsid w:val="008A020E"/>
    <w:rsid w:val="008A05B8"/>
    <w:rsid w:val="008A06C4"/>
    <w:rsid w:val="008A06D6"/>
    <w:rsid w:val="008A086A"/>
    <w:rsid w:val="008A0BC2"/>
    <w:rsid w:val="008A13AB"/>
    <w:rsid w:val="008A1730"/>
    <w:rsid w:val="008A2C6F"/>
    <w:rsid w:val="008A34CC"/>
    <w:rsid w:val="008A34DC"/>
    <w:rsid w:val="008A375C"/>
    <w:rsid w:val="008A3E3C"/>
    <w:rsid w:val="008A44F4"/>
    <w:rsid w:val="008A44FF"/>
    <w:rsid w:val="008A49F1"/>
    <w:rsid w:val="008A5B18"/>
    <w:rsid w:val="008A6F0F"/>
    <w:rsid w:val="008A6FE6"/>
    <w:rsid w:val="008A7D3D"/>
    <w:rsid w:val="008A7F46"/>
    <w:rsid w:val="008B02B4"/>
    <w:rsid w:val="008B1083"/>
    <w:rsid w:val="008B153E"/>
    <w:rsid w:val="008B1627"/>
    <w:rsid w:val="008B1A29"/>
    <w:rsid w:val="008B1FB3"/>
    <w:rsid w:val="008B29D9"/>
    <w:rsid w:val="008B2FB6"/>
    <w:rsid w:val="008B4C7C"/>
    <w:rsid w:val="008B536D"/>
    <w:rsid w:val="008B5A18"/>
    <w:rsid w:val="008B6081"/>
    <w:rsid w:val="008B688D"/>
    <w:rsid w:val="008B77B8"/>
    <w:rsid w:val="008B7D64"/>
    <w:rsid w:val="008B7ECE"/>
    <w:rsid w:val="008B7F44"/>
    <w:rsid w:val="008C0BCB"/>
    <w:rsid w:val="008C0D51"/>
    <w:rsid w:val="008C19D9"/>
    <w:rsid w:val="008C1C68"/>
    <w:rsid w:val="008C2008"/>
    <w:rsid w:val="008C2413"/>
    <w:rsid w:val="008C298B"/>
    <w:rsid w:val="008C455F"/>
    <w:rsid w:val="008C6042"/>
    <w:rsid w:val="008C7145"/>
    <w:rsid w:val="008C7A6C"/>
    <w:rsid w:val="008D0B7C"/>
    <w:rsid w:val="008D1C6A"/>
    <w:rsid w:val="008D35CA"/>
    <w:rsid w:val="008D5138"/>
    <w:rsid w:val="008D62E8"/>
    <w:rsid w:val="008D6D51"/>
    <w:rsid w:val="008D6EB1"/>
    <w:rsid w:val="008D7374"/>
    <w:rsid w:val="008E0DBE"/>
    <w:rsid w:val="008E135B"/>
    <w:rsid w:val="008E182B"/>
    <w:rsid w:val="008E2AFF"/>
    <w:rsid w:val="008E2BA5"/>
    <w:rsid w:val="008E3373"/>
    <w:rsid w:val="008E34E5"/>
    <w:rsid w:val="008E3992"/>
    <w:rsid w:val="008E45AF"/>
    <w:rsid w:val="008E5BB3"/>
    <w:rsid w:val="008E5CD4"/>
    <w:rsid w:val="008E5F3E"/>
    <w:rsid w:val="008E6265"/>
    <w:rsid w:val="008E6267"/>
    <w:rsid w:val="008E7B76"/>
    <w:rsid w:val="008E7F61"/>
    <w:rsid w:val="008F0798"/>
    <w:rsid w:val="008F0C06"/>
    <w:rsid w:val="008F2B47"/>
    <w:rsid w:val="008F2EA0"/>
    <w:rsid w:val="008F30CB"/>
    <w:rsid w:val="008F38FF"/>
    <w:rsid w:val="008F39AA"/>
    <w:rsid w:val="008F3EBA"/>
    <w:rsid w:val="008F4ADC"/>
    <w:rsid w:val="008F549A"/>
    <w:rsid w:val="008F54ED"/>
    <w:rsid w:val="008F6371"/>
    <w:rsid w:val="008F6552"/>
    <w:rsid w:val="008F6C85"/>
    <w:rsid w:val="008F6FD0"/>
    <w:rsid w:val="008F7722"/>
    <w:rsid w:val="008F7A7C"/>
    <w:rsid w:val="008F7C32"/>
    <w:rsid w:val="008F7F39"/>
    <w:rsid w:val="009009D6"/>
    <w:rsid w:val="00901615"/>
    <w:rsid w:val="009035E7"/>
    <w:rsid w:val="009038F8"/>
    <w:rsid w:val="009045D8"/>
    <w:rsid w:val="009051BC"/>
    <w:rsid w:val="0090579C"/>
    <w:rsid w:val="00905988"/>
    <w:rsid w:val="00905EE9"/>
    <w:rsid w:val="00907139"/>
    <w:rsid w:val="009105CD"/>
    <w:rsid w:val="00910896"/>
    <w:rsid w:val="00910E7D"/>
    <w:rsid w:val="009134EC"/>
    <w:rsid w:val="00913704"/>
    <w:rsid w:val="00913B3A"/>
    <w:rsid w:val="00913EA8"/>
    <w:rsid w:val="009155BF"/>
    <w:rsid w:val="009161FF"/>
    <w:rsid w:val="009164DA"/>
    <w:rsid w:val="00916D6A"/>
    <w:rsid w:val="00916FCF"/>
    <w:rsid w:val="009200D8"/>
    <w:rsid w:val="009205CE"/>
    <w:rsid w:val="00921343"/>
    <w:rsid w:val="00922481"/>
    <w:rsid w:val="00922C21"/>
    <w:rsid w:val="00923829"/>
    <w:rsid w:val="009238AF"/>
    <w:rsid w:val="009255F9"/>
    <w:rsid w:val="00925674"/>
    <w:rsid w:val="009257E1"/>
    <w:rsid w:val="009269B5"/>
    <w:rsid w:val="00927C34"/>
    <w:rsid w:val="00931038"/>
    <w:rsid w:val="00931BC4"/>
    <w:rsid w:val="00934174"/>
    <w:rsid w:val="00936307"/>
    <w:rsid w:val="0093778C"/>
    <w:rsid w:val="00940ABC"/>
    <w:rsid w:val="00940EF6"/>
    <w:rsid w:val="009413D0"/>
    <w:rsid w:val="00941426"/>
    <w:rsid w:val="00942A79"/>
    <w:rsid w:val="00943C8C"/>
    <w:rsid w:val="00943E9E"/>
    <w:rsid w:val="00944A96"/>
    <w:rsid w:val="009506CB"/>
    <w:rsid w:val="00950C7F"/>
    <w:rsid w:val="00953405"/>
    <w:rsid w:val="0095439D"/>
    <w:rsid w:val="00955D30"/>
    <w:rsid w:val="009574FF"/>
    <w:rsid w:val="00957B0C"/>
    <w:rsid w:val="00957F67"/>
    <w:rsid w:val="00957FDF"/>
    <w:rsid w:val="00960863"/>
    <w:rsid w:val="00960B35"/>
    <w:rsid w:val="00960BFE"/>
    <w:rsid w:val="00961902"/>
    <w:rsid w:val="009620AE"/>
    <w:rsid w:val="00962257"/>
    <w:rsid w:val="00962D55"/>
    <w:rsid w:val="0096360D"/>
    <w:rsid w:val="00963F67"/>
    <w:rsid w:val="0096427B"/>
    <w:rsid w:val="0096457B"/>
    <w:rsid w:val="0096579B"/>
    <w:rsid w:val="00966933"/>
    <w:rsid w:val="00967D1B"/>
    <w:rsid w:val="00971680"/>
    <w:rsid w:val="0097248F"/>
    <w:rsid w:val="009724E3"/>
    <w:rsid w:val="00974038"/>
    <w:rsid w:val="00974127"/>
    <w:rsid w:val="00977136"/>
    <w:rsid w:val="009778EA"/>
    <w:rsid w:val="00977EF3"/>
    <w:rsid w:val="00981051"/>
    <w:rsid w:val="009834B1"/>
    <w:rsid w:val="009837DB"/>
    <w:rsid w:val="00983ED8"/>
    <w:rsid w:val="00984488"/>
    <w:rsid w:val="00984BFF"/>
    <w:rsid w:val="00984F36"/>
    <w:rsid w:val="00985BE6"/>
    <w:rsid w:val="00986C5C"/>
    <w:rsid w:val="00987088"/>
    <w:rsid w:val="00987C23"/>
    <w:rsid w:val="009904A3"/>
    <w:rsid w:val="00990C93"/>
    <w:rsid w:val="00991750"/>
    <w:rsid w:val="00992E2B"/>
    <w:rsid w:val="00994589"/>
    <w:rsid w:val="00997758"/>
    <w:rsid w:val="009A07C4"/>
    <w:rsid w:val="009A08AF"/>
    <w:rsid w:val="009A0DC4"/>
    <w:rsid w:val="009A1898"/>
    <w:rsid w:val="009A211B"/>
    <w:rsid w:val="009A2569"/>
    <w:rsid w:val="009A3684"/>
    <w:rsid w:val="009A4189"/>
    <w:rsid w:val="009A44BC"/>
    <w:rsid w:val="009A5A94"/>
    <w:rsid w:val="009A5E50"/>
    <w:rsid w:val="009A622D"/>
    <w:rsid w:val="009B04B4"/>
    <w:rsid w:val="009B0EBB"/>
    <w:rsid w:val="009B156A"/>
    <w:rsid w:val="009B2C53"/>
    <w:rsid w:val="009B3221"/>
    <w:rsid w:val="009B34F1"/>
    <w:rsid w:val="009B3678"/>
    <w:rsid w:val="009B3C70"/>
    <w:rsid w:val="009B4240"/>
    <w:rsid w:val="009B5010"/>
    <w:rsid w:val="009B54FC"/>
    <w:rsid w:val="009B5671"/>
    <w:rsid w:val="009B5C97"/>
    <w:rsid w:val="009B63F5"/>
    <w:rsid w:val="009B69F3"/>
    <w:rsid w:val="009B73FD"/>
    <w:rsid w:val="009B7443"/>
    <w:rsid w:val="009B7570"/>
    <w:rsid w:val="009B75CF"/>
    <w:rsid w:val="009B7FA7"/>
    <w:rsid w:val="009C02D2"/>
    <w:rsid w:val="009C10DF"/>
    <w:rsid w:val="009C1E32"/>
    <w:rsid w:val="009C3086"/>
    <w:rsid w:val="009C4001"/>
    <w:rsid w:val="009C5D84"/>
    <w:rsid w:val="009C5E85"/>
    <w:rsid w:val="009C62F9"/>
    <w:rsid w:val="009C78B5"/>
    <w:rsid w:val="009D0EED"/>
    <w:rsid w:val="009D11A6"/>
    <w:rsid w:val="009D1CB7"/>
    <w:rsid w:val="009D40D0"/>
    <w:rsid w:val="009D4807"/>
    <w:rsid w:val="009D4966"/>
    <w:rsid w:val="009D4B37"/>
    <w:rsid w:val="009D58C6"/>
    <w:rsid w:val="009D594E"/>
    <w:rsid w:val="009D5D85"/>
    <w:rsid w:val="009D743C"/>
    <w:rsid w:val="009D74AB"/>
    <w:rsid w:val="009E104E"/>
    <w:rsid w:val="009E14B4"/>
    <w:rsid w:val="009E196E"/>
    <w:rsid w:val="009E2932"/>
    <w:rsid w:val="009E44AC"/>
    <w:rsid w:val="009E4B27"/>
    <w:rsid w:val="009E55D9"/>
    <w:rsid w:val="009E55F6"/>
    <w:rsid w:val="009E6AF3"/>
    <w:rsid w:val="009F0534"/>
    <w:rsid w:val="009F095A"/>
    <w:rsid w:val="009F17B4"/>
    <w:rsid w:val="009F1B4A"/>
    <w:rsid w:val="009F2552"/>
    <w:rsid w:val="009F29CF"/>
    <w:rsid w:val="009F3C66"/>
    <w:rsid w:val="009F3E64"/>
    <w:rsid w:val="009F47A9"/>
    <w:rsid w:val="009F50FB"/>
    <w:rsid w:val="009F5C9B"/>
    <w:rsid w:val="009F6AD3"/>
    <w:rsid w:val="009F6FE8"/>
    <w:rsid w:val="009F7F00"/>
    <w:rsid w:val="00A00387"/>
    <w:rsid w:val="00A00EED"/>
    <w:rsid w:val="00A02134"/>
    <w:rsid w:val="00A03057"/>
    <w:rsid w:val="00A036E6"/>
    <w:rsid w:val="00A054C8"/>
    <w:rsid w:val="00A05C35"/>
    <w:rsid w:val="00A05C88"/>
    <w:rsid w:val="00A060E2"/>
    <w:rsid w:val="00A06ABB"/>
    <w:rsid w:val="00A0716B"/>
    <w:rsid w:val="00A07547"/>
    <w:rsid w:val="00A07684"/>
    <w:rsid w:val="00A07BDB"/>
    <w:rsid w:val="00A10A0E"/>
    <w:rsid w:val="00A10A35"/>
    <w:rsid w:val="00A11A6D"/>
    <w:rsid w:val="00A123B4"/>
    <w:rsid w:val="00A124A8"/>
    <w:rsid w:val="00A12B82"/>
    <w:rsid w:val="00A131B1"/>
    <w:rsid w:val="00A13577"/>
    <w:rsid w:val="00A139D1"/>
    <w:rsid w:val="00A13A3C"/>
    <w:rsid w:val="00A13E71"/>
    <w:rsid w:val="00A142BC"/>
    <w:rsid w:val="00A1504E"/>
    <w:rsid w:val="00A15F0A"/>
    <w:rsid w:val="00A220E4"/>
    <w:rsid w:val="00A22251"/>
    <w:rsid w:val="00A22961"/>
    <w:rsid w:val="00A22CE3"/>
    <w:rsid w:val="00A238C4"/>
    <w:rsid w:val="00A24BDF"/>
    <w:rsid w:val="00A24E18"/>
    <w:rsid w:val="00A258E2"/>
    <w:rsid w:val="00A2602A"/>
    <w:rsid w:val="00A264A4"/>
    <w:rsid w:val="00A279C7"/>
    <w:rsid w:val="00A32201"/>
    <w:rsid w:val="00A3257B"/>
    <w:rsid w:val="00A33466"/>
    <w:rsid w:val="00A33C45"/>
    <w:rsid w:val="00A3408F"/>
    <w:rsid w:val="00A3532E"/>
    <w:rsid w:val="00A3613D"/>
    <w:rsid w:val="00A36E34"/>
    <w:rsid w:val="00A376AF"/>
    <w:rsid w:val="00A40548"/>
    <w:rsid w:val="00A40942"/>
    <w:rsid w:val="00A41A93"/>
    <w:rsid w:val="00A421A7"/>
    <w:rsid w:val="00A4292D"/>
    <w:rsid w:val="00A431A9"/>
    <w:rsid w:val="00A436A7"/>
    <w:rsid w:val="00A444D1"/>
    <w:rsid w:val="00A44957"/>
    <w:rsid w:val="00A44DD3"/>
    <w:rsid w:val="00A458A5"/>
    <w:rsid w:val="00A458F0"/>
    <w:rsid w:val="00A46223"/>
    <w:rsid w:val="00A474A3"/>
    <w:rsid w:val="00A477B2"/>
    <w:rsid w:val="00A50D60"/>
    <w:rsid w:val="00A50E42"/>
    <w:rsid w:val="00A5186F"/>
    <w:rsid w:val="00A535EF"/>
    <w:rsid w:val="00A53B58"/>
    <w:rsid w:val="00A53BBD"/>
    <w:rsid w:val="00A54073"/>
    <w:rsid w:val="00A54260"/>
    <w:rsid w:val="00A54423"/>
    <w:rsid w:val="00A54D9E"/>
    <w:rsid w:val="00A54DCA"/>
    <w:rsid w:val="00A55586"/>
    <w:rsid w:val="00A55818"/>
    <w:rsid w:val="00A56BA1"/>
    <w:rsid w:val="00A57B65"/>
    <w:rsid w:val="00A60598"/>
    <w:rsid w:val="00A6080D"/>
    <w:rsid w:val="00A61061"/>
    <w:rsid w:val="00A62C01"/>
    <w:rsid w:val="00A63B82"/>
    <w:rsid w:val="00A63C7F"/>
    <w:rsid w:val="00A650A3"/>
    <w:rsid w:val="00A65A53"/>
    <w:rsid w:val="00A65E61"/>
    <w:rsid w:val="00A6692E"/>
    <w:rsid w:val="00A66B73"/>
    <w:rsid w:val="00A66F52"/>
    <w:rsid w:val="00A66F54"/>
    <w:rsid w:val="00A705CE"/>
    <w:rsid w:val="00A70995"/>
    <w:rsid w:val="00A721D5"/>
    <w:rsid w:val="00A73F8C"/>
    <w:rsid w:val="00A74CA8"/>
    <w:rsid w:val="00A764EE"/>
    <w:rsid w:val="00A7663E"/>
    <w:rsid w:val="00A76A8C"/>
    <w:rsid w:val="00A776BC"/>
    <w:rsid w:val="00A77B0E"/>
    <w:rsid w:val="00A80493"/>
    <w:rsid w:val="00A81878"/>
    <w:rsid w:val="00A81F14"/>
    <w:rsid w:val="00A824BC"/>
    <w:rsid w:val="00A8370E"/>
    <w:rsid w:val="00A83C08"/>
    <w:rsid w:val="00A84213"/>
    <w:rsid w:val="00A844B4"/>
    <w:rsid w:val="00A8492E"/>
    <w:rsid w:val="00A84E01"/>
    <w:rsid w:val="00A8574C"/>
    <w:rsid w:val="00A85C44"/>
    <w:rsid w:val="00A86B37"/>
    <w:rsid w:val="00A874C4"/>
    <w:rsid w:val="00A87A21"/>
    <w:rsid w:val="00A908EE"/>
    <w:rsid w:val="00A91510"/>
    <w:rsid w:val="00A9291A"/>
    <w:rsid w:val="00A932C0"/>
    <w:rsid w:val="00A93E8C"/>
    <w:rsid w:val="00A94A83"/>
    <w:rsid w:val="00A94BF6"/>
    <w:rsid w:val="00A94CA2"/>
    <w:rsid w:val="00A94D08"/>
    <w:rsid w:val="00A9543E"/>
    <w:rsid w:val="00A95BB9"/>
    <w:rsid w:val="00A968C7"/>
    <w:rsid w:val="00A96BC1"/>
    <w:rsid w:val="00A9711F"/>
    <w:rsid w:val="00A97632"/>
    <w:rsid w:val="00AA22FA"/>
    <w:rsid w:val="00AA2CA4"/>
    <w:rsid w:val="00AA33B9"/>
    <w:rsid w:val="00AA3568"/>
    <w:rsid w:val="00AA37FF"/>
    <w:rsid w:val="00AA448A"/>
    <w:rsid w:val="00AA47FF"/>
    <w:rsid w:val="00AA57AC"/>
    <w:rsid w:val="00AA632A"/>
    <w:rsid w:val="00AA7F29"/>
    <w:rsid w:val="00AB0D64"/>
    <w:rsid w:val="00AB10FF"/>
    <w:rsid w:val="00AB3003"/>
    <w:rsid w:val="00AB425A"/>
    <w:rsid w:val="00AB4A94"/>
    <w:rsid w:val="00AB4F71"/>
    <w:rsid w:val="00AB626B"/>
    <w:rsid w:val="00AB6963"/>
    <w:rsid w:val="00AB755D"/>
    <w:rsid w:val="00AC01F0"/>
    <w:rsid w:val="00AC02A4"/>
    <w:rsid w:val="00AC1549"/>
    <w:rsid w:val="00AC1913"/>
    <w:rsid w:val="00AC2DAE"/>
    <w:rsid w:val="00AC49DB"/>
    <w:rsid w:val="00AC70AF"/>
    <w:rsid w:val="00AC78FF"/>
    <w:rsid w:val="00AC7B3F"/>
    <w:rsid w:val="00AC7CE1"/>
    <w:rsid w:val="00AD08E4"/>
    <w:rsid w:val="00AD135B"/>
    <w:rsid w:val="00AD231E"/>
    <w:rsid w:val="00AD50EA"/>
    <w:rsid w:val="00AD5464"/>
    <w:rsid w:val="00AD5AD7"/>
    <w:rsid w:val="00AD64D3"/>
    <w:rsid w:val="00AD6D4B"/>
    <w:rsid w:val="00AE066B"/>
    <w:rsid w:val="00AE07D5"/>
    <w:rsid w:val="00AE0B4C"/>
    <w:rsid w:val="00AE0D45"/>
    <w:rsid w:val="00AE112B"/>
    <w:rsid w:val="00AE1A40"/>
    <w:rsid w:val="00AE2319"/>
    <w:rsid w:val="00AE2340"/>
    <w:rsid w:val="00AE2637"/>
    <w:rsid w:val="00AE2918"/>
    <w:rsid w:val="00AE2DDA"/>
    <w:rsid w:val="00AE2F8A"/>
    <w:rsid w:val="00AE3203"/>
    <w:rsid w:val="00AE385C"/>
    <w:rsid w:val="00AE3E09"/>
    <w:rsid w:val="00AE3E7C"/>
    <w:rsid w:val="00AE5197"/>
    <w:rsid w:val="00AE5BA9"/>
    <w:rsid w:val="00AE69AC"/>
    <w:rsid w:val="00AE6B10"/>
    <w:rsid w:val="00AE70E3"/>
    <w:rsid w:val="00AE7424"/>
    <w:rsid w:val="00AF127F"/>
    <w:rsid w:val="00AF1799"/>
    <w:rsid w:val="00AF1AD0"/>
    <w:rsid w:val="00AF1B8A"/>
    <w:rsid w:val="00AF1CB0"/>
    <w:rsid w:val="00AF2FE1"/>
    <w:rsid w:val="00AF306D"/>
    <w:rsid w:val="00AF38C6"/>
    <w:rsid w:val="00AF3B5D"/>
    <w:rsid w:val="00AF4007"/>
    <w:rsid w:val="00AF4746"/>
    <w:rsid w:val="00AF4A98"/>
    <w:rsid w:val="00AF78EC"/>
    <w:rsid w:val="00B001E1"/>
    <w:rsid w:val="00B00B0E"/>
    <w:rsid w:val="00B010CF"/>
    <w:rsid w:val="00B01949"/>
    <w:rsid w:val="00B0275C"/>
    <w:rsid w:val="00B02A29"/>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58C8"/>
    <w:rsid w:val="00B15962"/>
    <w:rsid w:val="00B15F35"/>
    <w:rsid w:val="00B16069"/>
    <w:rsid w:val="00B16CF2"/>
    <w:rsid w:val="00B16FA4"/>
    <w:rsid w:val="00B20A51"/>
    <w:rsid w:val="00B20A72"/>
    <w:rsid w:val="00B214E2"/>
    <w:rsid w:val="00B2187A"/>
    <w:rsid w:val="00B219CC"/>
    <w:rsid w:val="00B22CEC"/>
    <w:rsid w:val="00B23133"/>
    <w:rsid w:val="00B23EBF"/>
    <w:rsid w:val="00B23F69"/>
    <w:rsid w:val="00B245DB"/>
    <w:rsid w:val="00B26719"/>
    <w:rsid w:val="00B26DC6"/>
    <w:rsid w:val="00B270E2"/>
    <w:rsid w:val="00B2737F"/>
    <w:rsid w:val="00B31AF5"/>
    <w:rsid w:val="00B31FD6"/>
    <w:rsid w:val="00B32323"/>
    <w:rsid w:val="00B33615"/>
    <w:rsid w:val="00B34008"/>
    <w:rsid w:val="00B34C66"/>
    <w:rsid w:val="00B35A36"/>
    <w:rsid w:val="00B365F6"/>
    <w:rsid w:val="00B378D5"/>
    <w:rsid w:val="00B41592"/>
    <w:rsid w:val="00B4171E"/>
    <w:rsid w:val="00B41781"/>
    <w:rsid w:val="00B42851"/>
    <w:rsid w:val="00B45329"/>
    <w:rsid w:val="00B4585C"/>
    <w:rsid w:val="00B45DFF"/>
    <w:rsid w:val="00B46BCD"/>
    <w:rsid w:val="00B51979"/>
    <w:rsid w:val="00B51BE0"/>
    <w:rsid w:val="00B52AC5"/>
    <w:rsid w:val="00B532A0"/>
    <w:rsid w:val="00B55000"/>
    <w:rsid w:val="00B56411"/>
    <w:rsid w:val="00B56612"/>
    <w:rsid w:val="00B57FBD"/>
    <w:rsid w:val="00B6036B"/>
    <w:rsid w:val="00B618B6"/>
    <w:rsid w:val="00B62FF8"/>
    <w:rsid w:val="00B63371"/>
    <w:rsid w:val="00B637A1"/>
    <w:rsid w:val="00B639F7"/>
    <w:rsid w:val="00B63B4B"/>
    <w:rsid w:val="00B63B54"/>
    <w:rsid w:val="00B64518"/>
    <w:rsid w:val="00B64ED3"/>
    <w:rsid w:val="00B6569C"/>
    <w:rsid w:val="00B65800"/>
    <w:rsid w:val="00B65AAE"/>
    <w:rsid w:val="00B66245"/>
    <w:rsid w:val="00B66EB2"/>
    <w:rsid w:val="00B6764E"/>
    <w:rsid w:val="00B67B47"/>
    <w:rsid w:val="00B67C79"/>
    <w:rsid w:val="00B712FD"/>
    <w:rsid w:val="00B75853"/>
    <w:rsid w:val="00B766C6"/>
    <w:rsid w:val="00B76F43"/>
    <w:rsid w:val="00B77015"/>
    <w:rsid w:val="00B77743"/>
    <w:rsid w:val="00B800D5"/>
    <w:rsid w:val="00B812A8"/>
    <w:rsid w:val="00B81A4D"/>
    <w:rsid w:val="00B8219B"/>
    <w:rsid w:val="00B8389D"/>
    <w:rsid w:val="00B838EB"/>
    <w:rsid w:val="00B83E4D"/>
    <w:rsid w:val="00B84517"/>
    <w:rsid w:val="00B84DBA"/>
    <w:rsid w:val="00B84E2A"/>
    <w:rsid w:val="00B86E92"/>
    <w:rsid w:val="00B86FB9"/>
    <w:rsid w:val="00B871A5"/>
    <w:rsid w:val="00B90041"/>
    <w:rsid w:val="00B90986"/>
    <w:rsid w:val="00B913F6"/>
    <w:rsid w:val="00B914CC"/>
    <w:rsid w:val="00B9160A"/>
    <w:rsid w:val="00B9169A"/>
    <w:rsid w:val="00B91897"/>
    <w:rsid w:val="00B92132"/>
    <w:rsid w:val="00B92EB8"/>
    <w:rsid w:val="00B93419"/>
    <w:rsid w:val="00B93908"/>
    <w:rsid w:val="00B93BAF"/>
    <w:rsid w:val="00B94179"/>
    <w:rsid w:val="00B9445F"/>
    <w:rsid w:val="00B9558A"/>
    <w:rsid w:val="00B9570C"/>
    <w:rsid w:val="00B95F30"/>
    <w:rsid w:val="00B962EC"/>
    <w:rsid w:val="00B964DD"/>
    <w:rsid w:val="00B97414"/>
    <w:rsid w:val="00B9770B"/>
    <w:rsid w:val="00B97B76"/>
    <w:rsid w:val="00B97ECB"/>
    <w:rsid w:val="00BA048E"/>
    <w:rsid w:val="00BA075B"/>
    <w:rsid w:val="00BA0B9A"/>
    <w:rsid w:val="00BA1336"/>
    <w:rsid w:val="00BA1621"/>
    <w:rsid w:val="00BA189B"/>
    <w:rsid w:val="00BA2755"/>
    <w:rsid w:val="00BA361F"/>
    <w:rsid w:val="00BA3F0C"/>
    <w:rsid w:val="00BA4A55"/>
    <w:rsid w:val="00BA4D9B"/>
    <w:rsid w:val="00BA4E11"/>
    <w:rsid w:val="00BA6D5D"/>
    <w:rsid w:val="00BA7415"/>
    <w:rsid w:val="00BA7E18"/>
    <w:rsid w:val="00BA7FCC"/>
    <w:rsid w:val="00BB01CC"/>
    <w:rsid w:val="00BB0CD7"/>
    <w:rsid w:val="00BB13C7"/>
    <w:rsid w:val="00BB2271"/>
    <w:rsid w:val="00BB22D8"/>
    <w:rsid w:val="00BB3C7D"/>
    <w:rsid w:val="00BB4919"/>
    <w:rsid w:val="00BB4EFA"/>
    <w:rsid w:val="00BB514E"/>
    <w:rsid w:val="00BB5ECA"/>
    <w:rsid w:val="00BB69EC"/>
    <w:rsid w:val="00BB6E50"/>
    <w:rsid w:val="00BB6FDC"/>
    <w:rsid w:val="00BB7EA0"/>
    <w:rsid w:val="00BC0C1D"/>
    <w:rsid w:val="00BC1241"/>
    <w:rsid w:val="00BC1374"/>
    <w:rsid w:val="00BC14DA"/>
    <w:rsid w:val="00BC1747"/>
    <w:rsid w:val="00BC209F"/>
    <w:rsid w:val="00BC2920"/>
    <w:rsid w:val="00BC339C"/>
    <w:rsid w:val="00BC478B"/>
    <w:rsid w:val="00BC4FD0"/>
    <w:rsid w:val="00BC5AE0"/>
    <w:rsid w:val="00BC6531"/>
    <w:rsid w:val="00BC669B"/>
    <w:rsid w:val="00BC715C"/>
    <w:rsid w:val="00BC7F4F"/>
    <w:rsid w:val="00BD172F"/>
    <w:rsid w:val="00BD21CA"/>
    <w:rsid w:val="00BD3C3A"/>
    <w:rsid w:val="00BD4FEC"/>
    <w:rsid w:val="00BD5456"/>
    <w:rsid w:val="00BD5B35"/>
    <w:rsid w:val="00BD6486"/>
    <w:rsid w:val="00BD7AB1"/>
    <w:rsid w:val="00BD7AF2"/>
    <w:rsid w:val="00BD7EE7"/>
    <w:rsid w:val="00BE118A"/>
    <w:rsid w:val="00BE151A"/>
    <w:rsid w:val="00BE1658"/>
    <w:rsid w:val="00BE3771"/>
    <w:rsid w:val="00BE5FCF"/>
    <w:rsid w:val="00BE62DE"/>
    <w:rsid w:val="00BE63C7"/>
    <w:rsid w:val="00BE69BD"/>
    <w:rsid w:val="00BE6DAC"/>
    <w:rsid w:val="00BE6F03"/>
    <w:rsid w:val="00BE742A"/>
    <w:rsid w:val="00BF0E4D"/>
    <w:rsid w:val="00BF0F88"/>
    <w:rsid w:val="00BF3CB8"/>
    <w:rsid w:val="00BF3D48"/>
    <w:rsid w:val="00BF58D5"/>
    <w:rsid w:val="00BF682D"/>
    <w:rsid w:val="00BF7113"/>
    <w:rsid w:val="00BF746B"/>
    <w:rsid w:val="00C01B17"/>
    <w:rsid w:val="00C026B8"/>
    <w:rsid w:val="00C02DC8"/>
    <w:rsid w:val="00C0506F"/>
    <w:rsid w:val="00C052A6"/>
    <w:rsid w:val="00C05302"/>
    <w:rsid w:val="00C0550A"/>
    <w:rsid w:val="00C069D4"/>
    <w:rsid w:val="00C072AB"/>
    <w:rsid w:val="00C076CA"/>
    <w:rsid w:val="00C07B75"/>
    <w:rsid w:val="00C100FB"/>
    <w:rsid w:val="00C11C81"/>
    <w:rsid w:val="00C11F5A"/>
    <w:rsid w:val="00C127DA"/>
    <w:rsid w:val="00C12862"/>
    <w:rsid w:val="00C12CE5"/>
    <w:rsid w:val="00C14752"/>
    <w:rsid w:val="00C1610A"/>
    <w:rsid w:val="00C172DC"/>
    <w:rsid w:val="00C17978"/>
    <w:rsid w:val="00C21485"/>
    <w:rsid w:val="00C221B9"/>
    <w:rsid w:val="00C222A1"/>
    <w:rsid w:val="00C2233F"/>
    <w:rsid w:val="00C225D2"/>
    <w:rsid w:val="00C22709"/>
    <w:rsid w:val="00C233FF"/>
    <w:rsid w:val="00C23C1D"/>
    <w:rsid w:val="00C24060"/>
    <w:rsid w:val="00C24897"/>
    <w:rsid w:val="00C25432"/>
    <w:rsid w:val="00C260E5"/>
    <w:rsid w:val="00C30340"/>
    <w:rsid w:val="00C313DD"/>
    <w:rsid w:val="00C31AF4"/>
    <w:rsid w:val="00C32C5F"/>
    <w:rsid w:val="00C33A00"/>
    <w:rsid w:val="00C344C9"/>
    <w:rsid w:val="00C35BB3"/>
    <w:rsid w:val="00C35D19"/>
    <w:rsid w:val="00C365BC"/>
    <w:rsid w:val="00C36771"/>
    <w:rsid w:val="00C37227"/>
    <w:rsid w:val="00C374DB"/>
    <w:rsid w:val="00C37DE8"/>
    <w:rsid w:val="00C40520"/>
    <w:rsid w:val="00C40A4A"/>
    <w:rsid w:val="00C40BE7"/>
    <w:rsid w:val="00C411DE"/>
    <w:rsid w:val="00C43CD8"/>
    <w:rsid w:val="00C440BC"/>
    <w:rsid w:val="00C44417"/>
    <w:rsid w:val="00C45514"/>
    <w:rsid w:val="00C46FC5"/>
    <w:rsid w:val="00C47D6C"/>
    <w:rsid w:val="00C50295"/>
    <w:rsid w:val="00C50AC0"/>
    <w:rsid w:val="00C50B0E"/>
    <w:rsid w:val="00C51E67"/>
    <w:rsid w:val="00C520C9"/>
    <w:rsid w:val="00C52368"/>
    <w:rsid w:val="00C52786"/>
    <w:rsid w:val="00C52AD7"/>
    <w:rsid w:val="00C53A92"/>
    <w:rsid w:val="00C53E01"/>
    <w:rsid w:val="00C53F26"/>
    <w:rsid w:val="00C543EF"/>
    <w:rsid w:val="00C548D0"/>
    <w:rsid w:val="00C55B70"/>
    <w:rsid w:val="00C55BBF"/>
    <w:rsid w:val="00C569E2"/>
    <w:rsid w:val="00C56D96"/>
    <w:rsid w:val="00C56DF9"/>
    <w:rsid w:val="00C56EAB"/>
    <w:rsid w:val="00C572FF"/>
    <w:rsid w:val="00C60857"/>
    <w:rsid w:val="00C60D93"/>
    <w:rsid w:val="00C61149"/>
    <w:rsid w:val="00C627B1"/>
    <w:rsid w:val="00C62E46"/>
    <w:rsid w:val="00C635A8"/>
    <w:rsid w:val="00C63BD1"/>
    <w:rsid w:val="00C64174"/>
    <w:rsid w:val="00C65670"/>
    <w:rsid w:val="00C6642D"/>
    <w:rsid w:val="00C6692D"/>
    <w:rsid w:val="00C70845"/>
    <w:rsid w:val="00C70E55"/>
    <w:rsid w:val="00C71194"/>
    <w:rsid w:val="00C7191E"/>
    <w:rsid w:val="00C71B13"/>
    <w:rsid w:val="00C71C59"/>
    <w:rsid w:val="00C71DCD"/>
    <w:rsid w:val="00C727A8"/>
    <w:rsid w:val="00C72869"/>
    <w:rsid w:val="00C733C8"/>
    <w:rsid w:val="00C74CDD"/>
    <w:rsid w:val="00C76532"/>
    <w:rsid w:val="00C7683D"/>
    <w:rsid w:val="00C76A58"/>
    <w:rsid w:val="00C775AB"/>
    <w:rsid w:val="00C80CC5"/>
    <w:rsid w:val="00C80D9C"/>
    <w:rsid w:val="00C81211"/>
    <w:rsid w:val="00C812B0"/>
    <w:rsid w:val="00C82065"/>
    <w:rsid w:val="00C82112"/>
    <w:rsid w:val="00C827A6"/>
    <w:rsid w:val="00C83A7C"/>
    <w:rsid w:val="00C8560D"/>
    <w:rsid w:val="00C87E83"/>
    <w:rsid w:val="00C87F79"/>
    <w:rsid w:val="00C90254"/>
    <w:rsid w:val="00C9194B"/>
    <w:rsid w:val="00C91AB0"/>
    <w:rsid w:val="00C92003"/>
    <w:rsid w:val="00C92234"/>
    <w:rsid w:val="00C925B7"/>
    <w:rsid w:val="00C93A12"/>
    <w:rsid w:val="00C958D4"/>
    <w:rsid w:val="00C95CBF"/>
    <w:rsid w:val="00C960F1"/>
    <w:rsid w:val="00C967D4"/>
    <w:rsid w:val="00C96A5A"/>
    <w:rsid w:val="00C96B5F"/>
    <w:rsid w:val="00C96D9A"/>
    <w:rsid w:val="00C976DA"/>
    <w:rsid w:val="00CA027C"/>
    <w:rsid w:val="00CA17FD"/>
    <w:rsid w:val="00CA2A25"/>
    <w:rsid w:val="00CA2C99"/>
    <w:rsid w:val="00CA2D15"/>
    <w:rsid w:val="00CA30DC"/>
    <w:rsid w:val="00CA3500"/>
    <w:rsid w:val="00CA47CB"/>
    <w:rsid w:val="00CA4C2B"/>
    <w:rsid w:val="00CA52CF"/>
    <w:rsid w:val="00CA5B2A"/>
    <w:rsid w:val="00CA6263"/>
    <w:rsid w:val="00CA6426"/>
    <w:rsid w:val="00CA6BB7"/>
    <w:rsid w:val="00CA74B7"/>
    <w:rsid w:val="00CA780C"/>
    <w:rsid w:val="00CB078E"/>
    <w:rsid w:val="00CB1630"/>
    <w:rsid w:val="00CB257F"/>
    <w:rsid w:val="00CB2E81"/>
    <w:rsid w:val="00CB3B18"/>
    <w:rsid w:val="00CB462C"/>
    <w:rsid w:val="00CB5B1A"/>
    <w:rsid w:val="00CB7378"/>
    <w:rsid w:val="00CB7689"/>
    <w:rsid w:val="00CB77CF"/>
    <w:rsid w:val="00CC12BC"/>
    <w:rsid w:val="00CC1C86"/>
    <w:rsid w:val="00CC260D"/>
    <w:rsid w:val="00CC2A09"/>
    <w:rsid w:val="00CC33E0"/>
    <w:rsid w:val="00CC3504"/>
    <w:rsid w:val="00CC3ADA"/>
    <w:rsid w:val="00CC4E66"/>
    <w:rsid w:val="00CC5791"/>
    <w:rsid w:val="00CC6BC9"/>
    <w:rsid w:val="00CD049D"/>
    <w:rsid w:val="00CD1177"/>
    <w:rsid w:val="00CD1B21"/>
    <w:rsid w:val="00CD2948"/>
    <w:rsid w:val="00CD2964"/>
    <w:rsid w:val="00CD2BB5"/>
    <w:rsid w:val="00CD40A2"/>
    <w:rsid w:val="00CD412F"/>
    <w:rsid w:val="00CD4146"/>
    <w:rsid w:val="00CD5A58"/>
    <w:rsid w:val="00CD5F84"/>
    <w:rsid w:val="00CD65BA"/>
    <w:rsid w:val="00CD6F63"/>
    <w:rsid w:val="00CD75F2"/>
    <w:rsid w:val="00CD75FB"/>
    <w:rsid w:val="00CE07D1"/>
    <w:rsid w:val="00CE0E68"/>
    <w:rsid w:val="00CE1022"/>
    <w:rsid w:val="00CE1453"/>
    <w:rsid w:val="00CE22F2"/>
    <w:rsid w:val="00CE284B"/>
    <w:rsid w:val="00CE2C06"/>
    <w:rsid w:val="00CE4491"/>
    <w:rsid w:val="00CE4663"/>
    <w:rsid w:val="00CE4B31"/>
    <w:rsid w:val="00CE4D00"/>
    <w:rsid w:val="00CE4E0D"/>
    <w:rsid w:val="00CE4E66"/>
    <w:rsid w:val="00CE5614"/>
    <w:rsid w:val="00CE59AE"/>
    <w:rsid w:val="00CE5DBC"/>
    <w:rsid w:val="00CE62A9"/>
    <w:rsid w:val="00CE72C4"/>
    <w:rsid w:val="00CE7A79"/>
    <w:rsid w:val="00CF1342"/>
    <w:rsid w:val="00CF1E64"/>
    <w:rsid w:val="00CF3A42"/>
    <w:rsid w:val="00CF4741"/>
    <w:rsid w:val="00CF497B"/>
    <w:rsid w:val="00CF522D"/>
    <w:rsid w:val="00CF65A1"/>
    <w:rsid w:val="00CF7668"/>
    <w:rsid w:val="00CF7CBD"/>
    <w:rsid w:val="00D000CB"/>
    <w:rsid w:val="00D0141D"/>
    <w:rsid w:val="00D014E4"/>
    <w:rsid w:val="00D0377A"/>
    <w:rsid w:val="00D03E5F"/>
    <w:rsid w:val="00D04243"/>
    <w:rsid w:val="00D045EB"/>
    <w:rsid w:val="00D049FB"/>
    <w:rsid w:val="00D05157"/>
    <w:rsid w:val="00D059C5"/>
    <w:rsid w:val="00D063EB"/>
    <w:rsid w:val="00D07A3B"/>
    <w:rsid w:val="00D07CF7"/>
    <w:rsid w:val="00D07D5F"/>
    <w:rsid w:val="00D1056D"/>
    <w:rsid w:val="00D10A52"/>
    <w:rsid w:val="00D11ABF"/>
    <w:rsid w:val="00D11D80"/>
    <w:rsid w:val="00D12A40"/>
    <w:rsid w:val="00D134D3"/>
    <w:rsid w:val="00D14986"/>
    <w:rsid w:val="00D160BB"/>
    <w:rsid w:val="00D168B6"/>
    <w:rsid w:val="00D169E5"/>
    <w:rsid w:val="00D2036F"/>
    <w:rsid w:val="00D21E79"/>
    <w:rsid w:val="00D237B1"/>
    <w:rsid w:val="00D2488B"/>
    <w:rsid w:val="00D2599A"/>
    <w:rsid w:val="00D266B5"/>
    <w:rsid w:val="00D26C6F"/>
    <w:rsid w:val="00D26F50"/>
    <w:rsid w:val="00D274D9"/>
    <w:rsid w:val="00D27978"/>
    <w:rsid w:val="00D31932"/>
    <w:rsid w:val="00D31B6B"/>
    <w:rsid w:val="00D327B2"/>
    <w:rsid w:val="00D328FA"/>
    <w:rsid w:val="00D355A5"/>
    <w:rsid w:val="00D35770"/>
    <w:rsid w:val="00D36EA6"/>
    <w:rsid w:val="00D3792D"/>
    <w:rsid w:val="00D37CC5"/>
    <w:rsid w:val="00D40B6B"/>
    <w:rsid w:val="00D42FB0"/>
    <w:rsid w:val="00D43403"/>
    <w:rsid w:val="00D4365D"/>
    <w:rsid w:val="00D43AD4"/>
    <w:rsid w:val="00D474F9"/>
    <w:rsid w:val="00D4773F"/>
    <w:rsid w:val="00D47A26"/>
    <w:rsid w:val="00D47E23"/>
    <w:rsid w:val="00D505B9"/>
    <w:rsid w:val="00D51BF3"/>
    <w:rsid w:val="00D51E7F"/>
    <w:rsid w:val="00D530FE"/>
    <w:rsid w:val="00D53AF2"/>
    <w:rsid w:val="00D54593"/>
    <w:rsid w:val="00D56A62"/>
    <w:rsid w:val="00D56BBF"/>
    <w:rsid w:val="00D5751F"/>
    <w:rsid w:val="00D575A9"/>
    <w:rsid w:val="00D57793"/>
    <w:rsid w:val="00D5799B"/>
    <w:rsid w:val="00D6052F"/>
    <w:rsid w:val="00D62CC5"/>
    <w:rsid w:val="00D63537"/>
    <w:rsid w:val="00D64073"/>
    <w:rsid w:val="00D641B6"/>
    <w:rsid w:val="00D6526B"/>
    <w:rsid w:val="00D65CC9"/>
    <w:rsid w:val="00D65EFF"/>
    <w:rsid w:val="00D66FEC"/>
    <w:rsid w:val="00D705EC"/>
    <w:rsid w:val="00D70F17"/>
    <w:rsid w:val="00D71E2C"/>
    <w:rsid w:val="00D71EE3"/>
    <w:rsid w:val="00D73088"/>
    <w:rsid w:val="00D7333E"/>
    <w:rsid w:val="00D73FC2"/>
    <w:rsid w:val="00D74397"/>
    <w:rsid w:val="00D74415"/>
    <w:rsid w:val="00D744EE"/>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272"/>
    <w:rsid w:val="00D85BC0"/>
    <w:rsid w:val="00D861C5"/>
    <w:rsid w:val="00D8622A"/>
    <w:rsid w:val="00D86941"/>
    <w:rsid w:val="00D8706D"/>
    <w:rsid w:val="00D871F1"/>
    <w:rsid w:val="00D874EC"/>
    <w:rsid w:val="00D87B34"/>
    <w:rsid w:val="00D87B61"/>
    <w:rsid w:val="00D937FC"/>
    <w:rsid w:val="00D93A69"/>
    <w:rsid w:val="00D95278"/>
    <w:rsid w:val="00D97389"/>
    <w:rsid w:val="00DA0337"/>
    <w:rsid w:val="00DA07F9"/>
    <w:rsid w:val="00DA393D"/>
    <w:rsid w:val="00DA4E59"/>
    <w:rsid w:val="00DA5BBC"/>
    <w:rsid w:val="00DA5C11"/>
    <w:rsid w:val="00DA5E04"/>
    <w:rsid w:val="00DA6737"/>
    <w:rsid w:val="00DA7BF2"/>
    <w:rsid w:val="00DB280E"/>
    <w:rsid w:val="00DB2DF5"/>
    <w:rsid w:val="00DB3145"/>
    <w:rsid w:val="00DB5E33"/>
    <w:rsid w:val="00DC0FA6"/>
    <w:rsid w:val="00DC130C"/>
    <w:rsid w:val="00DC2292"/>
    <w:rsid w:val="00DC4144"/>
    <w:rsid w:val="00DC459C"/>
    <w:rsid w:val="00DC4992"/>
    <w:rsid w:val="00DC4BB8"/>
    <w:rsid w:val="00DC508E"/>
    <w:rsid w:val="00DC5487"/>
    <w:rsid w:val="00DC5DC9"/>
    <w:rsid w:val="00DC6B2C"/>
    <w:rsid w:val="00DC714C"/>
    <w:rsid w:val="00DC7F60"/>
    <w:rsid w:val="00DC7F96"/>
    <w:rsid w:val="00DD0342"/>
    <w:rsid w:val="00DD112E"/>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BE0"/>
    <w:rsid w:val="00DF1623"/>
    <w:rsid w:val="00DF16CC"/>
    <w:rsid w:val="00DF2D3E"/>
    <w:rsid w:val="00DF2D9E"/>
    <w:rsid w:val="00DF36FD"/>
    <w:rsid w:val="00DF3A8E"/>
    <w:rsid w:val="00DF3BB9"/>
    <w:rsid w:val="00DF3F89"/>
    <w:rsid w:val="00DF4216"/>
    <w:rsid w:val="00DF46C4"/>
    <w:rsid w:val="00DF4E88"/>
    <w:rsid w:val="00DF6A92"/>
    <w:rsid w:val="00E027FF"/>
    <w:rsid w:val="00E038C5"/>
    <w:rsid w:val="00E03E3B"/>
    <w:rsid w:val="00E04589"/>
    <w:rsid w:val="00E06B38"/>
    <w:rsid w:val="00E07340"/>
    <w:rsid w:val="00E0747D"/>
    <w:rsid w:val="00E128D8"/>
    <w:rsid w:val="00E12C42"/>
    <w:rsid w:val="00E132D9"/>
    <w:rsid w:val="00E15051"/>
    <w:rsid w:val="00E155A9"/>
    <w:rsid w:val="00E15E54"/>
    <w:rsid w:val="00E165B5"/>
    <w:rsid w:val="00E1688A"/>
    <w:rsid w:val="00E170B3"/>
    <w:rsid w:val="00E1728C"/>
    <w:rsid w:val="00E17A0A"/>
    <w:rsid w:val="00E17ED6"/>
    <w:rsid w:val="00E2096D"/>
    <w:rsid w:val="00E20EEF"/>
    <w:rsid w:val="00E219DF"/>
    <w:rsid w:val="00E227DA"/>
    <w:rsid w:val="00E232AF"/>
    <w:rsid w:val="00E232B1"/>
    <w:rsid w:val="00E232BB"/>
    <w:rsid w:val="00E2333B"/>
    <w:rsid w:val="00E24145"/>
    <w:rsid w:val="00E24353"/>
    <w:rsid w:val="00E25107"/>
    <w:rsid w:val="00E251ED"/>
    <w:rsid w:val="00E25B33"/>
    <w:rsid w:val="00E26053"/>
    <w:rsid w:val="00E26758"/>
    <w:rsid w:val="00E26A10"/>
    <w:rsid w:val="00E27461"/>
    <w:rsid w:val="00E300E3"/>
    <w:rsid w:val="00E30D9B"/>
    <w:rsid w:val="00E3128A"/>
    <w:rsid w:val="00E31453"/>
    <w:rsid w:val="00E324C1"/>
    <w:rsid w:val="00E32AD7"/>
    <w:rsid w:val="00E34CD1"/>
    <w:rsid w:val="00E3560E"/>
    <w:rsid w:val="00E37140"/>
    <w:rsid w:val="00E37193"/>
    <w:rsid w:val="00E37CBC"/>
    <w:rsid w:val="00E37CC1"/>
    <w:rsid w:val="00E37E92"/>
    <w:rsid w:val="00E409C1"/>
    <w:rsid w:val="00E40F5E"/>
    <w:rsid w:val="00E415E8"/>
    <w:rsid w:val="00E416FC"/>
    <w:rsid w:val="00E42214"/>
    <w:rsid w:val="00E422FF"/>
    <w:rsid w:val="00E42848"/>
    <w:rsid w:val="00E42CF8"/>
    <w:rsid w:val="00E432AF"/>
    <w:rsid w:val="00E437D5"/>
    <w:rsid w:val="00E44494"/>
    <w:rsid w:val="00E44920"/>
    <w:rsid w:val="00E45611"/>
    <w:rsid w:val="00E45B37"/>
    <w:rsid w:val="00E45E54"/>
    <w:rsid w:val="00E4669C"/>
    <w:rsid w:val="00E46FA3"/>
    <w:rsid w:val="00E46FDA"/>
    <w:rsid w:val="00E47078"/>
    <w:rsid w:val="00E47A1E"/>
    <w:rsid w:val="00E50262"/>
    <w:rsid w:val="00E50712"/>
    <w:rsid w:val="00E51F1C"/>
    <w:rsid w:val="00E525AB"/>
    <w:rsid w:val="00E52FA6"/>
    <w:rsid w:val="00E553A5"/>
    <w:rsid w:val="00E57EEC"/>
    <w:rsid w:val="00E601E9"/>
    <w:rsid w:val="00E60228"/>
    <w:rsid w:val="00E60472"/>
    <w:rsid w:val="00E60AF7"/>
    <w:rsid w:val="00E615DE"/>
    <w:rsid w:val="00E61D87"/>
    <w:rsid w:val="00E625B1"/>
    <w:rsid w:val="00E62D84"/>
    <w:rsid w:val="00E63C7B"/>
    <w:rsid w:val="00E64099"/>
    <w:rsid w:val="00E64120"/>
    <w:rsid w:val="00E65C68"/>
    <w:rsid w:val="00E700D9"/>
    <w:rsid w:val="00E70C63"/>
    <w:rsid w:val="00E72680"/>
    <w:rsid w:val="00E72B34"/>
    <w:rsid w:val="00E736CD"/>
    <w:rsid w:val="00E7391A"/>
    <w:rsid w:val="00E745B7"/>
    <w:rsid w:val="00E750EC"/>
    <w:rsid w:val="00E754D9"/>
    <w:rsid w:val="00E75A44"/>
    <w:rsid w:val="00E76018"/>
    <w:rsid w:val="00E768C2"/>
    <w:rsid w:val="00E82938"/>
    <w:rsid w:val="00E844D0"/>
    <w:rsid w:val="00E84DA3"/>
    <w:rsid w:val="00E8524B"/>
    <w:rsid w:val="00E85EF5"/>
    <w:rsid w:val="00E85F04"/>
    <w:rsid w:val="00E86C0D"/>
    <w:rsid w:val="00E871B1"/>
    <w:rsid w:val="00E876DE"/>
    <w:rsid w:val="00E877F8"/>
    <w:rsid w:val="00E87967"/>
    <w:rsid w:val="00E90059"/>
    <w:rsid w:val="00E9147D"/>
    <w:rsid w:val="00E918DD"/>
    <w:rsid w:val="00E9258F"/>
    <w:rsid w:val="00E9398C"/>
    <w:rsid w:val="00E93BA0"/>
    <w:rsid w:val="00E9479E"/>
    <w:rsid w:val="00E94A47"/>
    <w:rsid w:val="00E95CD4"/>
    <w:rsid w:val="00E96B47"/>
    <w:rsid w:val="00E9791F"/>
    <w:rsid w:val="00E97B6F"/>
    <w:rsid w:val="00E97DDD"/>
    <w:rsid w:val="00EA0A9F"/>
    <w:rsid w:val="00EA1022"/>
    <w:rsid w:val="00EA104A"/>
    <w:rsid w:val="00EA1AA2"/>
    <w:rsid w:val="00EA1B94"/>
    <w:rsid w:val="00EA25B4"/>
    <w:rsid w:val="00EA2BE7"/>
    <w:rsid w:val="00EA2D6F"/>
    <w:rsid w:val="00EA3D4E"/>
    <w:rsid w:val="00EA5FC2"/>
    <w:rsid w:val="00EA7863"/>
    <w:rsid w:val="00EA7928"/>
    <w:rsid w:val="00EA7C92"/>
    <w:rsid w:val="00EB01FC"/>
    <w:rsid w:val="00EB2648"/>
    <w:rsid w:val="00EB2703"/>
    <w:rsid w:val="00EB2E24"/>
    <w:rsid w:val="00EB3AD2"/>
    <w:rsid w:val="00EB3D6B"/>
    <w:rsid w:val="00EB5466"/>
    <w:rsid w:val="00EB5FB8"/>
    <w:rsid w:val="00EB6655"/>
    <w:rsid w:val="00EB71F8"/>
    <w:rsid w:val="00EC09DB"/>
    <w:rsid w:val="00EC2575"/>
    <w:rsid w:val="00EC276B"/>
    <w:rsid w:val="00EC2805"/>
    <w:rsid w:val="00EC2B54"/>
    <w:rsid w:val="00EC2F3C"/>
    <w:rsid w:val="00EC38DD"/>
    <w:rsid w:val="00EC44FB"/>
    <w:rsid w:val="00EC4D47"/>
    <w:rsid w:val="00EC5495"/>
    <w:rsid w:val="00EC5882"/>
    <w:rsid w:val="00EC5AAE"/>
    <w:rsid w:val="00EC5D6D"/>
    <w:rsid w:val="00EC72E6"/>
    <w:rsid w:val="00EC78C3"/>
    <w:rsid w:val="00EC7EB9"/>
    <w:rsid w:val="00ED05F4"/>
    <w:rsid w:val="00ED0B2F"/>
    <w:rsid w:val="00ED0D10"/>
    <w:rsid w:val="00ED1A48"/>
    <w:rsid w:val="00ED1AC3"/>
    <w:rsid w:val="00ED323D"/>
    <w:rsid w:val="00ED4784"/>
    <w:rsid w:val="00ED4E0B"/>
    <w:rsid w:val="00ED61B9"/>
    <w:rsid w:val="00ED6303"/>
    <w:rsid w:val="00ED69D0"/>
    <w:rsid w:val="00ED7217"/>
    <w:rsid w:val="00EE0FEF"/>
    <w:rsid w:val="00EE1D4E"/>
    <w:rsid w:val="00EE22D9"/>
    <w:rsid w:val="00EE2F90"/>
    <w:rsid w:val="00EE3070"/>
    <w:rsid w:val="00EE3563"/>
    <w:rsid w:val="00EE3CA8"/>
    <w:rsid w:val="00EE3FA4"/>
    <w:rsid w:val="00EE6F77"/>
    <w:rsid w:val="00EE704A"/>
    <w:rsid w:val="00EF1063"/>
    <w:rsid w:val="00EF2424"/>
    <w:rsid w:val="00EF37C6"/>
    <w:rsid w:val="00EF4A69"/>
    <w:rsid w:val="00EF56F5"/>
    <w:rsid w:val="00EF59A1"/>
    <w:rsid w:val="00EF5A5C"/>
    <w:rsid w:val="00EF616C"/>
    <w:rsid w:val="00EF7738"/>
    <w:rsid w:val="00EF78A5"/>
    <w:rsid w:val="00EF7FE0"/>
    <w:rsid w:val="00F00159"/>
    <w:rsid w:val="00F03092"/>
    <w:rsid w:val="00F04924"/>
    <w:rsid w:val="00F06CE3"/>
    <w:rsid w:val="00F110B3"/>
    <w:rsid w:val="00F11BEC"/>
    <w:rsid w:val="00F122B5"/>
    <w:rsid w:val="00F126D9"/>
    <w:rsid w:val="00F12760"/>
    <w:rsid w:val="00F12EA2"/>
    <w:rsid w:val="00F145D2"/>
    <w:rsid w:val="00F1477A"/>
    <w:rsid w:val="00F165D1"/>
    <w:rsid w:val="00F16ECB"/>
    <w:rsid w:val="00F175FB"/>
    <w:rsid w:val="00F17F69"/>
    <w:rsid w:val="00F209DE"/>
    <w:rsid w:val="00F22529"/>
    <w:rsid w:val="00F227B3"/>
    <w:rsid w:val="00F22B98"/>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FCE"/>
    <w:rsid w:val="00F341F6"/>
    <w:rsid w:val="00F34483"/>
    <w:rsid w:val="00F347A4"/>
    <w:rsid w:val="00F3483B"/>
    <w:rsid w:val="00F3485F"/>
    <w:rsid w:val="00F35627"/>
    <w:rsid w:val="00F359B3"/>
    <w:rsid w:val="00F37139"/>
    <w:rsid w:val="00F37832"/>
    <w:rsid w:val="00F37B7D"/>
    <w:rsid w:val="00F401D5"/>
    <w:rsid w:val="00F40CD8"/>
    <w:rsid w:val="00F417F4"/>
    <w:rsid w:val="00F41AB2"/>
    <w:rsid w:val="00F41ADB"/>
    <w:rsid w:val="00F42A00"/>
    <w:rsid w:val="00F42F6A"/>
    <w:rsid w:val="00F42FEE"/>
    <w:rsid w:val="00F438FE"/>
    <w:rsid w:val="00F43DE6"/>
    <w:rsid w:val="00F43E18"/>
    <w:rsid w:val="00F45065"/>
    <w:rsid w:val="00F460FA"/>
    <w:rsid w:val="00F463AD"/>
    <w:rsid w:val="00F5086A"/>
    <w:rsid w:val="00F51121"/>
    <w:rsid w:val="00F513A6"/>
    <w:rsid w:val="00F51405"/>
    <w:rsid w:val="00F52FB1"/>
    <w:rsid w:val="00F5342F"/>
    <w:rsid w:val="00F536BE"/>
    <w:rsid w:val="00F53CEE"/>
    <w:rsid w:val="00F5447B"/>
    <w:rsid w:val="00F54549"/>
    <w:rsid w:val="00F5626C"/>
    <w:rsid w:val="00F5628B"/>
    <w:rsid w:val="00F56D5F"/>
    <w:rsid w:val="00F6025D"/>
    <w:rsid w:val="00F6068B"/>
    <w:rsid w:val="00F61588"/>
    <w:rsid w:val="00F61591"/>
    <w:rsid w:val="00F61657"/>
    <w:rsid w:val="00F619E2"/>
    <w:rsid w:val="00F61AEB"/>
    <w:rsid w:val="00F630C5"/>
    <w:rsid w:val="00F63723"/>
    <w:rsid w:val="00F637C3"/>
    <w:rsid w:val="00F6386A"/>
    <w:rsid w:val="00F638BF"/>
    <w:rsid w:val="00F64150"/>
    <w:rsid w:val="00F648DD"/>
    <w:rsid w:val="00F6710C"/>
    <w:rsid w:val="00F678B6"/>
    <w:rsid w:val="00F67F82"/>
    <w:rsid w:val="00F7051E"/>
    <w:rsid w:val="00F7058B"/>
    <w:rsid w:val="00F71753"/>
    <w:rsid w:val="00F72C5B"/>
    <w:rsid w:val="00F7303D"/>
    <w:rsid w:val="00F73773"/>
    <w:rsid w:val="00F751E0"/>
    <w:rsid w:val="00F753F8"/>
    <w:rsid w:val="00F75546"/>
    <w:rsid w:val="00F76364"/>
    <w:rsid w:val="00F7755E"/>
    <w:rsid w:val="00F77DB4"/>
    <w:rsid w:val="00F819AE"/>
    <w:rsid w:val="00F83821"/>
    <w:rsid w:val="00F83854"/>
    <w:rsid w:val="00F838F8"/>
    <w:rsid w:val="00F83D8B"/>
    <w:rsid w:val="00F85057"/>
    <w:rsid w:val="00F85147"/>
    <w:rsid w:val="00F86BD1"/>
    <w:rsid w:val="00F90EA1"/>
    <w:rsid w:val="00F91893"/>
    <w:rsid w:val="00F91DF3"/>
    <w:rsid w:val="00F91E13"/>
    <w:rsid w:val="00F9213E"/>
    <w:rsid w:val="00F92E88"/>
    <w:rsid w:val="00F9345B"/>
    <w:rsid w:val="00F93D47"/>
    <w:rsid w:val="00F94293"/>
    <w:rsid w:val="00F971B5"/>
    <w:rsid w:val="00F9779A"/>
    <w:rsid w:val="00FA0B99"/>
    <w:rsid w:val="00FA1975"/>
    <w:rsid w:val="00FA1CB9"/>
    <w:rsid w:val="00FA24DF"/>
    <w:rsid w:val="00FA250B"/>
    <w:rsid w:val="00FA2B97"/>
    <w:rsid w:val="00FA2D3A"/>
    <w:rsid w:val="00FA3786"/>
    <w:rsid w:val="00FA3DB2"/>
    <w:rsid w:val="00FA3E39"/>
    <w:rsid w:val="00FA42FC"/>
    <w:rsid w:val="00FA4670"/>
    <w:rsid w:val="00FA4840"/>
    <w:rsid w:val="00FA48FD"/>
    <w:rsid w:val="00FA57C3"/>
    <w:rsid w:val="00FA6357"/>
    <w:rsid w:val="00FA67F4"/>
    <w:rsid w:val="00FA68E4"/>
    <w:rsid w:val="00FA7C18"/>
    <w:rsid w:val="00FA7EC2"/>
    <w:rsid w:val="00FB11A7"/>
    <w:rsid w:val="00FB142B"/>
    <w:rsid w:val="00FB21EE"/>
    <w:rsid w:val="00FB34AE"/>
    <w:rsid w:val="00FB3604"/>
    <w:rsid w:val="00FB3EE7"/>
    <w:rsid w:val="00FB40AE"/>
    <w:rsid w:val="00FB467E"/>
    <w:rsid w:val="00FB5721"/>
    <w:rsid w:val="00FB59AE"/>
    <w:rsid w:val="00FB64A3"/>
    <w:rsid w:val="00FB69AB"/>
    <w:rsid w:val="00FB70FC"/>
    <w:rsid w:val="00FB7BAA"/>
    <w:rsid w:val="00FC0267"/>
    <w:rsid w:val="00FC04C9"/>
    <w:rsid w:val="00FC17F7"/>
    <w:rsid w:val="00FC1E45"/>
    <w:rsid w:val="00FC3592"/>
    <w:rsid w:val="00FC39DF"/>
    <w:rsid w:val="00FC3D55"/>
    <w:rsid w:val="00FC44A0"/>
    <w:rsid w:val="00FC44E2"/>
    <w:rsid w:val="00FC49BA"/>
    <w:rsid w:val="00FC4B99"/>
    <w:rsid w:val="00FC5119"/>
    <w:rsid w:val="00FC53C1"/>
    <w:rsid w:val="00FC54D0"/>
    <w:rsid w:val="00FC6852"/>
    <w:rsid w:val="00FC6ADB"/>
    <w:rsid w:val="00FC75AC"/>
    <w:rsid w:val="00FC77CF"/>
    <w:rsid w:val="00FC77D1"/>
    <w:rsid w:val="00FD1000"/>
    <w:rsid w:val="00FD195E"/>
    <w:rsid w:val="00FD30FB"/>
    <w:rsid w:val="00FD326D"/>
    <w:rsid w:val="00FD5BC3"/>
    <w:rsid w:val="00FD5BF3"/>
    <w:rsid w:val="00FD657C"/>
    <w:rsid w:val="00FD7609"/>
    <w:rsid w:val="00FE0180"/>
    <w:rsid w:val="00FE088C"/>
    <w:rsid w:val="00FE08C4"/>
    <w:rsid w:val="00FE2A0B"/>
    <w:rsid w:val="00FE3A56"/>
    <w:rsid w:val="00FE5321"/>
    <w:rsid w:val="00FE5B59"/>
    <w:rsid w:val="00FE60E9"/>
    <w:rsid w:val="00FE6404"/>
    <w:rsid w:val="00FE6651"/>
    <w:rsid w:val="00FE6728"/>
    <w:rsid w:val="00FE6F32"/>
    <w:rsid w:val="00FE7163"/>
    <w:rsid w:val="00FE71EF"/>
    <w:rsid w:val="00FE77C6"/>
    <w:rsid w:val="00FF0018"/>
    <w:rsid w:val="00FF03CA"/>
    <w:rsid w:val="00FF0DE2"/>
    <w:rsid w:val="00FF2899"/>
    <w:rsid w:val="00FF4A69"/>
    <w:rsid w:val="00FF5283"/>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6DB2"/>
  <w15:docId w15:val="{1D573AD1-DE40-4181-9D43-10824D92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BC"/>
    <w:pPr>
      <w:spacing w:before="180" w:after="60" w:line="312" w:lineRule="auto"/>
    </w:pPr>
    <w:rPr>
      <w:rFonts w:asciiTheme="minorHAnsi" w:hAnsiTheme="minorHAnsi"/>
      <w:sz w:val="22"/>
      <w:szCs w:val="24"/>
    </w:rPr>
  </w:style>
  <w:style w:type="paragraph" w:styleId="Heading1">
    <w:name w:val="heading 1"/>
    <w:basedOn w:val="Normal"/>
    <w:next w:val="Normal"/>
    <w:qFormat/>
    <w:rsid w:val="003D74C9"/>
    <w:pPr>
      <w:keepNext/>
      <w:numPr>
        <w:numId w:val="42"/>
      </w:numPr>
      <w:spacing w:before="120" w:after="0"/>
      <w:outlineLvl w:val="0"/>
    </w:pPr>
    <w:rPr>
      <w:rFonts w:eastAsiaTheme="minorHAnsi" w:cs="Arial"/>
      <w:b/>
      <w:bCs/>
      <w:color w:val="01653F"/>
      <w:kern w:val="32"/>
      <w:sz w:val="32"/>
      <w:szCs w:val="28"/>
      <w:lang w:val="en-US" w:eastAsia="en-US"/>
    </w:rPr>
  </w:style>
  <w:style w:type="paragraph" w:styleId="Heading2">
    <w:name w:val="heading 2"/>
    <w:basedOn w:val="Normal"/>
    <w:next w:val="Normal"/>
    <w:rsid w:val="00354D73"/>
    <w:pPr>
      <w:keepNext/>
      <w:numPr>
        <w:ilvl w:val="1"/>
        <w:numId w:val="42"/>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qFormat/>
    <w:rsid w:val="00D744EE"/>
    <w:pPr>
      <w:keepNext/>
      <w:spacing w:before="240" w:line="240" w:lineRule="auto"/>
      <w:outlineLvl w:val="2"/>
    </w:pPr>
    <w:rPr>
      <w:rFonts w:eastAsiaTheme="minorHAnsi" w:cs="Arial"/>
      <w:b/>
      <w:bCs/>
      <w:i/>
      <w:color w:val="B56012"/>
      <w:sz w:val="24"/>
      <w:szCs w:val="26"/>
      <w:lang w:val="en-US" w:eastAsia="en-US"/>
    </w:rPr>
  </w:style>
  <w:style w:type="paragraph" w:styleId="Heading4">
    <w:name w:val="heading 4"/>
    <w:basedOn w:val="Heading3"/>
    <w:next w:val="Normal"/>
    <w:qFormat/>
    <w:rsid w:val="00F637C3"/>
    <w:pPr>
      <w:outlineLvl w:val="3"/>
    </w:pPr>
    <w:rPr>
      <w:b w:val="0"/>
      <w:sz w:val="22"/>
    </w:rPr>
  </w:style>
  <w:style w:type="paragraph" w:styleId="Heading5">
    <w:name w:val="heading 5"/>
    <w:basedOn w:val="Normal"/>
    <w:next w:val="Normal"/>
    <w:rsid w:val="003D74C9"/>
    <w:pPr>
      <w:numPr>
        <w:ilvl w:val="4"/>
        <w:numId w:val="42"/>
      </w:numPr>
      <w:spacing w:before="240"/>
      <w:outlineLvl w:val="4"/>
    </w:pPr>
    <w:rPr>
      <w:rFonts w:eastAsiaTheme="minorHAnsi" w:cs="Arial"/>
      <w:b/>
      <w:bCs/>
      <w:iCs/>
      <w:sz w:val="26"/>
      <w:szCs w:val="26"/>
      <w:lang w:val="en-US" w:eastAsia="en-US"/>
    </w:rPr>
  </w:style>
  <w:style w:type="paragraph" w:styleId="Heading6">
    <w:name w:val="heading 6"/>
    <w:basedOn w:val="Normal"/>
    <w:next w:val="Normal"/>
    <w:rsid w:val="003D74C9"/>
    <w:pPr>
      <w:numPr>
        <w:ilvl w:val="5"/>
        <w:numId w:val="4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3D74C9"/>
    <w:pPr>
      <w:keepNext/>
      <w:keepLines/>
      <w:numPr>
        <w:ilvl w:val="6"/>
        <w:numId w:val="42"/>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3D74C9"/>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3D74C9"/>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paragraph" w:styleId="TOC1">
    <w:name w:val="toc 1"/>
    <w:basedOn w:val="Normal"/>
    <w:next w:val="Normal"/>
    <w:autoRedefine/>
    <w:uiPriority w:val="39"/>
    <w:unhideWhenUsed/>
    <w:qFormat/>
    <w:rsid w:val="00432FC6"/>
    <w:pPr>
      <w:tabs>
        <w:tab w:val="left" w:pos="567"/>
      </w:tabs>
      <w:spacing w:before="120" w:after="0"/>
    </w:pPr>
    <w:rPr>
      <w:b/>
      <w:szCs w:val="22"/>
    </w:rPr>
  </w:style>
  <w:style w:type="paragraph" w:styleId="Subtitle">
    <w:name w:val="Subtitle"/>
    <w:basedOn w:val="Normal"/>
    <w:next w:val="Normal"/>
    <w:link w:val="SubtitleChar"/>
    <w:rsid w:val="00354D73"/>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354D73"/>
    <w:rPr>
      <w:rFonts w:asciiTheme="minorHAnsi" w:hAnsiTheme="minorHAnsi" w:cs="Arial"/>
      <w:b/>
      <w:color w:val="01653F"/>
      <w:spacing w:val="5"/>
      <w:sz w:val="48"/>
      <w:szCs w:val="48"/>
    </w:rPr>
  </w:style>
  <w:style w:type="paragraph" w:styleId="Title">
    <w:name w:val="Title"/>
    <w:basedOn w:val="Normal"/>
    <w:next w:val="Normal"/>
    <w:link w:val="TitleChar"/>
    <w:rsid w:val="00354D73"/>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354D73"/>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paragraph" w:styleId="TOC2">
    <w:name w:val="toc 2"/>
    <w:basedOn w:val="Normal"/>
    <w:next w:val="Normal"/>
    <w:autoRedefine/>
    <w:uiPriority w:val="39"/>
    <w:unhideWhenUsed/>
    <w:qFormat/>
    <w:rsid w:val="00432FC6"/>
    <w:pPr>
      <w:tabs>
        <w:tab w:val="left" w:pos="1224"/>
        <w:tab w:val="right" w:leader="dot" w:pos="9016"/>
      </w:tabs>
      <w:spacing w:before="0" w:after="0"/>
      <w:ind w:left="1229" w:hanging="662"/>
    </w:pPr>
    <w:rPr>
      <w:szCs w:val="22"/>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character" w:styleId="SubtleReference">
    <w:name w:val="Subtle Reference"/>
    <w:basedOn w:val="DefaultParagraphFont"/>
    <w:uiPriority w:val="31"/>
    <w:rsid w:val="00AF127F"/>
    <w:rPr>
      <w:smallCaps/>
      <w:color w:val="C0504D" w:themeColor="accent2"/>
      <w:u w:val="single"/>
    </w:rPr>
  </w:style>
  <w:style w:type="character" w:styleId="BookTitle">
    <w:name w:val="Book Title"/>
    <w:basedOn w:val="DefaultParagraphFont"/>
    <w:uiPriority w:val="33"/>
    <w:rsid w:val="00AF127F"/>
    <w:rPr>
      <w:b/>
      <w:bCs/>
      <w:smallCaps/>
      <w:spacing w:val="5"/>
    </w:rPr>
  </w:style>
  <w:style w:type="table" w:styleId="TableGrid">
    <w:name w:val="Table Grid"/>
    <w:basedOn w:val="TableNormal"/>
    <w:uiPriority w:val="3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74C9"/>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link w:val="CaptionChar"/>
    <w:uiPriority w:val="35"/>
    <w:unhideWhenUsed/>
    <w:qFormat/>
    <w:rsid w:val="00354D73"/>
    <w:pPr>
      <w:keepNext/>
      <w:spacing w:before="24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paragraph" w:styleId="TOC3">
    <w:name w:val="toc 3"/>
    <w:basedOn w:val="Normal"/>
    <w:next w:val="Normal"/>
    <w:autoRedefine/>
    <w:uiPriority w:val="39"/>
    <w:qFormat/>
    <w:rsid w:val="000439D3"/>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paragraph" w:customStyle="1" w:styleId="NormalBulleted">
    <w:name w:val="Normal Bulleted"/>
    <w:basedOn w:val="Normal"/>
    <w:link w:val="NormalBulletedChar"/>
    <w:qFormat/>
    <w:rsid w:val="001D1C52"/>
    <w:pPr>
      <w:numPr>
        <w:numId w:val="7"/>
      </w:numPr>
      <w:contextualSpacing/>
    </w:pPr>
    <w:rPr>
      <w:rFonts w:eastAsiaTheme="minorHAnsi" w:cs="Arial"/>
      <w:color w:val="000000" w:themeColor="text1"/>
      <w:szCs w:val="22"/>
    </w:rPr>
  </w:style>
  <w:style w:type="character" w:customStyle="1" w:styleId="NormalBulletedChar">
    <w:name w:val="Normal Bulleted Char"/>
    <w:basedOn w:val="DefaultParagraphFont"/>
    <w:link w:val="NormalBulleted"/>
    <w:rsid w:val="009D1CB7"/>
    <w:rPr>
      <w:rFonts w:asciiTheme="minorHAnsi" w:eastAsiaTheme="minorHAnsi" w:hAnsiTheme="minorHAnsi" w:cs="Arial"/>
      <w:color w:val="000000" w:themeColor="text1"/>
      <w:sz w:val="22"/>
      <w:szCs w:val="22"/>
    </w:rPr>
  </w:style>
  <w:style w:type="character" w:customStyle="1" w:styleId="Heading7Char">
    <w:name w:val="Heading 7 Char"/>
    <w:basedOn w:val="DefaultParagraphFont"/>
    <w:link w:val="Heading7"/>
    <w:uiPriority w:val="9"/>
    <w:rsid w:val="003D74C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3D74C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3D74C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343775"/>
    <w:pPr>
      <w:spacing w:before="40"/>
    </w:pPr>
  </w:style>
  <w:style w:type="character" w:customStyle="1" w:styleId="02TabletextChar">
    <w:name w:val="02. Table text Char"/>
    <w:basedOn w:val="DefaultParagraphFont"/>
    <w:link w:val="02Tabletext"/>
    <w:rsid w:val="00343775"/>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rsid w:val="003D74C9"/>
    <w:pPr>
      <w:spacing w:before="0" w:after="0" w:line="240" w:lineRule="auto"/>
    </w:pPr>
    <w:rPr>
      <w:rFonts w:eastAsia="Times New Roman"/>
      <w:szCs w:val="24"/>
    </w:rPr>
  </w:style>
  <w:style w:type="paragraph" w:customStyle="1" w:styleId="NormalBulleted2Table">
    <w:name w:val="Normal Bulleted 2 Table"/>
    <w:basedOn w:val="NormalBulleted10pt"/>
    <w:rsid w:val="00AA632A"/>
    <w:pPr>
      <w:numPr>
        <w:ilvl w:val="1"/>
        <w:numId w:val="2"/>
      </w:numPr>
      <w:spacing w:before="0" w:after="0"/>
      <w:ind w:left="811" w:hanging="357"/>
    </w:pPr>
  </w:style>
  <w:style w:type="paragraph" w:customStyle="1" w:styleId="Bullet3">
    <w:name w:val="Bullet 3"/>
    <w:basedOn w:val="Normal"/>
    <w:rsid w:val="001D1C52"/>
    <w:pPr>
      <w:numPr>
        <w:ilvl w:val="2"/>
        <w:numId w:val="1"/>
      </w:numPr>
      <w:spacing w:before="120"/>
      <w:ind w:left="1797" w:hanging="357"/>
    </w:pPr>
    <w:rPr>
      <w:rFonts w:eastAsiaTheme="minorHAnsi" w:cs="Arial"/>
      <w:szCs w:val="22"/>
    </w:rPr>
  </w:style>
  <w:style w:type="paragraph" w:styleId="TOC4">
    <w:name w:val="toc 4"/>
    <w:basedOn w:val="Normal"/>
    <w:next w:val="Normal"/>
    <w:autoRedefine/>
    <w:unhideWhenUsed/>
    <w:rsid w:val="00C56DF9"/>
    <w:pPr>
      <w:spacing w:before="0" w:after="0"/>
      <w:ind w:left="660"/>
    </w:pPr>
    <w:rPr>
      <w:sz w:val="18"/>
      <w:szCs w:val="18"/>
    </w:rPr>
  </w:style>
  <w:style w:type="paragraph" w:styleId="TOC5">
    <w:name w:val="toc 5"/>
    <w:basedOn w:val="Normal"/>
    <w:next w:val="Normal"/>
    <w:autoRedefine/>
    <w:unhideWhenUsed/>
    <w:rsid w:val="00C56DF9"/>
    <w:pPr>
      <w:spacing w:before="0" w:after="0"/>
      <w:ind w:left="880"/>
    </w:pPr>
    <w:rPr>
      <w:sz w:val="18"/>
      <w:szCs w:val="18"/>
    </w:rPr>
  </w:style>
  <w:style w:type="paragraph" w:styleId="TOC6">
    <w:name w:val="toc 6"/>
    <w:basedOn w:val="Normal"/>
    <w:next w:val="Normal"/>
    <w:autoRedefine/>
    <w:unhideWhenUsed/>
    <w:rsid w:val="00C56DF9"/>
    <w:pPr>
      <w:spacing w:before="0" w:after="0"/>
      <w:ind w:left="1100"/>
    </w:pPr>
    <w:rPr>
      <w:sz w:val="18"/>
      <w:szCs w:val="18"/>
    </w:rPr>
  </w:style>
  <w:style w:type="paragraph" w:styleId="TOC7">
    <w:name w:val="toc 7"/>
    <w:basedOn w:val="Normal"/>
    <w:next w:val="Normal"/>
    <w:autoRedefine/>
    <w:unhideWhenUsed/>
    <w:rsid w:val="00C56DF9"/>
    <w:pPr>
      <w:spacing w:before="0" w:after="0"/>
      <w:ind w:left="1320"/>
    </w:pPr>
    <w:rPr>
      <w:sz w:val="18"/>
      <w:szCs w:val="18"/>
    </w:rPr>
  </w:style>
  <w:style w:type="paragraph" w:styleId="TOC8">
    <w:name w:val="toc 8"/>
    <w:basedOn w:val="Normal"/>
    <w:next w:val="Normal"/>
    <w:autoRedefine/>
    <w:unhideWhenUsed/>
    <w:rsid w:val="00C56DF9"/>
    <w:pPr>
      <w:spacing w:before="0" w:after="0"/>
      <w:ind w:left="1540"/>
    </w:pPr>
    <w:rPr>
      <w:sz w:val="18"/>
      <w:szCs w:val="18"/>
    </w:rPr>
  </w:style>
  <w:style w:type="paragraph" w:styleId="TOC9">
    <w:name w:val="toc 9"/>
    <w:basedOn w:val="Normal"/>
    <w:next w:val="Normal"/>
    <w:autoRedefine/>
    <w:unhideWhenUsed/>
    <w:rsid w:val="00C56DF9"/>
    <w:pPr>
      <w:spacing w:before="0" w:after="0"/>
      <w:ind w:left="1760"/>
    </w:pPr>
    <w:rPr>
      <w:sz w:val="18"/>
      <w:szCs w:val="18"/>
    </w:rPr>
  </w:style>
  <w:style w:type="character" w:styleId="CommentReference">
    <w:name w:val="annotation reference"/>
    <w:basedOn w:val="DefaultParagraphFont"/>
    <w:uiPriority w:val="99"/>
    <w:semiHidden/>
    <w:unhideWhenUsed/>
    <w:rsid w:val="000337EF"/>
    <w:rPr>
      <w:sz w:val="16"/>
      <w:szCs w:val="16"/>
    </w:rPr>
  </w:style>
  <w:style w:type="paragraph" w:styleId="CommentText">
    <w:name w:val="annotation text"/>
    <w:basedOn w:val="Normal"/>
    <w:link w:val="CommentTextChar"/>
    <w:uiPriority w:val="99"/>
    <w:semiHidden/>
    <w:unhideWhenUsed/>
    <w:rsid w:val="000337EF"/>
    <w:rPr>
      <w:sz w:val="20"/>
      <w:szCs w:val="20"/>
    </w:rPr>
  </w:style>
  <w:style w:type="character" w:customStyle="1" w:styleId="CommentTextChar">
    <w:name w:val="Comment Text Char"/>
    <w:basedOn w:val="DefaultParagraphFont"/>
    <w:link w:val="CommentText"/>
    <w:uiPriority w:val="99"/>
    <w:semiHidden/>
    <w:rsid w:val="000337EF"/>
    <w:rPr>
      <w:rFonts w:ascii="Arial" w:hAnsi="Arial"/>
    </w:rPr>
  </w:style>
  <w:style w:type="paragraph" w:customStyle="1" w:styleId="03undertabletext">
    <w:name w:val="03. under table text"/>
    <w:basedOn w:val="Heading1"/>
    <w:rsid w:val="00A32201"/>
    <w:pPr>
      <w:numPr>
        <w:numId w:val="0"/>
      </w:numPr>
      <w:spacing w:before="0"/>
    </w:pPr>
    <w:rPr>
      <w:b w:val="0"/>
      <w:color w:val="000000" w:themeColor="text1"/>
      <w:sz w:val="18"/>
      <w:szCs w:val="18"/>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Smallcaps">
    <w:name w:val="00 Small caps"/>
    <w:basedOn w:val="Normal"/>
    <w:uiPriority w:val="6"/>
    <w:qFormat/>
    <w:rsid w:val="001D1C52"/>
    <w:pPr>
      <w:keepNext/>
      <w:spacing w:before="120" w:line="240" w:lineRule="auto"/>
      <w:outlineLvl w:val="0"/>
    </w:pPr>
    <w:rPr>
      <w:rFonts w:ascii="Arial Bold" w:hAnsi="Arial Bold" w:cs="Arial"/>
      <w:b/>
      <w:smallCaps/>
      <w:kern w:val="32"/>
      <w:szCs w:val="22"/>
    </w:r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a">
    <w:name w:val="Heading 2a"/>
    <w:basedOn w:val="Heading2"/>
    <w:qFormat/>
    <w:rsid w:val="006508BC"/>
    <w:pPr>
      <w:numPr>
        <w:ilvl w:val="0"/>
        <w:numId w:val="0"/>
      </w:numPr>
    </w:pPr>
  </w:style>
  <w:style w:type="paragraph" w:customStyle="1" w:styleId="AppendixStyle1">
    <w:name w:val="Appendix Style 1"/>
    <w:basedOn w:val="Normal"/>
    <w:next w:val="Normal"/>
    <w:qFormat/>
    <w:rsid w:val="0083384B"/>
    <w:pPr>
      <w:numPr>
        <w:numId w:val="3"/>
      </w:numPr>
      <w:spacing w:before="0" w:after="0"/>
      <w:ind w:left="360"/>
      <w:outlineLvl w:val="0"/>
    </w:pPr>
    <w:rPr>
      <w:rFonts w:cs="Arial"/>
      <w:b/>
      <w:color w:val="01653F"/>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NormalBulleted"/>
    <w:link w:val="NumberingChar"/>
    <w:qFormat/>
    <w:rsid w:val="00C52AD7"/>
    <w:pPr>
      <w:numPr>
        <w:numId w:val="0"/>
      </w:numPr>
      <w:tabs>
        <w:tab w:val="left" w:pos="357"/>
      </w:tabs>
      <w:spacing w:before="120" w:after="120"/>
    </w:pPr>
    <w:rPr>
      <w:lang w:val="en-US" w:eastAsia="en-US"/>
    </w:rPr>
  </w:style>
  <w:style w:type="character" w:customStyle="1" w:styleId="NumberingChar">
    <w:name w:val="Numbering Char"/>
    <w:basedOn w:val="DefaultParagraphFont"/>
    <w:link w:val="Numbering"/>
    <w:rsid w:val="00C52AD7"/>
    <w:rPr>
      <w:rFonts w:asciiTheme="minorHAnsi" w:eastAsiaTheme="minorHAnsi" w:hAnsiTheme="minorHAnsi" w:cs="Arial"/>
      <w:color w:val="000000" w:themeColor="text1"/>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Normal"/>
    <w:qFormat/>
    <w:rsid w:val="00700528"/>
    <w:pPr>
      <w:numPr>
        <w:numId w:val="6"/>
      </w:numPr>
      <w:spacing w:before="120" w:after="120"/>
    </w:pPr>
    <w:rPr>
      <w:rFonts w:cs="Arial"/>
      <w:b/>
      <w:i/>
      <w:color w:val="01653F"/>
      <w:sz w:val="24"/>
      <w:szCs w:val="22"/>
    </w:rPr>
  </w:style>
  <w:style w:type="character" w:customStyle="1" w:styleId="CaptionChar">
    <w:name w:val="Caption Char"/>
    <w:basedOn w:val="DefaultParagraphFont"/>
    <w:link w:val="Caption"/>
    <w:uiPriority w:val="35"/>
    <w:rsid w:val="00354D73"/>
    <w:rPr>
      <w:rFonts w:asciiTheme="minorHAnsi" w:eastAsiaTheme="minorHAnsi" w:hAnsiTheme="minorHAnsi" w:cs="Arial"/>
      <w:i/>
      <w:szCs w:val="22"/>
      <w:lang w:eastAsia="en-US"/>
    </w:rPr>
  </w:style>
  <w:style w:type="paragraph" w:customStyle="1" w:styleId="Caption2">
    <w:name w:val="Caption 2"/>
    <w:basedOn w:val="Caption"/>
    <w:link w:val="Caption2Char"/>
    <w:rsid w:val="00BC209F"/>
    <w:pPr>
      <w:spacing w:line="240" w:lineRule="auto"/>
    </w:pPr>
    <w:rPr>
      <w:rFonts w:ascii="Arial" w:hAnsi="Arial"/>
      <w:b/>
      <w:bCs/>
      <w:i w:val="0"/>
      <w:sz w:val="24"/>
      <w:szCs w:val="24"/>
    </w:rPr>
  </w:style>
  <w:style w:type="character" w:customStyle="1" w:styleId="Caption2Char">
    <w:name w:val="Caption 2 Char"/>
    <w:basedOn w:val="CaptionChar"/>
    <w:link w:val="Caption2"/>
    <w:rsid w:val="00BC209F"/>
    <w:rPr>
      <w:rFonts w:ascii="Arial" w:eastAsiaTheme="minorHAnsi" w:hAnsi="Arial" w:cs="Arial"/>
      <w:b/>
      <w:bCs/>
      <w:i w:val="0"/>
      <w:sz w:val="24"/>
      <w:szCs w:val="24"/>
      <w:lang w:eastAsia="en-US"/>
    </w:rPr>
  </w:style>
  <w:style w:type="paragraph" w:styleId="PlainText">
    <w:name w:val="Plain Text"/>
    <w:basedOn w:val="Normal"/>
    <w:link w:val="PlainTextChar"/>
    <w:uiPriority w:val="99"/>
    <w:unhideWhenUsed/>
    <w:rsid w:val="00BC209F"/>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C209F"/>
    <w:rPr>
      <w:rFonts w:ascii="Calibri" w:eastAsiaTheme="minorHAnsi" w:hAnsi="Calibri"/>
      <w:sz w:val="22"/>
      <w:szCs w:val="21"/>
    </w:rPr>
  </w:style>
  <w:style w:type="paragraph" w:customStyle="1" w:styleId="xmsonormal">
    <w:name w:val="x_msonormal"/>
    <w:basedOn w:val="Normal"/>
    <w:rsid w:val="00BC209F"/>
    <w:pPr>
      <w:spacing w:before="100" w:beforeAutospacing="1" w:after="100" w:afterAutospacing="1" w:line="240" w:lineRule="auto"/>
    </w:pPr>
    <w:rPr>
      <w:rFonts w:ascii="Times" w:eastAsiaTheme="minorEastAsia" w:hAnsi="Times" w:cstheme="minorBidi"/>
      <w:sz w:val="20"/>
      <w:szCs w:val="20"/>
      <w:lang w:eastAsia="en-US"/>
    </w:rPr>
  </w:style>
  <w:style w:type="paragraph" w:customStyle="1" w:styleId="EndNoteBibliography">
    <w:name w:val="EndNote Bibliography"/>
    <w:basedOn w:val="Normal"/>
    <w:link w:val="EndNoteBibliographyChar"/>
    <w:rsid w:val="00BC209F"/>
    <w:pPr>
      <w:spacing w:before="0" w:after="0" w:line="240" w:lineRule="auto"/>
    </w:pPr>
    <w:rPr>
      <w:rFonts w:ascii="Cambria" w:eastAsiaTheme="minorEastAsia" w:hAnsi="Cambria" w:cstheme="minorBidi"/>
      <w:sz w:val="24"/>
      <w:lang w:val="en-US" w:eastAsia="en-US"/>
    </w:rPr>
  </w:style>
  <w:style w:type="paragraph" w:customStyle="1" w:styleId="SubGroupHeader">
    <w:name w:val="SubGroupHeader"/>
    <w:basedOn w:val="Normal"/>
    <w:rsid w:val="00BC209F"/>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BC209F"/>
    <w:pPr>
      <w:spacing w:before="0" w:after="0" w:line="240" w:lineRule="auto"/>
    </w:pPr>
    <w:rPr>
      <w:rFonts w:ascii="Times New Roman" w:hAnsi="Times New Roman"/>
      <w:b/>
      <w:caps/>
      <w:sz w:val="18"/>
      <w:szCs w:val="20"/>
    </w:rPr>
  </w:style>
  <w:style w:type="paragraph" w:customStyle="1" w:styleId="Bulleted">
    <w:name w:val="Bulleted"/>
    <w:basedOn w:val="Normal"/>
    <w:link w:val="BulletedChar"/>
    <w:rsid w:val="00F85147"/>
    <w:p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F85147"/>
    <w:rPr>
      <w:rFonts w:ascii="Arial" w:eastAsia="MS Mincho" w:hAnsi="Arial" w:cs="Arial"/>
      <w:sz w:val="22"/>
      <w:szCs w:val="22"/>
      <w:lang w:eastAsia="en-US"/>
    </w:rPr>
  </w:style>
  <w:style w:type="paragraph" w:customStyle="1" w:styleId="AppendixHeading">
    <w:name w:val="Appendix Heading"/>
    <w:basedOn w:val="Normal"/>
    <w:qFormat/>
    <w:rsid w:val="00893447"/>
    <w:pPr>
      <w:spacing w:line="360" w:lineRule="auto"/>
    </w:pPr>
    <w:rPr>
      <w:rFonts w:cs="Arial"/>
      <w:b/>
      <w:color w:val="016500"/>
      <w:sz w:val="32"/>
      <w:szCs w:val="32"/>
    </w:rPr>
  </w:style>
  <w:style w:type="paragraph" w:customStyle="1" w:styleId="Undertable">
    <w:name w:val="Under table"/>
    <w:basedOn w:val="Heading1"/>
    <w:qFormat/>
    <w:rsid w:val="00A32201"/>
    <w:pPr>
      <w:numPr>
        <w:numId w:val="0"/>
      </w:numPr>
      <w:spacing w:before="0"/>
    </w:pPr>
    <w:rPr>
      <w:b w:val="0"/>
      <w:color w:val="000000" w:themeColor="text1"/>
      <w:sz w:val="18"/>
      <w:szCs w:val="18"/>
    </w:rPr>
  </w:style>
  <w:style w:type="paragraph" w:styleId="CommentSubject">
    <w:name w:val="annotation subject"/>
    <w:basedOn w:val="CommentText"/>
    <w:next w:val="CommentText"/>
    <w:link w:val="CommentSubjectChar"/>
    <w:semiHidden/>
    <w:unhideWhenUsed/>
    <w:rsid w:val="00A444D1"/>
    <w:pPr>
      <w:spacing w:line="240" w:lineRule="auto"/>
    </w:pPr>
    <w:rPr>
      <w:b/>
      <w:bCs/>
    </w:rPr>
  </w:style>
  <w:style w:type="paragraph" w:customStyle="1" w:styleId="TableUnderlast">
    <w:name w:val="Table Under last"/>
    <w:basedOn w:val="Normal"/>
    <w:qFormat/>
    <w:rsid w:val="006D79D7"/>
    <w:pPr>
      <w:spacing w:before="0"/>
    </w:pPr>
    <w:rPr>
      <w:sz w:val="18"/>
      <w:szCs w:val="16"/>
    </w:rPr>
  </w:style>
  <w:style w:type="character" w:customStyle="1" w:styleId="CommentSubjectChar">
    <w:name w:val="Comment Subject Char"/>
    <w:basedOn w:val="CommentTextChar"/>
    <w:link w:val="CommentSubject"/>
    <w:semiHidden/>
    <w:rsid w:val="00A444D1"/>
    <w:rPr>
      <w:rFonts w:asciiTheme="minorHAnsi" w:hAnsiTheme="minorHAnsi"/>
      <w:b/>
      <w:bCs/>
    </w:rPr>
  </w:style>
  <w:style w:type="paragraph" w:styleId="ListParagraph">
    <w:name w:val="List Paragraph"/>
    <w:basedOn w:val="Normal"/>
    <w:link w:val="ListParagraphChar"/>
    <w:uiPriority w:val="34"/>
    <w:qFormat/>
    <w:rsid w:val="006060E7"/>
    <w:pPr>
      <w:ind w:left="720"/>
      <w:contextualSpacing/>
    </w:pPr>
  </w:style>
  <w:style w:type="paragraph" w:styleId="Revision">
    <w:name w:val="Revision"/>
    <w:hidden/>
    <w:uiPriority w:val="99"/>
    <w:semiHidden/>
    <w:rsid w:val="00226A36"/>
    <w:rPr>
      <w:rFonts w:asciiTheme="minorHAnsi" w:hAnsiTheme="minorHAnsi"/>
      <w:sz w:val="22"/>
      <w:szCs w:val="24"/>
    </w:rPr>
  </w:style>
  <w:style w:type="paragraph" w:styleId="TableofFigures">
    <w:name w:val="table of figures"/>
    <w:basedOn w:val="Normal"/>
    <w:next w:val="Normal"/>
    <w:uiPriority w:val="99"/>
    <w:unhideWhenUsed/>
    <w:rsid w:val="00432FC6"/>
    <w:pPr>
      <w:spacing w:before="0" w:after="0"/>
      <w:ind w:left="440" w:hanging="440"/>
    </w:pPr>
    <w:rPr>
      <w:sz w:val="20"/>
      <w:szCs w:val="20"/>
    </w:rPr>
  </w:style>
  <w:style w:type="character" w:styleId="SubtleEmphasis">
    <w:name w:val="Subtle Emphasis"/>
    <w:basedOn w:val="DefaultParagraphFont"/>
    <w:uiPriority w:val="19"/>
    <w:qFormat/>
    <w:rsid w:val="006F3DF0"/>
    <w:rPr>
      <w:i/>
      <w:iCs/>
      <w:color w:val="808080" w:themeColor="text1" w:themeTint="7F"/>
    </w:rPr>
  </w:style>
  <w:style w:type="character" w:styleId="IntenseReference">
    <w:name w:val="Intense Reference"/>
    <w:basedOn w:val="DefaultParagraphFont"/>
    <w:uiPriority w:val="32"/>
    <w:qFormat/>
    <w:rsid w:val="006F3DF0"/>
    <w:rPr>
      <w:b/>
      <w:bCs/>
      <w:i/>
      <w:smallCaps/>
      <w:color w:val="C0504D" w:themeColor="accent2"/>
      <w:spacing w:val="5"/>
      <w:u w:val="none"/>
    </w:rPr>
  </w:style>
  <w:style w:type="character" w:customStyle="1" w:styleId="ListParagraphChar">
    <w:name w:val="List Paragraph Char"/>
    <w:basedOn w:val="DefaultParagraphFont"/>
    <w:link w:val="ListParagraph"/>
    <w:uiPriority w:val="34"/>
    <w:rsid w:val="001A1EB9"/>
    <w:rPr>
      <w:rFonts w:asciiTheme="minorHAnsi" w:hAnsiTheme="minorHAnsi"/>
      <w:sz w:val="22"/>
      <w:szCs w:val="24"/>
    </w:rPr>
  </w:style>
  <w:style w:type="character" w:customStyle="1" w:styleId="tgc">
    <w:name w:val="_tgc"/>
    <w:basedOn w:val="DefaultParagraphFont"/>
    <w:rsid w:val="00E27461"/>
  </w:style>
  <w:style w:type="character" w:customStyle="1" w:styleId="st1">
    <w:name w:val="st1"/>
    <w:basedOn w:val="DefaultParagraphFont"/>
    <w:rsid w:val="00EB2E24"/>
  </w:style>
  <w:style w:type="paragraph" w:customStyle="1" w:styleId="BoxText">
    <w:name w:val="BoxText"/>
    <w:basedOn w:val="Normal"/>
    <w:qFormat/>
    <w:rsid w:val="00354D73"/>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354D73"/>
    <w:pPr>
      <w:numPr>
        <w:numId w:val="43"/>
      </w:numPr>
    </w:pPr>
  </w:style>
  <w:style w:type="paragraph" w:customStyle="1" w:styleId="AppendixStyle2">
    <w:name w:val="Appendix Style2"/>
    <w:basedOn w:val="Normal"/>
    <w:qFormat/>
    <w:rsid w:val="006508BC"/>
    <w:pPr>
      <w:keepNext/>
      <w:spacing w:before="240"/>
      <w:outlineLvl w:val="1"/>
    </w:pPr>
    <w:rPr>
      <w:rFonts w:eastAsiaTheme="minorHAnsi" w:cs="Arial"/>
      <w:b/>
      <w:bCs/>
      <w:iCs/>
      <w:sz w:val="26"/>
      <w:szCs w:val="22"/>
      <w:lang w:val="en-US" w:eastAsia="en-US"/>
    </w:rPr>
  </w:style>
  <w:style w:type="paragraph" w:customStyle="1" w:styleId="NormalBulleted10pt">
    <w:name w:val="Normal Bulleted + 10 pt"/>
    <w:basedOn w:val="NormalBulleted"/>
    <w:rsid w:val="00BA6D5D"/>
    <w:pPr>
      <w:spacing w:before="60"/>
      <w:ind w:left="432" w:hanging="432"/>
    </w:pPr>
    <w:rPr>
      <w:sz w:val="20"/>
    </w:rPr>
  </w:style>
  <w:style w:type="paragraph" w:customStyle="1" w:styleId="Tabletext">
    <w:name w:val="Table text"/>
    <w:basedOn w:val="Normal"/>
    <w:link w:val="TabletextChar"/>
    <w:qFormat/>
    <w:rsid w:val="00226556"/>
    <w:pPr>
      <w:spacing w:before="60" w:after="0"/>
    </w:pPr>
    <w:rPr>
      <w:sz w:val="20"/>
      <w:szCs w:val="20"/>
    </w:rPr>
  </w:style>
  <w:style w:type="paragraph" w:customStyle="1" w:styleId="Style10ptJustified">
    <w:name w:val="Style 10 pt Justified"/>
    <w:basedOn w:val="Normal"/>
    <w:rsid w:val="00226556"/>
    <w:pPr>
      <w:spacing w:line="240" w:lineRule="auto"/>
      <w:jc w:val="both"/>
    </w:pPr>
    <w:rPr>
      <w:sz w:val="20"/>
      <w:szCs w:val="20"/>
    </w:rPr>
  </w:style>
  <w:style w:type="numbering" w:customStyle="1" w:styleId="StyleNumbered10ptLeft0Hanging025">
    <w:name w:val="Style Numbered 10 pt Left:  0&quot; Hanging:  0.25&quot;"/>
    <w:basedOn w:val="NoList"/>
    <w:rsid w:val="00226556"/>
    <w:pPr>
      <w:numPr>
        <w:numId w:val="48"/>
      </w:numPr>
    </w:pPr>
  </w:style>
  <w:style w:type="numbering" w:customStyle="1" w:styleId="StyleNumberedLeft0Hanging025">
    <w:name w:val="Style Numbered Left:  0&quot; Hanging:  0.25&quot;"/>
    <w:basedOn w:val="NoList"/>
    <w:rsid w:val="00226556"/>
    <w:pPr>
      <w:numPr>
        <w:numId w:val="49"/>
      </w:numPr>
    </w:pPr>
  </w:style>
  <w:style w:type="paragraph" w:customStyle="1" w:styleId="TableTextDecimalAlign">
    <w:name w:val="TableTextDecimalAlign"/>
    <w:basedOn w:val="Normal"/>
    <w:rsid w:val="006A406F"/>
    <w:pPr>
      <w:keepNext/>
      <w:tabs>
        <w:tab w:val="decimal" w:pos="1119"/>
      </w:tabs>
      <w:spacing w:before="60" w:line="240" w:lineRule="auto"/>
    </w:pPr>
    <w:rPr>
      <w:rFonts w:ascii="Calibri" w:hAnsi="Calibri"/>
      <w:color w:val="000000"/>
      <w:sz w:val="20"/>
      <w:szCs w:val="21"/>
    </w:rPr>
  </w:style>
  <w:style w:type="paragraph" w:customStyle="1" w:styleId="Tableheading">
    <w:name w:val="Table heading"/>
    <w:basedOn w:val="Normal"/>
    <w:rsid w:val="003B0A5F"/>
    <w:pPr>
      <w:spacing w:before="60" w:line="240" w:lineRule="auto"/>
    </w:pPr>
    <w:rPr>
      <w:b/>
      <w:bCs/>
      <w:color w:val="000000"/>
      <w:sz w:val="20"/>
      <w:szCs w:val="20"/>
    </w:rPr>
  </w:style>
  <w:style w:type="paragraph" w:customStyle="1" w:styleId="StyleEndnoteTextLeft0cmHanging05cm">
    <w:name w:val="Style Endnote Text + Left:  0 cm Hanging:  0.5 cm"/>
    <w:basedOn w:val="EndnoteText"/>
    <w:rsid w:val="000C0845"/>
    <w:pPr>
      <w:spacing w:after="60"/>
      <w:ind w:left="284" w:hanging="284"/>
    </w:pPr>
    <w:rPr>
      <w:szCs w:val="20"/>
    </w:rPr>
  </w:style>
  <w:style w:type="paragraph" w:customStyle="1" w:styleId="References">
    <w:name w:val="References"/>
    <w:basedOn w:val="Normal"/>
    <w:rsid w:val="001C3B56"/>
    <w:pPr>
      <w:spacing w:before="120" w:line="240" w:lineRule="auto"/>
      <w:ind w:left="284" w:hanging="284"/>
    </w:pPr>
    <w:rPr>
      <w:rFonts w:ascii="Calibri" w:hAnsi="Calibri"/>
      <w:sz w:val="20"/>
    </w:rPr>
  </w:style>
  <w:style w:type="paragraph" w:customStyle="1" w:styleId="StyleReferencesItalic">
    <w:name w:val="Style References + Italic"/>
    <w:basedOn w:val="References"/>
    <w:rsid w:val="002E1611"/>
    <w:rPr>
      <w:i/>
      <w:iCs/>
    </w:rPr>
  </w:style>
  <w:style w:type="paragraph" w:customStyle="1" w:styleId="TableUnder">
    <w:name w:val="Table Under"/>
    <w:basedOn w:val="TableUnderlast"/>
    <w:qFormat/>
    <w:rsid w:val="00B6764E"/>
    <w:pPr>
      <w:keepNext/>
      <w:spacing w:after="0" w:line="240" w:lineRule="auto"/>
    </w:pPr>
    <w:rPr>
      <w:lang w:eastAsia="en-US"/>
    </w:rPr>
  </w:style>
  <w:style w:type="paragraph" w:customStyle="1" w:styleId="Heading1a">
    <w:name w:val="Heading 1a"/>
    <w:basedOn w:val="Heading1"/>
    <w:qFormat/>
    <w:rsid w:val="002923D1"/>
    <w:pPr>
      <w:numPr>
        <w:numId w:val="0"/>
      </w:numPr>
    </w:pPr>
  </w:style>
  <w:style w:type="paragraph" w:customStyle="1" w:styleId="NormalBulleteda">
    <w:name w:val="Normal Bulleted (a)"/>
    <w:basedOn w:val="Normal"/>
    <w:rsid w:val="00ED05F4"/>
    <w:pPr>
      <w:tabs>
        <w:tab w:val="left" w:pos="454"/>
      </w:tabs>
      <w:spacing w:before="120"/>
      <w:ind w:left="454" w:hanging="454"/>
    </w:pPr>
    <w:rPr>
      <w:szCs w:val="20"/>
    </w:rPr>
  </w:style>
  <w:style w:type="paragraph" w:customStyle="1" w:styleId="NormalBulletedTablea">
    <w:name w:val="Normal Bulleted Table (a)"/>
    <w:basedOn w:val="Normal"/>
    <w:rsid w:val="00AA632A"/>
    <w:pPr>
      <w:spacing w:before="0" w:after="0"/>
      <w:ind w:left="562" w:hanging="562"/>
    </w:pPr>
    <w:rPr>
      <w:sz w:val="20"/>
      <w:szCs w:val="20"/>
    </w:rPr>
  </w:style>
  <w:style w:type="numbering" w:customStyle="1" w:styleId="StyleBulletedCalibri10ptBlackLeft0cmHanging064">
    <w:name w:val="Style Bulleted Calibri 10 pt Black Left:  0 cm Hanging:  0.64 ..."/>
    <w:basedOn w:val="NoList"/>
    <w:rsid w:val="00F819AE"/>
    <w:pPr>
      <w:numPr>
        <w:numId w:val="56"/>
      </w:numPr>
    </w:pPr>
  </w:style>
  <w:style w:type="paragraph" w:customStyle="1" w:styleId="NormalBulletedTableroman">
    <w:name w:val="Normal Bulleted Table roman"/>
    <w:basedOn w:val="Normal"/>
    <w:rsid w:val="00BE69BD"/>
    <w:pPr>
      <w:tabs>
        <w:tab w:val="left" w:pos="397"/>
      </w:tabs>
      <w:spacing w:before="40" w:after="40"/>
      <w:ind w:left="397" w:hanging="397"/>
    </w:pPr>
    <w:rPr>
      <w:color w:val="000000"/>
      <w:sz w:val="20"/>
      <w:szCs w:val="20"/>
    </w:rPr>
  </w:style>
  <w:style w:type="character" w:customStyle="1" w:styleId="TabletextChar">
    <w:name w:val="Table text Char"/>
    <w:basedOn w:val="DefaultParagraphFont"/>
    <w:link w:val="Tabletext"/>
    <w:rsid w:val="006446E2"/>
    <w:rPr>
      <w:rFonts w:asciiTheme="minorHAnsi" w:hAnsiTheme="minorHAnsi"/>
    </w:rPr>
  </w:style>
  <w:style w:type="character" w:customStyle="1" w:styleId="EndNoteBibliographyChar">
    <w:name w:val="EndNote Bibliography Char"/>
    <w:basedOn w:val="DefaultParagraphFont"/>
    <w:link w:val="EndNoteBibliography"/>
    <w:rsid w:val="006446E2"/>
    <w:rPr>
      <w:rFonts w:ascii="Cambria" w:eastAsiaTheme="minorEastAsia" w:hAnsi="Cambria"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6757928">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98518452">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4203505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786089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3000663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82432968">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12377709">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1598476">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55956436">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1732714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6718315">
      <w:bodyDiv w:val="1"/>
      <w:marLeft w:val="0"/>
      <w:marRight w:val="0"/>
      <w:marTop w:val="0"/>
      <w:marBottom w:val="0"/>
      <w:divBdr>
        <w:top w:val="none" w:sz="0" w:space="0" w:color="auto"/>
        <w:left w:val="none" w:sz="0" w:space="0" w:color="auto"/>
        <w:bottom w:val="none" w:sz="0" w:space="0" w:color="auto"/>
        <w:right w:val="none" w:sz="0" w:space="0" w:color="auto"/>
      </w:divBdr>
    </w:div>
    <w:div w:id="985356684">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0365356">
      <w:bodyDiv w:val="1"/>
      <w:marLeft w:val="0"/>
      <w:marRight w:val="0"/>
      <w:marTop w:val="0"/>
      <w:marBottom w:val="0"/>
      <w:divBdr>
        <w:top w:val="none" w:sz="0" w:space="0" w:color="auto"/>
        <w:left w:val="none" w:sz="0" w:space="0" w:color="auto"/>
        <w:bottom w:val="none" w:sz="0" w:space="0" w:color="auto"/>
        <w:right w:val="none" w:sz="0" w:space="0" w:color="auto"/>
      </w:divBdr>
    </w:div>
    <w:div w:id="1087964276">
      <w:bodyDiv w:val="1"/>
      <w:marLeft w:val="0"/>
      <w:marRight w:val="0"/>
      <w:marTop w:val="0"/>
      <w:marBottom w:val="0"/>
      <w:divBdr>
        <w:top w:val="none" w:sz="0" w:space="0" w:color="auto"/>
        <w:left w:val="none" w:sz="0" w:space="0" w:color="auto"/>
        <w:bottom w:val="none" w:sz="0" w:space="0" w:color="auto"/>
        <w:right w:val="none" w:sz="0" w:space="0" w:color="auto"/>
      </w:divBdr>
      <w:divsChild>
        <w:div w:id="607471973">
          <w:marLeft w:val="0"/>
          <w:marRight w:val="0"/>
          <w:marTop w:val="0"/>
          <w:marBottom w:val="0"/>
          <w:divBdr>
            <w:top w:val="none" w:sz="0" w:space="0" w:color="auto"/>
            <w:left w:val="none" w:sz="0" w:space="0" w:color="auto"/>
            <w:bottom w:val="none" w:sz="0" w:space="0" w:color="auto"/>
            <w:right w:val="none" w:sz="0" w:space="0" w:color="auto"/>
          </w:divBdr>
          <w:divsChild>
            <w:div w:id="433207794">
              <w:marLeft w:val="0"/>
              <w:marRight w:val="0"/>
              <w:marTop w:val="0"/>
              <w:marBottom w:val="0"/>
              <w:divBdr>
                <w:top w:val="none" w:sz="0" w:space="0" w:color="auto"/>
                <w:left w:val="none" w:sz="0" w:space="0" w:color="auto"/>
                <w:bottom w:val="none" w:sz="0" w:space="0" w:color="auto"/>
                <w:right w:val="none" w:sz="0" w:space="0" w:color="auto"/>
              </w:divBdr>
              <w:divsChild>
                <w:div w:id="870414502">
                  <w:marLeft w:val="-75"/>
                  <w:marRight w:val="-75"/>
                  <w:marTop w:val="0"/>
                  <w:marBottom w:val="0"/>
                  <w:divBdr>
                    <w:top w:val="none" w:sz="0" w:space="0" w:color="auto"/>
                    <w:left w:val="none" w:sz="0" w:space="0" w:color="auto"/>
                    <w:bottom w:val="none" w:sz="0" w:space="0" w:color="auto"/>
                    <w:right w:val="none" w:sz="0" w:space="0" w:color="auto"/>
                  </w:divBdr>
                  <w:divsChild>
                    <w:div w:id="1005396188">
                      <w:marLeft w:val="0"/>
                      <w:marRight w:val="0"/>
                      <w:marTop w:val="0"/>
                      <w:marBottom w:val="0"/>
                      <w:divBdr>
                        <w:top w:val="none" w:sz="0" w:space="0" w:color="auto"/>
                        <w:left w:val="none" w:sz="0" w:space="0" w:color="auto"/>
                        <w:bottom w:val="none" w:sz="0" w:space="0" w:color="auto"/>
                        <w:right w:val="none" w:sz="0" w:space="0" w:color="auto"/>
                      </w:divBdr>
                      <w:divsChild>
                        <w:div w:id="135997724">
                          <w:marLeft w:val="-75"/>
                          <w:marRight w:val="-75"/>
                          <w:marTop w:val="0"/>
                          <w:marBottom w:val="0"/>
                          <w:divBdr>
                            <w:top w:val="none" w:sz="0" w:space="0" w:color="auto"/>
                            <w:left w:val="none" w:sz="0" w:space="0" w:color="auto"/>
                            <w:bottom w:val="none" w:sz="0" w:space="0" w:color="auto"/>
                            <w:right w:val="none" w:sz="0" w:space="0" w:color="auto"/>
                          </w:divBdr>
                          <w:divsChild>
                            <w:div w:id="1649743870">
                              <w:marLeft w:val="0"/>
                              <w:marRight w:val="0"/>
                              <w:marTop w:val="0"/>
                              <w:marBottom w:val="0"/>
                              <w:divBdr>
                                <w:top w:val="none" w:sz="0" w:space="0" w:color="auto"/>
                                <w:left w:val="none" w:sz="0" w:space="0" w:color="auto"/>
                                <w:bottom w:val="none" w:sz="0" w:space="0" w:color="auto"/>
                                <w:right w:val="none" w:sz="0" w:space="0" w:color="auto"/>
                              </w:divBdr>
                              <w:divsChild>
                                <w:div w:id="1267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31240923">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213863">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3294528">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16903452">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4128324">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79821459">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35009741">
      <w:bodyDiv w:val="1"/>
      <w:marLeft w:val="0"/>
      <w:marRight w:val="0"/>
      <w:marTop w:val="0"/>
      <w:marBottom w:val="0"/>
      <w:divBdr>
        <w:top w:val="none" w:sz="0" w:space="0" w:color="auto"/>
        <w:left w:val="none" w:sz="0" w:space="0" w:color="auto"/>
        <w:bottom w:val="none" w:sz="0" w:space="0" w:color="auto"/>
        <w:right w:val="none" w:sz="0" w:space="0" w:color="auto"/>
      </w:divBdr>
    </w:div>
    <w:div w:id="1747262333">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15829092">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4739167">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55874826">
      <w:bodyDiv w:val="1"/>
      <w:marLeft w:val="0"/>
      <w:marRight w:val="0"/>
      <w:marTop w:val="0"/>
      <w:marBottom w:val="0"/>
      <w:divBdr>
        <w:top w:val="none" w:sz="0" w:space="0" w:color="auto"/>
        <w:left w:val="none" w:sz="0" w:space="0" w:color="auto"/>
        <w:bottom w:val="none" w:sz="0" w:space="0" w:color="auto"/>
        <w:right w:val="none" w:sz="0" w:space="0" w:color="auto"/>
      </w:divBdr>
      <w:divsChild>
        <w:div w:id="1468820287">
          <w:marLeft w:val="0"/>
          <w:marRight w:val="0"/>
          <w:marTop w:val="0"/>
          <w:marBottom w:val="0"/>
          <w:divBdr>
            <w:top w:val="none" w:sz="0" w:space="0" w:color="auto"/>
            <w:left w:val="none" w:sz="0" w:space="0" w:color="auto"/>
            <w:bottom w:val="none" w:sz="0" w:space="0" w:color="auto"/>
            <w:right w:val="none" w:sz="0" w:space="0" w:color="auto"/>
          </w:divBdr>
          <w:divsChild>
            <w:div w:id="1828324388">
              <w:marLeft w:val="0"/>
              <w:marRight w:val="0"/>
              <w:marTop w:val="0"/>
              <w:marBottom w:val="0"/>
              <w:divBdr>
                <w:top w:val="none" w:sz="0" w:space="0" w:color="auto"/>
                <w:left w:val="none" w:sz="0" w:space="0" w:color="auto"/>
                <w:bottom w:val="none" w:sz="0" w:space="0" w:color="auto"/>
                <w:right w:val="none" w:sz="0" w:space="0" w:color="auto"/>
              </w:divBdr>
              <w:divsChild>
                <w:div w:id="541406057">
                  <w:marLeft w:val="0"/>
                  <w:marRight w:val="0"/>
                  <w:marTop w:val="360"/>
                  <w:marBottom w:val="0"/>
                  <w:divBdr>
                    <w:top w:val="single" w:sz="6" w:space="6" w:color="660033"/>
                    <w:left w:val="none" w:sz="0" w:space="0" w:color="auto"/>
                    <w:bottom w:val="none" w:sz="0" w:space="0" w:color="auto"/>
                    <w:right w:val="none" w:sz="0" w:space="0" w:color="auto"/>
                  </w:divBdr>
                  <w:divsChild>
                    <w:div w:id="18284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84514727">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62690941">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4874107">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77781010">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 w:id="21473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yandquality.gov.au/atlas/" TargetMode="External"/><Relationship Id="rId13" Type="http://schemas.openxmlformats.org/officeDocument/2006/relationships/footer" Target="footer2.xml"/><Relationship Id="rId18" Type="http://schemas.openxmlformats.org/officeDocument/2006/relationships/hyperlink" Target="http://www.asha.org/slp/clinical/dysphagia/talking_points_endoscop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umanservices.gov.au" TargetMode="External"/><Relationship Id="rId17" Type="http://schemas.openxmlformats.org/officeDocument/2006/relationships/hyperlink" Target="http://www.asha.org/policy/PS2008-00297" TargetMode="External"/><Relationship Id="rId2" Type="http://schemas.openxmlformats.org/officeDocument/2006/relationships/numbering" Target="numbering.xml"/><Relationship Id="rId16" Type="http://schemas.openxmlformats.org/officeDocument/2006/relationships/hyperlink" Target="http://www.australiandoctor.com.au/cmspages/getfile.aspx?guid=37a4e825-6b85-4e25-8c05-3ba8ad21e0f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medicine.medscape.com/article/866178-overview" TargetMode="External"/><Relationship Id="rId10" Type="http://schemas.openxmlformats.org/officeDocument/2006/relationships/hyperlink" Target="http://www.asohns.org.au/CMS/Uploads/file/Membership/Indications-for-Tonsillectomy-and-Adenotonsillectomy-in-Children-Joint-Position-Paper-ACP-and-ASOHNS-July-2008.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ingsfund.org.uk/publications/variations-health-car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F807B81A-DC38-426C-B525-176EB242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88</Pages>
  <Words>33678</Words>
  <Characters>191971</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Medicare Benefits Schedule Review Taskforce Final first report from the</vt:lpstr>
    </vt:vector>
  </TitlesOfParts>
  <Company/>
  <LinksUpToDate>false</LinksUpToDate>
  <CharactersWithSpaces>225199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Final report from the</dc:title>
  <dc:subject>Medicare Benefits Schedule</dc:subject>
  <dc:creator>Australian Government Department of Health</dc:creator>
  <cp:keywords/>
  <dc:description>_x000d_
</dc:description>
  <cp:lastModifiedBy>ROBERTSON, Jen</cp:lastModifiedBy>
  <cp:revision>4</cp:revision>
  <cp:lastPrinted>2016-08-25T03:26:00Z</cp:lastPrinted>
  <dcterms:created xsi:type="dcterms:W3CDTF">2021-07-18T23:17:00Z</dcterms:created>
  <dcterms:modified xsi:type="dcterms:W3CDTF">2021-07-22T07:34:00Z</dcterms:modified>
</cp:coreProperties>
</file>