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5F1A1" w14:textId="4ECCC307" w:rsidR="006E7E3B" w:rsidRPr="008631C8" w:rsidRDefault="006E7E3B" w:rsidP="006261E5">
      <w:pPr>
        <w:pStyle w:val="Heading1"/>
        <w:tabs>
          <w:tab w:val="left" w:pos="8055"/>
        </w:tabs>
        <w:spacing w:before="120" w:after="120" w:line="360" w:lineRule="auto"/>
      </w:pPr>
      <w:r>
        <w:t>COVID-19 vaccine</w:t>
      </w:r>
    </w:p>
    <w:p w14:paraId="63CE5605" w14:textId="1C914A57" w:rsidR="00A56CC0" w:rsidRDefault="005F5E50" w:rsidP="0080208E">
      <w:pPr>
        <w:pStyle w:val="Heading2"/>
      </w:pPr>
      <w:r>
        <w:t>6 steps to approve a vaccine</w:t>
      </w:r>
    </w:p>
    <w:p w14:paraId="72136FCC" w14:textId="02B49FDA" w:rsidR="006E7E3B" w:rsidRDefault="006E7E3B" w:rsidP="006E7E3B">
      <w:pPr>
        <w:pStyle w:val="Heading3"/>
        <w:spacing w:after="240"/>
      </w:pPr>
      <w:r>
        <w:t xml:space="preserve">Easy Read </w:t>
      </w:r>
      <w:r w:rsidRPr="003F560D">
        <w:t>fact sheet</w:t>
      </w:r>
    </w:p>
    <w:p w14:paraId="66650FFC" w14:textId="5F7C1DF6" w:rsidR="006261E5" w:rsidRPr="006261E5" w:rsidRDefault="006261E5" w:rsidP="006261E5">
      <w:r>
        <w:t>Australian Government</w:t>
      </w:r>
    </w:p>
    <w:p w14:paraId="153378BD" w14:textId="7E18894D" w:rsidR="006261E5" w:rsidRPr="00506436" w:rsidRDefault="006261E5" w:rsidP="006261E5">
      <w:r>
        <w:t xml:space="preserve">The </w:t>
      </w:r>
      <w:sdt>
        <w:sdtPr>
          <w:alias w:val="Author"/>
          <w:tag w:val=""/>
          <w:id w:val="797578269"/>
          <w:placeholder>
            <w:docPart w:val="488288A5C806454CB9C008C00BC7A3B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t>Australian Government</w:t>
          </w:r>
        </w:sdtContent>
      </w:sdt>
      <w:r w:rsidRPr="00506436">
        <w:t xml:space="preserve"> wrote this </w:t>
      </w:r>
      <w:r>
        <w:t>fact sheet</w:t>
      </w:r>
      <w:r w:rsidRPr="00506436">
        <w:t>.</w:t>
      </w:r>
      <w:r>
        <w:t xml:space="preserve"> </w:t>
      </w:r>
      <w:r w:rsidRPr="00506436">
        <w:t>When you see the word ‘we’, it means</w:t>
      </w:r>
      <w:r>
        <w:t xml:space="preserve"> the </w:t>
      </w:r>
      <w:sdt>
        <w:sdtPr>
          <w:alias w:val="Author"/>
          <w:tag w:val=""/>
          <w:id w:val="-725451046"/>
          <w:placeholder>
            <w:docPart w:val="6D20FB62E9F142B895ED0DB299916C0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t>Australian Government</w:t>
          </w:r>
        </w:sdtContent>
      </w:sdt>
      <w:r w:rsidRPr="00506436">
        <w:t xml:space="preserve">. </w:t>
      </w:r>
    </w:p>
    <w:p w14:paraId="72ABA421" w14:textId="77777777" w:rsidR="006261E5" w:rsidRPr="00506436" w:rsidRDefault="006261E5" w:rsidP="006261E5">
      <w:r w:rsidRPr="00506436">
        <w:t xml:space="preserve">We wrote this </w:t>
      </w:r>
      <w:r>
        <w:t xml:space="preserve">fact sheet </w:t>
      </w:r>
      <w:r w:rsidRPr="00506436">
        <w:t xml:space="preserve">in an easy to read way. </w:t>
      </w:r>
    </w:p>
    <w:p w14:paraId="3DC46C0B" w14:textId="6B573F41" w:rsidR="006261E5" w:rsidRPr="00506436" w:rsidRDefault="006261E5" w:rsidP="006261E5">
      <w:r w:rsidRPr="000F6E4B">
        <w:t>You can ask for help to read</w:t>
      </w:r>
      <w:r>
        <w:t xml:space="preserve"> </w:t>
      </w:r>
      <w:r w:rsidRPr="000F6E4B">
        <w:t xml:space="preserve">this </w:t>
      </w:r>
      <w:r>
        <w:t>fact sheet</w:t>
      </w:r>
      <w:r w:rsidRPr="000F6E4B">
        <w:t>. A friend, family</w:t>
      </w:r>
      <w:r>
        <w:t xml:space="preserve"> </w:t>
      </w:r>
      <w:r w:rsidRPr="000F6E4B">
        <w:t>member or support person</w:t>
      </w:r>
      <w:r>
        <w:t xml:space="preserve"> </w:t>
      </w:r>
      <w:r w:rsidRPr="000F6E4B">
        <w:t xml:space="preserve">may be able to help you. </w:t>
      </w:r>
    </w:p>
    <w:p w14:paraId="17BB8D1F" w14:textId="77777777" w:rsidR="00307E6C" w:rsidRDefault="00307E6C" w:rsidP="006261E5">
      <w:r>
        <w:rPr>
          <w:b/>
        </w:rPr>
        <w:br w:type="page"/>
      </w:r>
    </w:p>
    <w:p w14:paraId="404A4993" w14:textId="604A0A1C" w:rsidR="006E7E3B" w:rsidRDefault="006E7E3B" w:rsidP="0080208E">
      <w:pPr>
        <w:pStyle w:val="TOCHeading"/>
      </w:pPr>
      <w:bookmarkStart w:id="0" w:name="_Toc64289144"/>
      <w:r>
        <w:lastRenderedPageBreak/>
        <w:t>What is th</w:t>
      </w:r>
      <w:r w:rsidR="005F5E50">
        <w:t>is fact sheet about</w:t>
      </w:r>
      <w:bookmarkEnd w:id="0"/>
      <w:r w:rsidR="00E3104A">
        <w:t>?</w:t>
      </w:r>
    </w:p>
    <w:p w14:paraId="46163602" w14:textId="77777777" w:rsidR="006261E5" w:rsidRDefault="006261E5" w:rsidP="006261E5">
      <w:r>
        <w:t xml:space="preserve">A </w:t>
      </w:r>
      <w:r w:rsidRPr="009F412C">
        <w:rPr>
          <w:rStyle w:val="Strong"/>
        </w:rPr>
        <w:t>vaccine</w:t>
      </w:r>
      <w:r>
        <w:t xml:space="preserve"> is a type of medicine that: </w:t>
      </w:r>
    </w:p>
    <w:p w14:paraId="5D22D1FA" w14:textId="028EFA20" w:rsidR="006261E5" w:rsidRDefault="006261E5" w:rsidP="006261E5">
      <w:pPr>
        <w:numPr>
          <w:ilvl w:val="0"/>
          <w:numId w:val="15"/>
        </w:numPr>
      </w:pPr>
      <w:r>
        <w:t xml:space="preserve">helps people fight a virus if they </w:t>
      </w:r>
      <w:proofErr w:type="gramStart"/>
      <w:r>
        <w:t>come in contact with</w:t>
      </w:r>
      <w:proofErr w:type="gramEnd"/>
      <w:r>
        <w:t xml:space="preserve"> it</w:t>
      </w:r>
    </w:p>
    <w:p w14:paraId="1BDE4933" w14:textId="1FBB4864" w:rsidR="006261E5" w:rsidRPr="00506436" w:rsidRDefault="006261E5" w:rsidP="006261E5">
      <w:pPr>
        <w:numPr>
          <w:ilvl w:val="0"/>
          <w:numId w:val="15"/>
        </w:numPr>
      </w:pPr>
      <w:r>
        <w:t>can stop people from getting very sick from the virus.</w:t>
      </w:r>
    </w:p>
    <w:p w14:paraId="39AAFA27" w14:textId="77777777" w:rsidR="006261E5" w:rsidRDefault="006261E5" w:rsidP="006261E5">
      <w:r>
        <w:t>The COVID-19 vaccine teaches your body how to fight COVID-19.</w:t>
      </w:r>
    </w:p>
    <w:p w14:paraId="6F4B6EBA" w14:textId="77777777" w:rsidR="006261E5" w:rsidRDefault="006261E5" w:rsidP="006261E5">
      <w:r>
        <w:t>The COVID-19 vaccine is a safe way to protect:</w:t>
      </w:r>
    </w:p>
    <w:p w14:paraId="3BE3B721" w14:textId="77777777" w:rsidR="006261E5" w:rsidRDefault="006261E5" w:rsidP="006261E5">
      <w:pPr>
        <w:numPr>
          <w:ilvl w:val="0"/>
          <w:numId w:val="15"/>
        </w:numPr>
      </w:pPr>
      <w:r>
        <w:t xml:space="preserve">you </w:t>
      </w:r>
    </w:p>
    <w:p w14:paraId="29F533A6" w14:textId="77777777" w:rsidR="006261E5" w:rsidRDefault="006261E5" w:rsidP="006261E5">
      <w:pPr>
        <w:numPr>
          <w:ilvl w:val="0"/>
          <w:numId w:val="15"/>
        </w:numPr>
      </w:pPr>
      <w:r>
        <w:t>your family</w:t>
      </w:r>
    </w:p>
    <w:p w14:paraId="3ECB25CC" w14:textId="77777777" w:rsidR="006261E5" w:rsidRDefault="006261E5" w:rsidP="006261E5">
      <w:pPr>
        <w:numPr>
          <w:ilvl w:val="0"/>
          <w:numId w:val="15"/>
        </w:numPr>
      </w:pPr>
      <w:r>
        <w:t>the community.</w:t>
      </w:r>
    </w:p>
    <w:p w14:paraId="1275C952" w14:textId="77777777" w:rsidR="006261E5" w:rsidRPr="00506436" w:rsidRDefault="006261E5" w:rsidP="006261E5">
      <w:r>
        <w:t xml:space="preserve">In Australia, the </w:t>
      </w:r>
      <w:r w:rsidRPr="00EF2490">
        <w:rPr>
          <w:rStyle w:val="Strong"/>
        </w:rPr>
        <w:t xml:space="preserve">Therapeutic Goods Administration (TGA) </w:t>
      </w:r>
      <w:r>
        <w:t>approves all vaccines before they can be used.</w:t>
      </w:r>
    </w:p>
    <w:p w14:paraId="4BB909D5" w14:textId="77777777" w:rsidR="006261E5" w:rsidRDefault="006261E5" w:rsidP="006261E5">
      <w:r>
        <w:t xml:space="preserve">The TGA is a group of </w:t>
      </w:r>
      <w:r w:rsidRPr="00254F5A">
        <w:rPr>
          <w:rStyle w:val="Strong"/>
        </w:rPr>
        <w:t>independent</w:t>
      </w:r>
      <w:r>
        <w:t xml:space="preserve"> medical experts.</w:t>
      </w:r>
    </w:p>
    <w:p w14:paraId="14BB0F51" w14:textId="77777777" w:rsidR="006261E5" w:rsidRDefault="006261E5" w:rsidP="006261E5">
      <w:r>
        <w:t>This means they make their own decisions using the scientific information they have.</w:t>
      </w:r>
    </w:p>
    <w:p w14:paraId="67474F38" w14:textId="77777777" w:rsidR="006261E5" w:rsidRDefault="006261E5" w:rsidP="006261E5">
      <w:r>
        <w:t>The TGA makes sure the medicines we use in Australia work well.</w:t>
      </w:r>
    </w:p>
    <w:p w14:paraId="35B70B69" w14:textId="77777777" w:rsidR="006261E5" w:rsidRDefault="006261E5" w:rsidP="006261E5">
      <w:r>
        <w:t>The TGA always follow the same 6 steps to approve a vaccine in Australia.</w:t>
      </w:r>
    </w:p>
    <w:p w14:paraId="4A3D7C7B" w14:textId="77777777" w:rsidR="006261E5" w:rsidRDefault="006261E5" w:rsidP="006261E5">
      <w:r>
        <w:t>We explain those 6 steps on the following pages.</w:t>
      </w:r>
    </w:p>
    <w:p w14:paraId="64890708" w14:textId="77777777" w:rsidR="004504FA" w:rsidRDefault="004504FA" w:rsidP="006261E5">
      <w:r>
        <w:br w:type="page"/>
      </w:r>
    </w:p>
    <w:p w14:paraId="09F328D1" w14:textId="77777777" w:rsidR="00CD173F" w:rsidRDefault="00CD173F" w:rsidP="0080208E">
      <w:pPr>
        <w:pStyle w:val="Heading2"/>
      </w:pPr>
      <w:bookmarkStart w:id="1" w:name="_Hlk64476678"/>
      <w:r>
        <w:lastRenderedPageBreak/>
        <w:t>Step 1 – Before the application</w:t>
      </w:r>
    </w:p>
    <w:p w14:paraId="0235BB8F" w14:textId="77777777" w:rsidR="006261E5" w:rsidRPr="00506436" w:rsidRDefault="006261E5" w:rsidP="006261E5">
      <w:r>
        <w:t>There are many companies around the world that:</w:t>
      </w:r>
    </w:p>
    <w:p w14:paraId="626900FD" w14:textId="77777777" w:rsidR="006261E5" w:rsidRDefault="006261E5" w:rsidP="006261E5">
      <w:pPr>
        <w:numPr>
          <w:ilvl w:val="0"/>
          <w:numId w:val="15"/>
        </w:numPr>
      </w:pPr>
      <w:r>
        <w:t>make medicines and vaccines</w:t>
      </w:r>
    </w:p>
    <w:p w14:paraId="7157D1E9" w14:textId="77777777" w:rsidR="006261E5" w:rsidRDefault="006261E5" w:rsidP="006261E5">
      <w:pPr>
        <w:pStyle w:val="ListParagraph"/>
        <w:numPr>
          <w:ilvl w:val="0"/>
          <w:numId w:val="24"/>
        </w:numPr>
      </w:pPr>
      <w:r>
        <w:t>send out medicines and vaccines.</w:t>
      </w:r>
    </w:p>
    <w:p w14:paraId="511CCCFB" w14:textId="751DABA5" w:rsidR="006261E5" w:rsidRDefault="006261E5" w:rsidP="006261E5">
      <w:r>
        <w:t xml:space="preserve">Companies must send the TGA a form to apply for their vaccine to </w:t>
      </w:r>
      <w:r>
        <w:br/>
        <w:t>be approved.</w:t>
      </w:r>
    </w:p>
    <w:p w14:paraId="58F0A468" w14:textId="77777777" w:rsidR="006261E5" w:rsidRDefault="006261E5" w:rsidP="006261E5">
      <w:r>
        <w:t xml:space="preserve">We call this an </w:t>
      </w:r>
      <w:r w:rsidRPr="00960738">
        <w:rPr>
          <w:rStyle w:val="Strong"/>
        </w:rPr>
        <w:t>application</w:t>
      </w:r>
      <w:r>
        <w:t>.</w:t>
      </w:r>
    </w:p>
    <w:p w14:paraId="4DE2D9ED" w14:textId="5CABD4EC" w:rsidR="007C3A28" w:rsidRDefault="006261E5" w:rsidP="006261E5">
      <w:r>
        <w:t>Before a company can send the TGA an application, they must tell the TGA first.</w:t>
      </w:r>
    </w:p>
    <w:p w14:paraId="0B123975" w14:textId="77777777" w:rsidR="006261E5" w:rsidRDefault="006261E5" w:rsidP="006261E5">
      <w:r>
        <w:t xml:space="preserve">The company must tell the TGA: </w:t>
      </w:r>
    </w:p>
    <w:p w14:paraId="553300F0" w14:textId="77777777" w:rsidR="006261E5" w:rsidRDefault="006261E5" w:rsidP="006261E5">
      <w:pPr>
        <w:numPr>
          <w:ilvl w:val="0"/>
          <w:numId w:val="15"/>
        </w:numPr>
      </w:pPr>
      <w:r>
        <w:t>about the vaccine they want to be approved</w:t>
      </w:r>
    </w:p>
    <w:p w14:paraId="20B7E350" w14:textId="77777777" w:rsidR="006261E5" w:rsidRDefault="006261E5" w:rsidP="006261E5">
      <w:pPr>
        <w:numPr>
          <w:ilvl w:val="0"/>
          <w:numId w:val="15"/>
        </w:numPr>
      </w:pPr>
      <w:r>
        <w:t>why people need the vaccine</w:t>
      </w:r>
    </w:p>
    <w:p w14:paraId="49982BA9" w14:textId="77777777" w:rsidR="006261E5" w:rsidRDefault="006261E5" w:rsidP="006261E5">
      <w:pPr>
        <w:numPr>
          <w:ilvl w:val="0"/>
          <w:numId w:val="15"/>
        </w:numPr>
      </w:pPr>
      <w:r>
        <w:t xml:space="preserve">what </w:t>
      </w:r>
      <w:r w:rsidRPr="00A97062">
        <w:rPr>
          <w:rStyle w:val="Strong"/>
        </w:rPr>
        <w:t>clinical trials</w:t>
      </w:r>
      <w:r>
        <w:t xml:space="preserve"> they have run.</w:t>
      </w:r>
    </w:p>
    <w:p w14:paraId="6DCFC3B0" w14:textId="77777777" w:rsidR="006261E5" w:rsidRDefault="006261E5" w:rsidP="006261E5">
      <w:r>
        <w:t>A clinical trial is research to test if a vaccine:</w:t>
      </w:r>
    </w:p>
    <w:p w14:paraId="56933A36" w14:textId="77777777" w:rsidR="006261E5" w:rsidRDefault="006261E5" w:rsidP="006261E5">
      <w:pPr>
        <w:numPr>
          <w:ilvl w:val="0"/>
          <w:numId w:val="18"/>
        </w:numPr>
      </w:pPr>
      <w:r w:rsidRPr="001E4AF8">
        <w:t>is safe</w:t>
      </w:r>
    </w:p>
    <w:p w14:paraId="692D0C72" w14:textId="77777777" w:rsidR="006261E5" w:rsidRDefault="006261E5" w:rsidP="006261E5">
      <w:pPr>
        <w:numPr>
          <w:ilvl w:val="0"/>
          <w:numId w:val="18"/>
        </w:numPr>
      </w:pPr>
      <w:r>
        <w:t>works well.</w:t>
      </w:r>
    </w:p>
    <w:p w14:paraId="004361A9" w14:textId="77777777" w:rsidR="006261E5" w:rsidRDefault="006261E5" w:rsidP="006261E5">
      <w:r>
        <w:t>The company must also tell the TGA how they will make sure in the future their vaccine:</w:t>
      </w:r>
    </w:p>
    <w:p w14:paraId="3406479E" w14:textId="77777777" w:rsidR="006261E5" w:rsidRDefault="006261E5" w:rsidP="006261E5">
      <w:pPr>
        <w:numPr>
          <w:ilvl w:val="0"/>
          <w:numId w:val="18"/>
        </w:numPr>
      </w:pPr>
      <w:r>
        <w:t>is safe</w:t>
      </w:r>
    </w:p>
    <w:p w14:paraId="6FF64D37" w14:textId="77777777" w:rsidR="006261E5" w:rsidRDefault="006261E5" w:rsidP="006261E5">
      <w:pPr>
        <w:numPr>
          <w:ilvl w:val="0"/>
          <w:numId w:val="18"/>
        </w:numPr>
      </w:pPr>
      <w:r>
        <w:t>works well.</w:t>
      </w:r>
    </w:p>
    <w:p w14:paraId="56FD36E2" w14:textId="772B42B6" w:rsidR="006261E5" w:rsidRDefault="006261E5" w:rsidP="006261E5">
      <w:r>
        <w:t>If the TGA decides the company made the vaccine in the right way, they will tell them to apply.</w:t>
      </w:r>
    </w:p>
    <w:p w14:paraId="78CA0E1C" w14:textId="77777777" w:rsidR="00CD173F" w:rsidRDefault="00CD173F" w:rsidP="006261E5">
      <w:pPr>
        <w:rPr>
          <w:rFonts w:eastAsiaTheme="majorEastAsia" w:cstheme="majorBidi"/>
          <w:b/>
          <w:color w:val="3665AE"/>
          <w:sz w:val="36"/>
          <w:szCs w:val="36"/>
        </w:rPr>
      </w:pPr>
      <w:r>
        <w:br w:type="page"/>
      </w:r>
    </w:p>
    <w:p w14:paraId="6EF013E1" w14:textId="5F3AE2AF" w:rsidR="00CD173F" w:rsidRDefault="00CD173F" w:rsidP="006261E5">
      <w:pPr>
        <w:pStyle w:val="Heading2"/>
        <w:spacing w:line="348" w:lineRule="auto"/>
      </w:pPr>
      <w:r>
        <w:lastRenderedPageBreak/>
        <w:t xml:space="preserve">Step 2 – </w:t>
      </w:r>
      <w:r w:rsidR="00B040A8">
        <w:t>The application</w:t>
      </w:r>
    </w:p>
    <w:p w14:paraId="27D22CDD" w14:textId="0E4EBEEC" w:rsidR="006261E5" w:rsidRPr="00506436" w:rsidRDefault="006261E5" w:rsidP="006261E5">
      <w:pPr>
        <w:spacing w:line="348" w:lineRule="auto"/>
      </w:pPr>
      <w:r>
        <w:t xml:space="preserve">The company must send an application to the TGA for their vaccine to </w:t>
      </w:r>
      <w:r>
        <w:br/>
        <w:t>be approved.</w:t>
      </w:r>
    </w:p>
    <w:p w14:paraId="450FD34E" w14:textId="77777777" w:rsidR="006261E5" w:rsidRDefault="006261E5" w:rsidP="006261E5">
      <w:pPr>
        <w:spacing w:line="348" w:lineRule="auto"/>
      </w:pPr>
      <w:r>
        <w:t>When they apply, the company must tell the TGA:</w:t>
      </w:r>
    </w:p>
    <w:p w14:paraId="0B2A39F2" w14:textId="77777777" w:rsidR="006261E5" w:rsidRDefault="006261E5" w:rsidP="006261E5">
      <w:pPr>
        <w:numPr>
          <w:ilvl w:val="0"/>
          <w:numId w:val="18"/>
        </w:numPr>
        <w:spacing w:line="348" w:lineRule="auto"/>
      </w:pPr>
      <w:r>
        <w:t>how the clinical trials show the vaccine is safe</w:t>
      </w:r>
    </w:p>
    <w:p w14:paraId="588202A8" w14:textId="7842E323" w:rsidR="00304A35" w:rsidRDefault="006261E5" w:rsidP="006261E5">
      <w:pPr>
        <w:numPr>
          <w:ilvl w:val="0"/>
          <w:numId w:val="18"/>
        </w:numPr>
        <w:spacing w:line="348" w:lineRule="auto"/>
      </w:pPr>
      <w:r>
        <w:t>how the ingredients in the vaccine are safe.</w:t>
      </w:r>
    </w:p>
    <w:p w14:paraId="654B7DDE" w14:textId="77777777" w:rsidR="006261E5" w:rsidRDefault="006261E5" w:rsidP="006261E5">
      <w:pPr>
        <w:spacing w:line="348" w:lineRule="auto"/>
      </w:pPr>
      <w:r>
        <w:t>The company must also tell the TGA:</w:t>
      </w:r>
    </w:p>
    <w:p w14:paraId="1C288FA9" w14:textId="77777777" w:rsidR="006261E5" w:rsidRDefault="006261E5" w:rsidP="006261E5">
      <w:pPr>
        <w:numPr>
          <w:ilvl w:val="0"/>
          <w:numId w:val="18"/>
        </w:numPr>
        <w:spacing w:line="348" w:lineRule="auto"/>
      </w:pPr>
      <w:r>
        <w:t>how they will make the vaccine</w:t>
      </w:r>
    </w:p>
    <w:p w14:paraId="5B1C00FD" w14:textId="72EFD6A6" w:rsidR="006261E5" w:rsidRDefault="006261E5" w:rsidP="006261E5">
      <w:pPr>
        <w:numPr>
          <w:ilvl w:val="0"/>
          <w:numId w:val="18"/>
        </w:numPr>
        <w:spacing w:line="348" w:lineRule="auto"/>
      </w:pPr>
      <w:r>
        <w:t>if there are any risks for people who have the vaccine.</w:t>
      </w:r>
    </w:p>
    <w:p w14:paraId="3AD828B7" w14:textId="50BE0E84" w:rsidR="00CD173F" w:rsidRPr="006261E5" w:rsidRDefault="006261E5" w:rsidP="006261E5">
      <w:pPr>
        <w:spacing w:line="348" w:lineRule="auto"/>
      </w:pPr>
      <w:r>
        <w:t>If the TGA decides that the company provided enough information, they will move on to Step 3.</w:t>
      </w:r>
    </w:p>
    <w:p w14:paraId="62F428FF" w14:textId="55BFC538" w:rsidR="00CD173F" w:rsidRDefault="00CD173F" w:rsidP="006261E5">
      <w:pPr>
        <w:pStyle w:val="Heading2"/>
        <w:spacing w:line="348" w:lineRule="auto"/>
      </w:pPr>
      <w:r>
        <w:t xml:space="preserve">Step </w:t>
      </w:r>
      <w:r w:rsidR="003059A7">
        <w:t>3</w:t>
      </w:r>
      <w:r>
        <w:t xml:space="preserve"> – Looking at the application</w:t>
      </w:r>
    </w:p>
    <w:p w14:paraId="5DECB493" w14:textId="77777777" w:rsidR="006261E5" w:rsidRPr="00506436" w:rsidRDefault="006261E5" w:rsidP="006261E5">
      <w:pPr>
        <w:spacing w:line="348" w:lineRule="auto"/>
      </w:pPr>
      <w:r>
        <w:t xml:space="preserve">The TGA will carefully look at the: </w:t>
      </w:r>
    </w:p>
    <w:p w14:paraId="5CD8635C" w14:textId="77777777" w:rsidR="006261E5" w:rsidRDefault="006261E5" w:rsidP="006261E5">
      <w:pPr>
        <w:numPr>
          <w:ilvl w:val="0"/>
          <w:numId w:val="18"/>
        </w:numPr>
        <w:spacing w:line="348" w:lineRule="auto"/>
      </w:pPr>
      <w:r>
        <w:t>vaccine to make sure it is safe</w:t>
      </w:r>
    </w:p>
    <w:p w14:paraId="7468B934" w14:textId="77777777" w:rsidR="006261E5" w:rsidRDefault="006261E5" w:rsidP="006261E5">
      <w:pPr>
        <w:numPr>
          <w:ilvl w:val="0"/>
          <w:numId w:val="18"/>
        </w:numPr>
        <w:spacing w:line="348" w:lineRule="auto"/>
      </w:pPr>
      <w:r>
        <w:t>information the company provided.</w:t>
      </w:r>
    </w:p>
    <w:p w14:paraId="7095F899" w14:textId="77777777" w:rsidR="006261E5" w:rsidRDefault="006261E5" w:rsidP="006261E5">
      <w:pPr>
        <w:spacing w:line="348" w:lineRule="auto"/>
      </w:pPr>
      <w:r>
        <w:t>The TGA will:</w:t>
      </w:r>
    </w:p>
    <w:p w14:paraId="446EF766" w14:textId="77777777" w:rsidR="006261E5" w:rsidRDefault="006261E5" w:rsidP="006261E5">
      <w:pPr>
        <w:numPr>
          <w:ilvl w:val="0"/>
          <w:numId w:val="18"/>
        </w:numPr>
        <w:spacing w:line="348" w:lineRule="auto"/>
      </w:pPr>
      <w:r>
        <w:t>work with other experts to make sure the vaccine is safe</w:t>
      </w:r>
    </w:p>
    <w:p w14:paraId="7015DA98" w14:textId="0C95BF43" w:rsidR="006261E5" w:rsidRDefault="006261E5" w:rsidP="006261E5">
      <w:pPr>
        <w:numPr>
          <w:ilvl w:val="0"/>
          <w:numId w:val="18"/>
        </w:numPr>
        <w:spacing w:line="348" w:lineRule="auto"/>
      </w:pPr>
      <w:r>
        <w:t>look at every ingredient in the vaccine to make sure it is safe.</w:t>
      </w:r>
    </w:p>
    <w:p w14:paraId="116FF18F" w14:textId="77777777" w:rsidR="006261E5" w:rsidRDefault="006261E5" w:rsidP="006261E5">
      <w:pPr>
        <w:spacing w:line="348" w:lineRule="auto"/>
      </w:pPr>
      <w:r>
        <w:t>The TGA will also:</w:t>
      </w:r>
    </w:p>
    <w:p w14:paraId="0E92A3A3" w14:textId="77777777" w:rsidR="006261E5" w:rsidRDefault="006261E5" w:rsidP="006261E5">
      <w:pPr>
        <w:numPr>
          <w:ilvl w:val="0"/>
          <w:numId w:val="18"/>
        </w:numPr>
        <w:spacing w:line="348" w:lineRule="auto"/>
      </w:pPr>
      <w:r>
        <w:t>look at the clinical trials to make sure the vaccine is safe for everyone in Australia</w:t>
      </w:r>
    </w:p>
    <w:p w14:paraId="2A9C6FE5" w14:textId="42214E76" w:rsidR="006261E5" w:rsidRDefault="006261E5" w:rsidP="006261E5">
      <w:pPr>
        <w:numPr>
          <w:ilvl w:val="0"/>
          <w:numId w:val="18"/>
        </w:numPr>
        <w:spacing w:line="348" w:lineRule="auto"/>
      </w:pPr>
      <w:r>
        <w:t>make sure the vaccine meets Australian standards</w:t>
      </w:r>
    </w:p>
    <w:p w14:paraId="4E7D6933" w14:textId="323CD6A7" w:rsidR="006261E5" w:rsidRDefault="006261E5" w:rsidP="006261E5">
      <w:pPr>
        <w:numPr>
          <w:ilvl w:val="0"/>
          <w:numId w:val="18"/>
        </w:numPr>
        <w:spacing w:line="348" w:lineRule="auto"/>
      </w:pPr>
      <w:r>
        <w:t>look at how other countries around the world have used the vaccine.</w:t>
      </w:r>
    </w:p>
    <w:p w14:paraId="3F1B280C" w14:textId="7475242F" w:rsidR="00CD173F" w:rsidRPr="006261E5" w:rsidRDefault="006261E5" w:rsidP="006261E5">
      <w:pPr>
        <w:spacing w:line="348" w:lineRule="auto"/>
      </w:pPr>
      <w:r>
        <w:t>The TGA might also ask the company questions if they need to.</w:t>
      </w:r>
    </w:p>
    <w:p w14:paraId="5492261C" w14:textId="7C248E31" w:rsidR="00CD173F" w:rsidRPr="0080208E" w:rsidRDefault="00CD173F" w:rsidP="0080208E">
      <w:pPr>
        <w:pStyle w:val="Heading2"/>
      </w:pPr>
      <w:r w:rsidRPr="0080208E">
        <w:lastRenderedPageBreak/>
        <w:t xml:space="preserve">Step </w:t>
      </w:r>
      <w:r w:rsidR="003059A7" w:rsidRPr="0080208E">
        <w:t>4</w:t>
      </w:r>
      <w:r w:rsidRPr="0080208E">
        <w:t xml:space="preserve"> – Making the decision</w:t>
      </w:r>
    </w:p>
    <w:p w14:paraId="7830942C" w14:textId="77777777" w:rsidR="006261E5" w:rsidRPr="00506436" w:rsidRDefault="006261E5" w:rsidP="006261E5">
      <w:r>
        <w:t>After Stage 3, the TGA decides if they will approve the vaccine.</w:t>
      </w:r>
    </w:p>
    <w:p w14:paraId="7AB150DF" w14:textId="0211A004" w:rsidR="006261E5" w:rsidRDefault="006261E5" w:rsidP="006261E5">
      <w:r>
        <w:t>If the TGA approves the vaccine, they will approve it for 2 years.</w:t>
      </w:r>
    </w:p>
    <w:p w14:paraId="2F1D0BE9" w14:textId="3132E844" w:rsidR="00CD173F" w:rsidRPr="006261E5" w:rsidRDefault="006261E5" w:rsidP="006261E5">
      <w:r>
        <w:t>After 2 years, the company can ask the TGA to approve the vaccine for up to 6 more years.</w:t>
      </w:r>
    </w:p>
    <w:p w14:paraId="463A6EEC" w14:textId="5C4FC206" w:rsidR="00CD173F" w:rsidRDefault="00CD173F" w:rsidP="0080208E">
      <w:pPr>
        <w:pStyle w:val="Heading2"/>
      </w:pPr>
      <w:r>
        <w:t xml:space="preserve">Step </w:t>
      </w:r>
      <w:r w:rsidR="003059A7">
        <w:t>5</w:t>
      </w:r>
      <w:r>
        <w:t xml:space="preserve"> – Registering the vaccine</w:t>
      </w:r>
    </w:p>
    <w:p w14:paraId="7A2AC884" w14:textId="77777777" w:rsidR="006261E5" w:rsidRPr="00506436" w:rsidRDefault="006261E5" w:rsidP="006261E5">
      <w:r>
        <w:t>After the TGA approves the vaccine, they will add it to the Australian Register of Therapeutic Goods (ARTG).</w:t>
      </w:r>
    </w:p>
    <w:p w14:paraId="565B65E4" w14:textId="68415ACB" w:rsidR="006261E5" w:rsidRDefault="006261E5" w:rsidP="006261E5">
      <w:r>
        <w:t>The ARTG is a record of all the vaccines the TGA has approved in Australia.</w:t>
      </w:r>
    </w:p>
    <w:p w14:paraId="0B60B213" w14:textId="77777777" w:rsidR="006261E5" w:rsidRDefault="006261E5" w:rsidP="006261E5">
      <w:r>
        <w:t>The record includes:</w:t>
      </w:r>
    </w:p>
    <w:p w14:paraId="179C3901" w14:textId="77777777" w:rsidR="006261E5" w:rsidRDefault="006261E5" w:rsidP="006261E5">
      <w:pPr>
        <w:numPr>
          <w:ilvl w:val="0"/>
          <w:numId w:val="18"/>
        </w:numPr>
      </w:pPr>
      <w:r>
        <w:t>the name of the company</w:t>
      </w:r>
    </w:p>
    <w:p w14:paraId="5F439462" w14:textId="77777777" w:rsidR="006261E5" w:rsidRDefault="006261E5" w:rsidP="006261E5">
      <w:pPr>
        <w:numPr>
          <w:ilvl w:val="0"/>
          <w:numId w:val="18"/>
        </w:numPr>
      </w:pPr>
      <w:r>
        <w:t>the name of the vaccine</w:t>
      </w:r>
    </w:p>
    <w:p w14:paraId="3EA05635" w14:textId="77777777" w:rsidR="006261E5" w:rsidRDefault="006261E5" w:rsidP="006261E5">
      <w:pPr>
        <w:numPr>
          <w:ilvl w:val="0"/>
          <w:numId w:val="18"/>
        </w:numPr>
      </w:pPr>
      <w:r>
        <w:t>what ingredients are in the vaccine</w:t>
      </w:r>
    </w:p>
    <w:p w14:paraId="28180A98" w14:textId="77777777" w:rsidR="006261E5" w:rsidRDefault="006261E5" w:rsidP="006261E5">
      <w:pPr>
        <w:numPr>
          <w:ilvl w:val="0"/>
          <w:numId w:val="18"/>
        </w:numPr>
      </w:pPr>
      <w:r>
        <w:t>information for people who get the vaccine.</w:t>
      </w:r>
    </w:p>
    <w:p w14:paraId="3D5B2CCE" w14:textId="2908AE14" w:rsidR="006261E5" w:rsidRDefault="006261E5" w:rsidP="006261E5">
      <w:r>
        <w:t>After the vaccine is added to the ARTG, the company can start to send out the vaccine.</w:t>
      </w:r>
    </w:p>
    <w:p w14:paraId="54E8675C" w14:textId="77777777" w:rsidR="00CD173F" w:rsidRDefault="00CD173F" w:rsidP="006261E5">
      <w:pPr>
        <w:rPr>
          <w:rFonts w:eastAsiaTheme="majorEastAsia" w:cstheme="majorBidi"/>
          <w:b/>
          <w:color w:val="3665AE"/>
          <w:sz w:val="36"/>
          <w:szCs w:val="36"/>
        </w:rPr>
      </w:pPr>
      <w:r>
        <w:br w:type="page"/>
      </w:r>
    </w:p>
    <w:p w14:paraId="07E4C42B" w14:textId="187ED449" w:rsidR="007B0570" w:rsidRDefault="00CD173F" w:rsidP="0080208E">
      <w:pPr>
        <w:pStyle w:val="Heading2"/>
      </w:pPr>
      <w:r>
        <w:lastRenderedPageBreak/>
        <w:t xml:space="preserve">Step </w:t>
      </w:r>
      <w:r w:rsidR="003059A7">
        <w:t>6</w:t>
      </w:r>
      <w:r>
        <w:t xml:space="preserve"> – Keeping track of the vaccine</w:t>
      </w:r>
    </w:p>
    <w:p w14:paraId="31667736" w14:textId="77777777" w:rsidR="006261E5" w:rsidRPr="00506436" w:rsidRDefault="006261E5" w:rsidP="006261E5">
      <w:r>
        <w:t>The TGA will keep checking the vaccine as more people get it.</w:t>
      </w:r>
    </w:p>
    <w:p w14:paraId="42F81275" w14:textId="77777777" w:rsidR="006261E5" w:rsidRDefault="006261E5" w:rsidP="006261E5">
      <w:r>
        <w:t xml:space="preserve">This is to make sure it: </w:t>
      </w:r>
    </w:p>
    <w:p w14:paraId="41E8E30D" w14:textId="77777777" w:rsidR="006261E5" w:rsidRDefault="006261E5" w:rsidP="006261E5">
      <w:pPr>
        <w:numPr>
          <w:ilvl w:val="0"/>
          <w:numId w:val="18"/>
        </w:numPr>
      </w:pPr>
      <w:r>
        <w:t>is still safe</w:t>
      </w:r>
    </w:p>
    <w:p w14:paraId="1E5B4DAE" w14:textId="77777777" w:rsidR="006261E5" w:rsidRDefault="006261E5" w:rsidP="006261E5">
      <w:pPr>
        <w:numPr>
          <w:ilvl w:val="0"/>
          <w:numId w:val="18"/>
        </w:numPr>
      </w:pPr>
      <w:r>
        <w:t>still works well.</w:t>
      </w:r>
    </w:p>
    <w:p w14:paraId="2FBFCB87" w14:textId="77777777" w:rsidR="006261E5" w:rsidRDefault="006261E5" w:rsidP="006261E5">
      <w:r>
        <w:t>If there are any problems, the TGA can:</w:t>
      </w:r>
    </w:p>
    <w:p w14:paraId="6BEFC02C" w14:textId="77777777" w:rsidR="006261E5" w:rsidRDefault="006261E5" w:rsidP="006261E5">
      <w:pPr>
        <w:numPr>
          <w:ilvl w:val="0"/>
          <w:numId w:val="18"/>
        </w:numPr>
      </w:pPr>
      <w:r>
        <w:t>look into the problem with the vaccine</w:t>
      </w:r>
    </w:p>
    <w:p w14:paraId="67AC58C9" w14:textId="376A08DE" w:rsidR="006261E5" w:rsidRDefault="006261E5" w:rsidP="006261E5">
      <w:pPr>
        <w:numPr>
          <w:ilvl w:val="0"/>
          <w:numId w:val="18"/>
        </w:numPr>
      </w:pPr>
      <w:r>
        <w:t>give people new information about how safe the vaccine is</w:t>
      </w:r>
    </w:p>
    <w:p w14:paraId="59D6FA26" w14:textId="34103D6C" w:rsidR="006261E5" w:rsidRDefault="006261E5" w:rsidP="006261E5">
      <w:pPr>
        <w:numPr>
          <w:ilvl w:val="0"/>
          <w:numId w:val="18"/>
        </w:numPr>
      </w:pPr>
      <w:r>
        <w:t>take away their approval if they need to.</w:t>
      </w:r>
    </w:p>
    <w:p w14:paraId="6E111CCB" w14:textId="77777777" w:rsidR="006261E5" w:rsidRDefault="006261E5">
      <w:pPr>
        <w:spacing w:before="0" w:after="0" w:line="240" w:lineRule="auto"/>
      </w:pPr>
      <w:r>
        <w:br w:type="page"/>
      </w:r>
    </w:p>
    <w:p w14:paraId="4BB302FD" w14:textId="7930B5CD" w:rsidR="00067AB6" w:rsidRDefault="00067AB6" w:rsidP="0080208E">
      <w:pPr>
        <w:pStyle w:val="Heading2"/>
      </w:pPr>
      <w:r>
        <w:lastRenderedPageBreak/>
        <w:t>More information</w:t>
      </w:r>
    </w:p>
    <w:p w14:paraId="075C3005" w14:textId="77777777" w:rsidR="006261E5" w:rsidRDefault="006261E5" w:rsidP="006261E5">
      <w:pPr>
        <w:suppressAutoHyphens/>
        <w:autoSpaceDE w:val="0"/>
        <w:autoSpaceDN w:val="0"/>
        <w:adjustRightInd w:val="0"/>
        <w:textAlignment w:val="center"/>
      </w:pPr>
      <w:r>
        <w:t xml:space="preserve">You can call the Disability Gateway on </w:t>
      </w:r>
      <w:r w:rsidRPr="00731B64">
        <w:rPr>
          <w:b/>
          <w:bCs/>
        </w:rPr>
        <w:t>1800 643 787</w:t>
      </w:r>
      <w:r w:rsidRPr="00052742">
        <w:t>.</w:t>
      </w:r>
    </w:p>
    <w:p w14:paraId="76AAE144" w14:textId="77777777" w:rsidR="006261E5" w:rsidRDefault="006261E5" w:rsidP="006261E5">
      <w:pPr>
        <w:suppressAutoHyphens/>
        <w:autoSpaceDE w:val="0"/>
        <w:autoSpaceDN w:val="0"/>
        <w:adjustRightInd w:val="0"/>
        <w:textAlignment w:val="center"/>
      </w:pPr>
      <w:r>
        <w:t xml:space="preserve">They are open from </w:t>
      </w:r>
      <w:r w:rsidRPr="006219C6">
        <w:t>8 am to 8 pm, Monday to Friday</w:t>
      </w:r>
      <w:r>
        <w:t>.</w:t>
      </w:r>
    </w:p>
    <w:p w14:paraId="1490E96A" w14:textId="147A06B9" w:rsidR="006261E5" w:rsidRPr="00731B64" w:rsidRDefault="006261E5" w:rsidP="006261E5">
      <w:pPr>
        <w:suppressAutoHyphens/>
        <w:autoSpaceDE w:val="0"/>
        <w:autoSpaceDN w:val="0"/>
        <w:adjustRightInd w:val="0"/>
        <w:textAlignment w:val="center"/>
      </w:pPr>
      <w:r>
        <w:t>You can visit the Department of Health website at</w:t>
      </w:r>
      <w:r>
        <w:rPr>
          <w:b/>
          <w:bCs/>
          <w:color w:val="004A6B"/>
        </w:rPr>
        <w:t xml:space="preserve"> </w:t>
      </w:r>
      <w:hyperlink r:id="rId8" w:history="1">
        <w:r w:rsidRPr="001974E5">
          <w:rPr>
            <w:rStyle w:val="Hyperlink"/>
            <w:bCs/>
          </w:rPr>
          <w:t>www.health.gov.au</w:t>
        </w:r>
      </w:hyperlink>
      <w:r>
        <w:rPr>
          <w:b/>
          <w:bCs/>
          <w:color w:val="004A6B"/>
        </w:rPr>
        <w:t xml:space="preserve"> </w:t>
      </w:r>
      <w:r w:rsidRPr="00052742">
        <w:t xml:space="preserve">for </w:t>
      </w:r>
      <w:r>
        <w:t xml:space="preserve">more </w:t>
      </w:r>
      <w:r w:rsidRPr="00052742">
        <w:t>information about</w:t>
      </w:r>
      <w:r>
        <w:t xml:space="preserve"> </w:t>
      </w:r>
      <w:r w:rsidRPr="00052742">
        <w:t>the vaccine.</w:t>
      </w:r>
      <w:r>
        <w:rPr>
          <w:b/>
          <w:bCs/>
          <w:color w:val="004A6B"/>
        </w:rPr>
        <w:t xml:space="preserve"> </w:t>
      </w:r>
    </w:p>
    <w:p w14:paraId="165736CA" w14:textId="20E0D1CB" w:rsidR="006261E5" w:rsidRPr="009F6140" w:rsidRDefault="006261E5" w:rsidP="006261E5">
      <w:r>
        <w:t xml:space="preserve">You can call the National Coronavirus and COVID-19 Vaccine Helpline on </w:t>
      </w:r>
      <w:r>
        <w:rPr>
          <w:rStyle w:val="Strong"/>
        </w:rPr>
        <w:t>1800 020 080</w:t>
      </w:r>
      <w:r>
        <w:t>.</w:t>
      </w:r>
    </w:p>
    <w:p w14:paraId="2ADDAE76" w14:textId="77777777" w:rsidR="006261E5" w:rsidRPr="00731B64" w:rsidRDefault="006261E5" w:rsidP="006261E5">
      <w:r>
        <w:t xml:space="preserve">If you need information in a language other than English, call the Translating and Interpreting Service on </w:t>
      </w:r>
      <w:r>
        <w:rPr>
          <w:rStyle w:val="Strong"/>
        </w:rPr>
        <w:t>131 450</w:t>
      </w:r>
      <w:r>
        <w:t>.</w:t>
      </w:r>
    </w:p>
    <w:p w14:paraId="157ABEDC" w14:textId="1F4F3D26" w:rsidR="006261E5" w:rsidRPr="007913D8" w:rsidRDefault="006261E5" w:rsidP="006261E5">
      <w:r>
        <w:t xml:space="preserve">If you are deaf, or have a hearing or speech impairment, you can call the National Relay Service on </w:t>
      </w:r>
      <w:r>
        <w:rPr>
          <w:rStyle w:val="Strong"/>
        </w:rPr>
        <w:t>133 677</w:t>
      </w:r>
      <w:r>
        <w:t>.</w:t>
      </w:r>
    </w:p>
    <w:p w14:paraId="34C1B31F" w14:textId="488D7D95" w:rsidR="006261E5" w:rsidRPr="007C4AD9" w:rsidRDefault="006261E5" w:rsidP="006261E5">
      <w:pPr>
        <w:spacing w:before="6840"/>
        <w:rPr>
          <w:sz w:val="22"/>
        </w:rPr>
      </w:pPr>
      <w:r w:rsidRPr="007C4AD9">
        <w:rPr>
          <w:sz w:val="22"/>
        </w:rPr>
        <w:t>The Information Access Group created this</w:t>
      </w:r>
      <w:r>
        <w:rPr>
          <w:sz w:val="22"/>
        </w:rPr>
        <w:t xml:space="preserve"> text-only</w:t>
      </w:r>
      <w:r w:rsidRPr="007C4AD9">
        <w:rPr>
          <w:sz w:val="22"/>
        </w:rPr>
        <w:t xml:space="preserve"> Easy Read </w:t>
      </w:r>
      <w:r>
        <w:rPr>
          <w:sz w:val="22"/>
        </w:rPr>
        <w:t>document</w:t>
      </w:r>
      <w:r w:rsidRPr="007C4AD9">
        <w:rPr>
          <w:sz w:val="22"/>
        </w:rPr>
        <w:t>. For any enquiries, please visit</w:t>
      </w:r>
      <w:r>
        <w:rPr>
          <w:sz w:val="22"/>
        </w:rPr>
        <w:t xml:space="preserve"> </w:t>
      </w:r>
      <w:hyperlink r:id="rId9" w:history="1">
        <w:r w:rsidRPr="009900D3">
          <w:rPr>
            <w:rStyle w:val="Hyperlink"/>
            <w:sz w:val="22"/>
          </w:rPr>
          <w:t>www.informationaccessgroup.com</w:t>
        </w:r>
      </w:hyperlink>
      <w:r w:rsidRPr="007C4AD9">
        <w:rPr>
          <w:sz w:val="22"/>
        </w:rPr>
        <w:t xml:space="preserve">. Quote job number </w:t>
      </w:r>
      <w:r>
        <w:rPr>
          <w:sz w:val="22"/>
        </w:rPr>
        <w:t>4196</w:t>
      </w:r>
      <w:r w:rsidRPr="007C4AD9">
        <w:rPr>
          <w:sz w:val="22"/>
        </w:rPr>
        <w:t>.</w:t>
      </w:r>
    </w:p>
    <w:p w14:paraId="0CFB1940" w14:textId="218A794E" w:rsidR="004152C3" w:rsidRPr="006261E5" w:rsidRDefault="006261E5" w:rsidP="006261E5">
      <w:pPr>
        <w:rPr>
          <w:sz w:val="22"/>
        </w:rPr>
      </w:pPr>
      <w:r w:rsidRPr="007C4AD9">
        <w:rPr>
          <w:sz w:val="22"/>
        </w:rPr>
        <w:t xml:space="preserve">Last updated </w:t>
      </w:r>
      <w:r>
        <w:rPr>
          <w:sz w:val="22"/>
        </w:rPr>
        <w:t>June</w:t>
      </w:r>
      <w:r w:rsidRPr="007C4AD9">
        <w:rPr>
          <w:sz w:val="22"/>
        </w:rPr>
        <w:t xml:space="preserve"> 2021.</w:t>
      </w:r>
      <w:bookmarkEnd w:id="1"/>
    </w:p>
    <w:sectPr w:rsidR="004152C3" w:rsidRPr="006261E5" w:rsidSect="006261E5">
      <w:footerReference w:type="default" r:id="rId10"/>
      <w:pgSz w:w="11906" w:h="16838"/>
      <w:pgMar w:top="1134" w:right="1440" w:bottom="1474" w:left="1134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14BC4" w14:textId="77777777" w:rsidR="00B8215E" w:rsidRDefault="00B8215E" w:rsidP="00CE7D4D">
      <w:r>
        <w:separator/>
      </w:r>
    </w:p>
  </w:endnote>
  <w:endnote w:type="continuationSeparator" w:id="0">
    <w:p w14:paraId="5B87D9B3" w14:textId="77777777" w:rsidR="00B8215E" w:rsidRDefault="00B8215E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E3ABF" w14:textId="6075FBB0" w:rsidR="004152C3" w:rsidRPr="00176DB4" w:rsidRDefault="00C61C7E" w:rsidP="00176DB4">
    <w:pPr>
      <w:pStyle w:val="Footer"/>
    </w:pPr>
    <w:r w:rsidRPr="00176DB4">
      <w:t>health.gov.au/covid19-vaccines</w:t>
    </w:r>
    <w:r w:rsidRPr="00176DB4">
      <w:tab/>
    </w:r>
    <w:r w:rsidR="00176DB4">
      <w:tab/>
    </w:r>
    <w:r w:rsidR="00176DB4">
      <w:tab/>
    </w:r>
    <w:r w:rsidRPr="00176DB4">
      <w:t xml:space="preserve">Page </w:t>
    </w:r>
    <w:r w:rsidRPr="00176DB4">
      <w:fldChar w:fldCharType="begin"/>
    </w:r>
    <w:r w:rsidRPr="00176DB4">
      <w:instrText xml:space="preserve"> PAGE   \* MERGEFORMAT </w:instrText>
    </w:r>
    <w:r w:rsidRPr="00176DB4">
      <w:fldChar w:fldCharType="separate"/>
    </w:r>
    <w:r w:rsidRPr="00176DB4">
      <w:t>2</w:t>
    </w:r>
    <w:r w:rsidRPr="00176DB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CC82B" w14:textId="77777777" w:rsidR="00B8215E" w:rsidRDefault="00B8215E" w:rsidP="00CE7D4D">
      <w:r>
        <w:separator/>
      </w:r>
    </w:p>
  </w:footnote>
  <w:footnote w:type="continuationSeparator" w:id="0">
    <w:p w14:paraId="6CF28850" w14:textId="77777777" w:rsidR="00B8215E" w:rsidRDefault="00B8215E" w:rsidP="00CE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95AF4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2ED6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D0FD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A0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34BD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3A7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0A3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C29C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3E1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C82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26419"/>
    <w:multiLevelType w:val="hybridMultilevel"/>
    <w:tmpl w:val="AF4C842E"/>
    <w:lvl w:ilvl="0" w:tplc="D4765F4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E34FA"/>
    <w:multiLevelType w:val="hybridMultilevel"/>
    <w:tmpl w:val="5B449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44BBE"/>
    <w:multiLevelType w:val="hybridMultilevel"/>
    <w:tmpl w:val="E306F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F3D27"/>
    <w:multiLevelType w:val="hybridMultilevel"/>
    <w:tmpl w:val="3E103A54"/>
    <w:lvl w:ilvl="0" w:tplc="CA9692E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9546E"/>
    <w:multiLevelType w:val="hybridMultilevel"/>
    <w:tmpl w:val="AAE47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A37F1"/>
    <w:multiLevelType w:val="hybridMultilevel"/>
    <w:tmpl w:val="B2A2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C0E41"/>
    <w:multiLevelType w:val="hybridMultilevel"/>
    <w:tmpl w:val="F5EAC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D13E7"/>
    <w:multiLevelType w:val="hybridMultilevel"/>
    <w:tmpl w:val="95C41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34051"/>
    <w:multiLevelType w:val="hybridMultilevel"/>
    <w:tmpl w:val="69A41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823AB"/>
    <w:multiLevelType w:val="hybridMultilevel"/>
    <w:tmpl w:val="185CC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96CCA"/>
    <w:multiLevelType w:val="hybridMultilevel"/>
    <w:tmpl w:val="2A0C6D9E"/>
    <w:lvl w:ilvl="0" w:tplc="F4C2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65A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378EE"/>
    <w:multiLevelType w:val="hybridMultilevel"/>
    <w:tmpl w:val="11A08EFA"/>
    <w:lvl w:ilvl="0" w:tplc="F4C253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65A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0504B8"/>
    <w:multiLevelType w:val="hybridMultilevel"/>
    <w:tmpl w:val="4E743DFC"/>
    <w:lvl w:ilvl="0" w:tplc="D138D4C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23DFE"/>
    <w:multiLevelType w:val="hybridMultilevel"/>
    <w:tmpl w:val="138E8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060F9"/>
    <w:multiLevelType w:val="hybridMultilevel"/>
    <w:tmpl w:val="39E2DE2E"/>
    <w:lvl w:ilvl="0" w:tplc="D138D4C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5"/>
  </w:num>
  <w:num w:numId="15">
    <w:abstractNumId w:val="10"/>
  </w:num>
  <w:num w:numId="16">
    <w:abstractNumId w:val="23"/>
  </w:num>
  <w:num w:numId="17">
    <w:abstractNumId w:val="13"/>
  </w:num>
  <w:num w:numId="18">
    <w:abstractNumId w:val="24"/>
  </w:num>
  <w:num w:numId="19">
    <w:abstractNumId w:val="22"/>
  </w:num>
  <w:num w:numId="20">
    <w:abstractNumId w:val="11"/>
  </w:num>
  <w:num w:numId="21">
    <w:abstractNumId w:val="14"/>
  </w:num>
  <w:num w:numId="22">
    <w:abstractNumId w:val="12"/>
  </w:num>
  <w:num w:numId="23">
    <w:abstractNumId w:val="18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5E"/>
    <w:rsid w:val="00007A3C"/>
    <w:rsid w:val="00013502"/>
    <w:rsid w:val="00034093"/>
    <w:rsid w:val="0004294F"/>
    <w:rsid w:val="00067AB6"/>
    <w:rsid w:val="000912F7"/>
    <w:rsid w:val="00097808"/>
    <w:rsid w:val="000B5903"/>
    <w:rsid w:val="000B6604"/>
    <w:rsid w:val="000D69D9"/>
    <w:rsid w:val="000E307F"/>
    <w:rsid w:val="000E744A"/>
    <w:rsid w:val="000F6D92"/>
    <w:rsid w:val="00110EAB"/>
    <w:rsid w:val="00116DAC"/>
    <w:rsid w:val="00124040"/>
    <w:rsid w:val="0013612B"/>
    <w:rsid w:val="00137E15"/>
    <w:rsid w:val="00155597"/>
    <w:rsid w:val="00176DB4"/>
    <w:rsid w:val="00194B67"/>
    <w:rsid w:val="001D2755"/>
    <w:rsid w:val="001D44BE"/>
    <w:rsid w:val="00202276"/>
    <w:rsid w:val="00211233"/>
    <w:rsid w:val="00230DF0"/>
    <w:rsid w:val="002408FF"/>
    <w:rsid w:val="00240E78"/>
    <w:rsid w:val="00244AEB"/>
    <w:rsid w:val="002827BE"/>
    <w:rsid w:val="00292F26"/>
    <w:rsid w:val="002A1A44"/>
    <w:rsid w:val="002B50B4"/>
    <w:rsid w:val="00302FC6"/>
    <w:rsid w:val="00304A35"/>
    <w:rsid w:val="003059A7"/>
    <w:rsid w:val="00307DD3"/>
    <w:rsid w:val="00307E6C"/>
    <w:rsid w:val="00314A1D"/>
    <w:rsid w:val="0032070F"/>
    <w:rsid w:val="00330491"/>
    <w:rsid w:val="00332259"/>
    <w:rsid w:val="00356889"/>
    <w:rsid w:val="00361BF1"/>
    <w:rsid w:val="00375EC1"/>
    <w:rsid w:val="00380748"/>
    <w:rsid w:val="003864AB"/>
    <w:rsid w:val="0038753F"/>
    <w:rsid w:val="003A341C"/>
    <w:rsid w:val="003C55CF"/>
    <w:rsid w:val="003C6630"/>
    <w:rsid w:val="003F560D"/>
    <w:rsid w:val="004048E1"/>
    <w:rsid w:val="004152C3"/>
    <w:rsid w:val="00427684"/>
    <w:rsid w:val="004504FA"/>
    <w:rsid w:val="00461F71"/>
    <w:rsid w:val="004756C3"/>
    <w:rsid w:val="004A5545"/>
    <w:rsid w:val="004B7EF9"/>
    <w:rsid w:val="004D785B"/>
    <w:rsid w:val="004F6612"/>
    <w:rsid w:val="00506436"/>
    <w:rsid w:val="00510D93"/>
    <w:rsid w:val="00510EC1"/>
    <w:rsid w:val="005249D9"/>
    <w:rsid w:val="0053731C"/>
    <w:rsid w:val="00543150"/>
    <w:rsid w:val="00555198"/>
    <w:rsid w:val="0056044B"/>
    <w:rsid w:val="005657DF"/>
    <w:rsid w:val="005729ED"/>
    <w:rsid w:val="00577962"/>
    <w:rsid w:val="0058460B"/>
    <w:rsid w:val="00597299"/>
    <w:rsid w:val="005B7A65"/>
    <w:rsid w:val="005D0E1E"/>
    <w:rsid w:val="005F5E50"/>
    <w:rsid w:val="00622D08"/>
    <w:rsid w:val="006261E5"/>
    <w:rsid w:val="00631354"/>
    <w:rsid w:val="00654C28"/>
    <w:rsid w:val="00665549"/>
    <w:rsid w:val="006B0404"/>
    <w:rsid w:val="006C26A3"/>
    <w:rsid w:val="006D080C"/>
    <w:rsid w:val="006D5DC5"/>
    <w:rsid w:val="006E7E3B"/>
    <w:rsid w:val="006F7408"/>
    <w:rsid w:val="00703903"/>
    <w:rsid w:val="00723AC7"/>
    <w:rsid w:val="00734107"/>
    <w:rsid w:val="00741B82"/>
    <w:rsid w:val="00747EBC"/>
    <w:rsid w:val="00771BE7"/>
    <w:rsid w:val="007B0570"/>
    <w:rsid w:val="007C3A28"/>
    <w:rsid w:val="007D3E04"/>
    <w:rsid w:val="007D75E4"/>
    <w:rsid w:val="007F79FE"/>
    <w:rsid w:val="00801CB9"/>
    <w:rsid w:val="0080208E"/>
    <w:rsid w:val="008062C1"/>
    <w:rsid w:val="00806C8B"/>
    <w:rsid w:val="0081274F"/>
    <w:rsid w:val="008139FB"/>
    <w:rsid w:val="00815E39"/>
    <w:rsid w:val="00841C3E"/>
    <w:rsid w:val="008631C8"/>
    <w:rsid w:val="00871544"/>
    <w:rsid w:val="008C459C"/>
    <w:rsid w:val="008C7F66"/>
    <w:rsid w:val="008D2649"/>
    <w:rsid w:val="008F5756"/>
    <w:rsid w:val="009029E4"/>
    <w:rsid w:val="00915703"/>
    <w:rsid w:val="00922267"/>
    <w:rsid w:val="00924319"/>
    <w:rsid w:val="00925BE3"/>
    <w:rsid w:val="00960738"/>
    <w:rsid w:val="0096590E"/>
    <w:rsid w:val="0097492C"/>
    <w:rsid w:val="00983EFB"/>
    <w:rsid w:val="00985BDB"/>
    <w:rsid w:val="00997FAF"/>
    <w:rsid w:val="009C2EF3"/>
    <w:rsid w:val="009E3228"/>
    <w:rsid w:val="009F412C"/>
    <w:rsid w:val="00A22D89"/>
    <w:rsid w:val="00A233AE"/>
    <w:rsid w:val="00A4780E"/>
    <w:rsid w:val="00A538E8"/>
    <w:rsid w:val="00A56027"/>
    <w:rsid w:val="00A567A9"/>
    <w:rsid w:val="00A56CC0"/>
    <w:rsid w:val="00A756CD"/>
    <w:rsid w:val="00A858E0"/>
    <w:rsid w:val="00A9544D"/>
    <w:rsid w:val="00A97062"/>
    <w:rsid w:val="00AA3EE7"/>
    <w:rsid w:val="00AB6E3C"/>
    <w:rsid w:val="00AD342D"/>
    <w:rsid w:val="00AE7BF1"/>
    <w:rsid w:val="00B040A8"/>
    <w:rsid w:val="00B06389"/>
    <w:rsid w:val="00B151E1"/>
    <w:rsid w:val="00B1716B"/>
    <w:rsid w:val="00B31835"/>
    <w:rsid w:val="00B42BBD"/>
    <w:rsid w:val="00B461F8"/>
    <w:rsid w:val="00B65B8D"/>
    <w:rsid w:val="00B8215E"/>
    <w:rsid w:val="00B83EA7"/>
    <w:rsid w:val="00BA1FCB"/>
    <w:rsid w:val="00BD4A6E"/>
    <w:rsid w:val="00BE1D32"/>
    <w:rsid w:val="00BE5073"/>
    <w:rsid w:val="00C005FF"/>
    <w:rsid w:val="00C019A0"/>
    <w:rsid w:val="00C019BA"/>
    <w:rsid w:val="00C04F70"/>
    <w:rsid w:val="00C41ECD"/>
    <w:rsid w:val="00C60C16"/>
    <w:rsid w:val="00C61C7E"/>
    <w:rsid w:val="00C75FC8"/>
    <w:rsid w:val="00C80C4E"/>
    <w:rsid w:val="00C80D6D"/>
    <w:rsid w:val="00CA0F1D"/>
    <w:rsid w:val="00CA2328"/>
    <w:rsid w:val="00CD173F"/>
    <w:rsid w:val="00CE09C2"/>
    <w:rsid w:val="00CE0C64"/>
    <w:rsid w:val="00CE1687"/>
    <w:rsid w:val="00CE78F6"/>
    <w:rsid w:val="00CE7D4D"/>
    <w:rsid w:val="00CF3376"/>
    <w:rsid w:val="00CF718D"/>
    <w:rsid w:val="00D072A9"/>
    <w:rsid w:val="00D33136"/>
    <w:rsid w:val="00D36A5D"/>
    <w:rsid w:val="00D47637"/>
    <w:rsid w:val="00D6559E"/>
    <w:rsid w:val="00D77394"/>
    <w:rsid w:val="00D85C7C"/>
    <w:rsid w:val="00DA41E2"/>
    <w:rsid w:val="00DC18E0"/>
    <w:rsid w:val="00E06DAA"/>
    <w:rsid w:val="00E11967"/>
    <w:rsid w:val="00E30740"/>
    <w:rsid w:val="00E3104A"/>
    <w:rsid w:val="00E405C5"/>
    <w:rsid w:val="00E42ADD"/>
    <w:rsid w:val="00E42F9D"/>
    <w:rsid w:val="00E56848"/>
    <w:rsid w:val="00E66142"/>
    <w:rsid w:val="00E8429F"/>
    <w:rsid w:val="00EA1345"/>
    <w:rsid w:val="00EB2A72"/>
    <w:rsid w:val="00EC7526"/>
    <w:rsid w:val="00ED084E"/>
    <w:rsid w:val="00EE31D4"/>
    <w:rsid w:val="00EF2490"/>
    <w:rsid w:val="00F039FB"/>
    <w:rsid w:val="00F34A50"/>
    <w:rsid w:val="00F426BA"/>
    <w:rsid w:val="00F54152"/>
    <w:rsid w:val="00F67550"/>
    <w:rsid w:val="00F747DC"/>
    <w:rsid w:val="00F808DB"/>
    <w:rsid w:val="00F831CB"/>
    <w:rsid w:val="00FA12DC"/>
    <w:rsid w:val="00FC4B85"/>
    <w:rsid w:val="00FC7735"/>
    <w:rsid w:val="00FE32D5"/>
    <w:rsid w:val="00FF009B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6AC2BFF6"/>
  <w15:chartTrackingRefBased/>
  <w15:docId w15:val="{4FBD62B3-8616-49D0-BA93-C001D222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570"/>
    <w:pPr>
      <w:spacing w:before="120" w:after="120" w:line="360" w:lineRule="auto"/>
    </w:pPr>
    <w:rPr>
      <w:rFonts w:ascii="Arial" w:eastAsiaTheme="minorEastAsia" w:hAnsi="Arial" w:cs="Arial"/>
      <w:sz w:val="28"/>
      <w:szCs w:val="22"/>
    </w:rPr>
  </w:style>
  <w:style w:type="paragraph" w:styleId="Heading1">
    <w:name w:val="heading 1"/>
    <w:next w:val="Normal"/>
    <w:link w:val="Heading1Char"/>
    <w:uiPriority w:val="9"/>
    <w:qFormat/>
    <w:rsid w:val="00C61C7E"/>
    <w:pPr>
      <w:keepNext/>
      <w:keepLines/>
      <w:spacing w:before="2760" w:after="480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08E"/>
    <w:pPr>
      <w:keepNext/>
      <w:keepLines/>
      <w:spacing w:before="240"/>
      <w:outlineLvl w:val="1"/>
    </w:pPr>
    <w:rPr>
      <w:rFonts w:eastAsiaTheme="majorEastAsia" w:cstheme="majorBidi"/>
      <w:b/>
      <w:color w:val="3665A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D4D"/>
    <w:pPr>
      <w:keepNext/>
      <w:keepLines/>
      <w:spacing w:before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D4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61C7E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80208E"/>
    <w:rPr>
      <w:rFonts w:ascii="Arial" w:eastAsiaTheme="majorEastAsia" w:hAnsi="Arial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E7D4D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basedOn w:val="Normal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F426BA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BBD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BBD"/>
    <w:rPr>
      <w:rFonts w:ascii="Arial" w:eastAsiaTheme="minorEastAsia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formationaccessgroup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88288A5C806454CB9C008C00BC7A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55279-F615-4429-B6AD-60A4888CF942}"/>
      </w:docPartPr>
      <w:docPartBody>
        <w:p w:rsidR="00967D94" w:rsidRDefault="00AC4AC7" w:rsidP="00AC4AC7">
          <w:pPr>
            <w:pStyle w:val="488288A5C806454CB9C008C00BC7A3BA"/>
          </w:pPr>
          <w:r w:rsidRPr="00EF0B4A">
            <w:rPr>
              <w:rStyle w:val="PlaceholderText"/>
            </w:rPr>
            <w:t>[Author]</w:t>
          </w:r>
        </w:p>
      </w:docPartBody>
    </w:docPart>
    <w:docPart>
      <w:docPartPr>
        <w:name w:val="6D20FB62E9F142B895ED0DB299916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A8372-ABD7-4DA7-8080-8767B072D6CE}"/>
      </w:docPartPr>
      <w:docPartBody>
        <w:p w:rsidR="00967D94" w:rsidRDefault="00AC4AC7" w:rsidP="00AC4AC7">
          <w:pPr>
            <w:pStyle w:val="6D20FB62E9F142B895ED0DB299916C0F"/>
          </w:pPr>
          <w:r w:rsidRPr="00EF0B4A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F3"/>
    <w:rsid w:val="00967D94"/>
    <w:rsid w:val="00A109F3"/>
    <w:rsid w:val="00AC4AC7"/>
    <w:rsid w:val="00B4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4AC7"/>
    <w:rPr>
      <w:color w:val="595959" w:themeColor="text1" w:themeTint="A6"/>
    </w:rPr>
  </w:style>
  <w:style w:type="paragraph" w:customStyle="1" w:styleId="DEB1464C81954473BB37918DAB543232">
    <w:name w:val="DEB1464C81954473BB37918DAB543232"/>
    <w:rsid w:val="00A109F3"/>
  </w:style>
  <w:style w:type="paragraph" w:customStyle="1" w:styleId="F58B3F5452AA434CBBECF21BC1CC42C3">
    <w:name w:val="F58B3F5452AA434CBBECF21BC1CC42C3"/>
    <w:rsid w:val="00A109F3"/>
  </w:style>
  <w:style w:type="paragraph" w:customStyle="1" w:styleId="C30A87910BD843BBAF0F025287C0342C">
    <w:name w:val="C30A87910BD843BBAF0F025287C0342C"/>
    <w:rsid w:val="00AC4AC7"/>
    <w:rPr>
      <w:lang w:eastAsia="zh-CN"/>
    </w:rPr>
  </w:style>
  <w:style w:type="paragraph" w:customStyle="1" w:styleId="E44F31FFB7684E8CB77FFC87CC84092D">
    <w:name w:val="E44F31FFB7684E8CB77FFC87CC84092D"/>
    <w:rsid w:val="00AC4AC7"/>
    <w:rPr>
      <w:lang w:eastAsia="zh-CN"/>
    </w:rPr>
  </w:style>
  <w:style w:type="paragraph" w:customStyle="1" w:styleId="488288A5C806454CB9C008C00BC7A3BA">
    <w:name w:val="488288A5C806454CB9C008C00BC7A3BA"/>
    <w:rsid w:val="00AC4AC7"/>
    <w:rPr>
      <w:lang w:eastAsia="zh-CN"/>
    </w:rPr>
  </w:style>
  <w:style w:type="paragraph" w:customStyle="1" w:styleId="6D20FB62E9F142B895ED0DB299916C0F">
    <w:name w:val="6D20FB62E9F142B895ED0DB299916C0F"/>
    <w:rsid w:val="00AC4AC7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4003F-3E05-4318-B2B3-FEBCAC18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vaccine: What is it? Is it safe? Easy Read version</vt:lpstr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vaccine: What is it? Is it safe? Easy Read version</dc:title>
  <dc:subject/>
  <dc:creator>Australian Government</dc:creator>
  <cp:keywords/>
  <dc:description/>
  <cp:lastModifiedBy>AKINYI, Sharon</cp:lastModifiedBy>
  <cp:revision>2</cp:revision>
  <dcterms:created xsi:type="dcterms:W3CDTF">2021-07-11T23:28:00Z</dcterms:created>
  <dcterms:modified xsi:type="dcterms:W3CDTF">2021-07-11T23:28:00Z</dcterms:modified>
</cp:coreProperties>
</file>