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1B6" w:rsidRPr="002F5E02" w:rsidRDefault="00B211B6" w:rsidP="00567A9D">
      <w:pPr>
        <w:pStyle w:val="Subtitle"/>
      </w:pPr>
      <w:r w:rsidRPr="002F5E02">
        <w:t>Ne</w:t>
      </w:r>
      <w:bookmarkStart w:id="0" w:name="_GoBack"/>
      <w:bookmarkEnd w:id="0"/>
      <w:r w:rsidRPr="002F5E02">
        <w:t xml:space="preserve">w Zealand – Situation </w:t>
      </w:r>
      <w:r w:rsidR="009051AB" w:rsidRPr="002F5E02">
        <w:t>u</w:t>
      </w:r>
      <w:r w:rsidRPr="002F5E02">
        <w:t xml:space="preserve">pdate </w:t>
      </w:r>
      <w:r w:rsidR="004009C1">
        <w:br/>
      </w:r>
      <w:r w:rsidR="00E9181D">
        <w:rPr>
          <w:color w:val="FF0000"/>
        </w:rPr>
        <w:t>2</w:t>
      </w:r>
      <w:r w:rsidR="00C808E5">
        <w:rPr>
          <w:color w:val="FF0000"/>
        </w:rPr>
        <w:t>8</w:t>
      </w:r>
      <w:r w:rsidR="00BB2DCA">
        <w:rPr>
          <w:color w:val="FF0000"/>
        </w:rPr>
        <w:t xml:space="preserve"> July</w:t>
      </w:r>
      <w:r w:rsidR="00A05252" w:rsidRPr="00B64EDD">
        <w:rPr>
          <w:color w:val="FF0000"/>
        </w:rPr>
        <w:t xml:space="preserve"> </w:t>
      </w:r>
      <w:r w:rsidRPr="00B64EDD">
        <w:rPr>
          <w:color w:val="FF0000"/>
        </w:rPr>
        <w:t>202</w:t>
      </w:r>
      <w:r w:rsidR="00A1790B" w:rsidRPr="00B64EDD">
        <w:rPr>
          <w:color w:val="FF0000"/>
        </w:rPr>
        <w:t>1</w:t>
      </w:r>
      <w:r w:rsidR="006B229F" w:rsidRPr="00B64EDD">
        <w:rPr>
          <w:color w:val="FF0000"/>
        </w:rPr>
        <w:t xml:space="preserve"> </w:t>
      </w:r>
    </w:p>
    <w:p w:rsidR="003F5DCC" w:rsidRPr="00B968C7" w:rsidRDefault="003F5DCC" w:rsidP="00590DF1">
      <w:pPr>
        <w:spacing w:before="1200" w:after="480"/>
        <w:rPr>
          <w:rFonts w:cs="Arial"/>
          <w:color w:val="FF0000"/>
        </w:rPr>
      </w:pPr>
    </w:p>
    <w:p w:rsidR="003077BF" w:rsidRDefault="00590CB1" w:rsidP="006A5D07">
      <w:pPr>
        <w:tabs>
          <w:tab w:val="left" w:pos="2169"/>
        </w:tabs>
        <w:spacing w:before="240" w:after="180" w:line="264" w:lineRule="auto"/>
        <w:rPr>
          <w:rFonts w:cs="Arial"/>
          <w:b/>
          <w:color w:val="auto"/>
        </w:rPr>
      </w:pPr>
      <w:r w:rsidRPr="005662FC">
        <w:rPr>
          <w:rStyle w:val="Strong"/>
          <w:color w:val="auto"/>
        </w:rPr>
        <w:t>Information</w:t>
      </w:r>
      <w:r w:rsidR="00B211B6" w:rsidRPr="005662FC">
        <w:rPr>
          <w:rStyle w:val="Strong"/>
          <w:color w:val="auto"/>
        </w:rPr>
        <w:t xml:space="preserve"> presented in this assessment is based on </w:t>
      </w:r>
      <w:r w:rsidR="003077BF" w:rsidRPr="005662FC">
        <w:rPr>
          <w:rFonts w:cs="Arial"/>
          <w:b/>
          <w:color w:val="auto"/>
        </w:rPr>
        <w:t>New Zealand’s publicly available information</w:t>
      </w:r>
      <w:r w:rsidR="007A46D6" w:rsidRPr="005662FC">
        <w:rPr>
          <w:rFonts w:cs="Arial"/>
          <w:b/>
          <w:color w:val="auto"/>
        </w:rPr>
        <w:t xml:space="preserve"> provided</w:t>
      </w:r>
      <w:r w:rsidR="003077BF" w:rsidRPr="005662FC">
        <w:rPr>
          <w:rFonts w:cs="Arial"/>
          <w:b/>
          <w:color w:val="auto"/>
        </w:rPr>
        <w:t xml:space="preserve"> on </w:t>
      </w:r>
      <w:r w:rsidR="007A46D6" w:rsidRPr="005662FC">
        <w:rPr>
          <w:rFonts w:cs="Arial"/>
          <w:b/>
          <w:color w:val="auto"/>
        </w:rPr>
        <w:t xml:space="preserve">the </w:t>
      </w:r>
      <w:r w:rsidR="00F13CB4" w:rsidRPr="005662FC">
        <w:rPr>
          <w:rFonts w:cs="Arial"/>
          <w:b/>
          <w:color w:val="auto"/>
        </w:rPr>
        <w:t>New</w:t>
      </w:r>
      <w:r w:rsidR="003077BF" w:rsidRPr="005662FC">
        <w:rPr>
          <w:rFonts w:cs="Arial"/>
          <w:b/>
          <w:color w:val="auto"/>
        </w:rPr>
        <w:t xml:space="preserve"> Zealand </w:t>
      </w:r>
      <w:r w:rsidR="00180AC2" w:rsidRPr="005662FC">
        <w:rPr>
          <w:rFonts w:cs="Arial"/>
          <w:b/>
          <w:color w:val="auto"/>
        </w:rPr>
        <w:t>Ministry of Health website.</w:t>
      </w:r>
      <w:r w:rsidR="007A46D6" w:rsidRPr="005662FC">
        <w:rPr>
          <w:rStyle w:val="FootnoteReference"/>
          <w:rFonts w:cs="Arial"/>
          <w:b/>
          <w:color w:val="auto"/>
        </w:rPr>
        <w:footnoteReference w:id="2"/>
      </w:r>
    </w:p>
    <w:p w:rsidR="009E22D0" w:rsidRPr="00C808E5" w:rsidRDefault="009E22D0" w:rsidP="006A5D07">
      <w:pPr>
        <w:pStyle w:val="Heading1"/>
        <w:spacing w:before="240" w:after="0" w:line="264" w:lineRule="auto"/>
        <w:contextualSpacing w:val="0"/>
        <w:rPr>
          <w:color w:val="auto"/>
        </w:rPr>
      </w:pPr>
      <w:r w:rsidRPr="00C808E5">
        <w:rPr>
          <w:color w:val="auto"/>
        </w:rPr>
        <w:t>Current Assessment Summary</w:t>
      </w:r>
    </w:p>
    <w:p w:rsidR="00CD7821" w:rsidRPr="00110F23" w:rsidRDefault="00CD7821" w:rsidP="00062C7F">
      <w:pPr>
        <w:pStyle w:val="ListParagraph"/>
        <w:numPr>
          <w:ilvl w:val="0"/>
          <w:numId w:val="27"/>
        </w:numPr>
        <w:spacing w:before="80" w:after="80" w:line="247" w:lineRule="auto"/>
        <w:ind w:left="714" w:hanging="357"/>
        <w:textAlignment w:val="auto"/>
        <w:rPr>
          <w:color w:val="auto"/>
          <w:sz w:val="22"/>
          <w:szCs w:val="22"/>
        </w:rPr>
      </w:pPr>
      <w:r w:rsidRPr="00110F23">
        <w:rPr>
          <w:color w:val="auto"/>
          <w:sz w:val="22"/>
          <w:szCs w:val="22"/>
        </w:rPr>
        <w:t>There have been no locally acquired cases of COVID-19 in the last 7 days.</w:t>
      </w:r>
    </w:p>
    <w:p w:rsidR="007E001C" w:rsidRPr="00110F23" w:rsidRDefault="007E001C" w:rsidP="00062C7F">
      <w:pPr>
        <w:pStyle w:val="ListParagraph"/>
        <w:numPr>
          <w:ilvl w:val="0"/>
          <w:numId w:val="27"/>
        </w:numPr>
        <w:tabs>
          <w:tab w:val="left" w:pos="2169"/>
        </w:tabs>
        <w:spacing w:before="80" w:after="80" w:line="240" w:lineRule="auto"/>
        <w:ind w:hanging="357"/>
        <w:textAlignment w:val="auto"/>
        <w:rPr>
          <w:color w:val="auto"/>
          <w:sz w:val="22"/>
          <w:szCs w:val="22"/>
        </w:rPr>
      </w:pPr>
      <w:r w:rsidRPr="00110F23">
        <w:rPr>
          <w:color w:val="auto"/>
          <w:sz w:val="22"/>
          <w:szCs w:val="22"/>
        </w:rPr>
        <w:t>There have been three maritime vessels that have arrived in New Zealand this month that have a number of crew return positive test results for COVID-19, including the Delta variant being confirmed for some cases. These events are being managed in accordance with public health protocols and are considered a low risk.</w:t>
      </w:r>
    </w:p>
    <w:p w:rsidR="007E001C" w:rsidRPr="00110F23" w:rsidRDefault="007E001C" w:rsidP="00062C7F">
      <w:pPr>
        <w:pStyle w:val="ListParagraph"/>
        <w:numPr>
          <w:ilvl w:val="1"/>
          <w:numId w:val="27"/>
        </w:numPr>
        <w:spacing w:before="80" w:after="80" w:line="240" w:lineRule="auto"/>
        <w:textAlignment w:val="auto"/>
        <w:rPr>
          <w:color w:val="auto"/>
          <w:sz w:val="22"/>
          <w:szCs w:val="22"/>
        </w:rPr>
      </w:pPr>
      <w:r w:rsidRPr="00110F23">
        <w:rPr>
          <w:color w:val="auto"/>
          <w:sz w:val="22"/>
          <w:szCs w:val="22"/>
        </w:rPr>
        <w:t xml:space="preserve">The ‘Viking Bay’ fishing vessel is currently docked in Queens Wharf Wellington. </w:t>
      </w:r>
      <w:r w:rsidR="00062C7F" w:rsidRPr="00110F23">
        <w:rPr>
          <w:color w:val="FF0000"/>
          <w:sz w:val="22"/>
          <w:szCs w:val="22"/>
        </w:rPr>
        <w:t>Fourteen</w:t>
      </w:r>
      <w:r w:rsidR="00732EAF" w:rsidRPr="00110F23">
        <w:rPr>
          <w:color w:val="FF0000"/>
          <w:sz w:val="22"/>
          <w:szCs w:val="22"/>
        </w:rPr>
        <w:t xml:space="preserve"> crew members are in quarantine on board the Viking Bay. Six crew members remain in managed isolation in a Wellington isolation facility.  </w:t>
      </w:r>
      <w:r w:rsidRPr="00110F23">
        <w:rPr>
          <w:color w:val="auto"/>
          <w:sz w:val="22"/>
          <w:szCs w:val="22"/>
        </w:rPr>
        <w:t xml:space="preserve">Genome sequencing confirms that 12 of the crew members are infected with the Delta variant. The cases are all linked, but not all are linked to the initial case on the vessel or to any confirmed case found in New Zealand. </w:t>
      </w:r>
    </w:p>
    <w:p w:rsidR="00732EAF" w:rsidRPr="00110F23" w:rsidRDefault="00732EAF" w:rsidP="00062C7F">
      <w:pPr>
        <w:pStyle w:val="ListParagraph"/>
        <w:numPr>
          <w:ilvl w:val="1"/>
          <w:numId w:val="27"/>
        </w:numPr>
        <w:spacing w:before="80" w:after="80"/>
        <w:rPr>
          <w:color w:val="FF0000"/>
          <w:sz w:val="22"/>
          <w:szCs w:val="22"/>
        </w:rPr>
      </w:pPr>
      <w:r w:rsidRPr="00110F23">
        <w:rPr>
          <w:color w:val="FF0000"/>
          <w:sz w:val="22"/>
          <w:szCs w:val="22"/>
        </w:rPr>
        <w:t xml:space="preserve">Sixteen of the 18 crew members of the </w:t>
      </w:r>
      <w:r w:rsidR="007A4936" w:rsidRPr="00110F23">
        <w:rPr>
          <w:color w:val="FF0000"/>
          <w:sz w:val="22"/>
          <w:szCs w:val="22"/>
        </w:rPr>
        <w:t>‘</w:t>
      </w:r>
      <w:r w:rsidRPr="00110F23">
        <w:rPr>
          <w:color w:val="FF0000"/>
          <w:sz w:val="22"/>
          <w:szCs w:val="22"/>
        </w:rPr>
        <w:t>Playa Zahara</w:t>
      </w:r>
      <w:r w:rsidR="007A4936" w:rsidRPr="00110F23">
        <w:rPr>
          <w:color w:val="FF0000"/>
          <w:sz w:val="22"/>
          <w:szCs w:val="22"/>
        </w:rPr>
        <w:t>’</w:t>
      </w:r>
      <w:r w:rsidRPr="00110F23">
        <w:rPr>
          <w:color w:val="FF0000"/>
          <w:sz w:val="22"/>
          <w:szCs w:val="22"/>
        </w:rPr>
        <w:t xml:space="preserve"> fishing vessel currently docked at Lyttelton have</w:t>
      </w:r>
      <w:r w:rsidR="007A4936" w:rsidRPr="00110F23">
        <w:rPr>
          <w:color w:val="FF0000"/>
          <w:sz w:val="22"/>
          <w:szCs w:val="22"/>
        </w:rPr>
        <w:t xml:space="preserve"> tested positive for COVID-19. </w:t>
      </w:r>
      <w:r w:rsidRPr="00110F23">
        <w:rPr>
          <w:color w:val="FF0000"/>
          <w:sz w:val="22"/>
          <w:szCs w:val="22"/>
        </w:rPr>
        <w:t>All crew members have recovered</w:t>
      </w:r>
      <w:r w:rsidR="00062C7F" w:rsidRPr="00110F23">
        <w:rPr>
          <w:rFonts w:eastAsia="Calibri"/>
          <w:color w:val="FF0000"/>
          <w:sz w:val="22"/>
          <w:szCs w:val="22"/>
        </w:rPr>
        <w:t xml:space="preserve">, with none remaining onshore in managed isolation. </w:t>
      </w:r>
      <w:r w:rsidRPr="00110F23">
        <w:rPr>
          <w:color w:val="FF0000"/>
          <w:sz w:val="22"/>
          <w:szCs w:val="22"/>
        </w:rPr>
        <w:t xml:space="preserve">The vessel was deep cleaned on 23 </w:t>
      </w:r>
      <w:r w:rsidR="00062C7F" w:rsidRPr="00110F23">
        <w:rPr>
          <w:color w:val="FF0000"/>
          <w:sz w:val="22"/>
          <w:szCs w:val="22"/>
        </w:rPr>
        <w:t xml:space="preserve">and 28 </w:t>
      </w:r>
      <w:r w:rsidRPr="00110F23">
        <w:rPr>
          <w:color w:val="FF0000"/>
          <w:sz w:val="22"/>
          <w:szCs w:val="22"/>
        </w:rPr>
        <w:t>July 2021</w:t>
      </w:r>
      <w:r w:rsidR="00062C7F" w:rsidRPr="00110F23">
        <w:rPr>
          <w:color w:val="FF0000"/>
          <w:sz w:val="22"/>
          <w:szCs w:val="22"/>
        </w:rPr>
        <w:t>,</w:t>
      </w:r>
      <w:r w:rsidRPr="00110F23">
        <w:rPr>
          <w:color w:val="FF0000"/>
          <w:sz w:val="22"/>
          <w:szCs w:val="22"/>
        </w:rPr>
        <w:t xml:space="preserve"> and is exp</w:t>
      </w:r>
      <w:r w:rsidR="00C91823">
        <w:rPr>
          <w:color w:val="FF0000"/>
          <w:sz w:val="22"/>
          <w:szCs w:val="22"/>
        </w:rPr>
        <w:t xml:space="preserve">ected to depart </w:t>
      </w:r>
      <w:proofErr w:type="spellStart"/>
      <w:r w:rsidR="00C91823">
        <w:rPr>
          <w:color w:val="FF0000"/>
          <w:sz w:val="22"/>
          <w:szCs w:val="22"/>
        </w:rPr>
        <w:t>Lyttleton</w:t>
      </w:r>
      <w:proofErr w:type="spellEnd"/>
      <w:r w:rsidR="00C91823">
        <w:rPr>
          <w:color w:val="FF0000"/>
          <w:sz w:val="22"/>
          <w:szCs w:val="22"/>
        </w:rPr>
        <w:t xml:space="preserve"> on 28 </w:t>
      </w:r>
      <w:r w:rsidRPr="00110F23">
        <w:rPr>
          <w:color w:val="FF0000"/>
          <w:sz w:val="22"/>
          <w:szCs w:val="22"/>
        </w:rPr>
        <w:t>July</w:t>
      </w:r>
      <w:r w:rsidR="00C91823">
        <w:rPr>
          <w:color w:val="FF0000"/>
          <w:sz w:val="22"/>
          <w:szCs w:val="22"/>
        </w:rPr>
        <w:t> </w:t>
      </w:r>
      <w:r w:rsidRPr="00110F23">
        <w:rPr>
          <w:color w:val="FF0000"/>
          <w:sz w:val="22"/>
          <w:szCs w:val="22"/>
        </w:rPr>
        <w:t>2021.</w:t>
      </w:r>
    </w:p>
    <w:p w:rsidR="00732EAF" w:rsidRPr="00110F23" w:rsidRDefault="00732EAF" w:rsidP="00062C7F">
      <w:pPr>
        <w:pStyle w:val="ListParagraph"/>
        <w:numPr>
          <w:ilvl w:val="1"/>
          <w:numId w:val="27"/>
        </w:numPr>
        <w:spacing w:before="80" w:after="80"/>
        <w:rPr>
          <w:color w:val="FF0000"/>
          <w:sz w:val="22"/>
          <w:szCs w:val="22"/>
        </w:rPr>
      </w:pPr>
      <w:r w:rsidRPr="00110F23">
        <w:rPr>
          <w:color w:val="FF0000"/>
          <w:sz w:val="22"/>
          <w:szCs w:val="22"/>
        </w:rPr>
        <w:t xml:space="preserve">Fifteen cases of COVID-19 have been reported aboard the </w:t>
      </w:r>
      <w:r w:rsidR="007A4936" w:rsidRPr="00110F23">
        <w:rPr>
          <w:color w:val="FF0000"/>
          <w:sz w:val="22"/>
          <w:szCs w:val="22"/>
        </w:rPr>
        <w:t>‘</w:t>
      </w:r>
      <w:r w:rsidRPr="00110F23">
        <w:rPr>
          <w:color w:val="FF0000"/>
          <w:sz w:val="22"/>
          <w:szCs w:val="22"/>
        </w:rPr>
        <w:t>Mattina</w:t>
      </w:r>
      <w:r w:rsidR="007A4936" w:rsidRPr="00110F23">
        <w:rPr>
          <w:color w:val="FF0000"/>
          <w:sz w:val="22"/>
          <w:szCs w:val="22"/>
        </w:rPr>
        <w:t>’</w:t>
      </w:r>
      <w:r w:rsidRPr="00110F23">
        <w:rPr>
          <w:color w:val="FF0000"/>
          <w:sz w:val="22"/>
          <w:szCs w:val="22"/>
        </w:rPr>
        <w:t xml:space="preserve"> container ship docked at Bluff.  All confirmed c</w:t>
      </w:r>
      <w:r w:rsidR="007A4936" w:rsidRPr="00110F23">
        <w:rPr>
          <w:color w:val="FF0000"/>
          <w:sz w:val="22"/>
          <w:szCs w:val="22"/>
        </w:rPr>
        <w:t xml:space="preserve">ases remain aboard the vessel. </w:t>
      </w:r>
      <w:r w:rsidRPr="00110F23">
        <w:rPr>
          <w:color w:val="FF0000"/>
          <w:sz w:val="22"/>
          <w:szCs w:val="22"/>
        </w:rPr>
        <w:t>Nine of the c</w:t>
      </w:r>
      <w:r w:rsidR="00062C7F" w:rsidRPr="00110F23">
        <w:rPr>
          <w:color w:val="FF0000"/>
          <w:sz w:val="22"/>
          <w:szCs w:val="22"/>
        </w:rPr>
        <w:t>ases are confirmed to have the D</w:t>
      </w:r>
      <w:r w:rsidRPr="00110F23">
        <w:rPr>
          <w:color w:val="FF0000"/>
          <w:sz w:val="22"/>
          <w:szCs w:val="22"/>
        </w:rPr>
        <w:t>elta variant.</w:t>
      </w:r>
    </w:p>
    <w:p w:rsidR="00CD7821" w:rsidRPr="00110F23" w:rsidRDefault="00CD7821" w:rsidP="00062C7F">
      <w:pPr>
        <w:pStyle w:val="ListParagraph"/>
        <w:numPr>
          <w:ilvl w:val="0"/>
          <w:numId w:val="27"/>
        </w:numPr>
        <w:tabs>
          <w:tab w:val="left" w:pos="2169"/>
        </w:tabs>
        <w:spacing w:before="80" w:after="80" w:line="240" w:lineRule="auto"/>
        <w:ind w:hanging="357"/>
        <w:textAlignment w:val="auto"/>
        <w:rPr>
          <w:color w:val="auto"/>
          <w:sz w:val="22"/>
          <w:szCs w:val="22"/>
        </w:rPr>
      </w:pPr>
      <w:r w:rsidRPr="00110F23">
        <w:rPr>
          <w:color w:val="auto"/>
          <w:sz w:val="22"/>
          <w:szCs w:val="22"/>
        </w:rPr>
        <w:t>New Zealand assesses that due to infection control protocols, there was minimal risk to the public</w:t>
      </w:r>
      <w:r w:rsidR="00FD68AA" w:rsidRPr="00110F23">
        <w:rPr>
          <w:color w:val="auto"/>
          <w:sz w:val="22"/>
          <w:szCs w:val="22"/>
        </w:rPr>
        <w:t xml:space="preserve"> and these</w:t>
      </w:r>
      <w:r w:rsidR="007A4936" w:rsidRPr="00110F23">
        <w:rPr>
          <w:color w:val="auto"/>
          <w:sz w:val="22"/>
          <w:szCs w:val="22"/>
        </w:rPr>
        <w:t xml:space="preserve"> </w:t>
      </w:r>
      <w:r w:rsidR="00FD68AA" w:rsidRPr="00110F23">
        <w:rPr>
          <w:color w:val="auto"/>
          <w:sz w:val="22"/>
          <w:szCs w:val="22"/>
        </w:rPr>
        <w:t xml:space="preserve">events are </w:t>
      </w:r>
      <w:r w:rsidR="007A4936" w:rsidRPr="00110F23">
        <w:rPr>
          <w:color w:val="auto"/>
          <w:sz w:val="22"/>
          <w:szCs w:val="22"/>
        </w:rPr>
        <w:t xml:space="preserve">all considered </w:t>
      </w:r>
      <w:r w:rsidR="00FD68AA" w:rsidRPr="00110F23">
        <w:rPr>
          <w:color w:val="auto"/>
          <w:sz w:val="22"/>
          <w:szCs w:val="22"/>
        </w:rPr>
        <w:t>a low risk.</w:t>
      </w:r>
      <w:r w:rsidRPr="00110F23">
        <w:rPr>
          <w:color w:val="auto"/>
          <w:sz w:val="22"/>
          <w:szCs w:val="22"/>
        </w:rPr>
        <w:t xml:space="preserve"> </w:t>
      </w:r>
    </w:p>
    <w:p w:rsidR="00CD7821" w:rsidRPr="00110F23" w:rsidRDefault="00CD7821" w:rsidP="00062C7F">
      <w:pPr>
        <w:pStyle w:val="ListParagraph"/>
        <w:numPr>
          <w:ilvl w:val="1"/>
          <w:numId w:val="27"/>
        </w:numPr>
        <w:spacing w:before="80" w:after="80" w:line="247" w:lineRule="auto"/>
        <w:textAlignment w:val="auto"/>
        <w:rPr>
          <w:color w:val="auto"/>
          <w:sz w:val="22"/>
          <w:szCs w:val="22"/>
        </w:rPr>
      </w:pPr>
      <w:r w:rsidRPr="00110F23">
        <w:rPr>
          <w:color w:val="auto"/>
          <w:sz w:val="22"/>
          <w:szCs w:val="22"/>
        </w:rPr>
        <w:t>There are no associated locations of interest.</w:t>
      </w:r>
    </w:p>
    <w:p w:rsidR="00CD7821" w:rsidRPr="00110F23" w:rsidRDefault="00CD7821" w:rsidP="00062C7F">
      <w:pPr>
        <w:pStyle w:val="ListParagraph"/>
        <w:numPr>
          <w:ilvl w:val="0"/>
          <w:numId w:val="27"/>
        </w:numPr>
        <w:tabs>
          <w:tab w:val="left" w:pos="2169"/>
        </w:tabs>
        <w:spacing w:before="80" w:after="80" w:line="240" w:lineRule="auto"/>
        <w:ind w:hanging="357"/>
        <w:textAlignment w:val="auto"/>
        <w:rPr>
          <w:color w:val="auto"/>
          <w:sz w:val="22"/>
          <w:szCs w:val="22"/>
        </w:rPr>
      </w:pPr>
      <w:r w:rsidRPr="00110F23">
        <w:rPr>
          <w:color w:val="auto"/>
          <w:sz w:val="22"/>
          <w:szCs w:val="22"/>
        </w:rPr>
        <w:t xml:space="preserve">All of New Zealand is at Alert Level 1. </w:t>
      </w:r>
    </w:p>
    <w:p w:rsidR="00113CF9" w:rsidRDefault="00113CF9" w:rsidP="00113CF9">
      <w:pPr>
        <w:pStyle w:val="List"/>
      </w:pPr>
    </w:p>
    <w:p w:rsidR="00732EAF" w:rsidRDefault="00732EAF" w:rsidP="00113CF9">
      <w:pPr>
        <w:pStyle w:val="List"/>
      </w:pPr>
    </w:p>
    <w:p w:rsidR="005F602A" w:rsidRPr="00113CF9" w:rsidRDefault="005F602A" w:rsidP="007A4936">
      <w:pPr>
        <w:pStyle w:val="List"/>
        <w:ind w:left="0" w:firstLine="0"/>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71"/>
        <w:gridCol w:w="1701"/>
      </w:tblGrid>
      <w:tr w:rsidR="00046248" w:rsidRPr="007E001C" w:rsidTr="007E001C">
        <w:trPr>
          <w:trHeight w:hRule="exact" w:val="284"/>
          <w:tblHeader/>
        </w:trPr>
        <w:tc>
          <w:tcPr>
            <w:tcW w:w="7371" w:type="dxa"/>
            <w:shd w:val="clear" w:color="auto" w:fill="DAEEF3" w:themeFill="accent5" w:themeFillTint="33"/>
            <w:tcMar>
              <w:top w:w="45" w:type="dxa"/>
              <w:left w:w="75" w:type="dxa"/>
              <w:bottom w:w="45" w:type="dxa"/>
              <w:right w:w="75" w:type="dxa"/>
            </w:tcMar>
            <w:vAlign w:val="bottom"/>
            <w:hideMark/>
          </w:tcPr>
          <w:p w:rsidR="00046248" w:rsidRPr="007E001C" w:rsidRDefault="00046248" w:rsidP="00046248">
            <w:pPr>
              <w:rPr>
                <w:rFonts w:eastAsia="Times New Roman" w:cs="Arial"/>
                <w:b/>
                <w:sz w:val="22"/>
                <w:szCs w:val="22"/>
                <w:lang w:eastAsia="en-AU"/>
              </w:rPr>
            </w:pPr>
          </w:p>
        </w:tc>
        <w:tc>
          <w:tcPr>
            <w:tcW w:w="1701" w:type="dxa"/>
            <w:shd w:val="clear" w:color="auto" w:fill="DAEEF3" w:themeFill="accent5" w:themeFillTint="33"/>
            <w:tcMar>
              <w:top w:w="45" w:type="dxa"/>
              <w:left w:w="75" w:type="dxa"/>
              <w:bottom w:w="45" w:type="dxa"/>
              <w:right w:w="75" w:type="dxa"/>
            </w:tcMar>
            <w:vAlign w:val="bottom"/>
            <w:hideMark/>
          </w:tcPr>
          <w:p w:rsidR="00046248" w:rsidRPr="007E001C" w:rsidRDefault="00046248" w:rsidP="00046248">
            <w:pPr>
              <w:jc w:val="center"/>
              <w:rPr>
                <w:rFonts w:eastAsia="Times New Roman" w:cs="Arial"/>
                <w:b/>
                <w:sz w:val="22"/>
                <w:szCs w:val="22"/>
                <w:lang w:eastAsia="en-AU"/>
              </w:rPr>
            </w:pPr>
            <w:r w:rsidRPr="007E001C">
              <w:rPr>
                <w:rFonts w:eastAsia="Times New Roman" w:cs="Arial"/>
                <w:b/>
                <w:sz w:val="22"/>
                <w:szCs w:val="22"/>
                <w:lang w:eastAsia="en-AU"/>
              </w:rPr>
              <w:t>Total</w:t>
            </w:r>
          </w:p>
        </w:tc>
      </w:tr>
      <w:tr w:rsidR="00046248" w:rsidRPr="007E001C" w:rsidTr="007E001C">
        <w:trPr>
          <w:trHeight w:hRule="exact" w:val="284"/>
        </w:trPr>
        <w:tc>
          <w:tcPr>
            <w:tcW w:w="7371" w:type="dxa"/>
            <w:shd w:val="clear" w:color="auto" w:fill="auto"/>
            <w:tcMar>
              <w:top w:w="45" w:type="dxa"/>
              <w:left w:w="75" w:type="dxa"/>
              <w:bottom w:w="45" w:type="dxa"/>
              <w:right w:w="75" w:type="dxa"/>
            </w:tcMar>
            <w:vAlign w:val="bottom"/>
            <w:hideMark/>
          </w:tcPr>
          <w:p w:rsidR="00046248" w:rsidRPr="007E001C" w:rsidRDefault="00046248" w:rsidP="00046248">
            <w:pPr>
              <w:rPr>
                <w:rFonts w:eastAsia="Times New Roman" w:cs="Arial"/>
                <w:sz w:val="22"/>
                <w:szCs w:val="22"/>
                <w:lang w:eastAsia="en-AU"/>
              </w:rPr>
            </w:pPr>
            <w:r w:rsidRPr="007E001C">
              <w:rPr>
                <w:rFonts w:eastAsia="Times New Roman" w:cs="Arial"/>
                <w:sz w:val="22"/>
                <w:szCs w:val="22"/>
                <w:lang w:eastAsia="en-AU"/>
              </w:rPr>
              <w:t>Cumulative confirmed cases – last week</w:t>
            </w:r>
          </w:p>
        </w:tc>
        <w:tc>
          <w:tcPr>
            <w:tcW w:w="1701" w:type="dxa"/>
            <w:shd w:val="clear" w:color="auto" w:fill="auto"/>
            <w:tcMar>
              <w:top w:w="45" w:type="dxa"/>
              <w:left w:w="75" w:type="dxa"/>
              <w:bottom w:w="45" w:type="dxa"/>
              <w:right w:w="75" w:type="dxa"/>
            </w:tcMar>
          </w:tcPr>
          <w:p w:rsidR="00046248" w:rsidRPr="007E001C" w:rsidRDefault="00046248" w:rsidP="00E9181D">
            <w:pPr>
              <w:jc w:val="center"/>
              <w:rPr>
                <w:rFonts w:eastAsia="Times New Roman" w:cs="Arial"/>
                <w:color w:val="FF0000"/>
                <w:sz w:val="22"/>
                <w:szCs w:val="22"/>
                <w:lang w:eastAsia="en-AU"/>
              </w:rPr>
            </w:pPr>
            <w:r w:rsidRPr="007E001C">
              <w:rPr>
                <w:rFonts w:eastAsia="Times New Roman" w:cs="Arial"/>
                <w:color w:val="FF0000"/>
                <w:sz w:val="22"/>
                <w:szCs w:val="22"/>
                <w:lang w:eastAsia="en-AU"/>
              </w:rPr>
              <w:t>2,</w:t>
            </w:r>
            <w:r w:rsidR="00405E96" w:rsidRPr="007E001C">
              <w:rPr>
                <w:rFonts w:eastAsia="Times New Roman" w:cs="Arial"/>
                <w:color w:val="FF0000"/>
                <w:sz w:val="22"/>
                <w:szCs w:val="22"/>
                <w:lang w:eastAsia="en-AU"/>
              </w:rPr>
              <w:t>4</w:t>
            </w:r>
            <w:r w:rsidR="00C808E5">
              <w:rPr>
                <w:rFonts w:eastAsia="Times New Roman" w:cs="Arial"/>
                <w:color w:val="FF0000"/>
                <w:sz w:val="22"/>
                <w:szCs w:val="22"/>
                <w:lang w:eastAsia="en-AU"/>
              </w:rPr>
              <w:t>72</w:t>
            </w:r>
          </w:p>
        </w:tc>
      </w:tr>
      <w:tr w:rsidR="00046248" w:rsidRPr="007E001C" w:rsidTr="007E001C">
        <w:trPr>
          <w:trHeight w:hRule="exact" w:val="284"/>
        </w:trPr>
        <w:tc>
          <w:tcPr>
            <w:tcW w:w="7371" w:type="dxa"/>
            <w:shd w:val="clear" w:color="auto" w:fill="auto"/>
            <w:tcMar>
              <w:top w:w="45" w:type="dxa"/>
              <w:left w:w="75" w:type="dxa"/>
              <w:bottom w:w="45" w:type="dxa"/>
              <w:right w:w="75" w:type="dxa"/>
            </w:tcMar>
            <w:vAlign w:val="bottom"/>
          </w:tcPr>
          <w:p w:rsidR="00046248" w:rsidRPr="007E001C" w:rsidRDefault="00046248" w:rsidP="00046248">
            <w:pPr>
              <w:rPr>
                <w:rFonts w:eastAsia="Times New Roman" w:cs="Arial"/>
                <w:sz w:val="22"/>
                <w:szCs w:val="22"/>
                <w:lang w:eastAsia="en-AU"/>
              </w:rPr>
            </w:pPr>
            <w:r w:rsidRPr="007E001C">
              <w:rPr>
                <w:rFonts w:eastAsia="Times New Roman" w:cs="Arial"/>
                <w:sz w:val="22"/>
                <w:szCs w:val="22"/>
                <w:lang w:eastAsia="en-AU"/>
              </w:rPr>
              <w:t>New cases – managed quarantine</w:t>
            </w:r>
          </w:p>
        </w:tc>
        <w:tc>
          <w:tcPr>
            <w:tcW w:w="1701" w:type="dxa"/>
            <w:shd w:val="clear" w:color="auto" w:fill="auto"/>
            <w:tcMar>
              <w:top w:w="45" w:type="dxa"/>
              <w:left w:w="75" w:type="dxa"/>
              <w:bottom w:w="45" w:type="dxa"/>
              <w:right w:w="75" w:type="dxa"/>
            </w:tcMar>
          </w:tcPr>
          <w:p w:rsidR="00046248" w:rsidRPr="007E001C" w:rsidRDefault="00732EAF" w:rsidP="00E9181D">
            <w:pPr>
              <w:jc w:val="center"/>
              <w:rPr>
                <w:rFonts w:eastAsia="Times New Roman" w:cs="Arial"/>
                <w:color w:val="FF0000"/>
                <w:sz w:val="22"/>
                <w:szCs w:val="22"/>
                <w:lang w:eastAsia="en-AU"/>
              </w:rPr>
            </w:pPr>
            <w:r>
              <w:rPr>
                <w:rFonts w:eastAsia="Times New Roman" w:cs="Arial"/>
                <w:color w:val="FF0000"/>
                <w:sz w:val="22"/>
                <w:szCs w:val="22"/>
                <w:lang w:eastAsia="en-AU"/>
              </w:rPr>
              <w:t xml:space="preserve">    41</w:t>
            </w:r>
          </w:p>
        </w:tc>
      </w:tr>
      <w:tr w:rsidR="00046248" w:rsidRPr="007E001C" w:rsidTr="007E001C">
        <w:trPr>
          <w:trHeight w:hRule="exact" w:val="284"/>
        </w:trPr>
        <w:tc>
          <w:tcPr>
            <w:tcW w:w="7371" w:type="dxa"/>
            <w:shd w:val="clear" w:color="auto" w:fill="auto"/>
            <w:tcMar>
              <w:top w:w="45" w:type="dxa"/>
              <w:left w:w="75" w:type="dxa"/>
              <w:bottom w:w="45" w:type="dxa"/>
              <w:right w:w="75" w:type="dxa"/>
            </w:tcMar>
            <w:vAlign w:val="bottom"/>
          </w:tcPr>
          <w:p w:rsidR="00046248" w:rsidRPr="007E001C" w:rsidRDefault="00046248" w:rsidP="00046248">
            <w:pPr>
              <w:rPr>
                <w:rFonts w:eastAsia="Times New Roman" w:cs="Arial"/>
                <w:sz w:val="22"/>
                <w:szCs w:val="22"/>
                <w:lang w:eastAsia="en-AU"/>
              </w:rPr>
            </w:pPr>
            <w:r w:rsidRPr="007E001C">
              <w:rPr>
                <w:rFonts w:eastAsia="Times New Roman" w:cs="Arial"/>
                <w:sz w:val="22"/>
                <w:szCs w:val="22"/>
                <w:lang w:eastAsia="en-AU"/>
              </w:rPr>
              <w:t>New cases – locally acquired</w:t>
            </w:r>
          </w:p>
        </w:tc>
        <w:tc>
          <w:tcPr>
            <w:tcW w:w="1701" w:type="dxa"/>
            <w:shd w:val="clear" w:color="auto" w:fill="auto"/>
            <w:tcMar>
              <w:top w:w="45" w:type="dxa"/>
              <w:left w:w="75" w:type="dxa"/>
              <w:bottom w:w="45" w:type="dxa"/>
              <w:right w:w="75" w:type="dxa"/>
            </w:tcMar>
          </w:tcPr>
          <w:p w:rsidR="00046248" w:rsidRPr="007E001C" w:rsidRDefault="00732EAF" w:rsidP="00567A9D">
            <w:pPr>
              <w:jc w:val="center"/>
              <w:rPr>
                <w:rFonts w:eastAsia="Times New Roman" w:cs="Arial"/>
                <w:color w:val="FF0000"/>
                <w:sz w:val="22"/>
                <w:szCs w:val="22"/>
                <w:lang w:eastAsia="en-AU"/>
              </w:rPr>
            </w:pPr>
            <w:r>
              <w:rPr>
                <w:rFonts w:eastAsia="Times New Roman" w:cs="Arial"/>
                <w:color w:val="FF0000"/>
                <w:sz w:val="22"/>
                <w:szCs w:val="22"/>
                <w:lang w:eastAsia="en-AU"/>
              </w:rPr>
              <w:t xml:space="preserve">      0</w:t>
            </w:r>
          </w:p>
        </w:tc>
      </w:tr>
      <w:tr w:rsidR="00046248" w:rsidRPr="007E001C" w:rsidTr="007E001C">
        <w:trPr>
          <w:trHeight w:hRule="exact" w:val="284"/>
        </w:trPr>
        <w:tc>
          <w:tcPr>
            <w:tcW w:w="7371" w:type="dxa"/>
            <w:shd w:val="clear" w:color="auto" w:fill="auto"/>
            <w:tcMar>
              <w:top w:w="45" w:type="dxa"/>
              <w:left w:w="75" w:type="dxa"/>
              <w:bottom w:w="45" w:type="dxa"/>
              <w:right w:w="75" w:type="dxa"/>
            </w:tcMar>
            <w:vAlign w:val="bottom"/>
          </w:tcPr>
          <w:p w:rsidR="00046248" w:rsidRPr="007E001C" w:rsidRDefault="00046248" w:rsidP="00046248">
            <w:pPr>
              <w:rPr>
                <w:rFonts w:eastAsia="Times New Roman" w:cs="Arial"/>
                <w:sz w:val="22"/>
                <w:szCs w:val="22"/>
                <w:lang w:eastAsia="en-AU"/>
              </w:rPr>
            </w:pPr>
            <w:r w:rsidRPr="007E001C">
              <w:rPr>
                <w:rFonts w:eastAsia="Times New Roman" w:cs="Arial"/>
                <w:sz w:val="22"/>
                <w:szCs w:val="22"/>
                <w:lang w:eastAsia="en-AU"/>
              </w:rPr>
              <w:t>Cases removed or reclassified</w:t>
            </w:r>
          </w:p>
        </w:tc>
        <w:tc>
          <w:tcPr>
            <w:tcW w:w="1701" w:type="dxa"/>
            <w:shd w:val="clear" w:color="auto" w:fill="auto"/>
            <w:tcMar>
              <w:top w:w="45" w:type="dxa"/>
              <w:left w:w="75" w:type="dxa"/>
              <w:bottom w:w="45" w:type="dxa"/>
              <w:right w:w="75" w:type="dxa"/>
            </w:tcMar>
          </w:tcPr>
          <w:p w:rsidR="00046248" w:rsidRPr="007A4936" w:rsidRDefault="007A4936" w:rsidP="007A4936">
            <w:pPr>
              <w:ind w:left="660"/>
              <w:rPr>
                <w:rFonts w:eastAsia="Times New Roman" w:cs="Arial"/>
                <w:color w:val="FF0000"/>
                <w:sz w:val="22"/>
                <w:szCs w:val="22"/>
                <w:lang w:eastAsia="en-AU"/>
              </w:rPr>
            </w:pPr>
            <w:r w:rsidRPr="007A4936">
              <w:rPr>
                <w:rFonts w:eastAsia="Times New Roman" w:cs="Arial"/>
                <w:color w:val="FF0000"/>
                <w:sz w:val="22"/>
                <w:szCs w:val="22"/>
                <w:lang w:eastAsia="en-AU"/>
              </w:rPr>
              <w:t>-</w:t>
            </w:r>
            <w:r>
              <w:rPr>
                <w:lang w:eastAsia="en-AU"/>
              </w:rPr>
              <w:t xml:space="preserve"> </w:t>
            </w:r>
            <w:r w:rsidR="00732EAF" w:rsidRPr="007A4936">
              <w:rPr>
                <w:rFonts w:eastAsia="Times New Roman" w:cs="Arial"/>
                <w:color w:val="FF0000"/>
                <w:sz w:val="22"/>
                <w:szCs w:val="22"/>
                <w:lang w:eastAsia="en-AU"/>
              </w:rPr>
              <w:t>5</w:t>
            </w:r>
          </w:p>
        </w:tc>
      </w:tr>
      <w:tr w:rsidR="00046248" w:rsidRPr="007E001C" w:rsidTr="007E001C">
        <w:trPr>
          <w:trHeight w:hRule="exact" w:val="284"/>
        </w:trPr>
        <w:tc>
          <w:tcPr>
            <w:tcW w:w="7371" w:type="dxa"/>
            <w:shd w:val="clear" w:color="auto" w:fill="auto"/>
            <w:tcMar>
              <w:top w:w="45" w:type="dxa"/>
              <w:left w:w="75" w:type="dxa"/>
              <w:bottom w:w="45" w:type="dxa"/>
              <w:right w:w="75" w:type="dxa"/>
            </w:tcMar>
            <w:vAlign w:val="bottom"/>
          </w:tcPr>
          <w:p w:rsidR="00046248" w:rsidRPr="007E001C" w:rsidRDefault="00046248" w:rsidP="00046248">
            <w:pPr>
              <w:rPr>
                <w:rFonts w:eastAsia="Times New Roman" w:cs="Arial"/>
                <w:sz w:val="22"/>
                <w:szCs w:val="22"/>
                <w:lang w:eastAsia="en-AU"/>
              </w:rPr>
            </w:pPr>
            <w:r w:rsidRPr="007E001C">
              <w:rPr>
                <w:rFonts w:eastAsia="Times New Roman" w:cs="Arial"/>
                <w:sz w:val="22"/>
                <w:szCs w:val="22"/>
                <w:lang w:eastAsia="en-AU"/>
              </w:rPr>
              <w:t>Cumulative confirmed cases – this week</w:t>
            </w:r>
          </w:p>
        </w:tc>
        <w:tc>
          <w:tcPr>
            <w:tcW w:w="1701" w:type="dxa"/>
            <w:shd w:val="clear" w:color="auto" w:fill="auto"/>
            <w:tcMar>
              <w:top w:w="45" w:type="dxa"/>
              <w:left w:w="75" w:type="dxa"/>
              <w:bottom w:w="45" w:type="dxa"/>
              <w:right w:w="75" w:type="dxa"/>
            </w:tcMar>
          </w:tcPr>
          <w:p w:rsidR="00046248" w:rsidRPr="007E001C" w:rsidRDefault="00732EAF" w:rsidP="00405E96">
            <w:pPr>
              <w:jc w:val="center"/>
              <w:rPr>
                <w:rFonts w:eastAsia="Times New Roman" w:cs="Arial"/>
                <w:color w:val="FF0000"/>
                <w:sz w:val="22"/>
                <w:szCs w:val="22"/>
                <w:lang w:eastAsia="en-AU"/>
              </w:rPr>
            </w:pPr>
            <w:r>
              <w:rPr>
                <w:rFonts w:eastAsia="Times New Roman" w:cs="Arial"/>
                <w:color w:val="FF0000"/>
                <w:sz w:val="22"/>
                <w:szCs w:val="22"/>
                <w:lang w:eastAsia="en-AU"/>
              </w:rPr>
              <w:t>2508</w:t>
            </w:r>
          </w:p>
        </w:tc>
      </w:tr>
    </w:tbl>
    <w:p w:rsidR="00046248" w:rsidRPr="00441C90" w:rsidRDefault="00046248" w:rsidP="00441C90">
      <w:pPr>
        <w:pStyle w:val="List"/>
        <w:spacing w:before="240" w:after="120" w:line="240" w:lineRule="auto"/>
        <w:ind w:left="284" w:firstLine="0"/>
        <w:contextualSpacing w:val="0"/>
        <w:rPr>
          <w:rFonts w:cs="Arial"/>
          <w:b/>
        </w:rPr>
      </w:pPr>
      <w:r w:rsidRPr="00046248">
        <w:rPr>
          <w:rFonts w:cs="Arial"/>
          <w:b/>
        </w:rPr>
        <w:t>Hospitalisations and deaths</w:t>
      </w:r>
    </w:p>
    <w:tbl>
      <w:tblPr>
        <w:tblStyle w:val="TableGrid"/>
        <w:tblpPr w:leftFromText="180" w:rightFromText="180" w:vertAnchor="text" w:tblpX="273" w:tblpY="1"/>
        <w:tblOverlap w:val="never"/>
        <w:tblW w:w="9073" w:type="dxa"/>
        <w:tblLook w:val="04A0" w:firstRow="1" w:lastRow="0" w:firstColumn="1" w:lastColumn="0" w:noHBand="0" w:noVBand="1"/>
      </w:tblPr>
      <w:tblGrid>
        <w:gridCol w:w="7372"/>
        <w:gridCol w:w="1701"/>
      </w:tblGrid>
      <w:tr w:rsidR="00046248" w:rsidRPr="0082685D" w:rsidTr="00441C90">
        <w:trPr>
          <w:trHeight w:val="160"/>
        </w:trPr>
        <w:tc>
          <w:tcPr>
            <w:tcW w:w="7372" w:type="dxa"/>
            <w:tcBorders>
              <w:bottom w:val="single" w:sz="4" w:space="0" w:color="auto"/>
            </w:tcBorders>
            <w:shd w:val="clear" w:color="auto" w:fill="DBE5F1" w:themeFill="accent1" w:themeFillTint="33"/>
            <w:vAlign w:val="center"/>
          </w:tcPr>
          <w:p w:rsidR="00046248" w:rsidRPr="007E001C" w:rsidRDefault="00046248" w:rsidP="00441C90">
            <w:pPr>
              <w:spacing w:before="20" w:after="20"/>
              <w:rPr>
                <w:rFonts w:cs="Arial"/>
                <w:b/>
                <w:sz w:val="22"/>
                <w:szCs w:val="22"/>
                <w:lang w:val="en"/>
              </w:rPr>
            </w:pPr>
          </w:p>
        </w:tc>
        <w:tc>
          <w:tcPr>
            <w:tcW w:w="1701" w:type="dxa"/>
            <w:shd w:val="clear" w:color="auto" w:fill="DBE5F1" w:themeFill="accent1" w:themeFillTint="33"/>
            <w:vAlign w:val="center"/>
          </w:tcPr>
          <w:p w:rsidR="00046248" w:rsidRPr="007E001C" w:rsidRDefault="00046248" w:rsidP="00441C90">
            <w:pPr>
              <w:spacing w:before="20" w:after="20"/>
              <w:jc w:val="center"/>
              <w:rPr>
                <w:rFonts w:cs="Arial"/>
                <w:b/>
                <w:sz w:val="22"/>
                <w:szCs w:val="22"/>
                <w:lang w:val="en"/>
              </w:rPr>
            </w:pPr>
          </w:p>
        </w:tc>
      </w:tr>
      <w:tr w:rsidR="00046248" w:rsidRPr="0082685D" w:rsidTr="00441C90">
        <w:trPr>
          <w:trHeight w:val="160"/>
        </w:trPr>
        <w:tc>
          <w:tcPr>
            <w:tcW w:w="7372" w:type="dxa"/>
            <w:tcBorders>
              <w:top w:val="single" w:sz="4" w:space="0" w:color="auto"/>
            </w:tcBorders>
            <w:vAlign w:val="center"/>
          </w:tcPr>
          <w:p w:rsidR="00046248" w:rsidRPr="007E001C" w:rsidRDefault="00046248" w:rsidP="00441C90">
            <w:pPr>
              <w:spacing w:before="20" w:after="20"/>
              <w:rPr>
                <w:rFonts w:cs="Arial"/>
                <w:sz w:val="22"/>
                <w:szCs w:val="22"/>
                <w:lang w:val="en"/>
              </w:rPr>
            </w:pPr>
            <w:r w:rsidRPr="007E001C">
              <w:rPr>
                <w:rFonts w:cs="Arial"/>
                <w:sz w:val="22"/>
                <w:szCs w:val="22"/>
                <w:lang w:val="en"/>
              </w:rPr>
              <w:t>Cumulative deaths</w:t>
            </w:r>
          </w:p>
        </w:tc>
        <w:tc>
          <w:tcPr>
            <w:tcW w:w="1701" w:type="dxa"/>
            <w:vAlign w:val="center"/>
          </w:tcPr>
          <w:p w:rsidR="00046248" w:rsidRPr="007E001C" w:rsidRDefault="00441C90" w:rsidP="00441C90">
            <w:pPr>
              <w:spacing w:before="20" w:after="20"/>
              <w:jc w:val="center"/>
              <w:rPr>
                <w:rFonts w:cs="Arial"/>
                <w:color w:val="FF0000"/>
                <w:sz w:val="22"/>
                <w:szCs w:val="22"/>
                <w:lang w:val="en"/>
              </w:rPr>
            </w:pPr>
            <w:r w:rsidRPr="007E001C">
              <w:rPr>
                <w:rFonts w:cs="Arial"/>
                <w:color w:val="auto"/>
                <w:sz w:val="22"/>
                <w:szCs w:val="22"/>
                <w:lang w:val="en"/>
              </w:rPr>
              <w:t>26</w:t>
            </w:r>
          </w:p>
        </w:tc>
      </w:tr>
      <w:tr w:rsidR="00046248" w:rsidRPr="0082685D" w:rsidTr="00441C90">
        <w:trPr>
          <w:trHeight w:val="160"/>
        </w:trPr>
        <w:tc>
          <w:tcPr>
            <w:tcW w:w="7372" w:type="dxa"/>
            <w:vAlign w:val="center"/>
          </w:tcPr>
          <w:p w:rsidR="00046248" w:rsidRPr="007E001C" w:rsidRDefault="00046248" w:rsidP="00441C90">
            <w:pPr>
              <w:spacing w:before="20" w:after="20"/>
              <w:rPr>
                <w:rFonts w:cs="Arial"/>
                <w:sz w:val="22"/>
                <w:szCs w:val="22"/>
                <w:lang w:val="en"/>
              </w:rPr>
            </w:pPr>
            <w:r w:rsidRPr="007E001C">
              <w:rPr>
                <w:rFonts w:cs="Arial"/>
                <w:sz w:val="22"/>
                <w:szCs w:val="22"/>
                <w:lang w:val="en"/>
              </w:rPr>
              <w:t>Currently</w:t>
            </w:r>
            <w:r w:rsidRPr="007E001C">
              <w:rPr>
                <w:rFonts w:cs="Arial"/>
                <w:sz w:val="22"/>
                <w:szCs w:val="22"/>
              </w:rPr>
              <w:t xml:space="preserve"> hospitalised</w:t>
            </w:r>
          </w:p>
        </w:tc>
        <w:tc>
          <w:tcPr>
            <w:tcW w:w="1701" w:type="dxa"/>
            <w:vAlign w:val="center"/>
          </w:tcPr>
          <w:p w:rsidR="00046248" w:rsidRPr="007E001C" w:rsidRDefault="002C2A43" w:rsidP="00405E96">
            <w:pPr>
              <w:spacing w:before="20" w:after="20"/>
              <w:jc w:val="center"/>
              <w:rPr>
                <w:rFonts w:cs="Arial"/>
                <w:color w:val="FF0000"/>
                <w:sz w:val="22"/>
                <w:szCs w:val="22"/>
                <w:lang w:val="en"/>
              </w:rPr>
            </w:pPr>
            <w:r w:rsidRPr="007E001C">
              <w:rPr>
                <w:rFonts w:cs="Arial"/>
                <w:color w:val="FF0000"/>
                <w:sz w:val="22"/>
                <w:szCs w:val="22"/>
                <w:lang w:val="en"/>
              </w:rPr>
              <w:t xml:space="preserve">  </w:t>
            </w:r>
            <w:r w:rsidR="00405E96" w:rsidRPr="007E001C">
              <w:rPr>
                <w:rFonts w:cs="Arial"/>
                <w:color w:val="FF0000"/>
                <w:sz w:val="22"/>
                <w:szCs w:val="22"/>
                <w:lang w:val="en"/>
              </w:rPr>
              <w:t>0</w:t>
            </w:r>
          </w:p>
        </w:tc>
      </w:tr>
    </w:tbl>
    <w:p w:rsidR="00C05D0C" w:rsidRPr="00C05D0C" w:rsidRDefault="00B211B6" w:rsidP="00441C90">
      <w:pPr>
        <w:pStyle w:val="List"/>
        <w:spacing w:before="240" w:after="120" w:line="240" w:lineRule="auto"/>
        <w:ind w:left="284" w:firstLine="0"/>
        <w:contextualSpacing w:val="0"/>
      </w:pPr>
      <w:r w:rsidRPr="005A2316">
        <w:rPr>
          <w:b/>
          <w:color w:val="auto"/>
        </w:rPr>
        <w:t>Summary of locally acquired cases</w:t>
      </w:r>
    </w:p>
    <w:tbl>
      <w:tblPr>
        <w:tblStyle w:val="TableGrid"/>
        <w:tblpPr w:leftFromText="180" w:rightFromText="180" w:vertAnchor="text" w:tblpX="273" w:tblpY="1"/>
        <w:tblOverlap w:val="never"/>
        <w:tblW w:w="9073" w:type="dxa"/>
        <w:tblLayout w:type="fixed"/>
        <w:tblLook w:val="04A0" w:firstRow="1" w:lastRow="0" w:firstColumn="1" w:lastColumn="0" w:noHBand="0" w:noVBand="1"/>
        <w:tblDescription w:val="Locally acquired COVID-19 cases in New Zealand."/>
      </w:tblPr>
      <w:tblGrid>
        <w:gridCol w:w="5671"/>
        <w:gridCol w:w="1701"/>
        <w:gridCol w:w="1701"/>
      </w:tblGrid>
      <w:tr w:rsidR="002F5E02" w:rsidRPr="002F5E02" w:rsidTr="00441C90">
        <w:trPr>
          <w:trHeight w:val="385"/>
          <w:tblHeader/>
        </w:trPr>
        <w:tc>
          <w:tcPr>
            <w:tcW w:w="5671" w:type="dxa"/>
            <w:tcBorders>
              <w:bottom w:val="single" w:sz="4" w:space="0" w:color="auto"/>
            </w:tcBorders>
            <w:shd w:val="clear" w:color="auto" w:fill="DBE5F1" w:themeFill="accent1" w:themeFillTint="33"/>
          </w:tcPr>
          <w:p w:rsidR="00B211B6" w:rsidRPr="002F5E02" w:rsidRDefault="00B211B6" w:rsidP="00441C90">
            <w:pPr>
              <w:spacing w:after="0" w:line="22" w:lineRule="atLeast"/>
              <w:rPr>
                <w:rFonts w:cs="Arial"/>
                <w:b/>
                <w:color w:val="auto"/>
                <w:szCs w:val="20"/>
                <w:lang w:val="en"/>
              </w:rPr>
            </w:pPr>
          </w:p>
        </w:tc>
        <w:tc>
          <w:tcPr>
            <w:tcW w:w="1701" w:type="dxa"/>
            <w:shd w:val="clear" w:color="auto" w:fill="DBE5F1" w:themeFill="accent1" w:themeFillTint="33"/>
            <w:vAlign w:val="center"/>
          </w:tcPr>
          <w:p w:rsidR="00B211B6" w:rsidRPr="002F5E02" w:rsidRDefault="00343B8C" w:rsidP="00441C90">
            <w:pPr>
              <w:spacing w:after="0" w:line="22" w:lineRule="atLeast"/>
              <w:jc w:val="center"/>
              <w:rPr>
                <w:rFonts w:cs="Arial"/>
                <w:b/>
                <w:color w:val="auto"/>
                <w:szCs w:val="20"/>
                <w:lang w:val="en"/>
              </w:rPr>
            </w:pPr>
            <w:r w:rsidRPr="002F5E02">
              <w:rPr>
                <w:rFonts w:cs="Arial"/>
                <w:b/>
                <w:color w:val="auto"/>
                <w:szCs w:val="20"/>
                <w:lang w:val="en"/>
              </w:rPr>
              <w:t>Notification Date</w:t>
            </w:r>
          </w:p>
        </w:tc>
        <w:tc>
          <w:tcPr>
            <w:tcW w:w="1701" w:type="dxa"/>
            <w:shd w:val="clear" w:color="auto" w:fill="DBE5F1" w:themeFill="accent1" w:themeFillTint="33"/>
            <w:vAlign w:val="center"/>
          </w:tcPr>
          <w:p w:rsidR="00B211B6" w:rsidRPr="002F5E02" w:rsidRDefault="00B211B6" w:rsidP="00441C90">
            <w:pPr>
              <w:spacing w:after="0" w:line="22" w:lineRule="atLeast"/>
              <w:jc w:val="center"/>
              <w:rPr>
                <w:rFonts w:cs="Arial"/>
                <w:b/>
                <w:color w:val="auto"/>
                <w:szCs w:val="20"/>
                <w:lang w:val="en"/>
              </w:rPr>
            </w:pPr>
            <w:r w:rsidRPr="002F5E02">
              <w:rPr>
                <w:rFonts w:cs="Arial"/>
                <w:b/>
                <w:color w:val="auto"/>
                <w:szCs w:val="20"/>
                <w:lang w:val="en"/>
              </w:rPr>
              <w:t xml:space="preserve">Number of </w:t>
            </w:r>
            <w:r w:rsidR="00494230">
              <w:rPr>
                <w:rFonts w:cs="Arial"/>
                <w:b/>
                <w:color w:val="auto"/>
                <w:szCs w:val="20"/>
                <w:lang w:val="en"/>
              </w:rPr>
              <w:t>d</w:t>
            </w:r>
            <w:r w:rsidRPr="002F5E02">
              <w:rPr>
                <w:rFonts w:cs="Arial"/>
                <w:b/>
                <w:color w:val="auto"/>
                <w:szCs w:val="20"/>
                <w:lang w:val="en"/>
              </w:rPr>
              <w:t xml:space="preserve">ays </w:t>
            </w:r>
          </w:p>
        </w:tc>
      </w:tr>
      <w:tr w:rsidR="000F78EE" w:rsidRPr="002F5E02" w:rsidTr="00441C90">
        <w:trPr>
          <w:trHeight w:val="370"/>
        </w:trPr>
        <w:tc>
          <w:tcPr>
            <w:tcW w:w="5671" w:type="dxa"/>
            <w:tcBorders>
              <w:top w:val="single" w:sz="4" w:space="0" w:color="auto"/>
            </w:tcBorders>
          </w:tcPr>
          <w:p w:rsidR="000F78EE" w:rsidRPr="007E001C" w:rsidRDefault="000F78EE" w:rsidP="00F33CD8">
            <w:pPr>
              <w:spacing w:after="0" w:line="22" w:lineRule="atLeast"/>
              <w:rPr>
                <w:rFonts w:cs="Arial"/>
                <w:color w:val="auto"/>
                <w:sz w:val="22"/>
                <w:szCs w:val="22"/>
                <w:lang w:val="en"/>
              </w:rPr>
            </w:pPr>
            <w:r w:rsidRPr="007E001C">
              <w:rPr>
                <w:color w:val="auto"/>
                <w:sz w:val="22"/>
                <w:szCs w:val="22"/>
              </w:rPr>
              <w:t xml:space="preserve">Last locally acquired case </w:t>
            </w:r>
          </w:p>
        </w:tc>
        <w:tc>
          <w:tcPr>
            <w:tcW w:w="1701" w:type="dxa"/>
            <w:vAlign w:val="center"/>
          </w:tcPr>
          <w:p w:rsidR="000F78EE" w:rsidRPr="007E001C" w:rsidRDefault="000F78EE" w:rsidP="00441C90">
            <w:pPr>
              <w:spacing w:after="0" w:line="22" w:lineRule="atLeast"/>
              <w:jc w:val="center"/>
              <w:rPr>
                <w:rFonts w:cs="Arial"/>
                <w:color w:val="FF0000"/>
                <w:sz w:val="22"/>
                <w:szCs w:val="22"/>
                <w:lang w:val="en"/>
              </w:rPr>
            </w:pPr>
            <w:r w:rsidRPr="007E001C">
              <w:rPr>
                <w:rFonts w:cs="Arial"/>
                <w:color w:val="auto"/>
                <w:sz w:val="22"/>
                <w:szCs w:val="22"/>
                <w:lang w:val="en"/>
              </w:rPr>
              <w:t>20/04/2021</w:t>
            </w:r>
          </w:p>
        </w:tc>
        <w:tc>
          <w:tcPr>
            <w:tcW w:w="1701" w:type="dxa"/>
            <w:vAlign w:val="center"/>
          </w:tcPr>
          <w:p w:rsidR="000F78EE" w:rsidRPr="007E001C" w:rsidRDefault="00F33CD8" w:rsidP="00E9181D">
            <w:pPr>
              <w:spacing w:after="0" w:line="22" w:lineRule="atLeast"/>
              <w:jc w:val="center"/>
              <w:rPr>
                <w:rFonts w:cs="Arial"/>
                <w:color w:val="FF0000"/>
                <w:sz w:val="22"/>
                <w:szCs w:val="22"/>
                <w:lang w:val="en"/>
              </w:rPr>
            </w:pPr>
            <w:r w:rsidRPr="007E001C">
              <w:rPr>
                <w:rFonts w:cs="Arial"/>
                <w:color w:val="FF0000"/>
                <w:sz w:val="22"/>
                <w:szCs w:val="22"/>
                <w:lang w:val="en"/>
              </w:rPr>
              <w:t xml:space="preserve">  </w:t>
            </w:r>
            <w:r w:rsidR="00E9181D" w:rsidRPr="007E001C">
              <w:rPr>
                <w:rFonts w:cs="Arial"/>
                <w:color w:val="FF0000"/>
                <w:sz w:val="22"/>
                <w:szCs w:val="22"/>
                <w:lang w:val="en"/>
              </w:rPr>
              <w:t>9</w:t>
            </w:r>
            <w:r w:rsidR="00C808E5">
              <w:rPr>
                <w:rFonts w:cs="Arial"/>
                <w:color w:val="FF0000"/>
                <w:sz w:val="22"/>
                <w:szCs w:val="22"/>
                <w:lang w:val="en"/>
              </w:rPr>
              <w:t>9</w:t>
            </w:r>
          </w:p>
        </w:tc>
      </w:tr>
      <w:tr w:rsidR="000F78EE" w:rsidRPr="002F5E02" w:rsidTr="00441C90">
        <w:trPr>
          <w:trHeight w:val="342"/>
        </w:trPr>
        <w:tc>
          <w:tcPr>
            <w:tcW w:w="5671" w:type="dxa"/>
          </w:tcPr>
          <w:p w:rsidR="000F78EE" w:rsidRPr="007E001C" w:rsidRDefault="000F78EE" w:rsidP="00441C90">
            <w:pPr>
              <w:spacing w:after="0" w:line="22" w:lineRule="atLeast"/>
              <w:rPr>
                <w:rFonts w:cs="Arial"/>
                <w:color w:val="auto"/>
                <w:sz w:val="22"/>
                <w:szCs w:val="22"/>
                <w:lang w:val="en"/>
              </w:rPr>
            </w:pPr>
            <w:r w:rsidRPr="007E001C">
              <w:rPr>
                <w:color w:val="auto"/>
                <w:sz w:val="22"/>
                <w:szCs w:val="22"/>
              </w:rPr>
              <w:t xml:space="preserve">Last locally acquired case of unknown source </w:t>
            </w:r>
          </w:p>
        </w:tc>
        <w:tc>
          <w:tcPr>
            <w:tcW w:w="1701" w:type="dxa"/>
            <w:vAlign w:val="center"/>
          </w:tcPr>
          <w:p w:rsidR="000F78EE" w:rsidRPr="007E001C" w:rsidRDefault="000F78EE" w:rsidP="00441C90">
            <w:pPr>
              <w:pStyle w:val="NormalWeb"/>
              <w:spacing w:before="0" w:beforeAutospacing="0" w:after="0" w:afterAutospacing="0" w:line="22" w:lineRule="atLeast"/>
              <w:jc w:val="center"/>
              <w:rPr>
                <w:rFonts w:ascii="Arial" w:hAnsi="Arial" w:cs="Arial"/>
                <w:color w:val="FF0000"/>
                <w:sz w:val="22"/>
                <w:szCs w:val="22"/>
              </w:rPr>
            </w:pPr>
            <w:r w:rsidRPr="007E001C">
              <w:rPr>
                <w:rFonts w:ascii="Arial" w:hAnsi="Arial" w:cs="Arial"/>
                <w:sz w:val="22"/>
                <w:szCs w:val="22"/>
                <w:lang w:val="en"/>
              </w:rPr>
              <w:t>13/02/2021</w:t>
            </w:r>
          </w:p>
        </w:tc>
        <w:tc>
          <w:tcPr>
            <w:tcW w:w="1701" w:type="dxa"/>
            <w:vAlign w:val="center"/>
          </w:tcPr>
          <w:p w:rsidR="000F78EE" w:rsidRPr="007E001C" w:rsidRDefault="000F78EE" w:rsidP="00405E96">
            <w:pPr>
              <w:spacing w:after="0" w:line="22" w:lineRule="atLeast"/>
              <w:jc w:val="center"/>
              <w:rPr>
                <w:rFonts w:cs="Arial"/>
                <w:color w:val="FF0000"/>
                <w:sz w:val="22"/>
                <w:szCs w:val="22"/>
              </w:rPr>
            </w:pPr>
            <w:r w:rsidRPr="007E001C">
              <w:rPr>
                <w:rFonts w:cs="Arial"/>
                <w:color w:val="FF0000"/>
                <w:sz w:val="22"/>
                <w:szCs w:val="22"/>
                <w:lang w:val="en"/>
              </w:rPr>
              <w:t>1</w:t>
            </w:r>
            <w:r w:rsidR="00C808E5">
              <w:rPr>
                <w:rFonts w:cs="Arial"/>
                <w:color w:val="FF0000"/>
                <w:sz w:val="22"/>
                <w:szCs w:val="22"/>
                <w:lang w:val="en"/>
              </w:rPr>
              <w:t>65</w:t>
            </w:r>
          </w:p>
        </w:tc>
      </w:tr>
    </w:tbl>
    <w:p w:rsidR="00A03F95" w:rsidRDefault="00A03F95" w:rsidP="00494230">
      <w:pPr>
        <w:spacing w:after="0" w:line="22" w:lineRule="atLeast"/>
        <w:rPr>
          <w:color w:val="auto"/>
        </w:rPr>
      </w:pPr>
    </w:p>
    <w:p w:rsidR="00926CA2" w:rsidRPr="00AA0B43" w:rsidRDefault="00926CA2" w:rsidP="00926CA2">
      <w:pPr>
        <w:spacing w:before="240" w:after="120" w:line="242" w:lineRule="auto"/>
        <w:rPr>
          <w:rFonts w:cs="Arial"/>
          <w:b/>
          <w:color w:val="auto"/>
          <w:sz w:val="28"/>
          <w:szCs w:val="28"/>
        </w:rPr>
      </w:pPr>
      <w:r w:rsidRPr="00AA0B43">
        <w:rPr>
          <w:rFonts w:cs="Arial"/>
          <w:b/>
          <w:color w:val="auto"/>
          <w:sz w:val="28"/>
          <w:szCs w:val="28"/>
        </w:rPr>
        <w:t>Travel impacts</w:t>
      </w:r>
    </w:p>
    <w:p w:rsidR="00C808E5" w:rsidRPr="00110F23" w:rsidRDefault="00C808E5" w:rsidP="00C808E5">
      <w:pPr>
        <w:pStyle w:val="ListParagraph"/>
        <w:numPr>
          <w:ilvl w:val="0"/>
          <w:numId w:val="48"/>
        </w:numPr>
        <w:rPr>
          <w:color w:val="FF0000"/>
          <w:sz w:val="22"/>
          <w:szCs w:val="22"/>
        </w:rPr>
      </w:pPr>
      <w:r w:rsidRPr="00110F23">
        <w:rPr>
          <w:color w:val="FF0000"/>
          <w:sz w:val="22"/>
          <w:szCs w:val="22"/>
        </w:rPr>
        <w:t xml:space="preserve">Quarantine-free travel from all Australian states and territories to New Zealand was suspended from 2359 hrs (NZST) Friday 23 July 2021 due to the worsening COVID-19 situation in Australia. The suspension will be for a minimum </w:t>
      </w:r>
      <w:r w:rsidR="007A4936" w:rsidRPr="00110F23">
        <w:rPr>
          <w:color w:val="FF0000"/>
          <w:sz w:val="22"/>
          <w:szCs w:val="22"/>
        </w:rPr>
        <w:t xml:space="preserve">period </w:t>
      </w:r>
      <w:r w:rsidRPr="00110F23">
        <w:rPr>
          <w:color w:val="FF0000"/>
          <w:sz w:val="22"/>
          <w:szCs w:val="22"/>
        </w:rPr>
        <w:t>of eight weeks.</w:t>
      </w:r>
    </w:p>
    <w:p w:rsidR="00062C7F" w:rsidRPr="00110F23" w:rsidRDefault="00062C7F" w:rsidP="00062C7F">
      <w:pPr>
        <w:numPr>
          <w:ilvl w:val="0"/>
          <w:numId w:val="48"/>
        </w:numPr>
        <w:spacing w:after="120" w:line="276" w:lineRule="auto"/>
        <w:textAlignment w:val="center"/>
        <w:rPr>
          <w:rFonts w:eastAsia="Calibri" w:cs="Arial"/>
          <w:color w:val="FF0000"/>
          <w:sz w:val="22"/>
          <w:szCs w:val="22"/>
        </w:rPr>
      </w:pPr>
      <w:r w:rsidRPr="00110F23">
        <w:rPr>
          <w:rFonts w:eastAsia="Calibri" w:cs="Arial"/>
          <w:color w:val="FF0000"/>
          <w:sz w:val="22"/>
          <w:szCs w:val="22"/>
        </w:rPr>
        <w:t xml:space="preserve">New Zealand residents in Australia (except for those in NSW) have until 2359 NZST Friday 30 July 2021 to return home without requiring quarantine on arrival in New Zealand.  </w:t>
      </w:r>
    </w:p>
    <w:p w:rsidR="00062C7F" w:rsidRPr="00062C7F" w:rsidRDefault="00062C7F" w:rsidP="00062C7F">
      <w:pPr>
        <w:pStyle w:val="List"/>
      </w:pPr>
    </w:p>
    <w:p w:rsidR="00E9181D" w:rsidRDefault="00E9181D" w:rsidP="00E9181D">
      <w:pPr>
        <w:pStyle w:val="BodyText"/>
      </w:pPr>
    </w:p>
    <w:p w:rsidR="00E9181D" w:rsidRDefault="00E9181D" w:rsidP="00E9181D">
      <w:pPr>
        <w:pStyle w:val="BodyText"/>
      </w:pPr>
    </w:p>
    <w:p w:rsidR="00E9181D" w:rsidRDefault="00E9181D" w:rsidP="00E9181D">
      <w:pPr>
        <w:pStyle w:val="BodyText"/>
      </w:pPr>
    </w:p>
    <w:p w:rsidR="00E9181D" w:rsidRDefault="005841F1" w:rsidP="00441C90">
      <w:pPr>
        <w:spacing w:after="0" w:line="22" w:lineRule="atLeast"/>
        <w:ind w:left="284"/>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43.5pt">
            <v:imagedata r:id="rId11" o:title="PMK signature"/>
          </v:shape>
        </w:pict>
      </w:r>
    </w:p>
    <w:p w:rsidR="00E9181D" w:rsidRDefault="00E9181D" w:rsidP="00441C90">
      <w:pPr>
        <w:spacing w:after="0" w:line="22" w:lineRule="atLeast"/>
        <w:ind w:left="284"/>
        <w:rPr>
          <w:color w:val="auto"/>
        </w:rPr>
      </w:pPr>
    </w:p>
    <w:p w:rsidR="00B211B6" w:rsidRPr="007A4936" w:rsidRDefault="007A4936" w:rsidP="00441C90">
      <w:pPr>
        <w:spacing w:after="0" w:line="22" w:lineRule="atLeast"/>
        <w:ind w:left="284"/>
        <w:rPr>
          <w:color w:val="FF0000"/>
        </w:rPr>
      </w:pPr>
      <w:r w:rsidRPr="007A4936">
        <w:rPr>
          <w:color w:val="FF0000"/>
        </w:rPr>
        <w:t xml:space="preserve">Acting </w:t>
      </w:r>
      <w:r w:rsidR="000A5B04" w:rsidRPr="007A4936">
        <w:rPr>
          <w:color w:val="FF0000"/>
        </w:rPr>
        <w:t>C</w:t>
      </w:r>
      <w:r w:rsidR="00B211B6" w:rsidRPr="007A4936">
        <w:rPr>
          <w:color w:val="FF0000"/>
        </w:rPr>
        <w:t>hief Medical Officer</w:t>
      </w:r>
    </w:p>
    <w:p w:rsidR="00B211B6" w:rsidRPr="007A4936" w:rsidRDefault="00B211B6" w:rsidP="00441C90">
      <w:pPr>
        <w:spacing w:after="0" w:line="22" w:lineRule="atLeast"/>
        <w:ind w:left="284"/>
        <w:rPr>
          <w:color w:val="FF0000"/>
        </w:rPr>
      </w:pPr>
      <w:r w:rsidRPr="007A4936">
        <w:rPr>
          <w:color w:val="FF0000"/>
        </w:rPr>
        <w:t xml:space="preserve">Professor </w:t>
      </w:r>
      <w:r w:rsidR="007A4936" w:rsidRPr="007A4936">
        <w:rPr>
          <w:color w:val="FF0000"/>
        </w:rPr>
        <w:t>Michael Kidd</w:t>
      </w:r>
      <w:r w:rsidR="00872F1C" w:rsidRPr="007A4936">
        <w:rPr>
          <w:color w:val="FF0000"/>
        </w:rPr>
        <w:t xml:space="preserve"> </w:t>
      </w:r>
    </w:p>
    <w:p w:rsidR="00365261" w:rsidRPr="007A4936" w:rsidRDefault="0084065A" w:rsidP="00441C90">
      <w:pPr>
        <w:spacing w:after="0" w:line="22" w:lineRule="atLeast"/>
        <w:ind w:left="284"/>
        <w:rPr>
          <w:color w:val="FF0000"/>
        </w:rPr>
      </w:pPr>
      <w:r w:rsidRPr="007A4936">
        <w:rPr>
          <w:noProof/>
          <w:color w:val="FF0000"/>
          <w:lang w:eastAsia="en-AU"/>
        </w:rPr>
        <mc:AlternateContent>
          <mc:Choice Requires="wps">
            <w:drawing>
              <wp:anchor distT="0" distB="0" distL="114300" distR="114300" simplePos="0" relativeHeight="251657216" behindDoc="0" locked="0" layoutInCell="1" allowOverlap="1" wp14:anchorId="65E970BD" wp14:editId="4796F321">
                <wp:simplePos x="0" y="0"/>
                <wp:positionH relativeFrom="column">
                  <wp:posOffset>6321087</wp:posOffset>
                </wp:positionH>
                <wp:positionV relativeFrom="paragraph">
                  <wp:posOffset>65273</wp:posOffset>
                </wp:positionV>
                <wp:extent cx="691375" cy="156117"/>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rsidR="00B13F9B" w:rsidRPr="0084065A" w:rsidRDefault="00B13F9B"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rsidR="00B13F9B" w:rsidRDefault="00B13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970BD" id="_x0000_t202" coordsize="21600,21600" o:spt="202" path="m,l,21600r21600,l21600,xe">
                <v:stroke joinstyle="miter"/>
                <v:path gradientshapeok="t" o:connecttype="rect"/>
              </v:shapetype>
              <v:shape id="Text Box 3" o:spid="_x0000_s1026" type="#_x0000_t202" style="position:absolute;left:0;text-align:left;margin-left:497.7pt;margin-top:5.15pt;width:54.45pt;height:12.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" filled="f" stroked="f" strokeweight=".5pt">
                <v:textbox>
                  <w:txbxContent>
                    <w:p w:rsidR="00B13F9B" w:rsidRPr="0084065A" w:rsidRDefault="00B13F9B"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rsidR="00B13F9B" w:rsidRDefault="00B13F9B"/>
                  </w:txbxContent>
                </v:textbox>
              </v:shape>
            </w:pict>
          </mc:Fallback>
        </mc:AlternateContent>
      </w:r>
      <w:r w:rsidR="00E9181D" w:rsidRPr="007A4936">
        <w:rPr>
          <w:noProof/>
          <w:color w:val="FF0000"/>
          <w:lang w:eastAsia="en-AU"/>
        </w:rPr>
        <w:t>2</w:t>
      </w:r>
      <w:r w:rsidR="00C808E5" w:rsidRPr="007A4936">
        <w:rPr>
          <w:noProof/>
          <w:color w:val="FF0000"/>
          <w:lang w:eastAsia="en-AU"/>
        </w:rPr>
        <w:t>8</w:t>
      </w:r>
      <w:r w:rsidR="00372037" w:rsidRPr="007A4936">
        <w:rPr>
          <w:noProof/>
          <w:color w:val="FF0000"/>
          <w:lang w:eastAsia="en-AU"/>
        </w:rPr>
        <w:t xml:space="preserve"> Ju</w:t>
      </w:r>
      <w:r w:rsidR="00BB2DCA" w:rsidRPr="007A4936">
        <w:rPr>
          <w:noProof/>
          <w:color w:val="FF0000"/>
          <w:lang w:eastAsia="en-AU"/>
        </w:rPr>
        <w:t>ly</w:t>
      </w:r>
      <w:r w:rsidR="00A1790B" w:rsidRPr="007A4936">
        <w:rPr>
          <w:color w:val="FF0000"/>
        </w:rPr>
        <w:t xml:space="preserve"> 2021</w:t>
      </w:r>
    </w:p>
    <w:sectPr w:rsidR="00365261" w:rsidRPr="007A4936" w:rsidSect="00940B15">
      <w:headerReference w:type="even" r:id="rId12"/>
      <w:headerReference w:type="default" r:id="rId13"/>
      <w:footerReference w:type="default" r:id="rId14"/>
      <w:headerReference w:type="first" r:id="rId15"/>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2ED" w:rsidRDefault="00B222ED" w:rsidP="003F5DCC">
      <w:pPr>
        <w:spacing w:after="0" w:line="240" w:lineRule="auto"/>
      </w:pPr>
      <w:r>
        <w:separator/>
      </w:r>
    </w:p>
  </w:endnote>
  <w:endnote w:type="continuationSeparator" w:id="0">
    <w:p w:rsidR="00B222ED" w:rsidRDefault="00B222ED" w:rsidP="003F5DCC">
      <w:pPr>
        <w:spacing w:after="0" w:line="240" w:lineRule="auto"/>
      </w:pPr>
      <w:r>
        <w:continuationSeparator/>
      </w:r>
    </w:p>
  </w:endnote>
  <w:endnote w:type="continuationNotice" w:id="1">
    <w:p w:rsidR="00B222ED" w:rsidRDefault="00B22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NeueLT Std"/>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9B" w:rsidRPr="006A4BBC" w:rsidRDefault="00B13F9B"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5841F1">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2ED" w:rsidRDefault="00B222ED" w:rsidP="003F5DCC">
      <w:pPr>
        <w:spacing w:after="0" w:line="240" w:lineRule="auto"/>
      </w:pPr>
      <w:r>
        <w:separator/>
      </w:r>
    </w:p>
  </w:footnote>
  <w:footnote w:type="continuationSeparator" w:id="0">
    <w:p w:rsidR="00B222ED" w:rsidRDefault="00B222ED" w:rsidP="003F5DCC">
      <w:pPr>
        <w:spacing w:after="0" w:line="240" w:lineRule="auto"/>
      </w:pPr>
      <w:r>
        <w:continuationSeparator/>
      </w:r>
    </w:p>
  </w:footnote>
  <w:footnote w:type="continuationNotice" w:id="1">
    <w:p w:rsidR="00B222ED" w:rsidRDefault="00B222ED">
      <w:pPr>
        <w:spacing w:after="0" w:line="240" w:lineRule="auto"/>
      </w:pPr>
    </w:p>
  </w:footnote>
  <w:footnote w:id="2">
    <w:p w:rsidR="00B13F9B" w:rsidRPr="009E7164" w:rsidRDefault="00B13F9B">
      <w:pPr>
        <w:pStyle w:val="FootnoteText"/>
        <w:rPr>
          <w:rFonts w:ascii="Arial" w:hAnsi="Arial" w:cs="Arial"/>
          <w:sz w:val="16"/>
          <w:szCs w:val="16"/>
        </w:rPr>
      </w:pPr>
      <w:r w:rsidRPr="009E7164">
        <w:rPr>
          <w:rStyle w:val="FootnoteReference"/>
          <w:rFonts w:ascii="Arial" w:hAnsi="Arial" w:cs="Arial"/>
          <w:sz w:val="16"/>
          <w:szCs w:val="16"/>
        </w:rPr>
        <w:footnoteRef/>
      </w:r>
      <w:r w:rsidRPr="009E7164">
        <w:rPr>
          <w:rFonts w:ascii="Arial" w:hAnsi="Arial" w:cs="Arial"/>
          <w:sz w:val="16"/>
          <w:szCs w:val="16"/>
        </w:rPr>
        <w:t xml:space="preserve"> </w:t>
      </w:r>
      <w:hyperlink r:id="rId1" w:history="1">
        <w:r w:rsidRPr="00B61F1E">
          <w:rPr>
            <w:rStyle w:val="Hyperlink"/>
            <w:rFonts w:ascii="Arial" w:hAnsi="Arial" w:cs="Arial"/>
            <w:sz w:val="16"/>
            <w:szCs w:val="16"/>
          </w:rPr>
          <w:t>https://www.health.govt.nz/our-work/diseases-and-conditions/covid-19-novel-coronavirus</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9B" w:rsidRDefault="00B13F9B"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3F9B" w:rsidRDefault="00B13F9B"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9B" w:rsidRDefault="00B13F9B" w:rsidP="002376FB">
    <w:pPr>
      <w:pStyle w:val="Header"/>
      <w:ind w:firstLine="360"/>
    </w:pPr>
    <w:r>
      <w:rPr>
        <w:noProof/>
        <w:lang w:eastAsia="en-AU"/>
      </w:rPr>
      <w:drawing>
        <wp:anchor distT="0" distB="0" distL="114300" distR="114300" simplePos="0" relativeHeight="251656192" behindDoc="1" locked="1" layoutInCell="1" allowOverlap="1" wp14:anchorId="7DAE19A9" wp14:editId="1B1B593D">
          <wp:simplePos x="0" y="0"/>
          <wp:positionH relativeFrom="page">
            <wp:align>left</wp:align>
          </wp:positionH>
          <wp:positionV relativeFrom="page">
            <wp:align>top</wp:align>
          </wp:positionV>
          <wp:extent cx="7657200" cy="10699200"/>
          <wp:effectExtent l="0" t="0" r="1270" b="6985"/>
          <wp:wrapNone/>
          <wp:docPr id="13" name="Picture 13"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9B" w:rsidRDefault="005841F1" w:rsidP="002376FB">
    <w:pPr>
      <w:pStyle w:val="Header"/>
      <w:ind w:right="360"/>
    </w:pPr>
    <w:sdt>
      <w:sdtPr>
        <w:id w:val="2133900075"/>
        <w:docPartObj>
          <w:docPartGallery w:val="Watermarks"/>
          <w:docPartUnique/>
        </w:docPartObj>
      </w:sdtPr>
      <w:sdtEndPr/>
      <w:sdtContent>
        <w:r>
          <w:rPr>
            <w:noProof/>
            <w:lang w:val="en-US"/>
          </w:rPr>
          <w:pict w14:anchorId="033B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B13F9B">
      <w:rPr>
        <w:noProof/>
        <w:lang w:eastAsia="en-AU"/>
      </w:rPr>
      <w:drawing>
        <wp:anchor distT="0" distB="0" distL="114300" distR="114300" simplePos="0" relativeHeight="251658240" behindDoc="0" locked="0" layoutInCell="1" allowOverlap="1" wp14:anchorId="135C9629" wp14:editId="61F968CE">
          <wp:simplePos x="0" y="0"/>
          <wp:positionH relativeFrom="column">
            <wp:posOffset>-875030</wp:posOffset>
          </wp:positionH>
          <wp:positionV relativeFrom="paragraph">
            <wp:posOffset>-243840</wp:posOffset>
          </wp:positionV>
          <wp:extent cx="7698353" cy="10889445"/>
          <wp:effectExtent l="0" t="0" r="0" b="7620"/>
          <wp:wrapNone/>
          <wp:docPr id="14" name="Picture 14"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F9B">
      <w:rPr>
        <w:noProof/>
        <w:lang w:eastAsia="en-AU"/>
      </w:rPr>
      <w:drawing>
        <wp:anchor distT="0" distB="0" distL="114300" distR="114300" simplePos="0" relativeHeight="251657216" behindDoc="0" locked="0" layoutInCell="1" allowOverlap="1" wp14:anchorId="38368360" wp14:editId="1E5AB9DE">
          <wp:simplePos x="0" y="0"/>
          <wp:positionH relativeFrom="column">
            <wp:posOffset>-1028700</wp:posOffset>
          </wp:positionH>
          <wp:positionV relativeFrom="paragraph">
            <wp:posOffset>-395605</wp:posOffset>
          </wp:positionV>
          <wp:extent cx="7698353" cy="10889445"/>
          <wp:effectExtent l="0" t="0" r="0" b="7620"/>
          <wp:wrapNone/>
          <wp:docPr id="15" name="Picture 15"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6F1"/>
    <w:multiLevelType w:val="hybridMultilevel"/>
    <w:tmpl w:val="02C81934"/>
    <w:lvl w:ilvl="0" w:tplc="4844A84C">
      <w:numFmt w:val="bullet"/>
      <w:lvlText w:val="-"/>
      <w:lvlJc w:val="left"/>
      <w:pPr>
        <w:ind w:left="660" w:hanging="360"/>
      </w:pPr>
      <w:rPr>
        <w:rFonts w:ascii="Arial" w:eastAsia="Times New Roman" w:hAnsi="Arial" w:cs="Arial" w:hint="default"/>
      </w:rPr>
    </w:lvl>
    <w:lvl w:ilvl="1" w:tplc="0C090003" w:tentative="1">
      <w:start w:val="1"/>
      <w:numFmt w:val="bullet"/>
      <w:lvlText w:val="o"/>
      <w:lvlJc w:val="left"/>
      <w:pPr>
        <w:ind w:left="1380" w:hanging="360"/>
      </w:pPr>
      <w:rPr>
        <w:rFonts w:ascii="Courier New" w:hAnsi="Courier New" w:cs="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cs="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cs="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1" w15:restartNumberingAfterBreak="0">
    <w:nsid w:val="009C0DF7"/>
    <w:multiLevelType w:val="hybridMultilevel"/>
    <w:tmpl w:val="13FC1FAE"/>
    <w:lvl w:ilvl="0" w:tplc="D51C2238">
      <w:numFmt w:val="bullet"/>
      <w:lvlText w:val="-"/>
      <w:lvlJc w:val="left"/>
      <w:pPr>
        <w:ind w:left="1020" w:hanging="360"/>
      </w:pPr>
      <w:rPr>
        <w:rFonts w:ascii="Arial" w:eastAsia="Times New Roman" w:hAnsi="Arial" w:cs="Aria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2" w15:restartNumberingAfterBreak="0">
    <w:nsid w:val="03197979"/>
    <w:multiLevelType w:val="hybridMultilevel"/>
    <w:tmpl w:val="B0C89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37B9B"/>
    <w:multiLevelType w:val="hybridMultilevel"/>
    <w:tmpl w:val="D6D2CD86"/>
    <w:lvl w:ilvl="0" w:tplc="097EA9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14C4F"/>
    <w:multiLevelType w:val="hybridMultilevel"/>
    <w:tmpl w:val="87762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A472F6"/>
    <w:multiLevelType w:val="hybridMultilevel"/>
    <w:tmpl w:val="44DC3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9522DE"/>
    <w:multiLevelType w:val="hybridMultilevel"/>
    <w:tmpl w:val="A760B7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106529A2"/>
    <w:multiLevelType w:val="hybridMultilevel"/>
    <w:tmpl w:val="D0E80884"/>
    <w:lvl w:ilvl="0" w:tplc="664E53DE">
      <w:start w:val="2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0B053FA"/>
    <w:multiLevelType w:val="hybridMultilevel"/>
    <w:tmpl w:val="AEC69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B579BB"/>
    <w:multiLevelType w:val="hybridMultilevel"/>
    <w:tmpl w:val="E87C5EAA"/>
    <w:lvl w:ilvl="0" w:tplc="04CEB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FB6077"/>
    <w:multiLevelType w:val="hybridMultilevel"/>
    <w:tmpl w:val="E4F2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522492"/>
    <w:multiLevelType w:val="hybridMultilevel"/>
    <w:tmpl w:val="2E3AB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A1586A"/>
    <w:multiLevelType w:val="hybridMultilevel"/>
    <w:tmpl w:val="6206E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8F765D"/>
    <w:multiLevelType w:val="hybridMultilevel"/>
    <w:tmpl w:val="33325902"/>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371D9A"/>
    <w:multiLevelType w:val="hybridMultilevel"/>
    <w:tmpl w:val="8DC683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F">
      <w:start w:val="1"/>
      <w:numFmt w:val="decimal"/>
      <w:lvlText w:val="%3."/>
      <w:lvlJc w:val="left"/>
      <w:pPr>
        <w:ind w:left="1800" w:hanging="360"/>
      </w:pPr>
      <w:rPr>
        <w:rFont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3242F8"/>
    <w:multiLevelType w:val="hybridMultilevel"/>
    <w:tmpl w:val="DF7C2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3134FE"/>
    <w:multiLevelType w:val="hybridMultilevel"/>
    <w:tmpl w:val="5BC8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613DA1"/>
    <w:multiLevelType w:val="hybridMultilevel"/>
    <w:tmpl w:val="0D64FCBA"/>
    <w:lvl w:ilvl="0" w:tplc="D16800EE">
      <w:start w:val="2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60B3276"/>
    <w:multiLevelType w:val="hybridMultilevel"/>
    <w:tmpl w:val="153607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02541C5"/>
    <w:multiLevelType w:val="hybridMultilevel"/>
    <w:tmpl w:val="25FEE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9A8EC4C">
      <w:numFmt w:val="bullet"/>
      <w:lvlText w:val="-"/>
      <w:lvlJc w:val="left"/>
      <w:pPr>
        <w:ind w:left="1800" w:hanging="360"/>
      </w:pPr>
      <w:rPr>
        <w:rFonts w:ascii="Arial" w:eastAsia="Times New Roman" w:hAnsi="Arial" w:cs="Arial" w:hint="default"/>
        <w:color w:val="FF0000"/>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30933750"/>
    <w:multiLevelType w:val="hybridMultilevel"/>
    <w:tmpl w:val="5A8C2F04"/>
    <w:lvl w:ilvl="0" w:tplc="BFA6FED2">
      <w:start w:val="1"/>
      <w:numFmt w:val="bullet"/>
      <w:lvlText w:val=""/>
      <w:lvlJc w:val="left"/>
      <w:pPr>
        <w:ind w:left="720" w:hanging="360"/>
      </w:pPr>
      <w:rPr>
        <w:rFonts w:ascii="Symbol" w:hAnsi="Symbol" w:hint="default"/>
      </w:rPr>
    </w:lvl>
    <w:lvl w:ilvl="1" w:tplc="77649166">
      <w:start w:val="1"/>
      <w:numFmt w:val="bullet"/>
      <w:lvlText w:val="o"/>
      <w:lvlJc w:val="left"/>
      <w:pPr>
        <w:ind w:left="1440" w:hanging="360"/>
      </w:pPr>
      <w:rPr>
        <w:rFonts w:ascii="Courier New" w:hAnsi="Courier New" w:cs="Courier New" w:hint="default"/>
      </w:rPr>
    </w:lvl>
    <w:lvl w:ilvl="2" w:tplc="7DD24112">
      <w:start w:val="1"/>
      <w:numFmt w:val="bullet"/>
      <w:lvlText w:val=""/>
      <w:lvlJc w:val="left"/>
      <w:pPr>
        <w:ind w:left="2160" w:hanging="360"/>
      </w:pPr>
      <w:rPr>
        <w:rFonts w:ascii="Wingdings" w:hAnsi="Wingdings" w:hint="default"/>
      </w:rPr>
    </w:lvl>
    <w:lvl w:ilvl="3" w:tplc="BCF6BA3E">
      <w:start w:val="1"/>
      <w:numFmt w:val="bullet"/>
      <w:lvlText w:val=""/>
      <w:lvlJc w:val="left"/>
      <w:pPr>
        <w:ind w:left="2880" w:hanging="360"/>
      </w:pPr>
      <w:rPr>
        <w:rFonts w:ascii="Symbol" w:hAnsi="Symbol" w:hint="default"/>
      </w:rPr>
    </w:lvl>
    <w:lvl w:ilvl="4" w:tplc="7FCACA04">
      <w:start w:val="1"/>
      <w:numFmt w:val="bullet"/>
      <w:lvlText w:val="o"/>
      <w:lvlJc w:val="left"/>
      <w:pPr>
        <w:ind w:left="3600" w:hanging="360"/>
      </w:pPr>
      <w:rPr>
        <w:rFonts w:ascii="Courier New" w:hAnsi="Courier New" w:cs="Courier New" w:hint="default"/>
      </w:rPr>
    </w:lvl>
    <w:lvl w:ilvl="5" w:tplc="B220F67E">
      <w:start w:val="1"/>
      <w:numFmt w:val="bullet"/>
      <w:lvlText w:val=""/>
      <w:lvlJc w:val="left"/>
      <w:pPr>
        <w:ind w:left="4320" w:hanging="360"/>
      </w:pPr>
      <w:rPr>
        <w:rFonts w:ascii="Wingdings" w:hAnsi="Wingdings" w:hint="default"/>
      </w:rPr>
    </w:lvl>
    <w:lvl w:ilvl="6" w:tplc="DD828110">
      <w:start w:val="1"/>
      <w:numFmt w:val="bullet"/>
      <w:lvlText w:val=""/>
      <w:lvlJc w:val="left"/>
      <w:pPr>
        <w:ind w:left="5040" w:hanging="360"/>
      </w:pPr>
      <w:rPr>
        <w:rFonts w:ascii="Symbol" w:hAnsi="Symbol" w:hint="default"/>
      </w:rPr>
    </w:lvl>
    <w:lvl w:ilvl="7" w:tplc="CF86D5F6">
      <w:start w:val="1"/>
      <w:numFmt w:val="bullet"/>
      <w:lvlText w:val="o"/>
      <w:lvlJc w:val="left"/>
      <w:pPr>
        <w:ind w:left="5760" w:hanging="360"/>
      </w:pPr>
      <w:rPr>
        <w:rFonts w:ascii="Courier New" w:hAnsi="Courier New" w:cs="Courier New" w:hint="default"/>
      </w:rPr>
    </w:lvl>
    <w:lvl w:ilvl="8" w:tplc="FA565812">
      <w:start w:val="1"/>
      <w:numFmt w:val="bullet"/>
      <w:lvlText w:val=""/>
      <w:lvlJc w:val="left"/>
      <w:pPr>
        <w:ind w:left="6480" w:hanging="360"/>
      </w:pPr>
      <w:rPr>
        <w:rFonts w:ascii="Wingdings" w:hAnsi="Wingdings" w:hint="default"/>
      </w:rPr>
    </w:lvl>
  </w:abstractNum>
  <w:abstractNum w:abstractNumId="22" w15:restartNumberingAfterBreak="0">
    <w:nsid w:val="32B629E2"/>
    <w:multiLevelType w:val="hybridMultilevel"/>
    <w:tmpl w:val="E2E643D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335D3AF1"/>
    <w:multiLevelType w:val="hybridMultilevel"/>
    <w:tmpl w:val="C1B25436"/>
    <w:lvl w:ilvl="0" w:tplc="CC2A0FC2">
      <w:start w:val="150"/>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658133E"/>
    <w:multiLevelType w:val="hybridMultilevel"/>
    <w:tmpl w:val="AC2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A513D2"/>
    <w:multiLevelType w:val="hybridMultilevel"/>
    <w:tmpl w:val="1EFCF6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A272E6"/>
    <w:multiLevelType w:val="hybridMultilevel"/>
    <w:tmpl w:val="579679FE"/>
    <w:lvl w:ilvl="0" w:tplc="DE203012">
      <w:start w:val="1"/>
      <w:numFmt w:val="bullet"/>
      <w:lvlText w:val=""/>
      <w:lvlJc w:val="left"/>
      <w:pPr>
        <w:ind w:left="360" w:hanging="360"/>
      </w:pPr>
      <w:rPr>
        <w:rFonts w:ascii="Symbol" w:hAnsi="Symbol" w:hint="default"/>
        <w:color w:val="auto"/>
      </w:rPr>
    </w:lvl>
    <w:lvl w:ilvl="1" w:tplc="6838A8D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EC07F1"/>
    <w:multiLevelType w:val="hybridMultilevel"/>
    <w:tmpl w:val="941A1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F5E1A56"/>
    <w:multiLevelType w:val="hybridMultilevel"/>
    <w:tmpl w:val="07FC9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5F2E30"/>
    <w:multiLevelType w:val="hybridMultilevel"/>
    <w:tmpl w:val="0EA0614E"/>
    <w:lvl w:ilvl="0" w:tplc="0C090001">
      <w:start w:val="1"/>
      <w:numFmt w:val="bullet"/>
      <w:lvlText w:val=""/>
      <w:lvlJc w:val="left"/>
      <w:pPr>
        <w:ind w:left="720" w:hanging="360"/>
      </w:pPr>
      <w:rPr>
        <w:rFonts w:ascii="Symbol" w:hAnsi="Symbol" w:hint="default"/>
      </w:rPr>
    </w:lvl>
    <w:lvl w:ilvl="1" w:tplc="4E08E3D2">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12370C"/>
    <w:multiLevelType w:val="hybridMultilevel"/>
    <w:tmpl w:val="1C7C1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EC0B38"/>
    <w:multiLevelType w:val="hybridMultilevel"/>
    <w:tmpl w:val="1D862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9A0C8B"/>
    <w:multiLevelType w:val="hybridMultilevel"/>
    <w:tmpl w:val="E8C6A67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62EA058C"/>
    <w:multiLevelType w:val="hybridMultilevel"/>
    <w:tmpl w:val="E160B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43D3854"/>
    <w:multiLevelType w:val="hybridMultilevel"/>
    <w:tmpl w:val="661C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A14EC1"/>
    <w:multiLevelType w:val="hybridMultilevel"/>
    <w:tmpl w:val="2A58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5B4A5C"/>
    <w:multiLevelType w:val="hybridMultilevel"/>
    <w:tmpl w:val="D1E26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FF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7E65DA"/>
    <w:multiLevelType w:val="hybridMultilevel"/>
    <w:tmpl w:val="F3BAE84A"/>
    <w:lvl w:ilvl="0" w:tplc="617C3A54">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6CC48D1"/>
    <w:multiLevelType w:val="hybridMultilevel"/>
    <w:tmpl w:val="8C0E7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FF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953372"/>
    <w:multiLevelType w:val="hybridMultilevel"/>
    <w:tmpl w:val="CF185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4"/>
  </w:num>
  <w:num w:numId="4">
    <w:abstractNumId w:val="9"/>
  </w:num>
  <w:num w:numId="5">
    <w:abstractNumId w:val="25"/>
  </w:num>
  <w:num w:numId="6">
    <w:abstractNumId w:val="3"/>
  </w:num>
  <w:num w:numId="7">
    <w:abstractNumId w:val="14"/>
  </w:num>
  <w:num w:numId="8">
    <w:abstractNumId w:val="32"/>
  </w:num>
  <w:num w:numId="9">
    <w:abstractNumId w:val="22"/>
  </w:num>
  <w:num w:numId="10">
    <w:abstractNumId w:val="6"/>
  </w:num>
  <w:num w:numId="11">
    <w:abstractNumId w:val="11"/>
  </w:num>
  <w:num w:numId="12">
    <w:abstractNumId w:val="24"/>
  </w:num>
  <w:num w:numId="13">
    <w:abstractNumId w:val="30"/>
  </w:num>
  <w:num w:numId="14">
    <w:abstractNumId w:val="2"/>
  </w:num>
  <w:num w:numId="15">
    <w:abstractNumId w:val="17"/>
  </w:num>
  <w:num w:numId="16">
    <w:abstractNumId w:val="39"/>
  </w:num>
  <w:num w:numId="17">
    <w:abstractNumId w:val="28"/>
  </w:num>
  <w:num w:numId="18">
    <w:abstractNumId w:val="35"/>
  </w:num>
  <w:num w:numId="19">
    <w:abstractNumId w:val="5"/>
  </w:num>
  <w:num w:numId="20">
    <w:abstractNumId w:val="31"/>
  </w:num>
  <w:num w:numId="21">
    <w:abstractNumId w:val="15"/>
  </w:num>
  <w:num w:numId="22">
    <w:abstractNumId w:val="12"/>
  </w:num>
  <w:num w:numId="23">
    <w:abstractNumId w:val="26"/>
  </w:num>
  <w:num w:numId="24">
    <w:abstractNumId w:val="20"/>
  </w:num>
  <w:num w:numId="25">
    <w:abstractNumId w:val="14"/>
  </w:num>
  <w:num w:numId="26">
    <w:abstractNumId w:val="21"/>
  </w:num>
  <w:num w:numId="27">
    <w:abstractNumId w:val="29"/>
  </w:num>
  <w:num w:numId="28">
    <w:abstractNumId w:val="23"/>
  </w:num>
  <w:num w:numId="29">
    <w:abstractNumId w:val="14"/>
  </w:num>
  <w:num w:numId="30">
    <w:abstractNumId w:val="14"/>
  </w:num>
  <w:num w:numId="31">
    <w:abstractNumId w:val="14"/>
  </w:num>
  <w:num w:numId="32">
    <w:abstractNumId w:val="18"/>
  </w:num>
  <w:num w:numId="33">
    <w:abstractNumId w:val="13"/>
  </w:num>
  <w:num w:numId="34">
    <w:abstractNumId w:val="7"/>
  </w:num>
  <w:num w:numId="35">
    <w:abstractNumId w:val="14"/>
  </w:num>
  <w:num w:numId="36">
    <w:abstractNumId w:val="19"/>
  </w:num>
  <w:num w:numId="37">
    <w:abstractNumId w:val="14"/>
  </w:num>
  <w:num w:numId="38">
    <w:abstractNumId w:val="4"/>
  </w:num>
  <w:num w:numId="39">
    <w:abstractNumId w:val="33"/>
  </w:num>
  <w:num w:numId="40">
    <w:abstractNumId w:val="27"/>
  </w:num>
  <w:num w:numId="41">
    <w:abstractNumId w:val="14"/>
  </w:num>
  <w:num w:numId="42">
    <w:abstractNumId w:val="38"/>
  </w:num>
  <w:num w:numId="43">
    <w:abstractNumId w:val="36"/>
  </w:num>
  <w:num w:numId="44">
    <w:abstractNumId w:val="37"/>
  </w:num>
  <w:num w:numId="45">
    <w:abstractNumId w:val="14"/>
  </w:num>
  <w:num w:numId="46">
    <w:abstractNumId w:val="14"/>
  </w:num>
  <w:num w:numId="47">
    <w:abstractNumId w:val="14"/>
  </w:num>
  <w:num w:numId="48">
    <w:abstractNumId w:val="16"/>
  </w:num>
  <w:num w:numId="49">
    <w:abstractNumId w:val="0"/>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CC"/>
    <w:rsid w:val="00001F82"/>
    <w:rsid w:val="00014341"/>
    <w:rsid w:val="000217E2"/>
    <w:rsid w:val="0002211D"/>
    <w:rsid w:val="00022C1C"/>
    <w:rsid w:val="000231F0"/>
    <w:rsid w:val="000246E2"/>
    <w:rsid w:val="00025ED0"/>
    <w:rsid w:val="0002708E"/>
    <w:rsid w:val="00031F72"/>
    <w:rsid w:val="00033906"/>
    <w:rsid w:val="00040026"/>
    <w:rsid w:val="000436FB"/>
    <w:rsid w:val="00046248"/>
    <w:rsid w:val="00057650"/>
    <w:rsid w:val="00062C7F"/>
    <w:rsid w:val="00062E83"/>
    <w:rsid w:val="00070122"/>
    <w:rsid w:val="00075BFE"/>
    <w:rsid w:val="00076514"/>
    <w:rsid w:val="00076817"/>
    <w:rsid w:val="0007741B"/>
    <w:rsid w:val="00081BA5"/>
    <w:rsid w:val="0008464B"/>
    <w:rsid w:val="00085A07"/>
    <w:rsid w:val="000860B8"/>
    <w:rsid w:val="00086473"/>
    <w:rsid w:val="00087EF0"/>
    <w:rsid w:val="000941E5"/>
    <w:rsid w:val="00097D19"/>
    <w:rsid w:val="000A1CE3"/>
    <w:rsid w:val="000A5B04"/>
    <w:rsid w:val="000B6D1B"/>
    <w:rsid w:val="000C1DBC"/>
    <w:rsid w:val="000D2D06"/>
    <w:rsid w:val="000E3A03"/>
    <w:rsid w:val="000E60C1"/>
    <w:rsid w:val="000F073C"/>
    <w:rsid w:val="000F568B"/>
    <w:rsid w:val="000F5BB7"/>
    <w:rsid w:val="000F7501"/>
    <w:rsid w:val="000F78EE"/>
    <w:rsid w:val="0010335F"/>
    <w:rsid w:val="00110F23"/>
    <w:rsid w:val="00113CF9"/>
    <w:rsid w:val="00115D98"/>
    <w:rsid w:val="00116001"/>
    <w:rsid w:val="001177D4"/>
    <w:rsid w:val="00123406"/>
    <w:rsid w:val="00147564"/>
    <w:rsid w:val="00152A33"/>
    <w:rsid w:val="001569AD"/>
    <w:rsid w:val="00157327"/>
    <w:rsid w:val="0016036F"/>
    <w:rsid w:val="00162C88"/>
    <w:rsid w:val="00170292"/>
    <w:rsid w:val="0018092F"/>
    <w:rsid w:val="00180AC2"/>
    <w:rsid w:val="001814A0"/>
    <w:rsid w:val="001843DC"/>
    <w:rsid w:val="001846B8"/>
    <w:rsid w:val="00185E09"/>
    <w:rsid w:val="00191F81"/>
    <w:rsid w:val="00192EC7"/>
    <w:rsid w:val="001951A1"/>
    <w:rsid w:val="001964DF"/>
    <w:rsid w:val="001C2581"/>
    <w:rsid w:val="001C62FF"/>
    <w:rsid w:val="001C7AAE"/>
    <w:rsid w:val="001D0058"/>
    <w:rsid w:val="001D0AF7"/>
    <w:rsid w:val="001D2FEF"/>
    <w:rsid w:val="001D4193"/>
    <w:rsid w:val="001E047B"/>
    <w:rsid w:val="001E0E4A"/>
    <w:rsid w:val="001F3133"/>
    <w:rsid w:val="001F546F"/>
    <w:rsid w:val="001F6295"/>
    <w:rsid w:val="002063C3"/>
    <w:rsid w:val="00214AD8"/>
    <w:rsid w:val="00220522"/>
    <w:rsid w:val="002205B1"/>
    <w:rsid w:val="002209EC"/>
    <w:rsid w:val="002210D5"/>
    <w:rsid w:val="00221155"/>
    <w:rsid w:val="00227CE4"/>
    <w:rsid w:val="002329E8"/>
    <w:rsid w:val="002376FB"/>
    <w:rsid w:val="0024135B"/>
    <w:rsid w:val="00241BE8"/>
    <w:rsid w:val="002467A1"/>
    <w:rsid w:val="00256C08"/>
    <w:rsid w:val="00257361"/>
    <w:rsid w:val="0026125D"/>
    <w:rsid w:val="002630ED"/>
    <w:rsid w:val="00263F02"/>
    <w:rsid w:val="002705D3"/>
    <w:rsid w:val="00270AD7"/>
    <w:rsid w:val="00274D69"/>
    <w:rsid w:val="00275246"/>
    <w:rsid w:val="00276092"/>
    <w:rsid w:val="00284A3B"/>
    <w:rsid w:val="0029058F"/>
    <w:rsid w:val="00297EE7"/>
    <w:rsid w:val="002A519D"/>
    <w:rsid w:val="002B794D"/>
    <w:rsid w:val="002C2A43"/>
    <w:rsid w:val="002C3323"/>
    <w:rsid w:val="002C7AB1"/>
    <w:rsid w:val="002D0DAD"/>
    <w:rsid w:val="002D655D"/>
    <w:rsid w:val="002E29D9"/>
    <w:rsid w:val="002E7AF7"/>
    <w:rsid w:val="002F2B8A"/>
    <w:rsid w:val="002F5E02"/>
    <w:rsid w:val="002F7DF8"/>
    <w:rsid w:val="00300221"/>
    <w:rsid w:val="00304E16"/>
    <w:rsid w:val="003077BF"/>
    <w:rsid w:val="00312B4E"/>
    <w:rsid w:val="00317709"/>
    <w:rsid w:val="00321098"/>
    <w:rsid w:val="00325A97"/>
    <w:rsid w:val="003320C4"/>
    <w:rsid w:val="00337760"/>
    <w:rsid w:val="003433A0"/>
    <w:rsid w:val="00343B8C"/>
    <w:rsid w:val="003555FE"/>
    <w:rsid w:val="003636FF"/>
    <w:rsid w:val="003642AD"/>
    <w:rsid w:val="00365065"/>
    <w:rsid w:val="00365261"/>
    <w:rsid w:val="00372037"/>
    <w:rsid w:val="00383823"/>
    <w:rsid w:val="0038500F"/>
    <w:rsid w:val="00390A39"/>
    <w:rsid w:val="00390B4D"/>
    <w:rsid w:val="00391355"/>
    <w:rsid w:val="003934D6"/>
    <w:rsid w:val="00394E16"/>
    <w:rsid w:val="003A4DBC"/>
    <w:rsid w:val="003A7104"/>
    <w:rsid w:val="003C1009"/>
    <w:rsid w:val="003D22B2"/>
    <w:rsid w:val="003D2F6B"/>
    <w:rsid w:val="003E1102"/>
    <w:rsid w:val="003F080B"/>
    <w:rsid w:val="003F25FE"/>
    <w:rsid w:val="003F5DCC"/>
    <w:rsid w:val="004009C1"/>
    <w:rsid w:val="0040157F"/>
    <w:rsid w:val="00401F86"/>
    <w:rsid w:val="00405E96"/>
    <w:rsid w:val="00416B6A"/>
    <w:rsid w:val="0042089A"/>
    <w:rsid w:val="004229E8"/>
    <w:rsid w:val="0042698A"/>
    <w:rsid w:val="0043061F"/>
    <w:rsid w:val="00433958"/>
    <w:rsid w:val="00441C90"/>
    <w:rsid w:val="00441D70"/>
    <w:rsid w:val="0045132C"/>
    <w:rsid w:val="00452299"/>
    <w:rsid w:val="004535FA"/>
    <w:rsid w:val="00465B56"/>
    <w:rsid w:val="00470665"/>
    <w:rsid w:val="00472D94"/>
    <w:rsid w:val="00472E2A"/>
    <w:rsid w:val="004867D1"/>
    <w:rsid w:val="00486A4D"/>
    <w:rsid w:val="00494230"/>
    <w:rsid w:val="004A0573"/>
    <w:rsid w:val="004A075B"/>
    <w:rsid w:val="004A0E1F"/>
    <w:rsid w:val="004C3474"/>
    <w:rsid w:val="004C3A6B"/>
    <w:rsid w:val="004C3B71"/>
    <w:rsid w:val="004C49F6"/>
    <w:rsid w:val="004C5A96"/>
    <w:rsid w:val="004C7729"/>
    <w:rsid w:val="004E1B97"/>
    <w:rsid w:val="004E7100"/>
    <w:rsid w:val="004F6B1F"/>
    <w:rsid w:val="0050312A"/>
    <w:rsid w:val="005040A5"/>
    <w:rsid w:val="00504B59"/>
    <w:rsid w:val="00511B99"/>
    <w:rsid w:val="00517361"/>
    <w:rsid w:val="00521CFC"/>
    <w:rsid w:val="00530D98"/>
    <w:rsid w:val="00531A70"/>
    <w:rsid w:val="00542E6B"/>
    <w:rsid w:val="00546CBE"/>
    <w:rsid w:val="0055025C"/>
    <w:rsid w:val="00551EEE"/>
    <w:rsid w:val="0055260C"/>
    <w:rsid w:val="005536FF"/>
    <w:rsid w:val="005572F4"/>
    <w:rsid w:val="00563EB8"/>
    <w:rsid w:val="005662FC"/>
    <w:rsid w:val="00567805"/>
    <w:rsid w:val="00567A9D"/>
    <w:rsid w:val="0057086A"/>
    <w:rsid w:val="00581AE2"/>
    <w:rsid w:val="00583468"/>
    <w:rsid w:val="0058410E"/>
    <w:rsid w:val="005841F1"/>
    <w:rsid w:val="00586656"/>
    <w:rsid w:val="00590CB1"/>
    <w:rsid w:val="00590DF1"/>
    <w:rsid w:val="005954C2"/>
    <w:rsid w:val="00596341"/>
    <w:rsid w:val="005A107B"/>
    <w:rsid w:val="005A2316"/>
    <w:rsid w:val="005B1E35"/>
    <w:rsid w:val="005B62AD"/>
    <w:rsid w:val="005D31CC"/>
    <w:rsid w:val="005E0C6D"/>
    <w:rsid w:val="005E1E18"/>
    <w:rsid w:val="005E5FFE"/>
    <w:rsid w:val="005F0F31"/>
    <w:rsid w:val="005F1BF3"/>
    <w:rsid w:val="005F201D"/>
    <w:rsid w:val="005F602A"/>
    <w:rsid w:val="00601060"/>
    <w:rsid w:val="00604999"/>
    <w:rsid w:val="006060C4"/>
    <w:rsid w:val="00616F76"/>
    <w:rsid w:val="0062366B"/>
    <w:rsid w:val="006236DF"/>
    <w:rsid w:val="006241BE"/>
    <w:rsid w:val="00626224"/>
    <w:rsid w:val="006332AA"/>
    <w:rsid w:val="00651B3C"/>
    <w:rsid w:val="00662616"/>
    <w:rsid w:val="0066797E"/>
    <w:rsid w:val="00672091"/>
    <w:rsid w:val="0067565E"/>
    <w:rsid w:val="00677725"/>
    <w:rsid w:val="00677AE1"/>
    <w:rsid w:val="006832E1"/>
    <w:rsid w:val="006850C5"/>
    <w:rsid w:val="00685E34"/>
    <w:rsid w:val="0068768F"/>
    <w:rsid w:val="0069566E"/>
    <w:rsid w:val="006968FA"/>
    <w:rsid w:val="006A0B05"/>
    <w:rsid w:val="006A21FE"/>
    <w:rsid w:val="006A2F59"/>
    <w:rsid w:val="006A5D07"/>
    <w:rsid w:val="006B123D"/>
    <w:rsid w:val="006B229F"/>
    <w:rsid w:val="006B5542"/>
    <w:rsid w:val="006B63B0"/>
    <w:rsid w:val="006C167A"/>
    <w:rsid w:val="006C1A96"/>
    <w:rsid w:val="006C75E4"/>
    <w:rsid w:val="006C79C8"/>
    <w:rsid w:val="006D5BC7"/>
    <w:rsid w:val="006F1695"/>
    <w:rsid w:val="006F4608"/>
    <w:rsid w:val="007000C4"/>
    <w:rsid w:val="007175DD"/>
    <w:rsid w:val="007232DA"/>
    <w:rsid w:val="00724C76"/>
    <w:rsid w:val="00726BE0"/>
    <w:rsid w:val="00727A45"/>
    <w:rsid w:val="00732EAF"/>
    <w:rsid w:val="00744435"/>
    <w:rsid w:val="00745300"/>
    <w:rsid w:val="007454BB"/>
    <w:rsid w:val="0074789B"/>
    <w:rsid w:val="00755C1E"/>
    <w:rsid w:val="007575E7"/>
    <w:rsid w:val="007702C5"/>
    <w:rsid w:val="00771686"/>
    <w:rsid w:val="00772AAC"/>
    <w:rsid w:val="007750C4"/>
    <w:rsid w:val="00777FF1"/>
    <w:rsid w:val="00793D70"/>
    <w:rsid w:val="007955C7"/>
    <w:rsid w:val="007A46D6"/>
    <w:rsid w:val="007A4936"/>
    <w:rsid w:val="007A5D86"/>
    <w:rsid w:val="007A601E"/>
    <w:rsid w:val="007A6C8A"/>
    <w:rsid w:val="007B0669"/>
    <w:rsid w:val="007C0E67"/>
    <w:rsid w:val="007E001C"/>
    <w:rsid w:val="007E68CB"/>
    <w:rsid w:val="007F12A5"/>
    <w:rsid w:val="00802337"/>
    <w:rsid w:val="0080501F"/>
    <w:rsid w:val="00806B66"/>
    <w:rsid w:val="008112D6"/>
    <w:rsid w:val="00813165"/>
    <w:rsid w:val="00813BF4"/>
    <w:rsid w:val="008222E4"/>
    <w:rsid w:val="00822CFB"/>
    <w:rsid w:val="008248E5"/>
    <w:rsid w:val="0082509F"/>
    <w:rsid w:val="00827705"/>
    <w:rsid w:val="00836E47"/>
    <w:rsid w:val="0084065A"/>
    <w:rsid w:val="00845057"/>
    <w:rsid w:val="008451D7"/>
    <w:rsid w:val="008542AB"/>
    <w:rsid w:val="00854391"/>
    <w:rsid w:val="00871AFD"/>
    <w:rsid w:val="00872F1C"/>
    <w:rsid w:val="00881BE8"/>
    <w:rsid w:val="00883063"/>
    <w:rsid w:val="00887D60"/>
    <w:rsid w:val="00890CF0"/>
    <w:rsid w:val="00894401"/>
    <w:rsid w:val="00896DE2"/>
    <w:rsid w:val="008A4338"/>
    <w:rsid w:val="008A7DD1"/>
    <w:rsid w:val="008B05E5"/>
    <w:rsid w:val="008B1D87"/>
    <w:rsid w:val="008B5A8F"/>
    <w:rsid w:val="008B6910"/>
    <w:rsid w:val="008C018A"/>
    <w:rsid w:val="008C0875"/>
    <w:rsid w:val="008C2A74"/>
    <w:rsid w:val="008C68FD"/>
    <w:rsid w:val="008C6A01"/>
    <w:rsid w:val="008E2A90"/>
    <w:rsid w:val="00900561"/>
    <w:rsid w:val="009051AB"/>
    <w:rsid w:val="009143D3"/>
    <w:rsid w:val="00926CA2"/>
    <w:rsid w:val="00933F86"/>
    <w:rsid w:val="00935425"/>
    <w:rsid w:val="00935967"/>
    <w:rsid w:val="00936E09"/>
    <w:rsid w:val="00940B15"/>
    <w:rsid w:val="00942848"/>
    <w:rsid w:val="009449DE"/>
    <w:rsid w:val="0095330F"/>
    <w:rsid w:val="00955515"/>
    <w:rsid w:val="00957B8A"/>
    <w:rsid w:val="00962377"/>
    <w:rsid w:val="0096413D"/>
    <w:rsid w:val="00964674"/>
    <w:rsid w:val="00970BF3"/>
    <w:rsid w:val="00976309"/>
    <w:rsid w:val="00977AB9"/>
    <w:rsid w:val="009A175F"/>
    <w:rsid w:val="009A248D"/>
    <w:rsid w:val="009B1C8A"/>
    <w:rsid w:val="009B24D4"/>
    <w:rsid w:val="009B5182"/>
    <w:rsid w:val="009C263D"/>
    <w:rsid w:val="009C4B3A"/>
    <w:rsid w:val="009C7680"/>
    <w:rsid w:val="009C769A"/>
    <w:rsid w:val="009D3C34"/>
    <w:rsid w:val="009D6DEB"/>
    <w:rsid w:val="009E22D0"/>
    <w:rsid w:val="009E35CB"/>
    <w:rsid w:val="009E5E2A"/>
    <w:rsid w:val="009E7164"/>
    <w:rsid w:val="009F1B69"/>
    <w:rsid w:val="009F5FDD"/>
    <w:rsid w:val="00A03F95"/>
    <w:rsid w:val="00A05252"/>
    <w:rsid w:val="00A05D52"/>
    <w:rsid w:val="00A166D3"/>
    <w:rsid w:val="00A1790B"/>
    <w:rsid w:val="00A21291"/>
    <w:rsid w:val="00A24237"/>
    <w:rsid w:val="00A32BE1"/>
    <w:rsid w:val="00A516A0"/>
    <w:rsid w:val="00A517B6"/>
    <w:rsid w:val="00A6047A"/>
    <w:rsid w:val="00A611FF"/>
    <w:rsid w:val="00A62AF8"/>
    <w:rsid w:val="00A64036"/>
    <w:rsid w:val="00A71F93"/>
    <w:rsid w:val="00A77612"/>
    <w:rsid w:val="00A81607"/>
    <w:rsid w:val="00A835AC"/>
    <w:rsid w:val="00A83661"/>
    <w:rsid w:val="00A845B5"/>
    <w:rsid w:val="00A852DF"/>
    <w:rsid w:val="00A87EA6"/>
    <w:rsid w:val="00A95981"/>
    <w:rsid w:val="00AA2159"/>
    <w:rsid w:val="00AA3035"/>
    <w:rsid w:val="00AA3E68"/>
    <w:rsid w:val="00AC2072"/>
    <w:rsid w:val="00AC359C"/>
    <w:rsid w:val="00AC4170"/>
    <w:rsid w:val="00AC44D4"/>
    <w:rsid w:val="00AD0165"/>
    <w:rsid w:val="00AD5CEA"/>
    <w:rsid w:val="00AD68CF"/>
    <w:rsid w:val="00AE1551"/>
    <w:rsid w:val="00AE6642"/>
    <w:rsid w:val="00AF38A0"/>
    <w:rsid w:val="00B00B16"/>
    <w:rsid w:val="00B021E0"/>
    <w:rsid w:val="00B13F9B"/>
    <w:rsid w:val="00B211B6"/>
    <w:rsid w:val="00B222ED"/>
    <w:rsid w:val="00B2382E"/>
    <w:rsid w:val="00B279CB"/>
    <w:rsid w:val="00B303FF"/>
    <w:rsid w:val="00B30B2D"/>
    <w:rsid w:val="00B33CCC"/>
    <w:rsid w:val="00B365FB"/>
    <w:rsid w:val="00B377B6"/>
    <w:rsid w:val="00B47C40"/>
    <w:rsid w:val="00B509D1"/>
    <w:rsid w:val="00B565BC"/>
    <w:rsid w:val="00B63EAA"/>
    <w:rsid w:val="00B64EDD"/>
    <w:rsid w:val="00B67406"/>
    <w:rsid w:val="00B713E1"/>
    <w:rsid w:val="00B71E64"/>
    <w:rsid w:val="00B77066"/>
    <w:rsid w:val="00B81E91"/>
    <w:rsid w:val="00B83628"/>
    <w:rsid w:val="00B85810"/>
    <w:rsid w:val="00B867A8"/>
    <w:rsid w:val="00B93496"/>
    <w:rsid w:val="00B968C7"/>
    <w:rsid w:val="00B97DAD"/>
    <w:rsid w:val="00BA1102"/>
    <w:rsid w:val="00BA274A"/>
    <w:rsid w:val="00BA2E0E"/>
    <w:rsid w:val="00BA525E"/>
    <w:rsid w:val="00BB0833"/>
    <w:rsid w:val="00BB2DCA"/>
    <w:rsid w:val="00BB56A4"/>
    <w:rsid w:val="00BC1ACA"/>
    <w:rsid w:val="00BC64DA"/>
    <w:rsid w:val="00BC66AD"/>
    <w:rsid w:val="00BE3690"/>
    <w:rsid w:val="00BF6D6F"/>
    <w:rsid w:val="00C0041A"/>
    <w:rsid w:val="00C056F7"/>
    <w:rsid w:val="00C05D0C"/>
    <w:rsid w:val="00C120AE"/>
    <w:rsid w:val="00C137A2"/>
    <w:rsid w:val="00C31BB8"/>
    <w:rsid w:val="00C34DE1"/>
    <w:rsid w:val="00C36994"/>
    <w:rsid w:val="00C36A9E"/>
    <w:rsid w:val="00C410FF"/>
    <w:rsid w:val="00C44F9D"/>
    <w:rsid w:val="00C45B64"/>
    <w:rsid w:val="00C766A0"/>
    <w:rsid w:val="00C808E5"/>
    <w:rsid w:val="00C81B48"/>
    <w:rsid w:val="00C91823"/>
    <w:rsid w:val="00C91BD6"/>
    <w:rsid w:val="00CA0AA7"/>
    <w:rsid w:val="00CA14DF"/>
    <w:rsid w:val="00CA4CC3"/>
    <w:rsid w:val="00CA5637"/>
    <w:rsid w:val="00CA654D"/>
    <w:rsid w:val="00CB1808"/>
    <w:rsid w:val="00CC0B7C"/>
    <w:rsid w:val="00CC47E8"/>
    <w:rsid w:val="00CC4C1B"/>
    <w:rsid w:val="00CC764C"/>
    <w:rsid w:val="00CD7821"/>
    <w:rsid w:val="00CF14FC"/>
    <w:rsid w:val="00CF5CC0"/>
    <w:rsid w:val="00D01F3D"/>
    <w:rsid w:val="00D0327A"/>
    <w:rsid w:val="00D23407"/>
    <w:rsid w:val="00D2738C"/>
    <w:rsid w:val="00D27A35"/>
    <w:rsid w:val="00D32B1F"/>
    <w:rsid w:val="00D32D6F"/>
    <w:rsid w:val="00D35673"/>
    <w:rsid w:val="00D36311"/>
    <w:rsid w:val="00D415AA"/>
    <w:rsid w:val="00D4409E"/>
    <w:rsid w:val="00D449A3"/>
    <w:rsid w:val="00D4754A"/>
    <w:rsid w:val="00D47E29"/>
    <w:rsid w:val="00D504C8"/>
    <w:rsid w:val="00D52A83"/>
    <w:rsid w:val="00D61008"/>
    <w:rsid w:val="00D72BB6"/>
    <w:rsid w:val="00D75008"/>
    <w:rsid w:val="00D75434"/>
    <w:rsid w:val="00D77411"/>
    <w:rsid w:val="00D80F63"/>
    <w:rsid w:val="00D811E6"/>
    <w:rsid w:val="00D857EA"/>
    <w:rsid w:val="00D86F57"/>
    <w:rsid w:val="00D941F3"/>
    <w:rsid w:val="00DA07DD"/>
    <w:rsid w:val="00DA233A"/>
    <w:rsid w:val="00DA6B4F"/>
    <w:rsid w:val="00DB1DD4"/>
    <w:rsid w:val="00DC524E"/>
    <w:rsid w:val="00DC55C7"/>
    <w:rsid w:val="00DC7086"/>
    <w:rsid w:val="00DD5DD6"/>
    <w:rsid w:val="00DE1D7A"/>
    <w:rsid w:val="00DF7207"/>
    <w:rsid w:val="00E025DA"/>
    <w:rsid w:val="00E03083"/>
    <w:rsid w:val="00E11B80"/>
    <w:rsid w:val="00E17FE0"/>
    <w:rsid w:val="00E40EED"/>
    <w:rsid w:val="00E421D6"/>
    <w:rsid w:val="00E4221B"/>
    <w:rsid w:val="00E42337"/>
    <w:rsid w:val="00E47B8E"/>
    <w:rsid w:val="00E55E4E"/>
    <w:rsid w:val="00E66E74"/>
    <w:rsid w:val="00E74C4E"/>
    <w:rsid w:val="00E758F0"/>
    <w:rsid w:val="00E76CA9"/>
    <w:rsid w:val="00E80445"/>
    <w:rsid w:val="00E820A3"/>
    <w:rsid w:val="00E83222"/>
    <w:rsid w:val="00E90311"/>
    <w:rsid w:val="00E9181D"/>
    <w:rsid w:val="00E93071"/>
    <w:rsid w:val="00E979D6"/>
    <w:rsid w:val="00EA1BAA"/>
    <w:rsid w:val="00EA1ED2"/>
    <w:rsid w:val="00EA7595"/>
    <w:rsid w:val="00EB15C1"/>
    <w:rsid w:val="00EB3454"/>
    <w:rsid w:val="00EB4ECF"/>
    <w:rsid w:val="00EB6133"/>
    <w:rsid w:val="00EC1E77"/>
    <w:rsid w:val="00EC43AB"/>
    <w:rsid w:val="00EC453B"/>
    <w:rsid w:val="00ED2D53"/>
    <w:rsid w:val="00ED67DE"/>
    <w:rsid w:val="00EF09A7"/>
    <w:rsid w:val="00EF1499"/>
    <w:rsid w:val="00EF3FD8"/>
    <w:rsid w:val="00F00FC1"/>
    <w:rsid w:val="00F03901"/>
    <w:rsid w:val="00F057DB"/>
    <w:rsid w:val="00F10259"/>
    <w:rsid w:val="00F102EE"/>
    <w:rsid w:val="00F11126"/>
    <w:rsid w:val="00F13CB4"/>
    <w:rsid w:val="00F13DFA"/>
    <w:rsid w:val="00F1508F"/>
    <w:rsid w:val="00F20FB9"/>
    <w:rsid w:val="00F30384"/>
    <w:rsid w:val="00F33B73"/>
    <w:rsid w:val="00F33CD8"/>
    <w:rsid w:val="00F3658D"/>
    <w:rsid w:val="00F4102D"/>
    <w:rsid w:val="00F503F4"/>
    <w:rsid w:val="00F55E42"/>
    <w:rsid w:val="00F60D81"/>
    <w:rsid w:val="00F75E48"/>
    <w:rsid w:val="00F82E13"/>
    <w:rsid w:val="00F84338"/>
    <w:rsid w:val="00F85146"/>
    <w:rsid w:val="00F86AE1"/>
    <w:rsid w:val="00F90035"/>
    <w:rsid w:val="00FA1373"/>
    <w:rsid w:val="00FA20EC"/>
    <w:rsid w:val="00FA4745"/>
    <w:rsid w:val="00FA677D"/>
    <w:rsid w:val="00FA7E06"/>
    <w:rsid w:val="00FB01D4"/>
    <w:rsid w:val="00FB3065"/>
    <w:rsid w:val="00FB7A38"/>
    <w:rsid w:val="00FC06CE"/>
    <w:rsid w:val="00FC198A"/>
    <w:rsid w:val="00FD08A7"/>
    <w:rsid w:val="00FD2735"/>
    <w:rsid w:val="00FD4B34"/>
    <w:rsid w:val="00FD5291"/>
    <w:rsid w:val="00FD57C2"/>
    <w:rsid w:val="00FD68AA"/>
    <w:rsid w:val="00FE294C"/>
    <w:rsid w:val="00FF2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B211B6"/>
    <w:pPr>
      <w:spacing w:after="120" w:line="240" w:lineRule="auto"/>
      <w:ind w:left="0" w:firstLine="0"/>
      <w:outlineLvl w:val="0"/>
    </w:pPr>
    <w:rPr>
      <w:rFonts w:cs="Arial"/>
      <w:color w:val="1B1F6C"/>
      <w:sz w:val="32"/>
      <w:szCs w:val="32"/>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7"/>
      </w:numPr>
      <w:spacing w:after="120" w:line="276" w:lineRule="auto"/>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567A9D"/>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567A9D"/>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B211B6"/>
    <w:rPr>
      <w:rFonts w:ascii="Arial" w:hAnsi="Arial" w:cs="Arial"/>
      <w:color w:val="1B1F6C"/>
      <w:sz w:val="32"/>
      <w:szCs w:val="32"/>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 w:type="paragraph" w:styleId="NormalWeb">
    <w:name w:val="Normal (Web)"/>
    <w:basedOn w:val="Normal"/>
    <w:uiPriority w:val="99"/>
    <w:unhideWhenUsed/>
    <w:rsid w:val="00845057"/>
    <w:pPr>
      <w:spacing w:before="100" w:beforeAutospacing="1" w:after="100" w:afterAutospacing="1" w:line="240" w:lineRule="auto"/>
    </w:pPr>
    <w:rPr>
      <w:rFonts w:ascii="Times New Roman" w:eastAsia="Times New Roman" w:hAnsi="Times New Roman"/>
      <w:color w:val="auto"/>
      <w:lang w:eastAsia="en-AU"/>
    </w:rPr>
  </w:style>
  <w:style w:type="paragraph" w:customStyle="1" w:styleId="s4">
    <w:name w:val="s4"/>
    <w:basedOn w:val="Normal"/>
    <w:rsid w:val="00033906"/>
    <w:pPr>
      <w:spacing w:before="100" w:beforeAutospacing="1" w:after="100" w:afterAutospacing="1" w:line="240" w:lineRule="auto"/>
    </w:pPr>
    <w:rPr>
      <w:rFonts w:ascii="Times New Roman" w:hAnsi="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3627">
      <w:bodyDiv w:val="1"/>
      <w:marLeft w:val="0"/>
      <w:marRight w:val="0"/>
      <w:marTop w:val="0"/>
      <w:marBottom w:val="0"/>
      <w:divBdr>
        <w:top w:val="none" w:sz="0" w:space="0" w:color="auto"/>
        <w:left w:val="none" w:sz="0" w:space="0" w:color="auto"/>
        <w:bottom w:val="none" w:sz="0" w:space="0" w:color="auto"/>
        <w:right w:val="none" w:sz="0" w:space="0" w:color="auto"/>
      </w:divBdr>
    </w:div>
    <w:div w:id="39019371">
      <w:bodyDiv w:val="1"/>
      <w:marLeft w:val="0"/>
      <w:marRight w:val="0"/>
      <w:marTop w:val="0"/>
      <w:marBottom w:val="0"/>
      <w:divBdr>
        <w:top w:val="none" w:sz="0" w:space="0" w:color="auto"/>
        <w:left w:val="none" w:sz="0" w:space="0" w:color="auto"/>
        <w:bottom w:val="none" w:sz="0" w:space="0" w:color="auto"/>
        <w:right w:val="none" w:sz="0" w:space="0" w:color="auto"/>
      </w:divBdr>
    </w:div>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09047699">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61866174">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987779891">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 w:id="17407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our-work/diseases-and-conditions/covid-19-novel-coronavir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2.xml><?xml version="1.0" encoding="utf-8"?>
<ds:datastoreItem xmlns:ds="http://schemas.openxmlformats.org/officeDocument/2006/customXml" ds:itemID="{B7A2CDD0-89BB-43F4-973D-60F7E5C2F50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5040FA-CDB1-44C7-A84A-0DE2D1A1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Coronavirus (COVID-19) – New Zealand – situation update as at 28 July 2021</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New Zealand – situation update as at 28 July 2021</dc:title>
  <dc:subject>Communicable diseases; Emergency health management; Travel health</dc:subject>
  <dc:creator>Australian Government Department of Health</dc:creator>
  <cp:keywords>coronavirus; covid-19; statistics; NZ</cp:keywords>
  <dc:description/>
  <cp:lastModifiedBy>KENNEDY, Emma</cp:lastModifiedBy>
  <cp:revision>3</cp:revision>
  <cp:lastPrinted>2021-02-24T03:46:00Z</cp:lastPrinted>
  <dcterms:created xsi:type="dcterms:W3CDTF">2021-07-29T00:40:00Z</dcterms:created>
  <dcterms:modified xsi:type="dcterms:W3CDTF">2021-07-29T03:12:00Z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