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52E4A" w14:textId="1937FEBD" w:rsidR="008376E2" w:rsidRPr="00907903" w:rsidRDefault="007117BA" w:rsidP="00907903">
      <w:pPr>
        <w:pStyle w:val="Heading1"/>
        <w:sectPr w:rsidR="008376E2" w:rsidRPr="00907903" w:rsidSect="009A32AD">
          <w:headerReference w:type="default" r:id="rId11"/>
          <w:footerReference w:type="default" r:id="rId12"/>
          <w:headerReference w:type="first" r:id="rId13"/>
          <w:footerReference w:type="first" r:id="rId14"/>
          <w:pgSz w:w="11906" w:h="16838"/>
          <w:pgMar w:top="1701" w:right="1418" w:bottom="1418" w:left="1418" w:header="57" w:footer="567" w:gutter="0"/>
          <w:cols w:space="708"/>
          <w:titlePg/>
          <w:docGrid w:linePitch="360"/>
        </w:sectPr>
      </w:pPr>
      <w:r w:rsidRPr="00907903">
        <w:t>Commonwealth Home Support Programme (CHSP)</w:t>
      </w:r>
      <w:r w:rsidR="0029599B" w:rsidRPr="00907903">
        <w:t xml:space="preserve"> </w:t>
      </w:r>
      <w:r w:rsidR="006B1D31" w:rsidRPr="00907903">
        <w:t xml:space="preserve">– </w:t>
      </w:r>
      <w:bookmarkStart w:id="0" w:name="_Hlk77232297"/>
      <w:r w:rsidR="000A512D" w:rsidRPr="00907903">
        <w:t>Payment in Arrears and Unit Pricing</w:t>
      </w:r>
      <w:r w:rsidR="009E42DE" w:rsidRPr="00907903">
        <w:t xml:space="preserve"> Fact</w:t>
      </w:r>
      <w:r w:rsidR="00907903">
        <w:t xml:space="preserve"> </w:t>
      </w:r>
      <w:r w:rsidR="009E42DE" w:rsidRPr="00907903">
        <w:t>sheet</w:t>
      </w:r>
      <w:bookmarkEnd w:id="0"/>
    </w:p>
    <w:p w14:paraId="2930C7FE" w14:textId="304EB1CB" w:rsidR="00FA02BB" w:rsidRDefault="007117BA" w:rsidP="00780FE0">
      <w:pPr>
        <w:pStyle w:val="Heading2"/>
      </w:pPr>
      <w:r>
        <w:t>Overview</w:t>
      </w:r>
    </w:p>
    <w:p w14:paraId="65926159" w14:textId="4923ADB7" w:rsidR="00972F32" w:rsidRDefault="00972F32" w:rsidP="00893606">
      <w:pPr>
        <w:pStyle w:val="Paragraphtext"/>
      </w:pPr>
      <w:r>
        <w:t xml:space="preserve">On 11 May 2021, the Australian Government announced changes to the CHSP to help position the aged care sector as it moves towards a new </w:t>
      </w:r>
      <w:r w:rsidR="003A4932">
        <w:t>S</w:t>
      </w:r>
      <w:r>
        <w:t xml:space="preserve">upport at </w:t>
      </w:r>
      <w:r w:rsidR="003A4932">
        <w:t>H</w:t>
      </w:r>
      <w:r>
        <w:t xml:space="preserve">ome </w:t>
      </w:r>
      <w:r w:rsidR="003A4932">
        <w:t>P</w:t>
      </w:r>
      <w:r>
        <w:t>rogram commencing in July 2023. The new program will replace the CHSP, Home Care Packages, Short-Term Restorative Care, and residential respite programs.</w:t>
      </w:r>
    </w:p>
    <w:p w14:paraId="560798E1" w14:textId="1673C6DD" w:rsidR="00AD2746" w:rsidRDefault="00972F32">
      <w:pPr>
        <w:pStyle w:val="Paragraphtext"/>
      </w:pPr>
      <w:r>
        <w:t>To prepare for these future reforms, CHSP grant agreements will be extended for one year from 1 July 2022 to 30 June 2023, with most CHSP providers transitioning to payment in arrears.</w:t>
      </w:r>
      <w:r w:rsidR="00484180">
        <w:t xml:space="preserve"> During this transition, the Department of Health (Health) will </w:t>
      </w:r>
      <w:r w:rsidR="009A32AD">
        <w:t xml:space="preserve">also </w:t>
      </w:r>
      <w:r w:rsidR="000A512D">
        <w:t>r</w:t>
      </w:r>
      <w:r w:rsidR="00484180">
        <w:t>eview unit pricing</w:t>
      </w:r>
      <w:r w:rsidR="000A512D">
        <w:t xml:space="preserve"> for all service types.</w:t>
      </w:r>
    </w:p>
    <w:p w14:paraId="7206F967" w14:textId="049271F3" w:rsidR="000A512D" w:rsidRDefault="000A512D" w:rsidP="00352F11">
      <w:pPr>
        <w:pStyle w:val="Heading2"/>
      </w:pPr>
      <w:r>
        <w:t>Payment in Arrears</w:t>
      </w:r>
    </w:p>
    <w:p w14:paraId="012A37DF" w14:textId="2A3D2ED9" w:rsidR="0015446B" w:rsidRDefault="00ED5259" w:rsidP="00ED5259">
      <w:pPr>
        <w:pStyle w:val="Paragraphtext"/>
      </w:pPr>
      <w:r>
        <w:t xml:space="preserve">Currently, as part of each grant agreement, providers agree to deliver a set number of activities, per Aged Care Planning Region in Australia, at individually agreed prices. CHSP providers receive upfront quarterly payments. </w:t>
      </w:r>
      <w:r w:rsidR="00874C97">
        <w:t>It is anticipated that f</w:t>
      </w:r>
      <w:r w:rsidR="0015446B">
        <w:t>rom 1 July 2022,</w:t>
      </w:r>
      <w:r w:rsidR="006B4935">
        <w:t xml:space="preserve"> </w:t>
      </w:r>
      <w:r w:rsidR="00B9366A">
        <w:t xml:space="preserve">most </w:t>
      </w:r>
      <w:r w:rsidR="0015446B">
        <w:t xml:space="preserve">providers will be </w:t>
      </w:r>
      <w:r w:rsidR="00C92ECC">
        <w:t>able to invoice</w:t>
      </w:r>
      <w:r w:rsidR="0015446B">
        <w:t xml:space="preserve"> at the end of each month</w:t>
      </w:r>
      <w:r w:rsidR="009A32AD">
        <w:t xml:space="preserve"> </w:t>
      </w:r>
      <w:r w:rsidR="00F73DEE">
        <w:t xml:space="preserve">based on </w:t>
      </w:r>
      <w:r w:rsidR="00B9366A">
        <w:t xml:space="preserve">actual </w:t>
      </w:r>
      <w:r w:rsidR="00F73DEE">
        <w:t>services delivered.</w:t>
      </w:r>
    </w:p>
    <w:p w14:paraId="7690428D" w14:textId="772F9AFE" w:rsidR="00101BB7" w:rsidRDefault="00AD2746" w:rsidP="00FD0F68">
      <w:pPr>
        <w:pStyle w:val="Heading3"/>
      </w:pPr>
      <w:r>
        <w:t xml:space="preserve">Benefits of Payment in </w:t>
      </w:r>
      <w:r w:rsidRPr="00191858">
        <w:t>Arrears</w:t>
      </w:r>
    </w:p>
    <w:p w14:paraId="4C320F53" w14:textId="06E74750" w:rsidR="00191858" w:rsidRPr="00893606" w:rsidRDefault="00191858" w:rsidP="00FD0F68">
      <w:pPr>
        <w:pStyle w:val="Heading4"/>
      </w:pPr>
      <w:r w:rsidRPr="00893606">
        <w:t>Alignment with future reforms</w:t>
      </w:r>
    </w:p>
    <w:p w14:paraId="1FA2BFD7" w14:textId="1B36DEA5" w:rsidR="00191858" w:rsidRPr="00907903" w:rsidRDefault="00191858" w:rsidP="00907903">
      <w:r w:rsidRPr="00907903">
        <w:t xml:space="preserve">The future Support at Home Program will seek to improve the availability of services, with funding following the </w:t>
      </w:r>
      <w:r w:rsidR="0086489D" w:rsidRPr="00907903">
        <w:t xml:space="preserve">individual </w:t>
      </w:r>
      <w:r w:rsidRPr="00907903">
        <w:t>client in most cases.</w:t>
      </w:r>
      <w:r w:rsidR="0086489D" w:rsidRPr="00907903">
        <w:t xml:space="preserve"> </w:t>
      </w:r>
      <w:r w:rsidRPr="00907903">
        <w:t xml:space="preserve">Payment in arrears facilitates this </w:t>
      </w:r>
      <w:r w:rsidR="005650E1" w:rsidRPr="00907903">
        <w:t>approach and</w:t>
      </w:r>
      <w:r w:rsidR="00B9366A" w:rsidRPr="00907903">
        <w:t xml:space="preserve"> ensures </w:t>
      </w:r>
      <w:r w:rsidRPr="00907903">
        <w:t xml:space="preserve">a consistent consumer experience across lower and </w:t>
      </w:r>
      <w:proofErr w:type="gramStart"/>
      <w:r w:rsidR="00FC5315" w:rsidRPr="00907903">
        <w:t>higher-level</w:t>
      </w:r>
      <w:r w:rsidR="0086489D" w:rsidRPr="00907903">
        <w:t>s</w:t>
      </w:r>
      <w:proofErr w:type="gramEnd"/>
      <w:r w:rsidR="0086489D" w:rsidRPr="00907903">
        <w:t xml:space="preserve"> </w:t>
      </w:r>
      <w:r w:rsidR="00A60B1A" w:rsidRPr="00907903">
        <w:t xml:space="preserve">of </w:t>
      </w:r>
      <w:r w:rsidR="00B9366A" w:rsidRPr="00907903">
        <w:t xml:space="preserve">in-home </w:t>
      </w:r>
      <w:r w:rsidR="00A60B1A" w:rsidRPr="00907903">
        <w:t>aged</w:t>
      </w:r>
      <w:r w:rsidRPr="00907903">
        <w:t xml:space="preserve"> care.</w:t>
      </w:r>
    </w:p>
    <w:p w14:paraId="41A665C4" w14:textId="6B77B975" w:rsidR="00191858" w:rsidRPr="00893606" w:rsidRDefault="00191858" w:rsidP="00FD0F68">
      <w:pPr>
        <w:pStyle w:val="Heading4"/>
      </w:pPr>
      <w:r w:rsidRPr="00893606">
        <w:t>Better consumer choice</w:t>
      </w:r>
    </w:p>
    <w:p w14:paraId="7ED35563" w14:textId="6D39CCE1" w:rsidR="00191858" w:rsidRPr="00907903" w:rsidRDefault="00191858" w:rsidP="00907903">
      <w:r w:rsidRPr="00907903">
        <w:t>Payment</w:t>
      </w:r>
      <w:r w:rsidR="00FC5315" w:rsidRPr="00907903">
        <w:t xml:space="preserve"> </w:t>
      </w:r>
      <w:r w:rsidRPr="00907903">
        <w:t>for</w:t>
      </w:r>
      <w:r w:rsidR="00FC5315" w:rsidRPr="00907903">
        <w:t xml:space="preserve"> </w:t>
      </w:r>
      <w:r w:rsidRPr="00907903">
        <w:t>services</w:t>
      </w:r>
      <w:r w:rsidR="00FC5315" w:rsidRPr="00907903">
        <w:t xml:space="preserve"> </w:t>
      </w:r>
      <w:r w:rsidRPr="00907903">
        <w:t>delivered</w:t>
      </w:r>
      <w:r w:rsidR="00FC5315" w:rsidRPr="00907903">
        <w:t xml:space="preserve"> </w:t>
      </w:r>
      <w:r w:rsidRPr="00907903">
        <w:t>encourages</w:t>
      </w:r>
      <w:r w:rsidR="00FC5315" w:rsidRPr="00907903">
        <w:t xml:space="preserve"> </w:t>
      </w:r>
      <w:r w:rsidRPr="00907903">
        <w:t>a</w:t>
      </w:r>
      <w:r w:rsidR="00FC5315" w:rsidRPr="00907903">
        <w:t xml:space="preserve"> </w:t>
      </w:r>
      <w:r w:rsidRPr="00907903">
        <w:t>more</w:t>
      </w:r>
      <w:r w:rsidR="00FC5315" w:rsidRPr="00907903">
        <w:t xml:space="preserve"> </w:t>
      </w:r>
      <w:r w:rsidRPr="00907903">
        <w:t>direct</w:t>
      </w:r>
      <w:r w:rsidR="00FC5315" w:rsidRPr="00907903">
        <w:t xml:space="preserve"> </w:t>
      </w:r>
      <w:r w:rsidRPr="00907903">
        <w:t>relationship</w:t>
      </w:r>
      <w:r w:rsidR="00FC5315" w:rsidRPr="00907903">
        <w:t xml:space="preserve"> </w:t>
      </w:r>
      <w:r w:rsidRPr="00907903">
        <w:t>between</w:t>
      </w:r>
      <w:r w:rsidR="0086489D" w:rsidRPr="00907903">
        <w:t xml:space="preserve"> the</w:t>
      </w:r>
      <w:r w:rsidR="00FC5315" w:rsidRPr="00907903">
        <w:t xml:space="preserve"> </w:t>
      </w:r>
      <w:r w:rsidRPr="00907903">
        <w:t>services</w:t>
      </w:r>
      <w:r w:rsidR="00FC5315" w:rsidRPr="00907903">
        <w:t xml:space="preserve"> </w:t>
      </w:r>
      <w:r w:rsidR="0086489D" w:rsidRPr="00907903">
        <w:t xml:space="preserve">available and what </w:t>
      </w:r>
      <w:r w:rsidRPr="00907903">
        <w:t>consumers</w:t>
      </w:r>
      <w:r w:rsidR="00FC5315" w:rsidRPr="00907903">
        <w:t xml:space="preserve"> </w:t>
      </w:r>
      <w:r w:rsidRPr="00907903">
        <w:t>want.</w:t>
      </w:r>
      <w:r w:rsidR="009A32AD" w:rsidRPr="00907903">
        <w:t xml:space="preserve"> It also ensures </w:t>
      </w:r>
      <w:r w:rsidR="00E93F38" w:rsidRPr="00907903">
        <w:t xml:space="preserve">clients </w:t>
      </w:r>
      <w:r w:rsidR="009A32AD" w:rsidRPr="00907903">
        <w:t xml:space="preserve">can access services in a timely manner. </w:t>
      </w:r>
    </w:p>
    <w:p w14:paraId="0C7FBA78" w14:textId="77777777" w:rsidR="00191858" w:rsidRPr="00893606" w:rsidRDefault="00191858" w:rsidP="00FD0F68">
      <w:pPr>
        <w:pStyle w:val="Heading4"/>
      </w:pPr>
      <w:r w:rsidRPr="00893606">
        <w:t>Accountability</w:t>
      </w:r>
    </w:p>
    <w:p w14:paraId="64882FB2" w14:textId="576F6C27" w:rsidR="00191858" w:rsidRPr="00907903" w:rsidRDefault="00191858" w:rsidP="00907903">
      <w:r w:rsidRPr="00907903">
        <w:t>Paying for services that have been delivered is a more accurate and accountable use of government funds.</w:t>
      </w:r>
    </w:p>
    <w:p w14:paraId="3641A545" w14:textId="77777777" w:rsidR="00E3790F" w:rsidRPr="00893606" w:rsidRDefault="00E3790F" w:rsidP="00FD0F68">
      <w:pPr>
        <w:pStyle w:val="Heading4"/>
      </w:pPr>
      <w:r w:rsidRPr="00893606">
        <w:t>Reducing unspent funds</w:t>
      </w:r>
    </w:p>
    <w:p w14:paraId="26A18FCB" w14:textId="18860725" w:rsidR="00705CA3" w:rsidRPr="00907903" w:rsidRDefault="00E3790F" w:rsidP="00907903">
      <w:r w:rsidRPr="00907903">
        <w:t xml:space="preserve">Paying for services delivered will reduce unspent grant funds which must be recouped through an acquittal </w:t>
      </w:r>
      <w:r w:rsidR="009A32AD" w:rsidRPr="00907903">
        <w:t xml:space="preserve">process </w:t>
      </w:r>
      <w:r w:rsidRPr="00907903">
        <w:t xml:space="preserve">and returned to </w:t>
      </w:r>
      <w:r w:rsidR="00B9366A" w:rsidRPr="00907903">
        <w:t>Government after the fact</w:t>
      </w:r>
      <w:r w:rsidRPr="00907903">
        <w:t xml:space="preserve"> rather than spent on services</w:t>
      </w:r>
      <w:r w:rsidR="009A32AD" w:rsidRPr="00907903">
        <w:t xml:space="preserve"> to clients</w:t>
      </w:r>
      <w:r w:rsidR="00484180" w:rsidRPr="00907903">
        <w:t>.</w:t>
      </w:r>
      <w:r w:rsidR="009A32AD" w:rsidRPr="00907903">
        <w:t xml:space="preserve"> </w:t>
      </w:r>
      <w:r w:rsidRPr="00907903">
        <w:t xml:space="preserve">Payment in arrears will mean Government can anticipate </w:t>
      </w:r>
      <w:r w:rsidR="009A32AD" w:rsidRPr="00907903">
        <w:t xml:space="preserve">these </w:t>
      </w:r>
      <w:r w:rsidRPr="00907903">
        <w:t>underspends early and reallocate the funding to where it is needed most</w:t>
      </w:r>
      <w:r w:rsidR="00B9366A" w:rsidRPr="00907903">
        <w:t>, as quickly as possible</w:t>
      </w:r>
      <w:r w:rsidRPr="00907903">
        <w:t>.</w:t>
      </w:r>
      <w:r w:rsidR="009A32AD" w:rsidRPr="00907903">
        <w:t xml:space="preserve"> This will </w:t>
      </w:r>
      <w:r w:rsidR="00E93F38" w:rsidRPr="00907903">
        <w:t>help</w:t>
      </w:r>
      <w:r w:rsidR="009A32AD" w:rsidRPr="00907903">
        <w:t xml:space="preserve"> CHSP provider</w:t>
      </w:r>
      <w:r w:rsidR="00E93F38" w:rsidRPr="00907903">
        <w:t>s</w:t>
      </w:r>
      <w:r w:rsidR="009A32AD" w:rsidRPr="00907903">
        <w:t xml:space="preserve"> to </w:t>
      </w:r>
      <w:r w:rsidR="00E93F38" w:rsidRPr="00907903">
        <w:t xml:space="preserve">deliver services </w:t>
      </w:r>
      <w:r w:rsidR="009A32AD" w:rsidRPr="00907903">
        <w:t>effectively and efficiently</w:t>
      </w:r>
      <w:r w:rsidR="00E93F38" w:rsidRPr="00907903">
        <w:t>.</w:t>
      </w:r>
      <w:r w:rsidR="009A32AD" w:rsidRPr="00907903">
        <w:t xml:space="preserve"> </w:t>
      </w:r>
    </w:p>
    <w:p w14:paraId="3257A63C" w14:textId="3BA2DAFC" w:rsidR="00705CA3" w:rsidRDefault="00B32305" w:rsidP="00907903">
      <w:pPr>
        <w:pStyle w:val="Heading2"/>
        <w:pageBreakBefore/>
      </w:pPr>
      <w:r>
        <w:lastRenderedPageBreak/>
        <w:t xml:space="preserve">Transitioning to </w:t>
      </w:r>
      <w:r w:rsidR="008D78F0">
        <w:t>P</w:t>
      </w:r>
      <w:r>
        <w:t xml:space="preserve">ayment in </w:t>
      </w:r>
      <w:r w:rsidR="008D78F0">
        <w:t>A</w:t>
      </w:r>
      <w:r>
        <w:t>rrears</w:t>
      </w:r>
    </w:p>
    <w:p w14:paraId="74516BF5" w14:textId="77777777" w:rsidR="009A32AD" w:rsidRDefault="009A32AD" w:rsidP="009A32AD">
      <w:pPr>
        <w:pStyle w:val="Heading3"/>
      </w:pPr>
      <w:r w:rsidRPr="00893606">
        <w:t>CHSP 2022-23</w:t>
      </w:r>
      <w:r>
        <w:t xml:space="preserve"> </w:t>
      </w:r>
      <w:r w:rsidRPr="00FD0F68">
        <w:t>Extensions</w:t>
      </w:r>
      <w:r w:rsidRPr="00893606">
        <w:t xml:space="preserve"> Working Group</w:t>
      </w:r>
    </w:p>
    <w:p w14:paraId="72A79EF8" w14:textId="17A3DD6B" w:rsidR="009A32AD" w:rsidRPr="00893606" w:rsidRDefault="009A32AD" w:rsidP="009A32AD">
      <w:pPr>
        <w:pStyle w:val="Paragraphtext"/>
      </w:pPr>
      <w:r>
        <w:t xml:space="preserve">Health is still </w:t>
      </w:r>
      <w:r w:rsidR="00E93F38">
        <w:t xml:space="preserve">working through </w:t>
      </w:r>
      <w:r>
        <w:t xml:space="preserve">the specific details on how providers will transition to payment in arrears. To help with this work, a CHSP 2022-23 </w:t>
      </w:r>
      <w:r w:rsidRPr="00907903">
        <w:t xml:space="preserve">Extension </w:t>
      </w:r>
      <w:r>
        <w:t xml:space="preserve">Working Group </w:t>
      </w:r>
      <w:r w:rsidR="00FE4F22">
        <w:t>was been</w:t>
      </w:r>
      <w:r>
        <w:t xml:space="preserve"> established in June 2021. The working group has members from all states and territories, CHSP service types, profit/not for profit, government, Aboriginal and Torres Strait Islander, multicultural, rural/remote, </w:t>
      </w:r>
      <w:proofErr w:type="gramStart"/>
      <w:r>
        <w:t>large</w:t>
      </w:r>
      <w:proofErr w:type="gramEnd"/>
      <w:r>
        <w:t xml:space="preserve"> and small CHSP providers and sector peaks. A list of the organisations involved in the working group can be found </w:t>
      </w:r>
      <w:r w:rsidRPr="00A90B68">
        <w:t xml:space="preserve">under </w:t>
      </w:r>
      <w:hyperlink r:id="rId15" w:history="1">
        <w:r w:rsidRPr="00377CB1">
          <w:rPr>
            <w:rStyle w:val="Hyperlink"/>
          </w:rPr>
          <w:t>CHSP news</w:t>
        </w:r>
      </w:hyperlink>
      <w:r w:rsidRPr="00377CB1">
        <w:t>.</w:t>
      </w:r>
    </w:p>
    <w:p w14:paraId="238A91CC" w14:textId="7DEA2076" w:rsidR="009A32AD" w:rsidRDefault="009A32AD" w:rsidP="009A32AD">
      <w:r>
        <w:t xml:space="preserve">The objective of this working group is to ensure CHSP providers can influence the design of the 2022-23 Extension of CHSP and to ensure providers </w:t>
      </w:r>
      <w:r w:rsidR="00994E16">
        <w:t xml:space="preserve">maintain business viability and </w:t>
      </w:r>
      <w:r w:rsidR="00E93F38">
        <w:t>service delivery</w:t>
      </w:r>
      <w:r>
        <w:t xml:space="preserve"> </w:t>
      </w:r>
      <w:r w:rsidR="00994E16">
        <w:t>under</w:t>
      </w:r>
      <w:r>
        <w:t xml:space="preserve"> payment in arrears.</w:t>
      </w:r>
    </w:p>
    <w:p w14:paraId="1280216E" w14:textId="08CE6A10" w:rsidR="00994E16" w:rsidRDefault="00FD0F68" w:rsidP="00994E16">
      <w:pPr>
        <w:pStyle w:val="Heading3"/>
      </w:pPr>
      <w:r>
        <w:t>I</w:t>
      </w:r>
      <w:r w:rsidRPr="00893606">
        <w:t xml:space="preserve">ssues/challenges </w:t>
      </w:r>
      <w:r>
        <w:t>identified so far</w:t>
      </w:r>
    </w:p>
    <w:p w14:paraId="71C7A88C" w14:textId="6099E1DB" w:rsidR="00994E16" w:rsidRPr="00994E16" w:rsidRDefault="00F458B5" w:rsidP="00994E16">
      <w:r>
        <w:t>Health</w:t>
      </w:r>
      <w:r w:rsidR="00994E16">
        <w:t xml:space="preserve"> recognises the important services CHSP providers deliver to older Australians. The following points identify how Health will support providers during the transition to payment in arrears</w:t>
      </w:r>
      <w:r w:rsidR="000F1AA2">
        <w:t>.</w:t>
      </w:r>
    </w:p>
    <w:p w14:paraId="26F1820A" w14:textId="77777777" w:rsidR="00FD0F68" w:rsidRPr="00907903" w:rsidRDefault="00FD0F68" w:rsidP="00907903">
      <w:pPr>
        <w:pStyle w:val="ListParagraph"/>
      </w:pPr>
      <w:r w:rsidRPr="000A512D">
        <w:t>Health will work with smaller providers with limited cash reserves, or limited capacity to access capital markets to transition to payment in arrears.</w:t>
      </w:r>
    </w:p>
    <w:p w14:paraId="1A168517" w14:textId="4D3790ED" w:rsidR="00FD0F68" w:rsidRPr="00907903" w:rsidRDefault="00FD0F68" w:rsidP="00907903">
      <w:pPr>
        <w:pStyle w:val="ListParagraph"/>
      </w:pPr>
      <w:r w:rsidRPr="00747EE5">
        <w:t>Health will work with providers who may not have business systems in place to report on services delivered</w:t>
      </w:r>
      <w:r w:rsidR="00F458B5">
        <w:t xml:space="preserve"> on an individualised basis</w:t>
      </w:r>
      <w:r>
        <w:t>.</w:t>
      </w:r>
    </w:p>
    <w:p w14:paraId="6CFC7375" w14:textId="77777777" w:rsidR="00FD0F68" w:rsidRPr="00907903" w:rsidRDefault="00FD0F68" w:rsidP="00907903">
      <w:pPr>
        <w:pStyle w:val="ListParagraph"/>
      </w:pPr>
      <w:r>
        <w:t xml:space="preserve">Financial support may be available </w:t>
      </w:r>
      <w:proofErr w:type="gramStart"/>
      <w:r>
        <w:t>in particular circumstances</w:t>
      </w:r>
      <w:proofErr w:type="gramEnd"/>
      <w:r>
        <w:t xml:space="preserve"> to support providers with increased</w:t>
      </w:r>
      <w:r w:rsidRPr="000A512D">
        <w:t xml:space="preserve"> administrati</w:t>
      </w:r>
      <w:r>
        <w:t>ve activities</w:t>
      </w:r>
      <w:r w:rsidRPr="000A512D">
        <w:t>.</w:t>
      </w:r>
    </w:p>
    <w:p w14:paraId="2BE640DF" w14:textId="689D9BEE" w:rsidR="00FD0F68" w:rsidRPr="00907903" w:rsidRDefault="00FD0F68" w:rsidP="00907903">
      <w:pPr>
        <w:pStyle w:val="ListParagraph"/>
      </w:pPr>
      <w:r w:rsidRPr="00907903">
        <w:t xml:space="preserve">Not all CHSP service types may be suitable for a full transition to payment in arrears. Health is working through this with the CHSP Extensions 2022-23 Working Group and will analyse the data from </w:t>
      </w:r>
      <w:r w:rsidR="00994E16" w:rsidRPr="00907903">
        <w:t>the</w:t>
      </w:r>
      <w:r w:rsidRPr="00907903">
        <w:t xml:space="preserve"> CHSP provider survey to inform these discussions.</w:t>
      </w:r>
      <w:r w:rsidR="002A3B82" w:rsidRPr="00907903">
        <w:t xml:space="preserve"> Where </w:t>
      </w:r>
      <w:r w:rsidR="00F458B5" w:rsidRPr="00907903">
        <w:t xml:space="preserve">it is </w:t>
      </w:r>
      <w:r w:rsidR="002A3B82" w:rsidRPr="00907903">
        <w:t xml:space="preserve">deemed unsuitable, payment in arrears may instead be a payment of 1/12 of </w:t>
      </w:r>
      <w:r w:rsidR="00F458B5" w:rsidRPr="00907903">
        <w:t xml:space="preserve">the value of </w:t>
      </w:r>
      <w:r w:rsidR="002A3B82" w:rsidRPr="00907903">
        <w:t>a grant agreement at the end of each month.</w:t>
      </w:r>
    </w:p>
    <w:p w14:paraId="4073199E" w14:textId="77777777" w:rsidR="0004127B" w:rsidRDefault="0004127B" w:rsidP="0004127B">
      <w:pPr>
        <w:pStyle w:val="Heading2"/>
      </w:pPr>
      <w:r>
        <w:t>Unit pricing</w:t>
      </w:r>
    </w:p>
    <w:p w14:paraId="48C9FA1E" w14:textId="78D3F14D" w:rsidR="00AD4BB6" w:rsidRDefault="0004127B">
      <w:pPr>
        <w:pStyle w:val="Paragraphtext"/>
      </w:pPr>
      <w:r>
        <w:t xml:space="preserve">Unit prices </w:t>
      </w:r>
      <w:r w:rsidR="00AD4BB6">
        <w:t>across the</w:t>
      </w:r>
      <w:r w:rsidR="006F5E5E">
        <w:t xml:space="preserve"> different</w:t>
      </w:r>
      <w:r w:rsidR="00AD4BB6">
        <w:t xml:space="preserve"> CHSP service types </w:t>
      </w:r>
      <w:r>
        <w:t xml:space="preserve">are </w:t>
      </w:r>
      <w:r w:rsidR="003B12E8">
        <w:t xml:space="preserve">nationally </w:t>
      </w:r>
      <w:r>
        <w:t>inconsistent and do not reflect the actual cost of delivering services</w:t>
      </w:r>
      <w:r w:rsidR="002A3B82">
        <w:t xml:space="preserve"> (net of fees contributed by consumers)</w:t>
      </w:r>
      <w:r w:rsidR="002D2953">
        <w:t xml:space="preserve">. In addition, CHSP </w:t>
      </w:r>
      <w:r w:rsidR="00AD4BB6" w:rsidRPr="00AD4BB6">
        <w:t xml:space="preserve">service types </w:t>
      </w:r>
      <w:r w:rsidR="002758C1">
        <w:t>have</w:t>
      </w:r>
      <w:r w:rsidR="00AD4BB6" w:rsidRPr="00AD4BB6">
        <w:t xml:space="preserve"> different outputs</w:t>
      </w:r>
      <w:r w:rsidR="002758C1">
        <w:t xml:space="preserve"> </w:t>
      </w:r>
      <w:r w:rsidR="002D2953">
        <w:t>(e.g. time in hours) and s</w:t>
      </w:r>
      <w:r w:rsidR="00AD4BB6" w:rsidRPr="00AD4BB6">
        <w:t xml:space="preserve">ome service types </w:t>
      </w:r>
      <w:r w:rsidR="002758C1">
        <w:t>like</w:t>
      </w:r>
      <w:r w:rsidR="00AD4BB6" w:rsidRPr="00AD4BB6">
        <w:t xml:space="preserve"> </w:t>
      </w:r>
      <w:r w:rsidR="00AD4BB6">
        <w:t>S</w:t>
      </w:r>
      <w:r w:rsidR="00AD4BB6" w:rsidRPr="00AD4BB6">
        <w:t xml:space="preserve">ocial </w:t>
      </w:r>
      <w:r w:rsidR="00AD4BB6">
        <w:t>S</w:t>
      </w:r>
      <w:r w:rsidR="00AD4BB6" w:rsidRPr="00AD4BB6">
        <w:t xml:space="preserve">upport </w:t>
      </w:r>
      <w:r w:rsidR="00AD4BB6">
        <w:t>G</w:t>
      </w:r>
      <w:r w:rsidR="00AD4BB6" w:rsidRPr="00AD4BB6">
        <w:t xml:space="preserve">roup and </w:t>
      </w:r>
      <w:r w:rsidR="00AD4BB6">
        <w:t>T</w:t>
      </w:r>
      <w:r w:rsidR="00AD4BB6" w:rsidRPr="00AD4BB6">
        <w:t>ransport have varying group</w:t>
      </w:r>
      <w:r w:rsidR="00AD4BB6">
        <w:t>/</w:t>
      </w:r>
      <w:r w:rsidR="00AD4BB6" w:rsidRPr="00AD4BB6">
        <w:t>client sizes which also affect unit price</w:t>
      </w:r>
      <w:r w:rsidR="002A3B82">
        <w:t>s</w:t>
      </w:r>
      <w:r w:rsidR="00AD4BB6">
        <w:t>.</w:t>
      </w:r>
      <w:r w:rsidR="00AD4BB6" w:rsidRPr="00AD4BB6">
        <w:t xml:space="preserve"> </w:t>
      </w:r>
      <w:r w:rsidR="006F5E5E">
        <w:t xml:space="preserve">These inconsistencies need to be </w:t>
      </w:r>
      <w:r w:rsidR="003C03A8">
        <w:t>addressed</w:t>
      </w:r>
      <w:r w:rsidR="006F5E5E">
        <w:t xml:space="preserve"> as a part of</w:t>
      </w:r>
      <w:r w:rsidR="006F5E5E" w:rsidRPr="00CE3C90">
        <w:t xml:space="preserve"> </w:t>
      </w:r>
      <w:r w:rsidR="002D2953">
        <w:t>transitioning</w:t>
      </w:r>
      <w:r w:rsidR="006F5E5E">
        <w:t xml:space="preserve"> </w:t>
      </w:r>
      <w:r w:rsidR="00F458B5">
        <w:t xml:space="preserve">CHSP </w:t>
      </w:r>
      <w:r w:rsidR="006F5E5E">
        <w:t>to payment in arrears</w:t>
      </w:r>
      <w:r w:rsidR="002A3B82">
        <w:t xml:space="preserve"> and </w:t>
      </w:r>
      <w:r w:rsidR="00F458B5">
        <w:t xml:space="preserve">in advance of </w:t>
      </w:r>
      <w:r w:rsidR="002A3B82">
        <w:t>the new support at home program</w:t>
      </w:r>
      <w:r w:rsidR="006F5E5E">
        <w:t>.</w:t>
      </w:r>
    </w:p>
    <w:p w14:paraId="2C7B95F8" w14:textId="1C346602" w:rsidR="002758C1" w:rsidRDefault="0004127B" w:rsidP="0004127B">
      <w:pPr>
        <w:pStyle w:val="Paragraphtext"/>
      </w:pPr>
      <w:r>
        <w:t>In June 2021, Health contracted ACIL Allen Consulting to support the development of a National Unit Pricing Policy</w:t>
      </w:r>
      <w:r w:rsidR="00F458B5">
        <w:t xml:space="preserve"> for CHSP</w:t>
      </w:r>
      <w:r>
        <w:t xml:space="preserve">. </w:t>
      </w:r>
      <w:r w:rsidR="002758C1">
        <w:t>As a part of this work</w:t>
      </w:r>
      <w:r>
        <w:t xml:space="preserve"> ACIL Allen Consulting may contact individual CHSP organisations to help inform the development of </w:t>
      </w:r>
      <w:r w:rsidR="002A3B82">
        <w:t>this policy</w:t>
      </w:r>
      <w:r>
        <w:t>.</w:t>
      </w:r>
      <w:r w:rsidR="00D77B50" w:rsidRPr="00D77B50">
        <w:t xml:space="preserve"> </w:t>
      </w:r>
      <w:r w:rsidR="002A3B82">
        <w:t>They will also be c</w:t>
      </w:r>
      <w:r w:rsidR="00F458B5">
        <w:t>onnecting</w:t>
      </w:r>
      <w:r w:rsidR="002A3B82">
        <w:t xml:space="preserve"> with </w:t>
      </w:r>
      <w:proofErr w:type="spellStart"/>
      <w:r w:rsidR="002A3B82">
        <w:t>HealthConsult</w:t>
      </w:r>
      <w:proofErr w:type="spellEnd"/>
      <w:r w:rsidR="002A3B82">
        <w:t xml:space="preserve"> who are contracted to support the development of the funding model under the new support at home program.</w:t>
      </w:r>
    </w:p>
    <w:p w14:paraId="6780E3FB" w14:textId="6A36C34C" w:rsidR="002758C1" w:rsidRDefault="002758C1" w:rsidP="0004127B">
      <w:pPr>
        <w:pStyle w:val="Paragraphtext"/>
      </w:pPr>
      <w:r>
        <w:t xml:space="preserve">Work </w:t>
      </w:r>
      <w:r w:rsidR="003C03A8">
        <w:t>is</w:t>
      </w:r>
      <w:r w:rsidR="002A3B82">
        <w:t xml:space="preserve"> already</w:t>
      </w:r>
      <w:r w:rsidR="003C03A8">
        <w:t xml:space="preserve"> </w:t>
      </w:r>
      <w:r>
        <w:t>underway</w:t>
      </w:r>
      <w:r w:rsidR="003C03A8">
        <w:t xml:space="preserve"> and</w:t>
      </w:r>
      <w:r>
        <w:t xml:space="preserve"> </w:t>
      </w:r>
      <w:r w:rsidR="003C03A8">
        <w:t xml:space="preserve">below are areas already </w:t>
      </w:r>
      <w:r w:rsidR="00B767F8">
        <w:t xml:space="preserve">being </w:t>
      </w:r>
      <w:r w:rsidR="003C03A8">
        <w:t>considered</w:t>
      </w:r>
      <w:r>
        <w:t>:</w:t>
      </w:r>
    </w:p>
    <w:p w14:paraId="1C80D59F" w14:textId="22E918DD" w:rsidR="0004127B" w:rsidRPr="00907903" w:rsidRDefault="002D2953" w:rsidP="00907903">
      <w:pPr>
        <w:pStyle w:val="ListParagraph"/>
      </w:pPr>
      <w:r>
        <w:t>S</w:t>
      </w:r>
      <w:r w:rsidR="00D77B50">
        <w:t xml:space="preserve">ome service types may </w:t>
      </w:r>
      <w:r w:rsidR="003C03A8">
        <w:t>require</w:t>
      </w:r>
      <w:r w:rsidR="00D77B50">
        <w:t xml:space="preserve"> tier</w:t>
      </w:r>
      <w:r w:rsidR="00F458B5">
        <w:t>ed</w:t>
      </w:r>
      <w:r w:rsidR="00D77B50">
        <w:t xml:space="preserve"> unit </w:t>
      </w:r>
      <w:proofErr w:type="gramStart"/>
      <w:r w:rsidR="00D77B50">
        <w:t>prices</w:t>
      </w:r>
      <w:r w:rsidR="003C03A8">
        <w:t>;</w:t>
      </w:r>
      <w:proofErr w:type="gramEnd"/>
    </w:p>
    <w:p w14:paraId="4EEC3459" w14:textId="1D023F05" w:rsidR="002A3B82" w:rsidRPr="00907903" w:rsidRDefault="002A3B82" w:rsidP="00907903">
      <w:pPr>
        <w:pStyle w:val="ListParagraph"/>
      </w:pPr>
      <w:r>
        <w:t xml:space="preserve">Some service delivery factors, such delivery in remote indigenous communities may need greater </w:t>
      </w:r>
      <w:proofErr w:type="gramStart"/>
      <w:r>
        <w:t>flexibility;</w:t>
      </w:r>
      <w:proofErr w:type="gramEnd"/>
    </w:p>
    <w:p w14:paraId="362A7EBB" w14:textId="56798C2B" w:rsidR="00581FD2" w:rsidRPr="00907903" w:rsidRDefault="002D2953" w:rsidP="00907903">
      <w:pPr>
        <w:pStyle w:val="ListParagraph"/>
      </w:pPr>
      <w:r>
        <w:t>E</w:t>
      </w:r>
      <w:r w:rsidR="002758C1">
        <w:t>ach service type</w:t>
      </w:r>
      <w:r>
        <w:t xml:space="preserve"> </w:t>
      </w:r>
      <w:r w:rsidR="002A3B82">
        <w:t>may</w:t>
      </w:r>
      <w:r>
        <w:t xml:space="preserve"> have a unit price range</w:t>
      </w:r>
      <w:r w:rsidR="00F458B5">
        <w:t xml:space="preserve"> rather than a defined unit cost</w:t>
      </w:r>
      <w:r>
        <w:t>,</w:t>
      </w:r>
      <w:r w:rsidR="002758C1">
        <w:t xml:space="preserve"> </w:t>
      </w:r>
      <w:r w:rsidR="00F458B5">
        <w:t>from which providers are able to select</w:t>
      </w:r>
      <w:r w:rsidR="00581FD2">
        <w:t>;</w:t>
      </w:r>
      <w:r w:rsidR="00F92098" w:rsidRPr="00F92098">
        <w:t xml:space="preserve"> </w:t>
      </w:r>
      <w:r w:rsidR="00F92098">
        <w:t>and</w:t>
      </w:r>
    </w:p>
    <w:p w14:paraId="0A7D2843" w14:textId="5883FDA9" w:rsidR="00581FD2" w:rsidRPr="00907903" w:rsidRDefault="002D2953" w:rsidP="00907903">
      <w:pPr>
        <w:pStyle w:val="ListParagraph"/>
      </w:pPr>
      <w:r>
        <w:t>O</w:t>
      </w:r>
      <w:r w:rsidR="00581FD2">
        <w:t xml:space="preserve">utputs of service types </w:t>
      </w:r>
      <w:r w:rsidR="00F458B5">
        <w:t xml:space="preserve">renegotiated to be </w:t>
      </w:r>
      <w:r w:rsidR="003C03A8">
        <w:t xml:space="preserve">consistent </w:t>
      </w:r>
      <w:r w:rsidR="00F458B5">
        <w:t xml:space="preserve">with </w:t>
      </w:r>
      <w:r w:rsidR="00581FD2">
        <w:t>deliver</w:t>
      </w:r>
      <w:r w:rsidR="00F458B5">
        <w:t>y expectations</w:t>
      </w:r>
      <w:r w:rsidR="00F92098">
        <w:t>.</w:t>
      </w:r>
    </w:p>
    <w:p w14:paraId="0A85515C" w14:textId="64403B46" w:rsidR="00581FD2" w:rsidRPr="00907903" w:rsidRDefault="00F458B5" w:rsidP="00907903">
      <w:r w:rsidRPr="00907903">
        <w:lastRenderedPageBreak/>
        <w:t>The main intent of these changes is to ensure that grant agreements are a more accurate representation of price x quantity. This process is not specifically intended to result in any increases to the value of current grant agreements, though there may be some limited cases where this occurs.</w:t>
      </w:r>
    </w:p>
    <w:p w14:paraId="0B0C4DAD" w14:textId="3B07C46D" w:rsidR="00FD0F68" w:rsidRPr="00893606" w:rsidRDefault="00FD0F68" w:rsidP="002A3B82">
      <w:pPr>
        <w:pStyle w:val="Heading2"/>
      </w:pPr>
      <w:r w:rsidRPr="00893606">
        <w:t xml:space="preserve">CHSP Provider </w:t>
      </w:r>
      <w:r w:rsidRPr="00FD0F68">
        <w:t>Survey</w:t>
      </w:r>
    </w:p>
    <w:p w14:paraId="720C9CFE" w14:textId="6FE35A82" w:rsidR="00FD0F68" w:rsidRDefault="00FD0F68" w:rsidP="00907903">
      <w:r w:rsidRPr="00B800EC">
        <w:t xml:space="preserve">Health has published a survey which will provide </w:t>
      </w:r>
      <w:r w:rsidR="00994E16" w:rsidRPr="00B800EC">
        <w:t xml:space="preserve">Health </w:t>
      </w:r>
      <w:r w:rsidRPr="00B800EC">
        <w:t xml:space="preserve">with an overview of how ready providers are for the transition to payment in arrears. It will also assist Health with getting a better understanding of any issues or </w:t>
      </w:r>
      <w:r w:rsidRPr="00907903">
        <w:t>challenges</w:t>
      </w:r>
      <w:r w:rsidRPr="00B800EC">
        <w:t>. All CHSP providers are strongly encouraged to complete this survey.</w:t>
      </w:r>
    </w:p>
    <w:p w14:paraId="5467113A" w14:textId="650B2016" w:rsidR="00B84A04" w:rsidRPr="00907903" w:rsidRDefault="00B84A04" w:rsidP="00907903">
      <w:r w:rsidRPr="00907903">
        <w:t>We are aware that CHSP providers have also been asked to complete a Home Care Reform Provider Survey, this focuses on the larger reforms commencing in July 2023. This CHSP survey is specifically for CHSP providers and will help inform Health’s approach to the CHSP extension for 2022-23.</w:t>
      </w:r>
    </w:p>
    <w:p w14:paraId="110CD0CA" w14:textId="77777777" w:rsidR="00B84A04" w:rsidRDefault="00B84A04" w:rsidP="00907903">
      <w:r w:rsidRPr="00907903">
        <w:t xml:space="preserve">The CHSP survey is </w:t>
      </w:r>
      <w:proofErr w:type="gramStart"/>
      <w:r w:rsidRPr="00907903">
        <w:t>really important</w:t>
      </w:r>
      <w:proofErr w:type="gramEnd"/>
      <w:r w:rsidRPr="00907903">
        <w:t>, as it will provide the department with information regarding the sector which will greatly assist program design going forward.</w:t>
      </w:r>
    </w:p>
    <w:p w14:paraId="33B28C62" w14:textId="52013801" w:rsidR="00B84A04" w:rsidRPr="00907903" w:rsidRDefault="00B84A04" w:rsidP="00B84A04">
      <w:pPr>
        <w:rPr>
          <w:b/>
          <w:bCs/>
        </w:rPr>
      </w:pPr>
      <w:r w:rsidRPr="00907903">
        <w:rPr>
          <w:b/>
          <w:bCs/>
        </w:rPr>
        <w:t xml:space="preserve">The CHSP Survey will close </w:t>
      </w:r>
      <w:r w:rsidR="00740879" w:rsidRPr="00907903">
        <w:rPr>
          <w:b/>
          <w:bCs/>
        </w:rPr>
        <w:t>Monday 2 August 2021, 11.59 pm (AEST), and will take up to 45 minutes to complete.</w:t>
      </w:r>
    </w:p>
    <w:p w14:paraId="6291ABBA" w14:textId="3D840926" w:rsidR="00B84A04" w:rsidRDefault="00B84A04" w:rsidP="001436D4">
      <w:pPr>
        <w:pStyle w:val="Heading3"/>
      </w:pPr>
      <w:r>
        <w:t>Modified Monash Model question</w:t>
      </w:r>
    </w:p>
    <w:p w14:paraId="5D228651" w14:textId="3BB9D0F2" w:rsidR="000F1AA2" w:rsidRPr="00907903" w:rsidRDefault="00FD0F68" w:rsidP="00907903">
      <w:r>
        <w:t xml:space="preserve">In the survey you will need to specify </w:t>
      </w:r>
      <w:r w:rsidR="00994E16">
        <w:t>where you deliver the majority of your CHSP services. The options for the question relate to the</w:t>
      </w:r>
      <w:r>
        <w:t xml:space="preserve"> </w:t>
      </w:r>
      <w:hyperlink r:id="rId16" w:history="1">
        <w:r w:rsidR="00BC6463" w:rsidRPr="00BC6463">
          <w:rPr>
            <w:rStyle w:val="Hyperlink"/>
          </w:rPr>
          <w:t>Modified Monash Model</w:t>
        </w:r>
      </w:hyperlink>
      <w:r w:rsidR="00BC6463">
        <w:t>.</w:t>
      </w:r>
      <w:r>
        <w:t xml:space="preserve"> If you are unsure</w:t>
      </w:r>
      <w:r w:rsidR="0076172D">
        <w:t>,</w:t>
      </w:r>
      <w:r>
        <w:t xml:space="preserve"> you can search</w:t>
      </w:r>
      <w:r w:rsidR="0076172D">
        <w:t xml:space="preserve"> for</w:t>
      </w:r>
      <w:r>
        <w:t xml:space="preserve"> an address </w:t>
      </w:r>
      <w:r w:rsidR="0076172D">
        <w:t>using</w:t>
      </w:r>
      <w:r>
        <w:t xml:space="preserve"> the </w:t>
      </w:r>
      <w:hyperlink r:id="rId17" w:history="1">
        <w:r w:rsidRPr="0076172D">
          <w:rPr>
            <w:rStyle w:val="Hyperlink"/>
          </w:rPr>
          <w:t>Health Workforce Locator</w:t>
        </w:r>
      </w:hyperlink>
      <w:r>
        <w:t xml:space="preserve">. </w:t>
      </w:r>
      <w:r w:rsidR="00FE4F22">
        <w:t xml:space="preserve">To use this locator, the </w:t>
      </w:r>
      <w:r w:rsidR="00BC6463">
        <w:t>Modified Monash Model 2019</w:t>
      </w:r>
      <w:r w:rsidR="00FE4F22">
        <w:t xml:space="preserve"> needs to be </w:t>
      </w:r>
      <w:r>
        <w:t>check</w:t>
      </w:r>
      <w:r w:rsidR="00FE4F22">
        <w:t>ed</w:t>
      </w:r>
      <w:r>
        <w:t xml:space="preserve">, </w:t>
      </w:r>
      <w:r w:rsidR="00FE4F22">
        <w:t xml:space="preserve">then </w:t>
      </w:r>
      <w:r>
        <w:t xml:space="preserve">click Find Address, type in the </w:t>
      </w:r>
      <w:r w:rsidR="0029631F">
        <w:t>address,</w:t>
      </w:r>
      <w:r>
        <w:t xml:space="preserve"> and click Search Location. The Health Workforce Locator </w:t>
      </w:r>
      <w:r w:rsidRPr="00893606">
        <w:t>map can check the geographical classification of any location in Australia</w:t>
      </w:r>
      <w:r>
        <w:t>.</w:t>
      </w:r>
      <w:r w:rsidR="000F1AA2" w:rsidRPr="00907903">
        <w:t xml:space="preserve"> </w:t>
      </w:r>
    </w:p>
    <w:p w14:paraId="0EBCBA83" w14:textId="0FD8958B" w:rsidR="00B84A04" w:rsidRDefault="00B84A04" w:rsidP="001436D4">
      <w:pPr>
        <w:pStyle w:val="Heading3"/>
      </w:pPr>
      <w:r>
        <w:t>COVID-19 Vaccination question</w:t>
      </w:r>
    </w:p>
    <w:p w14:paraId="213119D4" w14:textId="51E48B01" w:rsidR="00BC6463" w:rsidRPr="00BC6463" w:rsidRDefault="00AA0E25" w:rsidP="00907903">
      <w:r w:rsidRPr="00816BEF">
        <w:t>As part of the survey</w:t>
      </w:r>
      <w:r w:rsidRPr="002A3B82">
        <w:t>,</w:t>
      </w:r>
      <w:r w:rsidRPr="00816BEF">
        <w:t xml:space="preserve"> we have taken the opportunity to ask CHSP providers about </w:t>
      </w:r>
      <w:r w:rsidR="00816BEF" w:rsidRPr="002A3B82">
        <w:t xml:space="preserve">their ability to report staff </w:t>
      </w:r>
      <w:r w:rsidRPr="00816BEF">
        <w:t>COVID-19 vaccinations.</w:t>
      </w:r>
      <w:r w:rsidR="00BC6463" w:rsidRPr="00BC6463">
        <w:t xml:space="preserve"> On 4 June 2021, the Australian Government launched a new reporting tool on My Aged Care for all Residential, Home Care Package and CHSP providers to report on the COVID-19 vaccination status of their aged care workforce</w:t>
      </w:r>
      <w:r w:rsidR="001436D4">
        <w:t xml:space="preserve"> with </w:t>
      </w:r>
      <w:r w:rsidR="00BC6463" w:rsidRPr="00BC6463">
        <w:t xml:space="preserve">Weekly reporting </w:t>
      </w:r>
      <w:r w:rsidR="001436D4" w:rsidRPr="00BC6463">
        <w:t>becom</w:t>
      </w:r>
      <w:r w:rsidR="001436D4">
        <w:t>ing</w:t>
      </w:r>
      <w:r w:rsidR="00BC6463" w:rsidRPr="00BC6463">
        <w:t xml:space="preserve"> mandatory from 15 June 2021 for residential aged care providers.</w:t>
      </w:r>
    </w:p>
    <w:p w14:paraId="2CFE4CA0" w14:textId="0069EFEA" w:rsidR="00AA0E25" w:rsidRDefault="00BC6463" w:rsidP="00907903">
      <w:r w:rsidRPr="00BC6463">
        <w:t>At this stage, it is not mandatory for CHSP and Home Care Package providers</w:t>
      </w:r>
      <w:r w:rsidR="001436D4">
        <w:t xml:space="preserve"> to Report workforce </w:t>
      </w:r>
      <w:proofErr w:type="spellStart"/>
      <w:r w:rsidR="001436D4">
        <w:t>Covid</w:t>
      </w:r>
      <w:proofErr w:type="spellEnd"/>
      <w:r w:rsidR="001436D4">
        <w:t xml:space="preserve"> 19 status</w:t>
      </w:r>
      <w:r w:rsidRPr="00BC6463">
        <w:t xml:space="preserve">. </w:t>
      </w:r>
      <w:r w:rsidR="00B84A04">
        <w:t xml:space="preserve">In the interim, Heath </w:t>
      </w:r>
      <w:r w:rsidR="00153835">
        <w:t xml:space="preserve">is </w:t>
      </w:r>
      <w:r w:rsidR="00B84A04">
        <w:t xml:space="preserve">encouraging CHSP providers to start voluntarily reporting. Your response to this survey question </w:t>
      </w:r>
      <w:r w:rsidR="00AA0E25" w:rsidRPr="00816BEF">
        <w:t xml:space="preserve">will help inform </w:t>
      </w:r>
      <w:r w:rsidR="00B84A04">
        <w:t xml:space="preserve">Health </w:t>
      </w:r>
      <w:r w:rsidR="00816BEF" w:rsidRPr="002A3B82">
        <w:t xml:space="preserve">about the barriers, </w:t>
      </w:r>
      <w:r w:rsidR="00816BEF" w:rsidRPr="00816BEF">
        <w:t>complexity,</w:t>
      </w:r>
      <w:r w:rsidR="00816BEF" w:rsidRPr="002A3B82">
        <w:t xml:space="preserve"> and capability in CHSP providers reporting staff COVID</w:t>
      </w:r>
      <w:r w:rsidR="002A3B82">
        <w:t>-</w:t>
      </w:r>
      <w:r w:rsidR="00816BEF" w:rsidRPr="002A3B82">
        <w:t>19 vaccination rates</w:t>
      </w:r>
      <w:r w:rsidR="00816BEF">
        <w:t>.</w:t>
      </w:r>
    </w:p>
    <w:p w14:paraId="3673EA0E" w14:textId="06C59231" w:rsidR="00B84A04" w:rsidRPr="00907903" w:rsidRDefault="00B84A04" w:rsidP="00907903">
      <w:r w:rsidRPr="00907903">
        <w:t>Please note, it is voluntary for workers and volunteers to be vaccinated and to disclose if they have received a COVID-19 or influenza vaccination.</w:t>
      </w:r>
    </w:p>
    <w:p w14:paraId="7B50196C" w14:textId="1D10EC12" w:rsidR="00772D44" w:rsidRDefault="00A0578D" w:rsidP="00907903">
      <w:pPr>
        <w:pStyle w:val="Heading2"/>
        <w:pageBreakBefore/>
      </w:pPr>
      <w:r>
        <w:lastRenderedPageBreak/>
        <w:t xml:space="preserve">Implementation </w:t>
      </w:r>
      <w:r w:rsidRPr="00893606">
        <w:t>timeframes</w:t>
      </w:r>
    </w:p>
    <w:p w14:paraId="521FCAF5" w14:textId="28B0536A" w:rsidR="00377CB1" w:rsidRDefault="00377CB1" w:rsidP="00907903">
      <w:r>
        <w:t>Table 1</w:t>
      </w:r>
      <w:r w:rsidR="00A7704D">
        <w:t xml:space="preserve"> shows the key items of work.</w:t>
      </w:r>
      <w:r w:rsidR="00874C97">
        <w:t xml:space="preserve"> </w:t>
      </w:r>
      <w:r w:rsidR="00BE12D9">
        <w:t xml:space="preserve">The shaded months correspond to when the work is expected to commence and the finalisation of that work. </w:t>
      </w:r>
      <w:r w:rsidR="003B1406">
        <w:t xml:space="preserve">For example, the unit pricing review began in July 2021 and is expected to be finalised by the end of September. </w:t>
      </w:r>
    </w:p>
    <w:p w14:paraId="288824D5" w14:textId="24EA788F" w:rsidR="00A7704D" w:rsidRDefault="00874C97" w:rsidP="00907903">
      <w:r>
        <w:t>A start date for payment in arrears must be finalised by September/October 2021 to allow time to negotiate new contracts with providers. New contracts will come into effect on 1 July 2022.</w:t>
      </w:r>
    </w:p>
    <w:p w14:paraId="3F4752FF" w14:textId="7C668A50" w:rsidR="00874C97" w:rsidRPr="000A512D" w:rsidRDefault="00874C97" w:rsidP="00907903">
      <w:r>
        <w:t xml:space="preserve">From 1 July 2023, the new Support at Home Program will commence. </w:t>
      </w:r>
    </w:p>
    <w:tbl>
      <w:tblPr>
        <w:tblStyle w:val="TableGrid"/>
        <w:tblW w:w="5320" w:type="pct"/>
        <w:tblLook w:val="04A0" w:firstRow="1" w:lastRow="0" w:firstColumn="1" w:lastColumn="0" w:noHBand="0" w:noVBand="1"/>
        <w:tblCaption w:val="Implementation time frames"/>
        <w:tblDescription w:val="Table 1 shows the key items of work. The shaded months correspond to when the work is expected to commence and the finalisation of that work."/>
      </w:tblPr>
      <w:tblGrid>
        <w:gridCol w:w="2264"/>
        <w:gridCol w:w="817"/>
        <w:gridCol w:w="819"/>
        <w:gridCol w:w="816"/>
        <w:gridCol w:w="816"/>
        <w:gridCol w:w="817"/>
        <w:gridCol w:w="817"/>
        <w:gridCol w:w="812"/>
        <w:gridCol w:w="806"/>
        <w:gridCol w:w="856"/>
      </w:tblGrid>
      <w:tr w:rsidR="00824B84" w:rsidRPr="009A596B" w14:paraId="7BDD225E" w14:textId="3E1B57A7" w:rsidTr="001436D4">
        <w:trPr>
          <w:cnfStyle w:val="100000000000" w:firstRow="1" w:lastRow="0" w:firstColumn="0" w:lastColumn="0" w:oddVBand="0" w:evenVBand="0" w:oddHBand="0" w:evenHBand="0" w:firstRowFirstColumn="0" w:firstRowLastColumn="0" w:lastRowFirstColumn="0" w:lastRowLastColumn="0"/>
          <w:tblHeader/>
        </w:trPr>
        <w:tc>
          <w:tcPr>
            <w:tcW w:w="1174" w:type="pct"/>
            <w:shd w:val="clear" w:color="auto" w:fill="358189"/>
            <w:vAlign w:val="center"/>
          </w:tcPr>
          <w:p w14:paraId="58430DC0" w14:textId="3B98C55B" w:rsidR="00824B84" w:rsidRPr="00907903" w:rsidRDefault="00824B84" w:rsidP="00907903">
            <w:pPr>
              <w:pStyle w:val="Tableheader0"/>
              <w:rPr>
                <w:b/>
                <w:bCs w:val="0"/>
              </w:rPr>
            </w:pPr>
            <w:r w:rsidRPr="00907903">
              <w:rPr>
                <w:b/>
                <w:bCs w:val="0"/>
              </w:rPr>
              <w:t>Financial Year</w:t>
            </w:r>
          </w:p>
        </w:tc>
        <w:tc>
          <w:tcPr>
            <w:tcW w:w="1694" w:type="pct"/>
            <w:gridSpan w:val="4"/>
            <w:shd w:val="clear" w:color="auto" w:fill="358189"/>
            <w:vAlign w:val="center"/>
          </w:tcPr>
          <w:p w14:paraId="25A165AF" w14:textId="6EBFB7C5" w:rsidR="00824B84" w:rsidRPr="00907903" w:rsidRDefault="00824B84" w:rsidP="00907903">
            <w:pPr>
              <w:pStyle w:val="Tableheader0"/>
              <w:rPr>
                <w:b/>
                <w:bCs w:val="0"/>
              </w:rPr>
            </w:pPr>
            <w:r w:rsidRPr="00907903">
              <w:rPr>
                <w:b/>
                <w:bCs w:val="0"/>
              </w:rPr>
              <w:t>2021-22</w:t>
            </w:r>
          </w:p>
        </w:tc>
        <w:tc>
          <w:tcPr>
            <w:tcW w:w="1687" w:type="pct"/>
            <w:gridSpan w:val="4"/>
            <w:shd w:val="clear" w:color="auto" w:fill="358189"/>
            <w:vAlign w:val="center"/>
          </w:tcPr>
          <w:p w14:paraId="180E68F4" w14:textId="4FA08709" w:rsidR="00824B84" w:rsidRPr="00907903" w:rsidRDefault="00824B84" w:rsidP="00907903">
            <w:pPr>
              <w:pStyle w:val="Tableheader0"/>
              <w:rPr>
                <w:b/>
                <w:bCs w:val="0"/>
              </w:rPr>
            </w:pPr>
            <w:r w:rsidRPr="00907903">
              <w:rPr>
                <w:b/>
                <w:bCs w:val="0"/>
              </w:rPr>
              <w:t>2020-23</w:t>
            </w:r>
          </w:p>
        </w:tc>
        <w:tc>
          <w:tcPr>
            <w:tcW w:w="446" w:type="pct"/>
            <w:shd w:val="clear" w:color="auto" w:fill="358189"/>
            <w:vAlign w:val="center"/>
          </w:tcPr>
          <w:p w14:paraId="39FE78CF" w14:textId="54DAFFAF" w:rsidR="00824B84" w:rsidRPr="00907903" w:rsidRDefault="00824B84" w:rsidP="00907903">
            <w:pPr>
              <w:pStyle w:val="Tableheader0"/>
              <w:rPr>
                <w:b/>
                <w:bCs w:val="0"/>
              </w:rPr>
            </w:pPr>
            <w:r w:rsidRPr="00907903">
              <w:rPr>
                <w:b/>
                <w:bCs w:val="0"/>
              </w:rPr>
              <w:t>2023-24</w:t>
            </w:r>
          </w:p>
        </w:tc>
      </w:tr>
      <w:tr w:rsidR="00824B84" w:rsidRPr="009A596B" w14:paraId="0B2EBC66" w14:textId="726D808D" w:rsidTr="001436D4">
        <w:trPr>
          <w:cnfStyle w:val="100000000000" w:firstRow="1" w:lastRow="0" w:firstColumn="0" w:lastColumn="0" w:oddVBand="0" w:evenVBand="0" w:oddHBand="0" w:evenHBand="0" w:firstRowFirstColumn="0" w:firstRowLastColumn="0" w:lastRowFirstColumn="0" w:lastRowLastColumn="0"/>
          <w:tblHeader/>
        </w:trPr>
        <w:tc>
          <w:tcPr>
            <w:tcW w:w="1174" w:type="pct"/>
            <w:shd w:val="clear" w:color="auto" w:fill="74C1C9" w:themeFill="accent2" w:themeFillTint="99"/>
            <w:vAlign w:val="bottom"/>
          </w:tcPr>
          <w:p w14:paraId="5F583A30" w14:textId="0657BF68" w:rsidR="00824B84" w:rsidRPr="00907903" w:rsidRDefault="00824B84" w:rsidP="00907903">
            <w:pPr>
              <w:pStyle w:val="Tableheader0"/>
              <w:rPr>
                <w:b/>
                <w:bCs w:val="0"/>
              </w:rPr>
            </w:pPr>
            <w:r w:rsidRPr="00907903">
              <w:rPr>
                <w:b/>
                <w:bCs w:val="0"/>
              </w:rPr>
              <w:t>Calendar Year</w:t>
            </w:r>
          </w:p>
        </w:tc>
        <w:tc>
          <w:tcPr>
            <w:tcW w:w="849" w:type="pct"/>
            <w:gridSpan w:val="2"/>
            <w:shd w:val="clear" w:color="auto" w:fill="74C1C9" w:themeFill="accent2" w:themeFillTint="99"/>
            <w:vAlign w:val="bottom"/>
          </w:tcPr>
          <w:p w14:paraId="0105AF5D" w14:textId="24C83E84" w:rsidR="00824B84" w:rsidRPr="00907903" w:rsidRDefault="00824B84" w:rsidP="00907903">
            <w:pPr>
              <w:pStyle w:val="Tableheader0"/>
              <w:rPr>
                <w:b/>
                <w:bCs w:val="0"/>
              </w:rPr>
            </w:pPr>
            <w:r w:rsidRPr="00907903">
              <w:rPr>
                <w:b/>
                <w:bCs w:val="0"/>
              </w:rPr>
              <w:t>2021</w:t>
            </w:r>
          </w:p>
        </w:tc>
        <w:tc>
          <w:tcPr>
            <w:tcW w:w="1693" w:type="pct"/>
            <w:gridSpan w:val="4"/>
            <w:shd w:val="clear" w:color="auto" w:fill="74C1C9" w:themeFill="accent2" w:themeFillTint="99"/>
            <w:vAlign w:val="bottom"/>
          </w:tcPr>
          <w:p w14:paraId="0EC74BE4" w14:textId="3BD6DEBF" w:rsidR="00824B84" w:rsidRPr="00907903" w:rsidRDefault="00824B84" w:rsidP="00907903">
            <w:pPr>
              <w:pStyle w:val="Tableheader0"/>
              <w:rPr>
                <w:b/>
                <w:bCs w:val="0"/>
              </w:rPr>
            </w:pPr>
            <w:r w:rsidRPr="00907903">
              <w:rPr>
                <w:b/>
                <w:bCs w:val="0"/>
              </w:rPr>
              <w:t>2022</w:t>
            </w:r>
          </w:p>
        </w:tc>
        <w:tc>
          <w:tcPr>
            <w:tcW w:w="1285" w:type="pct"/>
            <w:gridSpan w:val="3"/>
            <w:shd w:val="clear" w:color="auto" w:fill="74C1C9" w:themeFill="accent2" w:themeFillTint="99"/>
            <w:vAlign w:val="bottom"/>
          </w:tcPr>
          <w:p w14:paraId="6DE99BE1" w14:textId="02173A5B" w:rsidR="00824B84" w:rsidRPr="00907903" w:rsidRDefault="00824B84" w:rsidP="00907903">
            <w:pPr>
              <w:pStyle w:val="Tableheader0"/>
              <w:rPr>
                <w:b/>
                <w:bCs w:val="0"/>
              </w:rPr>
            </w:pPr>
            <w:r w:rsidRPr="00907903">
              <w:rPr>
                <w:b/>
                <w:bCs w:val="0"/>
              </w:rPr>
              <w:t>2023</w:t>
            </w:r>
          </w:p>
        </w:tc>
      </w:tr>
      <w:tr w:rsidR="009A596B" w:rsidRPr="00907903" w14:paraId="6DF9F194" w14:textId="360DEDEA" w:rsidTr="001436D4">
        <w:trPr>
          <w:cnfStyle w:val="100000000000" w:firstRow="1" w:lastRow="0" w:firstColumn="0" w:lastColumn="0" w:oddVBand="0" w:evenVBand="0" w:oddHBand="0" w:evenHBand="0" w:firstRowFirstColumn="0" w:firstRowLastColumn="0" w:lastRowFirstColumn="0" w:lastRowLastColumn="0"/>
          <w:tblHeader/>
        </w:trPr>
        <w:tc>
          <w:tcPr>
            <w:tcW w:w="1174" w:type="pct"/>
            <w:shd w:val="clear" w:color="auto" w:fill="FFFFFF" w:themeFill="background1"/>
            <w:vAlign w:val="bottom"/>
          </w:tcPr>
          <w:p w14:paraId="06D900E3" w14:textId="2198CC6A" w:rsidR="009C6918" w:rsidRPr="00907903" w:rsidRDefault="00A7704D" w:rsidP="00907903">
            <w:pPr>
              <w:pStyle w:val="Tableheader0"/>
              <w:rPr>
                <w:b/>
                <w:bCs w:val="0"/>
              </w:rPr>
            </w:pPr>
            <w:r w:rsidRPr="00907903">
              <w:rPr>
                <w:b/>
                <w:bCs w:val="0"/>
              </w:rPr>
              <w:t xml:space="preserve">Key </w:t>
            </w:r>
            <w:r w:rsidR="00377CB1" w:rsidRPr="00907903">
              <w:rPr>
                <w:b/>
                <w:bCs w:val="0"/>
              </w:rPr>
              <w:t xml:space="preserve">work </w:t>
            </w:r>
            <w:r w:rsidRPr="00907903">
              <w:rPr>
                <w:b/>
                <w:bCs w:val="0"/>
              </w:rPr>
              <w:t>items</w:t>
            </w:r>
          </w:p>
        </w:tc>
        <w:tc>
          <w:tcPr>
            <w:tcW w:w="424" w:type="pct"/>
            <w:shd w:val="clear" w:color="auto" w:fill="D0EAED" w:themeFill="accent2" w:themeFillTint="33"/>
            <w:vAlign w:val="center"/>
          </w:tcPr>
          <w:p w14:paraId="4E03B518" w14:textId="708FC9AB" w:rsidR="009C6918" w:rsidRPr="00907903" w:rsidRDefault="009C6918" w:rsidP="00907903">
            <w:pPr>
              <w:pStyle w:val="Tableheader0"/>
              <w:rPr>
                <w:b/>
                <w:bCs w:val="0"/>
              </w:rPr>
            </w:pPr>
            <w:r w:rsidRPr="00907903">
              <w:rPr>
                <w:b/>
                <w:bCs w:val="0"/>
              </w:rPr>
              <w:t>Jul – Sep</w:t>
            </w:r>
          </w:p>
        </w:tc>
        <w:tc>
          <w:tcPr>
            <w:tcW w:w="425" w:type="pct"/>
            <w:shd w:val="clear" w:color="auto" w:fill="D0EAED" w:themeFill="accent2" w:themeFillTint="33"/>
            <w:vAlign w:val="center"/>
          </w:tcPr>
          <w:p w14:paraId="7F472F22" w14:textId="465B7250" w:rsidR="009C6918" w:rsidRPr="00907903" w:rsidRDefault="009C6918" w:rsidP="00907903">
            <w:pPr>
              <w:pStyle w:val="Tableheader0"/>
              <w:rPr>
                <w:b/>
                <w:bCs w:val="0"/>
              </w:rPr>
            </w:pPr>
            <w:r w:rsidRPr="00907903">
              <w:rPr>
                <w:b/>
                <w:bCs w:val="0"/>
              </w:rPr>
              <w:t>Oct – Dec</w:t>
            </w:r>
          </w:p>
        </w:tc>
        <w:tc>
          <w:tcPr>
            <w:tcW w:w="423" w:type="pct"/>
            <w:shd w:val="clear" w:color="auto" w:fill="D0EAED" w:themeFill="accent2" w:themeFillTint="33"/>
            <w:vAlign w:val="center"/>
          </w:tcPr>
          <w:p w14:paraId="68E82E40" w14:textId="7ABB615F" w:rsidR="009C6918" w:rsidRPr="00907903" w:rsidRDefault="009C6918" w:rsidP="00907903">
            <w:pPr>
              <w:pStyle w:val="Tableheader0"/>
              <w:rPr>
                <w:b/>
                <w:bCs w:val="0"/>
              </w:rPr>
            </w:pPr>
            <w:r w:rsidRPr="00907903">
              <w:rPr>
                <w:b/>
                <w:bCs w:val="0"/>
              </w:rPr>
              <w:t>Jan – Mar</w:t>
            </w:r>
          </w:p>
        </w:tc>
        <w:tc>
          <w:tcPr>
            <w:tcW w:w="423" w:type="pct"/>
            <w:shd w:val="clear" w:color="auto" w:fill="D0EAED" w:themeFill="accent2" w:themeFillTint="33"/>
            <w:vAlign w:val="center"/>
          </w:tcPr>
          <w:p w14:paraId="2E4333AE" w14:textId="4AF7C8CC" w:rsidR="009C6918" w:rsidRPr="00907903" w:rsidRDefault="009C6918" w:rsidP="00907903">
            <w:pPr>
              <w:pStyle w:val="Tableheader0"/>
              <w:rPr>
                <w:b/>
                <w:bCs w:val="0"/>
              </w:rPr>
            </w:pPr>
            <w:r w:rsidRPr="00907903">
              <w:rPr>
                <w:b/>
                <w:bCs w:val="0"/>
              </w:rPr>
              <w:t>Apr – Jun</w:t>
            </w:r>
          </w:p>
        </w:tc>
        <w:tc>
          <w:tcPr>
            <w:tcW w:w="424" w:type="pct"/>
            <w:shd w:val="clear" w:color="auto" w:fill="D0EAED" w:themeFill="accent2" w:themeFillTint="33"/>
            <w:vAlign w:val="center"/>
          </w:tcPr>
          <w:p w14:paraId="6322594C" w14:textId="573890F1" w:rsidR="009C6918" w:rsidRPr="00907903" w:rsidRDefault="009C6918" w:rsidP="00907903">
            <w:pPr>
              <w:pStyle w:val="Tableheader0"/>
              <w:rPr>
                <w:b/>
                <w:bCs w:val="0"/>
              </w:rPr>
            </w:pPr>
            <w:r w:rsidRPr="00907903">
              <w:rPr>
                <w:b/>
                <w:bCs w:val="0"/>
              </w:rPr>
              <w:t>Jul – Sep</w:t>
            </w:r>
          </w:p>
        </w:tc>
        <w:tc>
          <w:tcPr>
            <w:tcW w:w="424" w:type="pct"/>
            <w:shd w:val="clear" w:color="auto" w:fill="D0EAED" w:themeFill="accent2" w:themeFillTint="33"/>
            <w:vAlign w:val="center"/>
          </w:tcPr>
          <w:p w14:paraId="37C8B691" w14:textId="301D5614" w:rsidR="009C6918" w:rsidRPr="00907903" w:rsidRDefault="009C6918" w:rsidP="00907903">
            <w:pPr>
              <w:pStyle w:val="Tableheader0"/>
              <w:rPr>
                <w:b/>
                <w:bCs w:val="0"/>
              </w:rPr>
            </w:pPr>
            <w:r w:rsidRPr="00907903">
              <w:rPr>
                <w:b/>
                <w:bCs w:val="0"/>
              </w:rPr>
              <w:t>Oct – Dec</w:t>
            </w:r>
          </w:p>
        </w:tc>
        <w:tc>
          <w:tcPr>
            <w:tcW w:w="421" w:type="pct"/>
            <w:shd w:val="clear" w:color="auto" w:fill="D0EAED" w:themeFill="accent2" w:themeFillTint="33"/>
            <w:vAlign w:val="center"/>
          </w:tcPr>
          <w:p w14:paraId="2A10991E" w14:textId="707BFFA6" w:rsidR="009C6918" w:rsidRPr="00907903" w:rsidRDefault="009C6918" w:rsidP="00907903">
            <w:pPr>
              <w:pStyle w:val="Tableheader0"/>
              <w:rPr>
                <w:b/>
                <w:bCs w:val="0"/>
              </w:rPr>
            </w:pPr>
            <w:r w:rsidRPr="00907903">
              <w:rPr>
                <w:b/>
                <w:bCs w:val="0"/>
              </w:rPr>
              <w:t>Jan – Mar</w:t>
            </w:r>
          </w:p>
        </w:tc>
        <w:tc>
          <w:tcPr>
            <w:tcW w:w="418" w:type="pct"/>
            <w:shd w:val="clear" w:color="auto" w:fill="D0EAED" w:themeFill="accent2" w:themeFillTint="33"/>
            <w:vAlign w:val="center"/>
          </w:tcPr>
          <w:p w14:paraId="59CECF77" w14:textId="71CD4BC1" w:rsidR="009C6918" w:rsidRPr="00907903" w:rsidRDefault="009C6918" w:rsidP="00907903">
            <w:pPr>
              <w:pStyle w:val="Tableheader0"/>
              <w:rPr>
                <w:b/>
                <w:bCs w:val="0"/>
              </w:rPr>
            </w:pPr>
            <w:r w:rsidRPr="00907903">
              <w:rPr>
                <w:b/>
                <w:bCs w:val="0"/>
              </w:rPr>
              <w:t>Apr - Jun</w:t>
            </w:r>
          </w:p>
        </w:tc>
        <w:tc>
          <w:tcPr>
            <w:tcW w:w="446" w:type="pct"/>
            <w:shd w:val="clear" w:color="auto" w:fill="D0EAED" w:themeFill="accent2" w:themeFillTint="33"/>
            <w:vAlign w:val="center"/>
          </w:tcPr>
          <w:p w14:paraId="4F6D087E" w14:textId="418DF6ED" w:rsidR="009C6918" w:rsidRPr="00907903" w:rsidRDefault="009C6918" w:rsidP="00907903">
            <w:pPr>
              <w:pStyle w:val="Tableheader0"/>
              <w:rPr>
                <w:b/>
                <w:bCs w:val="0"/>
              </w:rPr>
            </w:pPr>
            <w:r w:rsidRPr="00907903">
              <w:rPr>
                <w:b/>
                <w:bCs w:val="0"/>
              </w:rPr>
              <w:t>Jul – Sep</w:t>
            </w:r>
          </w:p>
        </w:tc>
      </w:tr>
      <w:tr w:rsidR="00F870B8" w:rsidRPr="009A596B" w14:paraId="7067DA78" w14:textId="24EBA57D" w:rsidTr="00F458B5">
        <w:tc>
          <w:tcPr>
            <w:tcW w:w="1174" w:type="pct"/>
          </w:tcPr>
          <w:p w14:paraId="5B4BF673" w14:textId="1771F015" w:rsidR="00F870B8" w:rsidRPr="009A596B" w:rsidRDefault="00F870B8" w:rsidP="00907903">
            <w:pPr>
              <w:pStyle w:val="Tabletextleft"/>
            </w:pPr>
            <w:r w:rsidRPr="009A596B">
              <w:t>Sector consultation</w:t>
            </w:r>
          </w:p>
        </w:tc>
        <w:tc>
          <w:tcPr>
            <w:tcW w:w="849" w:type="pct"/>
            <w:gridSpan w:val="2"/>
            <w:shd w:val="clear" w:color="auto" w:fill="BFBFBF" w:themeFill="background1" w:themeFillShade="BF"/>
            <w:vAlign w:val="center"/>
          </w:tcPr>
          <w:p w14:paraId="38DFACAB" w14:textId="6EAD9B4C" w:rsidR="00F870B8" w:rsidRPr="009A596B" w:rsidRDefault="00F870B8" w:rsidP="00907903">
            <w:pPr>
              <w:pStyle w:val="Tabletextleft"/>
            </w:pPr>
          </w:p>
        </w:tc>
        <w:tc>
          <w:tcPr>
            <w:tcW w:w="423" w:type="pct"/>
            <w:vAlign w:val="center"/>
          </w:tcPr>
          <w:p w14:paraId="77EFE180" w14:textId="77777777" w:rsidR="00F870B8" w:rsidRPr="009A596B" w:rsidRDefault="00F870B8" w:rsidP="00907903">
            <w:pPr>
              <w:pStyle w:val="Tabletextleft"/>
            </w:pPr>
          </w:p>
        </w:tc>
        <w:tc>
          <w:tcPr>
            <w:tcW w:w="423" w:type="pct"/>
            <w:vAlign w:val="center"/>
          </w:tcPr>
          <w:p w14:paraId="48AAF358" w14:textId="77777777" w:rsidR="00F870B8" w:rsidRPr="009A596B" w:rsidRDefault="00F870B8" w:rsidP="00907903">
            <w:pPr>
              <w:pStyle w:val="Tabletextleft"/>
            </w:pPr>
          </w:p>
        </w:tc>
        <w:tc>
          <w:tcPr>
            <w:tcW w:w="424" w:type="pct"/>
            <w:vAlign w:val="center"/>
          </w:tcPr>
          <w:p w14:paraId="61465CF2" w14:textId="77777777" w:rsidR="00F870B8" w:rsidRPr="009A596B" w:rsidRDefault="00F870B8" w:rsidP="00907903">
            <w:pPr>
              <w:pStyle w:val="Tabletextleft"/>
            </w:pPr>
          </w:p>
        </w:tc>
        <w:tc>
          <w:tcPr>
            <w:tcW w:w="424" w:type="pct"/>
            <w:vAlign w:val="center"/>
          </w:tcPr>
          <w:p w14:paraId="636891EB" w14:textId="77777777" w:rsidR="00F870B8" w:rsidRPr="009A596B" w:rsidRDefault="00F870B8" w:rsidP="00907903">
            <w:pPr>
              <w:pStyle w:val="Tabletextleft"/>
            </w:pPr>
          </w:p>
        </w:tc>
        <w:tc>
          <w:tcPr>
            <w:tcW w:w="421" w:type="pct"/>
            <w:vAlign w:val="center"/>
          </w:tcPr>
          <w:p w14:paraId="3DB2D4B0" w14:textId="77777777" w:rsidR="00F870B8" w:rsidRPr="009A596B" w:rsidRDefault="00F870B8" w:rsidP="00907903">
            <w:pPr>
              <w:pStyle w:val="Tabletextleft"/>
            </w:pPr>
          </w:p>
        </w:tc>
        <w:tc>
          <w:tcPr>
            <w:tcW w:w="418" w:type="pct"/>
            <w:vAlign w:val="center"/>
          </w:tcPr>
          <w:p w14:paraId="1096487F" w14:textId="77777777" w:rsidR="00F870B8" w:rsidRPr="009A596B" w:rsidRDefault="00F870B8" w:rsidP="00907903">
            <w:pPr>
              <w:pStyle w:val="Tabletextleft"/>
            </w:pPr>
          </w:p>
        </w:tc>
        <w:tc>
          <w:tcPr>
            <w:tcW w:w="446" w:type="pct"/>
            <w:vAlign w:val="center"/>
          </w:tcPr>
          <w:p w14:paraId="7F386C78" w14:textId="77777777" w:rsidR="00F870B8" w:rsidRPr="009A596B" w:rsidRDefault="00F870B8" w:rsidP="00907903">
            <w:pPr>
              <w:pStyle w:val="Tabletextleft"/>
            </w:pPr>
          </w:p>
        </w:tc>
      </w:tr>
      <w:tr w:rsidR="0029631F" w:rsidRPr="009A596B" w14:paraId="16CC9C82" w14:textId="32A64369" w:rsidTr="00F458B5">
        <w:tc>
          <w:tcPr>
            <w:tcW w:w="1174" w:type="pct"/>
          </w:tcPr>
          <w:p w14:paraId="238CCD49" w14:textId="11FA4D36" w:rsidR="009C6918" w:rsidRPr="009A596B" w:rsidRDefault="009C6918" w:rsidP="00907903">
            <w:pPr>
              <w:pStyle w:val="Tabletextleft"/>
            </w:pPr>
            <w:r w:rsidRPr="009A596B">
              <w:t xml:space="preserve">Unit Pricing </w:t>
            </w:r>
          </w:p>
        </w:tc>
        <w:tc>
          <w:tcPr>
            <w:tcW w:w="424" w:type="pct"/>
            <w:shd w:val="clear" w:color="auto" w:fill="BFBFBF" w:themeFill="background1" w:themeFillShade="BF"/>
            <w:vAlign w:val="center"/>
          </w:tcPr>
          <w:p w14:paraId="6BAC34D2" w14:textId="77777777" w:rsidR="009C6918" w:rsidRPr="009A596B" w:rsidRDefault="009C6918" w:rsidP="00893606">
            <w:pPr>
              <w:pStyle w:val="Paragraphtext"/>
              <w:jc w:val="center"/>
              <w:rPr>
                <w:sz w:val="20"/>
                <w:szCs w:val="22"/>
              </w:rPr>
            </w:pPr>
          </w:p>
        </w:tc>
        <w:tc>
          <w:tcPr>
            <w:tcW w:w="425" w:type="pct"/>
            <w:shd w:val="clear" w:color="auto" w:fill="auto"/>
            <w:vAlign w:val="center"/>
          </w:tcPr>
          <w:p w14:paraId="48734B2F" w14:textId="47669385" w:rsidR="009C6918" w:rsidRPr="009A596B" w:rsidRDefault="009C6918" w:rsidP="00907903">
            <w:pPr>
              <w:pStyle w:val="Tabletextleft"/>
            </w:pPr>
          </w:p>
        </w:tc>
        <w:tc>
          <w:tcPr>
            <w:tcW w:w="423" w:type="pct"/>
            <w:vAlign w:val="center"/>
          </w:tcPr>
          <w:p w14:paraId="0A181D53" w14:textId="77777777" w:rsidR="009C6918" w:rsidRPr="009A596B" w:rsidRDefault="009C6918" w:rsidP="00907903">
            <w:pPr>
              <w:pStyle w:val="Tabletextleft"/>
            </w:pPr>
          </w:p>
        </w:tc>
        <w:tc>
          <w:tcPr>
            <w:tcW w:w="423" w:type="pct"/>
            <w:vAlign w:val="center"/>
          </w:tcPr>
          <w:p w14:paraId="5A29A50F" w14:textId="77777777" w:rsidR="009C6918" w:rsidRPr="009A596B" w:rsidRDefault="009C6918" w:rsidP="00907903">
            <w:pPr>
              <w:pStyle w:val="Tabletextleft"/>
            </w:pPr>
          </w:p>
        </w:tc>
        <w:tc>
          <w:tcPr>
            <w:tcW w:w="424" w:type="pct"/>
            <w:vAlign w:val="center"/>
          </w:tcPr>
          <w:p w14:paraId="0AAE1B3A" w14:textId="77777777" w:rsidR="009C6918" w:rsidRPr="009A596B" w:rsidRDefault="009C6918" w:rsidP="00907903">
            <w:pPr>
              <w:pStyle w:val="Tabletextleft"/>
            </w:pPr>
          </w:p>
        </w:tc>
        <w:tc>
          <w:tcPr>
            <w:tcW w:w="424" w:type="pct"/>
            <w:vAlign w:val="center"/>
          </w:tcPr>
          <w:p w14:paraId="54572D53" w14:textId="77777777" w:rsidR="009C6918" w:rsidRPr="009A596B" w:rsidRDefault="009C6918" w:rsidP="00907903">
            <w:pPr>
              <w:pStyle w:val="Tabletextleft"/>
            </w:pPr>
          </w:p>
        </w:tc>
        <w:tc>
          <w:tcPr>
            <w:tcW w:w="421" w:type="pct"/>
            <w:vAlign w:val="center"/>
          </w:tcPr>
          <w:p w14:paraId="2F72BE44" w14:textId="77777777" w:rsidR="009C6918" w:rsidRPr="009A596B" w:rsidRDefault="009C6918" w:rsidP="00907903">
            <w:pPr>
              <w:pStyle w:val="Tabletextleft"/>
            </w:pPr>
          </w:p>
        </w:tc>
        <w:tc>
          <w:tcPr>
            <w:tcW w:w="418" w:type="pct"/>
            <w:vAlign w:val="center"/>
          </w:tcPr>
          <w:p w14:paraId="5FFA0CDE" w14:textId="77777777" w:rsidR="009C6918" w:rsidRPr="009A596B" w:rsidRDefault="009C6918" w:rsidP="00907903">
            <w:pPr>
              <w:pStyle w:val="Tabletextleft"/>
            </w:pPr>
          </w:p>
        </w:tc>
        <w:tc>
          <w:tcPr>
            <w:tcW w:w="446" w:type="pct"/>
            <w:vAlign w:val="center"/>
          </w:tcPr>
          <w:p w14:paraId="2F74EAE3" w14:textId="77777777" w:rsidR="009C6918" w:rsidRPr="009A596B" w:rsidRDefault="009C6918" w:rsidP="00907903">
            <w:pPr>
              <w:pStyle w:val="Tabletextleft"/>
            </w:pPr>
          </w:p>
        </w:tc>
      </w:tr>
      <w:tr w:rsidR="00464B87" w:rsidRPr="009A596B" w14:paraId="789E959D" w14:textId="3363D4D7" w:rsidTr="00F458B5">
        <w:tc>
          <w:tcPr>
            <w:tcW w:w="1174" w:type="pct"/>
          </w:tcPr>
          <w:p w14:paraId="2005B57C" w14:textId="761F50CA" w:rsidR="009C6918" w:rsidRPr="009A596B" w:rsidRDefault="009C6918" w:rsidP="00907903">
            <w:pPr>
              <w:pStyle w:val="Tabletextleft"/>
            </w:pPr>
            <w:r w:rsidRPr="009A596B">
              <w:t>Decision on next steps for 2022-23</w:t>
            </w:r>
          </w:p>
        </w:tc>
        <w:tc>
          <w:tcPr>
            <w:tcW w:w="424" w:type="pct"/>
            <w:vAlign w:val="center"/>
          </w:tcPr>
          <w:p w14:paraId="16101CEF" w14:textId="77777777" w:rsidR="009C6918" w:rsidRPr="009A596B" w:rsidRDefault="009C6918" w:rsidP="00893606">
            <w:pPr>
              <w:pStyle w:val="Paragraphtext"/>
              <w:jc w:val="center"/>
              <w:rPr>
                <w:sz w:val="20"/>
                <w:szCs w:val="22"/>
              </w:rPr>
            </w:pPr>
          </w:p>
        </w:tc>
        <w:tc>
          <w:tcPr>
            <w:tcW w:w="425" w:type="pct"/>
            <w:shd w:val="clear" w:color="auto" w:fill="BFBFBF" w:themeFill="background1" w:themeFillShade="BF"/>
            <w:vAlign w:val="center"/>
          </w:tcPr>
          <w:p w14:paraId="0332A9DC" w14:textId="45363693" w:rsidR="009C6918" w:rsidRPr="009A596B" w:rsidRDefault="009C6918" w:rsidP="00907903">
            <w:pPr>
              <w:pStyle w:val="Tabletextleft"/>
            </w:pPr>
          </w:p>
        </w:tc>
        <w:tc>
          <w:tcPr>
            <w:tcW w:w="423" w:type="pct"/>
            <w:vAlign w:val="center"/>
          </w:tcPr>
          <w:p w14:paraId="49AB16C4" w14:textId="77777777" w:rsidR="009C6918" w:rsidRPr="009A596B" w:rsidRDefault="009C6918" w:rsidP="00907903">
            <w:pPr>
              <w:pStyle w:val="Tabletextleft"/>
            </w:pPr>
          </w:p>
        </w:tc>
        <w:tc>
          <w:tcPr>
            <w:tcW w:w="423" w:type="pct"/>
            <w:vAlign w:val="center"/>
          </w:tcPr>
          <w:p w14:paraId="43953FBC" w14:textId="77777777" w:rsidR="009C6918" w:rsidRPr="009A596B" w:rsidRDefault="009C6918" w:rsidP="00907903">
            <w:pPr>
              <w:pStyle w:val="Tabletextleft"/>
            </w:pPr>
          </w:p>
        </w:tc>
        <w:tc>
          <w:tcPr>
            <w:tcW w:w="424" w:type="pct"/>
            <w:vAlign w:val="center"/>
          </w:tcPr>
          <w:p w14:paraId="4FBAFAAB" w14:textId="77777777" w:rsidR="009C6918" w:rsidRPr="009A596B" w:rsidRDefault="009C6918" w:rsidP="00907903">
            <w:pPr>
              <w:pStyle w:val="Tabletextleft"/>
            </w:pPr>
          </w:p>
        </w:tc>
        <w:tc>
          <w:tcPr>
            <w:tcW w:w="424" w:type="pct"/>
            <w:vAlign w:val="center"/>
          </w:tcPr>
          <w:p w14:paraId="532F5720" w14:textId="77777777" w:rsidR="009C6918" w:rsidRPr="009A596B" w:rsidRDefault="009C6918" w:rsidP="00907903">
            <w:pPr>
              <w:pStyle w:val="Tabletextleft"/>
            </w:pPr>
          </w:p>
        </w:tc>
        <w:tc>
          <w:tcPr>
            <w:tcW w:w="421" w:type="pct"/>
            <w:vAlign w:val="center"/>
          </w:tcPr>
          <w:p w14:paraId="5A2E3AC5" w14:textId="77777777" w:rsidR="009C6918" w:rsidRPr="009A596B" w:rsidRDefault="009C6918" w:rsidP="00907903">
            <w:pPr>
              <w:pStyle w:val="Tabletextleft"/>
            </w:pPr>
          </w:p>
        </w:tc>
        <w:tc>
          <w:tcPr>
            <w:tcW w:w="418" w:type="pct"/>
            <w:vAlign w:val="center"/>
          </w:tcPr>
          <w:p w14:paraId="3A9170BB" w14:textId="77777777" w:rsidR="009C6918" w:rsidRPr="009A596B" w:rsidRDefault="009C6918" w:rsidP="00907903">
            <w:pPr>
              <w:pStyle w:val="Tabletextleft"/>
            </w:pPr>
          </w:p>
        </w:tc>
        <w:tc>
          <w:tcPr>
            <w:tcW w:w="446" w:type="pct"/>
            <w:vAlign w:val="center"/>
          </w:tcPr>
          <w:p w14:paraId="17E915CC" w14:textId="77777777" w:rsidR="009C6918" w:rsidRPr="009A596B" w:rsidRDefault="009C6918" w:rsidP="00907903">
            <w:pPr>
              <w:pStyle w:val="Tabletextleft"/>
            </w:pPr>
          </w:p>
        </w:tc>
      </w:tr>
      <w:tr w:rsidR="009A596B" w:rsidRPr="009A596B" w14:paraId="011898C2" w14:textId="63F5F6D8" w:rsidTr="00F458B5">
        <w:tc>
          <w:tcPr>
            <w:tcW w:w="1174" w:type="pct"/>
          </w:tcPr>
          <w:p w14:paraId="16B1E176" w14:textId="706CF8E6" w:rsidR="009A596B" w:rsidRPr="009A596B" w:rsidRDefault="0029631F" w:rsidP="00907903">
            <w:pPr>
              <w:pStyle w:val="Tabletextleft"/>
            </w:pPr>
            <w:r>
              <w:t>Contract n</w:t>
            </w:r>
            <w:r w:rsidR="009A596B" w:rsidRPr="009A596B">
              <w:t>egotiation with CHSP providers</w:t>
            </w:r>
          </w:p>
        </w:tc>
        <w:tc>
          <w:tcPr>
            <w:tcW w:w="424" w:type="pct"/>
            <w:vAlign w:val="center"/>
          </w:tcPr>
          <w:p w14:paraId="412326C3" w14:textId="77777777" w:rsidR="009A596B" w:rsidRPr="009A596B" w:rsidRDefault="009A596B" w:rsidP="00893606">
            <w:pPr>
              <w:pStyle w:val="Paragraphtext"/>
              <w:jc w:val="center"/>
              <w:rPr>
                <w:sz w:val="20"/>
                <w:szCs w:val="22"/>
              </w:rPr>
            </w:pPr>
          </w:p>
        </w:tc>
        <w:tc>
          <w:tcPr>
            <w:tcW w:w="1270" w:type="pct"/>
            <w:gridSpan w:val="3"/>
            <w:shd w:val="clear" w:color="auto" w:fill="BFBFBF" w:themeFill="background1" w:themeFillShade="BF"/>
            <w:vAlign w:val="center"/>
          </w:tcPr>
          <w:p w14:paraId="48649C64" w14:textId="4BD87666" w:rsidR="009A596B" w:rsidRPr="009A596B" w:rsidRDefault="009A596B" w:rsidP="00907903">
            <w:pPr>
              <w:pStyle w:val="Tabletextleft"/>
            </w:pPr>
          </w:p>
        </w:tc>
        <w:tc>
          <w:tcPr>
            <w:tcW w:w="424" w:type="pct"/>
            <w:vAlign w:val="center"/>
          </w:tcPr>
          <w:p w14:paraId="56D09712" w14:textId="77777777" w:rsidR="009A596B" w:rsidRPr="009A596B" w:rsidRDefault="009A596B" w:rsidP="00907903">
            <w:pPr>
              <w:pStyle w:val="Tabletextleft"/>
            </w:pPr>
          </w:p>
        </w:tc>
        <w:tc>
          <w:tcPr>
            <w:tcW w:w="424" w:type="pct"/>
            <w:vAlign w:val="center"/>
          </w:tcPr>
          <w:p w14:paraId="1B407937" w14:textId="77777777" w:rsidR="009A596B" w:rsidRPr="009A596B" w:rsidRDefault="009A596B" w:rsidP="00907903">
            <w:pPr>
              <w:pStyle w:val="Tabletextleft"/>
            </w:pPr>
          </w:p>
        </w:tc>
        <w:tc>
          <w:tcPr>
            <w:tcW w:w="421" w:type="pct"/>
            <w:vAlign w:val="center"/>
          </w:tcPr>
          <w:p w14:paraId="1376E722" w14:textId="77777777" w:rsidR="009A596B" w:rsidRPr="009A596B" w:rsidRDefault="009A596B" w:rsidP="00907903">
            <w:pPr>
              <w:pStyle w:val="Tabletextleft"/>
            </w:pPr>
          </w:p>
        </w:tc>
        <w:tc>
          <w:tcPr>
            <w:tcW w:w="418" w:type="pct"/>
            <w:vAlign w:val="center"/>
          </w:tcPr>
          <w:p w14:paraId="538DC703" w14:textId="77777777" w:rsidR="009A596B" w:rsidRPr="009A596B" w:rsidRDefault="009A596B" w:rsidP="00907903">
            <w:pPr>
              <w:pStyle w:val="Tabletextleft"/>
            </w:pPr>
          </w:p>
        </w:tc>
        <w:tc>
          <w:tcPr>
            <w:tcW w:w="446" w:type="pct"/>
            <w:vAlign w:val="center"/>
          </w:tcPr>
          <w:p w14:paraId="6E0B9E19" w14:textId="77777777" w:rsidR="009A596B" w:rsidRPr="009A596B" w:rsidRDefault="009A596B" w:rsidP="00907903">
            <w:pPr>
              <w:pStyle w:val="Tabletextleft"/>
            </w:pPr>
          </w:p>
        </w:tc>
      </w:tr>
      <w:tr w:rsidR="00F870B8" w:rsidRPr="009A596B" w14:paraId="09A01984" w14:textId="4EBD18EC" w:rsidTr="00F458B5">
        <w:tc>
          <w:tcPr>
            <w:tcW w:w="1174" w:type="pct"/>
          </w:tcPr>
          <w:p w14:paraId="56A6E0CE" w14:textId="042A10C8" w:rsidR="00F870B8" w:rsidRPr="009A596B" w:rsidRDefault="00F870B8" w:rsidP="00907903">
            <w:pPr>
              <w:pStyle w:val="Tabletextleft"/>
            </w:pPr>
            <w:r w:rsidRPr="009A596B">
              <w:t xml:space="preserve">CHSP Extension </w:t>
            </w:r>
          </w:p>
        </w:tc>
        <w:tc>
          <w:tcPr>
            <w:tcW w:w="424" w:type="pct"/>
            <w:vAlign w:val="center"/>
          </w:tcPr>
          <w:p w14:paraId="5B0B2A5B" w14:textId="77777777" w:rsidR="00F870B8" w:rsidRPr="009A596B" w:rsidRDefault="00F870B8" w:rsidP="00893606">
            <w:pPr>
              <w:pStyle w:val="Paragraphtext"/>
              <w:jc w:val="center"/>
              <w:rPr>
                <w:sz w:val="20"/>
                <w:szCs w:val="22"/>
              </w:rPr>
            </w:pPr>
          </w:p>
        </w:tc>
        <w:tc>
          <w:tcPr>
            <w:tcW w:w="425" w:type="pct"/>
            <w:vAlign w:val="center"/>
          </w:tcPr>
          <w:p w14:paraId="5664D7FF" w14:textId="77777777" w:rsidR="00F870B8" w:rsidRPr="009A596B" w:rsidRDefault="00F870B8" w:rsidP="00907903">
            <w:pPr>
              <w:pStyle w:val="Tabletextleft"/>
            </w:pPr>
          </w:p>
        </w:tc>
        <w:tc>
          <w:tcPr>
            <w:tcW w:w="423" w:type="pct"/>
            <w:vAlign w:val="center"/>
          </w:tcPr>
          <w:p w14:paraId="75BF43E6" w14:textId="77777777" w:rsidR="00F870B8" w:rsidRPr="009A596B" w:rsidRDefault="00F870B8" w:rsidP="00907903">
            <w:pPr>
              <w:pStyle w:val="Tabletextleft"/>
            </w:pPr>
          </w:p>
        </w:tc>
        <w:tc>
          <w:tcPr>
            <w:tcW w:w="423" w:type="pct"/>
            <w:vAlign w:val="center"/>
          </w:tcPr>
          <w:p w14:paraId="459CCED5" w14:textId="77777777" w:rsidR="00F870B8" w:rsidRPr="009A596B" w:rsidRDefault="00F870B8" w:rsidP="00907903">
            <w:pPr>
              <w:pStyle w:val="Tabletextleft"/>
            </w:pPr>
          </w:p>
        </w:tc>
        <w:tc>
          <w:tcPr>
            <w:tcW w:w="1687" w:type="pct"/>
            <w:gridSpan w:val="4"/>
            <w:shd w:val="clear" w:color="auto" w:fill="BFBFBF" w:themeFill="background1" w:themeFillShade="BF"/>
            <w:vAlign w:val="center"/>
          </w:tcPr>
          <w:p w14:paraId="7C6A0072" w14:textId="098E6B75" w:rsidR="00F870B8" w:rsidRPr="009A596B" w:rsidRDefault="00F870B8" w:rsidP="00907903">
            <w:pPr>
              <w:pStyle w:val="Tabletextleft"/>
            </w:pPr>
          </w:p>
        </w:tc>
        <w:tc>
          <w:tcPr>
            <w:tcW w:w="446" w:type="pct"/>
            <w:vAlign w:val="center"/>
          </w:tcPr>
          <w:p w14:paraId="4771E8AE" w14:textId="77777777" w:rsidR="00F870B8" w:rsidRPr="009A596B" w:rsidRDefault="00F870B8" w:rsidP="00907903">
            <w:pPr>
              <w:pStyle w:val="Tabletextleft"/>
            </w:pPr>
          </w:p>
        </w:tc>
      </w:tr>
      <w:tr w:rsidR="0029631F" w:rsidRPr="009A596B" w14:paraId="0897591A" w14:textId="77F837F8" w:rsidTr="00F458B5">
        <w:tc>
          <w:tcPr>
            <w:tcW w:w="1174" w:type="pct"/>
          </w:tcPr>
          <w:p w14:paraId="7DC03EC3" w14:textId="297B05ED" w:rsidR="009C6918" w:rsidRPr="009A596B" w:rsidRDefault="00464B87" w:rsidP="00907903">
            <w:pPr>
              <w:pStyle w:val="Tabletextleft"/>
            </w:pPr>
            <w:r w:rsidRPr="009A596B">
              <w:t xml:space="preserve">Transition to </w:t>
            </w:r>
            <w:r w:rsidR="009C6918" w:rsidRPr="009A596B">
              <w:t>Support at Home Program</w:t>
            </w:r>
          </w:p>
        </w:tc>
        <w:tc>
          <w:tcPr>
            <w:tcW w:w="424" w:type="pct"/>
            <w:vAlign w:val="center"/>
          </w:tcPr>
          <w:p w14:paraId="5334BCB8" w14:textId="77777777" w:rsidR="009C6918" w:rsidRPr="009A596B" w:rsidRDefault="009C6918" w:rsidP="00893606">
            <w:pPr>
              <w:pStyle w:val="Paragraphtext"/>
              <w:jc w:val="center"/>
              <w:rPr>
                <w:sz w:val="20"/>
                <w:szCs w:val="22"/>
              </w:rPr>
            </w:pPr>
          </w:p>
        </w:tc>
        <w:tc>
          <w:tcPr>
            <w:tcW w:w="425" w:type="pct"/>
            <w:vAlign w:val="center"/>
          </w:tcPr>
          <w:p w14:paraId="2938BEAE" w14:textId="77777777" w:rsidR="009C6918" w:rsidRPr="009A596B" w:rsidRDefault="009C6918" w:rsidP="00907903">
            <w:pPr>
              <w:pStyle w:val="Tabletextleft"/>
            </w:pPr>
          </w:p>
        </w:tc>
        <w:tc>
          <w:tcPr>
            <w:tcW w:w="423" w:type="pct"/>
            <w:vAlign w:val="center"/>
          </w:tcPr>
          <w:p w14:paraId="00F7D8E7" w14:textId="77777777" w:rsidR="009C6918" w:rsidRPr="009A596B" w:rsidRDefault="009C6918" w:rsidP="00907903">
            <w:pPr>
              <w:pStyle w:val="Tabletextleft"/>
            </w:pPr>
          </w:p>
        </w:tc>
        <w:tc>
          <w:tcPr>
            <w:tcW w:w="423" w:type="pct"/>
            <w:vAlign w:val="center"/>
          </w:tcPr>
          <w:p w14:paraId="3F48D888" w14:textId="77777777" w:rsidR="009C6918" w:rsidRPr="009A596B" w:rsidRDefault="009C6918" w:rsidP="00907903">
            <w:pPr>
              <w:pStyle w:val="Tabletextleft"/>
            </w:pPr>
          </w:p>
        </w:tc>
        <w:tc>
          <w:tcPr>
            <w:tcW w:w="424" w:type="pct"/>
            <w:vAlign w:val="center"/>
          </w:tcPr>
          <w:p w14:paraId="68A79F3D" w14:textId="77777777" w:rsidR="009C6918" w:rsidRPr="009A596B" w:rsidRDefault="009C6918" w:rsidP="00907903">
            <w:pPr>
              <w:pStyle w:val="Tabletextleft"/>
            </w:pPr>
          </w:p>
        </w:tc>
        <w:tc>
          <w:tcPr>
            <w:tcW w:w="424" w:type="pct"/>
            <w:vAlign w:val="center"/>
          </w:tcPr>
          <w:p w14:paraId="0194D78F" w14:textId="77777777" w:rsidR="009C6918" w:rsidRPr="009A596B" w:rsidRDefault="009C6918" w:rsidP="00907903">
            <w:pPr>
              <w:pStyle w:val="Tabletextleft"/>
            </w:pPr>
          </w:p>
        </w:tc>
        <w:tc>
          <w:tcPr>
            <w:tcW w:w="421" w:type="pct"/>
            <w:vAlign w:val="center"/>
          </w:tcPr>
          <w:p w14:paraId="461E27BF" w14:textId="77777777" w:rsidR="009C6918" w:rsidRPr="009A596B" w:rsidRDefault="009C6918" w:rsidP="00907903">
            <w:pPr>
              <w:pStyle w:val="Tabletextleft"/>
            </w:pPr>
          </w:p>
        </w:tc>
        <w:tc>
          <w:tcPr>
            <w:tcW w:w="418" w:type="pct"/>
            <w:vAlign w:val="center"/>
          </w:tcPr>
          <w:p w14:paraId="0DE796F8" w14:textId="77777777" w:rsidR="009C6918" w:rsidRPr="009A596B" w:rsidRDefault="009C6918" w:rsidP="00907903">
            <w:pPr>
              <w:pStyle w:val="Tabletextleft"/>
            </w:pPr>
          </w:p>
        </w:tc>
        <w:tc>
          <w:tcPr>
            <w:tcW w:w="446" w:type="pct"/>
            <w:shd w:val="clear" w:color="auto" w:fill="BFBFBF" w:themeFill="background1" w:themeFillShade="BF"/>
            <w:vAlign w:val="center"/>
          </w:tcPr>
          <w:p w14:paraId="0888205B" w14:textId="42FF4313" w:rsidR="009C6918" w:rsidRPr="009A596B" w:rsidRDefault="009C6918" w:rsidP="00907903">
            <w:pPr>
              <w:pStyle w:val="Tabletextleft"/>
            </w:pPr>
          </w:p>
        </w:tc>
      </w:tr>
    </w:tbl>
    <w:p w14:paraId="025266E0" w14:textId="34B9C442" w:rsidR="00377CB1" w:rsidRPr="00377CB1" w:rsidRDefault="00907903" w:rsidP="00907903">
      <w:pPr>
        <w:pStyle w:val="Caption"/>
        <w:rPr>
          <w:szCs w:val="20"/>
        </w:rPr>
      </w:pPr>
      <w:r>
        <w:t xml:space="preserve">Table </w:t>
      </w:r>
      <w:r>
        <w:fldChar w:fldCharType="begin"/>
      </w:r>
      <w:r>
        <w:instrText xml:space="preserve"> SEQ Table \* ARABIC </w:instrText>
      </w:r>
      <w:r>
        <w:fldChar w:fldCharType="separate"/>
      </w:r>
      <w:r>
        <w:rPr>
          <w:noProof/>
        </w:rPr>
        <w:t>1</w:t>
      </w:r>
      <w:r>
        <w:fldChar w:fldCharType="end"/>
      </w:r>
      <w:r w:rsidR="00377CB1" w:rsidRPr="00377CB1">
        <w:rPr>
          <w:szCs w:val="20"/>
        </w:rPr>
        <w:t xml:space="preserve"> Timeline of when key work items are expected to commence.</w:t>
      </w:r>
    </w:p>
    <w:p w14:paraId="4FF3560D" w14:textId="3A9E4634" w:rsidR="006B4935" w:rsidRDefault="006B4935" w:rsidP="006B4935">
      <w:pPr>
        <w:pStyle w:val="Heading2"/>
      </w:pPr>
      <w:r>
        <w:t>Further Information</w:t>
      </w:r>
    </w:p>
    <w:p w14:paraId="4539168D" w14:textId="7E2B7A98" w:rsidR="006B4935" w:rsidRDefault="006B4935" w:rsidP="006B4935">
      <w:r>
        <w:t xml:space="preserve">Health aims to regularly update providers on the changes to CHSP. All CHSP providers will be able to access these updates under </w:t>
      </w:r>
      <w:hyperlink r:id="rId18" w:history="1">
        <w:r w:rsidRPr="00377CB1">
          <w:rPr>
            <w:rStyle w:val="Hyperlink"/>
          </w:rPr>
          <w:t>CHSP news</w:t>
        </w:r>
      </w:hyperlink>
      <w:r w:rsidRPr="00377CB1">
        <w:t>.</w:t>
      </w:r>
      <w:r>
        <w:t xml:space="preserve"> </w:t>
      </w:r>
      <w:r w:rsidR="00E93F38">
        <w:t>Alternatively, p</w:t>
      </w:r>
      <w:r>
        <w:t xml:space="preserve">lease direct any enquiries to </w:t>
      </w:r>
      <w:hyperlink r:id="rId19" w:history="1">
        <w:r w:rsidRPr="007B0AAD">
          <w:rPr>
            <w:rStyle w:val="Hyperlink"/>
          </w:rPr>
          <w:t>homesupportpolicy@health.gov.au</w:t>
        </w:r>
      </w:hyperlink>
      <w:r>
        <w:t>.</w:t>
      </w:r>
    </w:p>
    <w:p w14:paraId="3774ABAD" w14:textId="77304023" w:rsidR="00BA4F6D" w:rsidRDefault="00BA4F6D" w:rsidP="001436D4">
      <w:pPr>
        <w:spacing w:before="960"/>
        <w:jc w:val="right"/>
      </w:pPr>
      <w:r>
        <w:t>(Updated 16 July 2021)</w:t>
      </w:r>
    </w:p>
    <w:sectPr w:rsidR="00BA4F6D" w:rsidSect="007117BA">
      <w:headerReference w:type="default" r:id="rId20"/>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66304" w14:textId="77777777" w:rsidR="006476EC" w:rsidRDefault="006476EC" w:rsidP="006B56BB">
      <w:r>
        <w:separator/>
      </w:r>
    </w:p>
    <w:p w14:paraId="279190CF" w14:textId="77777777" w:rsidR="006476EC" w:rsidRDefault="006476EC"/>
  </w:endnote>
  <w:endnote w:type="continuationSeparator" w:id="0">
    <w:p w14:paraId="70D2DC6E" w14:textId="77777777" w:rsidR="006476EC" w:rsidRDefault="006476EC" w:rsidP="006B56BB">
      <w:r>
        <w:continuationSeparator/>
      </w:r>
    </w:p>
    <w:p w14:paraId="645F592D" w14:textId="77777777" w:rsidR="006476EC" w:rsidRDefault="006476EC"/>
  </w:endnote>
  <w:endnote w:type="continuationNotice" w:id="1">
    <w:p w14:paraId="76FA7D96" w14:textId="77777777" w:rsidR="006476EC" w:rsidRDefault="00647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5A9D9ED4" w:rsidR="008D48C9" w:rsidRPr="003D033A" w:rsidRDefault="001015AD" w:rsidP="00893606">
    <w:pPr>
      <w:pStyle w:val="Footer"/>
      <w:tabs>
        <w:tab w:val="clear" w:pos="4513"/>
      </w:tabs>
      <w:rPr>
        <w:szCs w:val="20"/>
      </w:rPr>
    </w:pPr>
    <w:r>
      <w:t xml:space="preserve">Department of Health – </w:t>
    </w:r>
    <w:r>
      <w:rPr>
        <w:szCs w:val="20"/>
      </w:rPr>
      <w:t>CHSP</w:t>
    </w:r>
    <w:r w:rsidR="0004127B">
      <w:rPr>
        <w:szCs w:val="20"/>
      </w:rPr>
      <w:t xml:space="preserve"> -</w:t>
    </w:r>
    <w:r>
      <w:rPr>
        <w:szCs w:val="20"/>
      </w:rPr>
      <w:t xml:space="preserve"> </w:t>
    </w:r>
    <w:sdt>
      <w:sdtPr>
        <w:rPr>
          <w:szCs w:val="20"/>
        </w:rPr>
        <w:id w:val="601842316"/>
        <w:docPartObj>
          <w:docPartGallery w:val="Page Numbers (Bottom of Page)"/>
          <w:docPartUnique/>
        </w:docPartObj>
      </w:sdtPr>
      <w:sdtEndPr>
        <w:rPr>
          <w:noProof/>
        </w:rPr>
      </w:sdtEndPr>
      <w:sdtContent>
        <w:r w:rsidR="0004127B" w:rsidRPr="0004127B">
          <w:rPr>
            <w:szCs w:val="20"/>
          </w:rPr>
          <w:t>Payment in Arrears and Unit Pricing Factsheet</w:t>
        </w:r>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E22B62">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F628" w14:textId="6BE3133D" w:rsidR="008D48C9" w:rsidRPr="00DE3355" w:rsidRDefault="00F73DEE" w:rsidP="003D033A">
    <w:pPr>
      <w:pStyle w:val="Footer"/>
      <w:tabs>
        <w:tab w:val="clear" w:pos="4513"/>
      </w:tabs>
    </w:pPr>
    <w:r>
      <w:t xml:space="preserve">Department of Health – </w:t>
    </w:r>
    <w:r w:rsidR="0004127B">
      <w:rPr>
        <w:szCs w:val="20"/>
      </w:rPr>
      <w:t xml:space="preserve">CHSP - </w:t>
    </w:r>
    <w:r w:rsidR="0004127B" w:rsidRPr="0004127B">
      <w:rPr>
        <w:szCs w:val="20"/>
      </w:rPr>
      <w:t>Payment in Arrears and Unit Pricing Factsheet</w:t>
    </w:r>
    <w:r w:rsidR="0004127B" w:rsidDel="0004127B">
      <w:rPr>
        <w:szCs w:val="20"/>
      </w:rPr>
      <w:t xml:space="preserve"> </w:t>
    </w:r>
    <w:r>
      <w:rPr>
        <w:szCs w:val="20"/>
      </w:rPr>
      <w:tab/>
    </w:r>
    <w:sdt>
      <w:sdtPr>
        <w:id w:val="-2056687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8A479" w14:textId="77777777" w:rsidR="006476EC" w:rsidRDefault="006476EC" w:rsidP="006B56BB">
      <w:r>
        <w:separator/>
      </w:r>
    </w:p>
    <w:p w14:paraId="12DA62D8" w14:textId="77777777" w:rsidR="006476EC" w:rsidRDefault="006476EC"/>
  </w:footnote>
  <w:footnote w:type="continuationSeparator" w:id="0">
    <w:p w14:paraId="4FC4E1A6" w14:textId="77777777" w:rsidR="006476EC" w:rsidRDefault="006476EC" w:rsidP="006B56BB">
      <w:r>
        <w:continuationSeparator/>
      </w:r>
    </w:p>
    <w:p w14:paraId="4F1170ED" w14:textId="77777777" w:rsidR="006476EC" w:rsidRDefault="006476EC"/>
  </w:footnote>
  <w:footnote w:type="continuationNotice" w:id="1">
    <w:p w14:paraId="2C481500" w14:textId="77777777" w:rsidR="006476EC" w:rsidRDefault="00647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5B5EC16B">
          <wp:simplePos x="0" y="0"/>
          <wp:positionH relativeFrom="column">
            <wp:posOffset>4688205</wp:posOffset>
          </wp:positionH>
          <wp:positionV relativeFrom="paragraph">
            <wp:posOffset>-3175</wp:posOffset>
          </wp:positionV>
          <wp:extent cx="1403985" cy="870585"/>
          <wp:effectExtent l="0" t="0" r="5715"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529BF318">
          <wp:extent cx="1404000" cy="932400"/>
          <wp:effectExtent l="0" t="0" r="5715" b="127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2EDAF562" w:rsidR="008D48C9" w:rsidRDefault="001571C7">
    <w:pPr>
      <w:pStyle w:val="Header"/>
    </w:pPr>
    <w:r>
      <w:rPr>
        <w:noProof/>
        <w:lang w:eastAsia="en-AU"/>
      </w:rPr>
      <w:drawing>
        <wp:inline distT="0" distB="0" distL="0" distR="0" wp14:anchorId="225CFDB9" wp14:editId="05DAFD00">
          <wp:extent cx="5865806" cy="959485"/>
          <wp:effectExtent l="0" t="0" r="1905" b="0"/>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2485D4DD" w:rsidR="008E0C77" w:rsidRDefault="000A512D" w:rsidP="008E0C77">
    <w:pPr>
      <w:pStyle w:val="Headertext"/>
      <w:spacing w:after="180"/>
      <w:jc w:val="left"/>
    </w:pPr>
    <w:r>
      <w:rPr>
        <w:noProof/>
        <w:lang w:eastAsia="en-AU"/>
      </w:rPr>
      <w:drawing>
        <wp:anchor distT="0" distB="0" distL="114300" distR="114300" simplePos="0" relativeHeight="251660288" behindDoc="0" locked="0" layoutInCell="1" hidden="0" allowOverlap="1" wp14:anchorId="3D43D683" wp14:editId="77BE520D">
          <wp:simplePos x="0" y="0"/>
          <wp:positionH relativeFrom="margin">
            <wp:align>right</wp:align>
          </wp:positionH>
          <wp:positionV relativeFrom="paragraph">
            <wp:posOffset>339725</wp:posOffset>
          </wp:positionV>
          <wp:extent cx="5753735" cy="85725"/>
          <wp:effectExtent l="0" t="0" r="0" b="9525"/>
          <wp:wrapSquare wrapText="bothSides" distT="0" distB="0" distL="114300" distR="11430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rotWithShape="1">
                  <a:blip r:embed="rId1"/>
                  <a:srcRect l="-794" t="1" r="1" b="13016"/>
                  <a:stretch/>
                </pic:blipFill>
                <pic:spPr>
                  <a:xfrm>
                    <a:off x="0" y="0"/>
                    <a:ext cx="5753735" cy="857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11271"/>
    <w:multiLevelType w:val="hybridMultilevel"/>
    <w:tmpl w:val="5EB23804"/>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1597482"/>
    <w:multiLevelType w:val="hybridMultilevel"/>
    <w:tmpl w:val="C01E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650555"/>
    <w:multiLevelType w:val="hybridMultilevel"/>
    <w:tmpl w:val="6BA888B2"/>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22DF8"/>
    <w:multiLevelType w:val="hybridMultilevel"/>
    <w:tmpl w:val="869EF2E8"/>
    <w:lvl w:ilvl="0" w:tplc="51DE1CB6">
      <w:start w:val="1"/>
      <w:numFmt w:val="bullet"/>
      <w:lvlText w:val="•"/>
      <w:lvlJc w:val="left"/>
      <w:pPr>
        <w:tabs>
          <w:tab w:val="num" w:pos="720"/>
        </w:tabs>
        <w:ind w:left="720" w:hanging="360"/>
      </w:pPr>
      <w:rPr>
        <w:rFonts w:ascii="Times New Roman" w:hAnsi="Times New Roman" w:hint="default"/>
      </w:rPr>
    </w:lvl>
    <w:lvl w:ilvl="1" w:tplc="B76ACD0C" w:tentative="1">
      <w:start w:val="1"/>
      <w:numFmt w:val="bullet"/>
      <w:lvlText w:val="•"/>
      <w:lvlJc w:val="left"/>
      <w:pPr>
        <w:tabs>
          <w:tab w:val="num" w:pos="1440"/>
        </w:tabs>
        <w:ind w:left="1440" w:hanging="360"/>
      </w:pPr>
      <w:rPr>
        <w:rFonts w:ascii="Times New Roman" w:hAnsi="Times New Roman" w:hint="default"/>
      </w:rPr>
    </w:lvl>
    <w:lvl w:ilvl="2" w:tplc="BF56E17A" w:tentative="1">
      <w:start w:val="1"/>
      <w:numFmt w:val="bullet"/>
      <w:lvlText w:val="•"/>
      <w:lvlJc w:val="left"/>
      <w:pPr>
        <w:tabs>
          <w:tab w:val="num" w:pos="2160"/>
        </w:tabs>
        <w:ind w:left="2160" w:hanging="360"/>
      </w:pPr>
      <w:rPr>
        <w:rFonts w:ascii="Times New Roman" w:hAnsi="Times New Roman" w:hint="default"/>
      </w:rPr>
    </w:lvl>
    <w:lvl w:ilvl="3" w:tplc="9C805726" w:tentative="1">
      <w:start w:val="1"/>
      <w:numFmt w:val="bullet"/>
      <w:lvlText w:val="•"/>
      <w:lvlJc w:val="left"/>
      <w:pPr>
        <w:tabs>
          <w:tab w:val="num" w:pos="2880"/>
        </w:tabs>
        <w:ind w:left="2880" w:hanging="360"/>
      </w:pPr>
      <w:rPr>
        <w:rFonts w:ascii="Times New Roman" w:hAnsi="Times New Roman" w:hint="default"/>
      </w:rPr>
    </w:lvl>
    <w:lvl w:ilvl="4" w:tplc="CA860DC0" w:tentative="1">
      <w:start w:val="1"/>
      <w:numFmt w:val="bullet"/>
      <w:lvlText w:val="•"/>
      <w:lvlJc w:val="left"/>
      <w:pPr>
        <w:tabs>
          <w:tab w:val="num" w:pos="3600"/>
        </w:tabs>
        <w:ind w:left="3600" w:hanging="360"/>
      </w:pPr>
      <w:rPr>
        <w:rFonts w:ascii="Times New Roman" w:hAnsi="Times New Roman" w:hint="default"/>
      </w:rPr>
    </w:lvl>
    <w:lvl w:ilvl="5" w:tplc="F69ECDD8" w:tentative="1">
      <w:start w:val="1"/>
      <w:numFmt w:val="bullet"/>
      <w:lvlText w:val="•"/>
      <w:lvlJc w:val="left"/>
      <w:pPr>
        <w:tabs>
          <w:tab w:val="num" w:pos="4320"/>
        </w:tabs>
        <w:ind w:left="4320" w:hanging="360"/>
      </w:pPr>
      <w:rPr>
        <w:rFonts w:ascii="Times New Roman" w:hAnsi="Times New Roman" w:hint="default"/>
      </w:rPr>
    </w:lvl>
    <w:lvl w:ilvl="6" w:tplc="79228988" w:tentative="1">
      <w:start w:val="1"/>
      <w:numFmt w:val="bullet"/>
      <w:lvlText w:val="•"/>
      <w:lvlJc w:val="left"/>
      <w:pPr>
        <w:tabs>
          <w:tab w:val="num" w:pos="5040"/>
        </w:tabs>
        <w:ind w:left="5040" w:hanging="360"/>
      </w:pPr>
      <w:rPr>
        <w:rFonts w:ascii="Times New Roman" w:hAnsi="Times New Roman" w:hint="default"/>
      </w:rPr>
    </w:lvl>
    <w:lvl w:ilvl="7" w:tplc="D2188558" w:tentative="1">
      <w:start w:val="1"/>
      <w:numFmt w:val="bullet"/>
      <w:lvlText w:val="•"/>
      <w:lvlJc w:val="left"/>
      <w:pPr>
        <w:tabs>
          <w:tab w:val="num" w:pos="5760"/>
        </w:tabs>
        <w:ind w:left="5760" w:hanging="360"/>
      </w:pPr>
      <w:rPr>
        <w:rFonts w:ascii="Times New Roman" w:hAnsi="Times New Roman" w:hint="default"/>
      </w:rPr>
    </w:lvl>
    <w:lvl w:ilvl="8" w:tplc="012E9F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04E3354"/>
    <w:multiLevelType w:val="hybridMultilevel"/>
    <w:tmpl w:val="BA46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560826"/>
    <w:multiLevelType w:val="hybridMultilevel"/>
    <w:tmpl w:val="AC1E717C"/>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623B43"/>
    <w:multiLevelType w:val="hybridMultilevel"/>
    <w:tmpl w:val="5D64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80013F"/>
    <w:multiLevelType w:val="hybridMultilevel"/>
    <w:tmpl w:val="4B1E2842"/>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DB0F56"/>
    <w:multiLevelType w:val="hybridMultilevel"/>
    <w:tmpl w:val="C89477AA"/>
    <w:lvl w:ilvl="0" w:tplc="1CF072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414DE0"/>
    <w:multiLevelType w:val="hybridMultilevel"/>
    <w:tmpl w:val="AC909308"/>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6325E"/>
    <w:multiLevelType w:val="hybridMultilevel"/>
    <w:tmpl w:val="DA4C2AC8"/>
    <w:lvl w:ilvl="0" w:tplc="98406BF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0F4524"/>
    <w:multiLevelType w:val="hybridMultilevel"/>
    <w:tmpl w:val="5658BEA2"/>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754B3B"/>
    <w:multiLevelType w:val="hybridMultilevel"/>
    <w:tmpl w:val="DB36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8392C31"/>
    <w:multiLevelType w:val="hybridMultilevel"/>
    <w:tmpl w:val="F85C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E63EBA"/>
    <w:multiLevelType w:val="hybridMultilevel"/>
    <w:tmpl w:val="636E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2E0C80"/>
    <w:multiLevelType w:val="hybridMultilevel"/>
    <w:tmpl w:val="75AA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56152FD"/>
    <w:multiLevelType w:val="hybridMultilevel"/>
    <w:tmpl w:val="E8B8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F52D2"/>
    <w:multiLevelType w:val="hybridMultilevel"/>
    <w:tmpl w:val="ED6AAFF2"/>
    <w:lvl w:ilvl="0" w:tplc="529EC87C">
      <w:start w:val="1"/>
      <w:numFmt w:val="bullet"/>
      <w:lvlText w:val="•"/>
      <w:lvlJc w:val="left"/>
      <w:pPr>
        <w:tabs>
          <w:tab w:val="num" w:pos="720"/>
        </w:tabs>
        <w:ind w:left="720" w:hanging="360"/>
      </w:pPr>
      <w:rPr>
        <w:rFonts w:ascii="Times New Roman" w:hAnsi="Times New Roman" w:hint="default"/>
      </w:rPr>
    </w:lvl>
    <w:lvl w:ilvl="1" w:tplc="EEEC729A" w:tentative="1">
      <w:start w:val="1"/>
      <w:numFmt w:val="bullet"/>
      <w:lvlText w:val="•"/>
      <w:lvlJc w:val="left"/>
      <w:pPr>
        <w:tabs>
          <w:tab w:val="num" w:pos="1440"/>
        </w:tabs>
        <w:ind w:left="1440" w:hanging="360"/>
      </w:pPr>
      <w:rPr>
        <w:rFonts w:ascii="Times New Roman" w:hAnsi="Times New Roman" w:hint="default"/>
      </w:rPr>
    </w:lvl>
    <w:lvl w:ilvl="2" w:tplc="DF2E646A" w:tentative="1">
      <w:start w:val="1"/>
      <w:numFmt w:val="bullet"/>
      <w:lvlText w:val="•"/>
      <w:lvlJc w:val="left"/>
      <w:pPr>
        <w:tabs>
          <w:tab w:val="num" w:pos="2160"/>
        </w:tabs>
        <w:ind w:left="2160" w:hanging="360"/>
      </w:pPr>
      <w:rPr>
        <w:rFonts w:ascii="Times New Roman" w:hAnsi="Times New Roman" w:hint="default"/>
      </w:rPr>
    </w:lvl>
    <w:lvl w:ilvl="3" w:tplc="AA5290F2" w:tentative="1">
      <w:start w:val="1"/>
      <w:numFmt w:val="bullet"/>
      <w:lvlText w:val="•"/>
      <w:lvlJc w:val="left"/>
      <w:pPr>
        <w:tabs>
          <w:tab w:val="num" w:pos="2880"/>
        </w:tabs>
        <w:ind w:left="2880" w:hanging="360"/>
      </w:pPr>
      <w:rPr>
        <w:rFonts w:ascii="Times New Roman" w:hAnsi="Times New Roman" w:hint="default"/>
      </w:rPr>
    </w:lvl>
    <w:lvl w:ilvl="4" w:tplc="FF84FC2A" w:tentative="1">
      <w:start w:val="1"/>
      <w:numFmt w:val="bullet"/>
      <w:lvlText w:val="•"/>
      <w:lvlJc w:val="left"/>
      <w:pPr>
        <w:tabs>
          <w:tab w:val="num" w:pos="3600"/>
        </w:tabs>
        <w:ind w:left="3600" w:hanging="360"/>
      </w:pPr>
      <w:rPr>
        <w:rFonts w:ascii="Times New Roman" w:hAnsi="Times New Roman" w:hint="default"/>
      </w:rPr>
    </w:lvl>
    <w:lvl w:ilvl="5" w:tplc="6936B502" w:tentative="1">
      <w:start w:val="1"/>
      <w:numFmt w:val="bullet"/>
      <w:lvlText w:val="•"/>
      <w:lvlJc w:val="left"/>
      <w:pPr>
        <w:tabs>
          <w:tab w:val="num" w:pos="4320"/>
        </w:tabs>
        <w:ind w:left="4320" w:hanging="360"/>
      </w:pPr>
      <w:rPr>
        <w:rFonts w:ascii="Times New Roman" w:hAnsi="Times New Roman" w:hint="default"/>
      </w:rPr>
    </w:lvl>
    <w:lvl w:ilvl="6" w:tplc="BE2E83CA" w:tentative="1">
      <w:start w:val="1"/>
      <w:numFmt w:val="bullet"/>
      <w:lvlText w:val="•"/>
      <w:lvlJc w:val="left"/>
      <w:pPr>
        <w:tabs>
          <w:tab w:val="num" w:pos="5040"/>
        </w:tabs>
        <w:ind w:left="5040" w:hanging="360"/>
      </w:pPr>
      <w:rPr>
        <w:rFonts w:ascii="Times New Roman" w:hAnsi="Times New Roman" w:hint="default"/>
      </w:rPr>
    </w:lvl>
    <w:lvl w:ilvl="7" w:tplc="4814ABCE" w:tentative="1">
      <w:start w:val="1"/>
      <w:numFmt w:val="bullet"/>
      <w:lvlText w:val="•"/>
      <w:lvlJc w:val="left"/>
      <w:pPr>
        <w:tabs>
          <w:tab w:val="num" w:pos="5760"/>
        </w:tabs>
        <w:ind w:left="5760" w:hanging="360"/>
      </w:pPr>
      <w:rPr>
        <w:rFonts w:ascii="Times New Roman" w:hAnsi="Times New Roman" w:hint="default"/>
      </w:rPr>
    </w:lvl>
    <w:lvl w:ilvl="8" w:tplc="9EFCBC9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0EF7BE0"/>
    <w:multiLevelType w:val="hybridMultilevel"/>
    <w:tmpl w:val="1328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C34DE2"/>
    <w:multiLevelType w:val="hybridMultilevel"/>
    <w:tmpl w:val="28D01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26778B"/>
    <w:multiLevelType w:val="hybridMultilevel"/>
    <w:tmpl w:val="DC8A48BE"/>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5775A4"/>
    <w:multiLevelType w:val="hybridMultilevel"/>
    <w:tmpl w:val="B21C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6D3C91"/>
    <w:multiLevelType w:val="hybridMultilevel"/>
    <w:tmpl w:val="7D885168"/>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365AC2"/>
    <w:multiLevelType w:val="hybridMultilevel"/>
    <w:tmpl w:val="9A2AC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9FE1031"/>
    <w:multiLevelType w:val="hybridMultilevel"/>
    <w:tmpl w:val="B7E2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F55B72"/>
    <w:multiLevelType w:val="hybridMultilevel"/>
    <w:tmpl w:val="E916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8B3564"/>
    <w:multiLevelType w:val="hybridMultilevel"/>
    <w:tmpl w:val="12D03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042516"/>
    <w:multiLevelType w:val="hybridMultilevel"/>
    <w:tmpl w:val="F54A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5B7E30"/>
    <w:multiLevelType w:val="hybridMultilevel"/>
    <w:tmpl w:val="90743A8E"/>
    <w:lvl w:ilvl="0" w:tplc="DCD8CEE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B7651A"/>
    <w:multiLevelType w:val="hybridMultilevel"/>
    <w:tmpl w:val="E3D4B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E9749CA"/>
    <w:multiLevelType w:val="hybridMultilevel"/>
    <w:tmpl w:val="FEAA7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42"/>
  </w:num>
  <w:num w:numId="4">
    <w:abstractNumId w:val="11"/>
  </w:num>
  <w:num w:numId="5">
    <w:abstractNumId w:val="11"/>
    <w:lvlOverride w:ilvl="0">
      <w:startOverride w:val="1"/>
    </w:lvlOverride>
  </w:num>
  <w:num w:numId="6">
    <w:abstractNumId w:val="12"/>
  </w:num>
  <w:num w:numId="7">
    <w:abstractNumId w:val="29"/>
  </w:num>
  <w:num w:numId="8">
    <w:abstractNumId w:val="3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7"/>
  </w:num>
  <w:num w:numId="17">
    <w:abstractNumId w:val="15"/>
  </w:num>
  <w:num w:numId="18">
    <w:abstractNumId w:val="17"/>
  </w:num>
  <w:num w:numId="19">
    <w:abstractNumId w:val="25"/>
  </w:num>
  <w:num w:numId="20">
    <w:abstractNumId w:val="48"/>
  </w:num>
  <w:num w:numId="21">
    <w:abstractNumId w:val="19"/>
  </w:num>
  <w:num w:numId="22">
    <w:abstractNumId w:val="45"/>
  </w:num>
  <w:num w:numId="23">
    <w:abstractNumId w:val="10"/>
  </w:num>
  <w:num w:numId="24">
    <w:abstractNumId w:val="35"/>
  </w:num>
  <w:num w:numId="25">
    <w:abstractNumId w:val="37"/>
  </w:num>
  <w:num w:numId="26">
    <w:abstractNumId w:val="21"/>
  </w:num>
  <w:num w:numId="27">
    <w:abstractNumId w:val="23"/>
  </w:num>
  <w:num w:numId="28">
    <w:abstractNumId w:val="8"/>
  </w:num>
  <w:num w:numId="29">
    <w:abstractNumId w:val="20"/>
  </w:num>
  <w:num w:numId="30">
    <w:abstractNumId w:val="16"/>
  </w:num>
  <w:num w:numId="31">
    <w:abstractNumId w:val="38"/>
  </w:num>
  <w:num w:numId="32">
    <w:abstractNumId w:val="27"/>
  </w:num>
  <w:num w:numId="33">
    <w:abstractNumId w:val="43"/>
  </w:num>
  <w:num w:numId="34">
    <w:abstractNumId w:val="9"/>
  </w:num>
  <w:num w:numId="35">
    <w:abstractNumId w:val="36"/>
  </w:num>
  <w:num w:numId="36">
    <w:abstractNumId w:val="41"/>
  </w:num>
  <w:num w:numId="37">
    <w:abstractNumId w:val="18"/>
  </w:num>
  <w:num w:numId="38">
    <w:abstractNumId w:val="26"/>
  </w:num>
  <w:num w:numId="39">
    <w:abstractNumId w:val="14"/>
  </w:num>
  <w:num w:numId="40">
    <w:abstractNumId w:val="44"/>
  </w:num>
  <w:num w:numId="41">
    <w:abstractNumId w:val="46"/>
  </w:num>
  <w:num w:numId="42">
    <w:abstractNumId w:val="24"/>
  </w:num>
  <w:num w:numId="43">
    <w:abstractNumId w:val="34"/>
  </w:num>
  <w:num w:numId="44">
    <w:abstractNumId w:val="33"/>
  </w:num>
  <w:num w:numId="45">
    <w:abstractNumId w:val="32"/>
  </w:num>
  <w:num w:numId="46">
    <w:abstractNumId w:val="13"/>
  </w:num>
  <w:num w:numId="47">
    <w:abstractNumId w:val="40"/>
  </w:num>
  <w:num w:numId="48">
    <w:abstractNumId w:val="22"/>
  </w:num>
  <w:num w:numId="49">
    <w:abstractNumId w:val="2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127B"/>
    <w:rsid w:val="00046FF0"/>
    <w:rsid w:val="00050176"/>
    <w:rsid w:val="00050342"/>
    <w:rsid w:val="00067456"/>
    <w:rsid w:val="00071506"/>
    <w:rsid w:val="0007154F"/>
    <w:rsid w:val="00080CF3"/>
    <w:rsid w:val="00081AB1"/>
    <w:rsid w:val="00090316"/>
    <w:rsid w:val="00093981"/>
    <w:rsid w:val="000A512D"/>
    <w:rsid w:val="000B067A"/>
    <w:rsid w:val="000B1540"/>
    <w:rsid w:val="000B1E53"/>
    <w:rsid w:val="000B33FD"/>
    <w:rsid w:val="000B4ABA"/>
    <w:rsid w:val="000C4B16"/>
    <w:rsid w:val="000C50C3"/>
    <w:rsid w:val="000C5E14"/>
    <w:rsid w:val="000D21F6"/>
    <w:rsid w:val="000D4500"/>
    <w:rsid w:val="000D7AEA"/>
    <w:rsid w:val="000E2C66"/>
    <w:rsid w:val="000F123C"/>
    <w:rsid w:val="000F1AA2"/>
    <w:rsid w:val="000F2FED"/>
    <w:rsid w:val="000F3C63"/>
    <w:rsid w:val="00100BE4"/>
    <w:rsid w:val="001015AD"/>
    <w:rsid w:val="00101BB7"/>
    <w:rsid w:val="001057FB"/>
    <w:rsid w:val="0010616D"/>
    <w:rsid w:val="00110478"/>
    <w:rsid w:val="0011711B"/>
    <w:rsid w:val="00117F8A"/>
    <w:rsid w:val="00121B9B"/>
    <w:rsid w:val="00122ADC"/>
    <w:rsid w:val="00130F59"/>
    <w:rsid w:val="00133EC0"/>
    <w:rsid w:val="001371CA"/>
    <w:rsid w:val="00141CE5"/>
    <w:rsid w:val="001436D4"/>
    <w:rsid w:val="00144908"/>
    <w:rsid w:val="00153835"/>
    <w:rsid w:val="0015446B"/>
    <w:rsid w:val="001571C7"/>
    <w:rsid w:val="00161094"/>
    <w:rsid w:val="00166DDD"/>
    <w:rsid w:val="0017665C"/>
    <w:rsid w:val="001779D6"/>
    <w:rsid w:val="00177AD2"/>
    <w:rsid w:val="001815A8"/>
    <w:rsid w:val="001840FA"/>
    <w:rsid w:val="00190079"/>
    <w:rsid w:val="00191858"/>
    <w:rsid w:val="0019622E"/>
    <w:rsid w:val="0019648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758C1"/>
    <w:rsid w:val="002803AD"/>
    <w:rsid w:val="00282052"/>
    <w:rsid w:val="0028519E"/>
    <w:rsid w:val="002856A5"/>
    <w:rsid w:val="002872ED"/>
    <w:rsid w:val="002905C2"/>
    <w:rsid w:val="0029599B"/>
    <w:rsid w:val="00295AF2"/>
    <w:rsid w:val="00295C91"/>
    <w:rsid w:val="0029631F"/>
    <w:rsid w:val="00297151"/>
    <w:rsid w:val="002A3B82"/>
    <w:rsid w:val="002B20E6"/>
    <w:rsid w:val="002B42A3"/>
    <w:rsid w:val="002C0CDD"/>
    <w:rsid w:val="002C38C4"/>
    <w:rsid w:val="002D2953"/>
    <w:rsid w:val="002D3601"/>
    <w:rsid w:val="002E1A1D"/>
    <w:rsid w:val="002E4081"/>
    <w:rsid w:val="002E5B78"/>
    <w:rsid w:val="002F3AE3"/>
    <w:rsid w:val="0030464B"/>
    <w:rsid w:val="0030786C"/>
    <w:rsid w:val="003233DE"/>
    <w:rsid w:val="0032466B"/>
    <w:rsid w:val="003330EB"/>
    <w:rsid w:val="00335254"/>
    <w:rsid w:val="003415FD"/>
    <w:rsid w:val="003429F0"/>
    <w:rsid w:val="00345A82"/>
    <w:rsid w:val="0035097A"/>
    <w:rsid w:val="00352F11"/>
    <w:rsid w:val="003540A4"/>
    <w:rsid w:val="00357BCC"/>
    <w:rsid w:val="00360E4E"/>
    <w:rsid w:val="00370AAA"/>
    <w:rsid w:val="00375F77"/>
    <w:rsid w:val="00377960"/>
    <w:rsid w:val="00377CB1"/>
    <w:rsid w:val="00381BBE"/>
    <w:rsid w:val="00382903"/>
    <w:rsid w:val="003846FF"/>
    <w:rsid w:val="003857D4"/>
    <w:rsid w:val="00385AD4"/>
    <w:rsid w:val="00387924"/>
    <w:rsid w:val="0039384D"/>
    <w:rsid w:val="00395551"/>
    <w:rsid w:val="00395C23"/>
    <w:rsid w:val="003A2E4F"/>
    <w:rsid w:val="003A4438"/>
    <w:rsid w:val="003A4932"/>
    <w:rsid w:val="003A5013"/>
    <w:rsid w:val="003A5078"/>
    <w:rsid w:val="003A62DD"/>
    <w:rsid w:val="003A775A"/>
    <w:rsid w:val="003B12E8"/>
    <w:rsid w:val="003B1406"/>
    <w:rsid w:val="003B213A"/>
    <w:rsid w:val="003B43AD"/>
    <w:rsid w:val="003C03A8"/>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0BA1"/>
    <w:rsid w:val="00432378"/>
    <w:rsid w:val="00440D65"/>
    <w:rsid w:val="004435E6"/>
    <w:rsid w:val="00447E31"/>
    <w:rsid w:val="00453923"/>
    <w:rsid w:val="00454B9B"/>
    <w:rsid w:val="00457858"/>
    <w:rsid w:val="00460B0B"/>
    <w:rsid w:val="00461023"/>
    <w:rsid w:val="00462FAC"/>
    <w:rsid w:val="00464631"/>
    <w:rsid w:val="00464B79"/>
    <w:rsid w:val="00464B87"/>
    <w:rsid w:val="00465A4A"/>
    <w:rsid w:val="00467BBF"/>
    <w:rsid w:val="00484180"/>
    <w:rsid w:val="0048593C"/>
    <w:rsid w:val="004867E2"/>
    <w:rsid w:val="004929A9"/>
    <w:rsid w:val="004A4A0F"/>
    <w:rsid w:val="004A78D9"/>
    <w:rsid w:val="004C6BCF"/>
    <w:rsid w:val="004D58BF"/>
    <w:rsid w:val="004E4335"/>
    <w:rsid w:val="004E6278"/>
    <w:rsid w:val="004F13EE"/>
    <w:rsid w:val="004F2022"/>
    <w:rsid w:val="004F7C05"/>
    <w:rsid w:val="00501C94"/>
    <w:rsid w:val="00506432"/>
    <w:rsid w:val="0052051D"/>
    <w:rsid w:val="00545EE6"/>
    <w:rsid w:val="005550E7"/>
    <w:rsid w:val="005564FB"/>
    <w:rsid w:val="005570E2"/>
    <w:rsid w:val="005572C7"/>
    <w:rsid w:val="005650E1"/>
    <w:rsid w:val="005650ED"/>
    <w:rsid w:val="00575754"/>
    <w:rsid w:val="00581FBA"/>
    <w:rsid w:val="00581FD2"/>
    <w:rsid w:val="00587DF2"/>
    <w:rsid w:val="00591E20"/>
    <w:rsid w:val="00595408"/>
    <w:rsid w:val="00595E84"/>
    <w:rsid w:val="005A0C59"/>
    <w:rsid w:val="005A48EB"/>
    <w:rsid w:val="005A6CFB"/>
    <w:rsid w:val="005B1E64"/>
    <w:rsid w:val="005B25DF"/>
    <w:rsid w:val="005C5AEB"/>
    <w:rsid w:val="005E0A3F"/>
    <w:rsid w:val="005E6883"/>
    <w:rsid w:val="005E772F"/>
    <w:rsid w:val="005F4ECA"/>
    <w:rsid w:val="005F6D1D"/>
    <w:rsid w:val="006041BE"/>
    <w:rsid w:val="006043C7"/>
    <w:rsid w:val="00614285"/>
    <w:rsid w:val="00624B52"/>
    <w:rsid w:val="00630794"/>
    <w:rsid w:val="00631DF4"/>
    <w:rsid w:val="00634175"/>
    <w:rsid w:val="006408AC"/>
    <w:rsid w:val="006476EC"/>
    <w:rsid w:val="006511B6"/>
    <w:rsid w:val="00657FF8"/>
    <w:rsid w:val="00670D99"/>
    <w:rsid w:val="00670E2B"/>
    <w:rsid w:val="006734BB"/>
    <w:rsid w:val="0067697A"/>
    <w:rsid w:val="006821EB"/>
    <w:rsid w:val="006B1D31"/>
    <w:rsid w:val="006B2286"/>
    <w:rsid w:val="006B4935"/>
    <w:rsid w:val="006B56BB"/>
    <w:rsid w:val="006C77A8"/>
    <w:rsid w:val="006D4098"/>
    <w:rsid w:val="006D7681"/>
    <w:rsid w:val="006D7B2E"/>
    <w:rsid w:val="006E02EA"/>
    <w:rsid w:val="006E0968"/>
    <w:rsid w:val="006E2AF6"/>
    <w:rsid w:val="006F5E5E"/>
    <w:rsid w:val="00701275"/>
    <w:rsid w:val="00705CA3"/>
    <w:rsid w:val="00707F56"/>
    <w:rsid w:val="007117BA"/>
    <w:rsid w:val="00713558"/>
    <w:rsid w:val="00720D08"/>
    <w:rsid w:val="007263B9"/>
    <w:rsid w:val="007334F8"/>
    <w:rsid w:val="007339CD"/>
    <w:rsid w:val="007359D8"/>
    <w:rsid w:val="007362D4"/>
    <w:rsid w:val="00740879"/>
    <w:rsid w:val="00747EE5"/>
    <w:rsid w:val="0075282D"/>
    <w:rsid w:val="0076172D"/>
    <w:rsid w:val="0076672A"/>
    <w:rsid w:val="00771A43"/>
    <w:rsid w:val="00772D44"/>
    <w:rsid w:val="00775E45"/>
    <w:rsid w:val="00776E74"/>
    <w:rsid w:val="00780FE0"/>
    <w:rsid w:val="00785169"/>
    <w:rsid w:val="007954AB"/>
    <w:rsid w:val="007A14C5"/>
    <w:rsid w:val="007A4A10"/>
    <w:rsid w:val="007B1760"/>
    <w:rsid w:val="007C1FDC"/>
    <w:rsid w:val="007C6D9C"/>
    <w:rsid w:val="007C7DDB"/>
    <w:rsid w:val="007D2CC7"/>
    <w:rsid w:val="007D58EF"/>
    <w:rsid w:val="007D673D"/>
    <w:rsid w:val="007E4D09"/>
    <w:rsid w:val="007F2220"/>
    <w:rsid w:val="007F4B3E"/>
    <w:rsid w:val="00800F15"/>
    <w:rsid w:val="008127AF"/>
    <w:rsid w:val="00812B46"/>
    <w:rsid w:val="00815700"/>
    <w:rsid w:val="00816BEF"/>
    <w:rsid w:val="00824B84"/>
    <w:rsid w:val="008264EB"/>
    <w:rsid w:val="00826B8F"/>
    <w:rsid w:val="00831E8A"/>
    <w:rsid w:val="00835C76"/>
    <w:rsid w:val="008376E2"/>
    <w:rsid w:val="00843049"/>
    <w:rsid w:val="0085209B"/>
    <w:rsid w:val="00853884"/>
    <w:rsid w:val="00856B66"/>
    <w:rsid w:val="008601AC"/>
    <w:rsid w:val="00861A5F"/>
    <w:rsid w:val="008644AD"/>
    <w:rsid w:val="0086489D"/>
    <w:rsid w:val="00865735"/>
    <w:rsid w:val="00865A13"/>
    <w:rsid w:val="00865DDB"/>
    <w:rsid w:val="00867538"/>
    <w:rsid w:val="00873D90"/>
    <w:rsid w:val="00873FC8"/>
    <w:rsid w:val="00874C97"/>
    <w:rsid w:val="00884C63"/>
    <w:rsid w:val="00885908"/>
    <w:rsid w:val="008864B7"/>
    <w:rsid w:val="00893606"/>
    <w:rsid w:val="0089677E"/>
    <w:rsid w:val="008A1763"/>
    <w:rsid w:val="008A7438"/>
    <w:rsid w:val="008B1334"/>
    <w:rsid w:val="008B25C7"/>
    <w:rsid w:val="008C0278"/>
    <w:rsid w:val="008C24E9"/>
    <w:rsid w:val="008D0533"/>
    <w:rsid w:val="008D42CB"/>
    <w:rsid w:val="008D48C9"/>
    <w:rsid w:val="008D6381"/>
    <w:rsid w:val="008D78F0"/>
    <w:rsid w:val="008E0C77"/>
    <w:rsid w:val="008E625F"/>
    <w:rsid w:val="008F264D"/>
    <w:rsid w:val="00901B4A"/>
    <w:rsid w:val="009040E9"/>
    <w:rsid w:val="009074E1"/>
    <w:rsid w:val="00907903"/>
    <w:rsid w:val="009112F7"/>
    <w:rsid w:val="009122AF"/>
    <w:rsid w:val="00912D54"/>
    <w:rsid w:val="0091389F"/>
    <w:rsid w:val="009208F7"/>
    <w:rsid w:val="00921649"/>
    <w:rsid w:val="00922517"/>
    <w:rsid w:val="00922722"/>
    <w:rsid w:val="009261E6"/>
    <w:rsid w:val="009268E1"/>
    <w:rsid w:val="009344DE"/>
    <w:rsid w:val="00942B54"/>
    <w:rsid w:val="00945E7F"/>
    <w:rsid w:val="009557C1"/>
    <w:rsid w:val="00960D6E"/>
    <w:rsid w:val="00972F32"/>
    <w:rsid w:val="00974B59"/>
    <w:rsid w:val="0098340B"/>
    <w:rsid w:val="00986830"/>
    <w:rsid w:val="009924C3"/>
    <w:rsid w:val="00993102"/>
    <w:rsid w:val="00994E16"/>
    <w:rsid w:val="009A32AD"/>
    <w:rsid w:val="009A596B"/>
    <w:rsid w:val="009B1570"/>
    <w:rsid w:val="009C49C6"/>
    <w:rsid w:val="009C6918"/>
    <w:rsid w:val="009C6F10"/>
    <w:rsid w:val="009D148F"/>
    <w:rsid w:val="009D3D70"/>
    <w:rsid w:val="009D3DE8"/>
    <w:rsid w:val="009E42DE"/>
    <w:rsid w:val="009E6F7E"/>
    <w:rsid w:val="009E7A57"/>
    <w:rsid w:val="009F0182"/>
    <w:rsid w:val="009F4803"/>
    <w:rsid w:val="009F4F6A"/>
    <w:rsid w:val="00A0578D"/>
    <w:rsid w:val="00A13EB5"/>
    <w:rsid w:val="00A16E36"/>
    <w:rsid w:val="00A213F4"/>
    <w:rsid w:val="00A24961"/>
    <w:rsid w:val="00A24B10"/>
    <w:rsid w:val="00A277EF"/>
    <w:rsid w:val="00A30E9B"/>
    <w:rsid w:val="00A4512D"/>
    <w:rsid w:val="00A50244"/>
    <w:rsid w:val="00A60B1A"/>
    <w:rsid w:val="00A627D7"/>
    <w:rsid w:val="00A656C7"/>
    <w:rsid w:val="00A705AF"/>
    <w:rsid w:val="00A72454"/>
    <w:rsid w:val="00A7704D"/>
    <w:rsid w:val="00A77696"/>
    <w:rsid w:val="00A80557"/>
    <w:rsid w:val="00A81D33"/>
    <w:rsid w:val="00A8341C"/>
    <w:rsid w:val="00A90B68"/>
    <w:rsid w:val="00A930AE"/>
    <w:rsid w:val="00AA0E25"/>
    <w:rsid w:val="00AA1A95"/>
    <w:rsid w:val="00AA260F"/>
    <w:rsid w:val="00AB1EE7"/>
    <w:rsid w:val="00AB4B37"/>
    <w:rsid w:val="00AB5762"/>
    <w:rsid w:val="00AC2679"/>
    <w:rsid w:val="00AC4BE4"/>
    <w:rsid w:val="00AD05E6"/>
    <w:rsid w:val="00AD0D3F"/>
    <w:rsid w:val="00AD2746"/>
    <w:rsid w:val="00AD4BB6"/>
    <w:rsid w:val="00AE1D7D"/>
    <w:rsid w:val="00AE2A8B"/>
    <w:rsid w:val="00AE3F64"/>
    <w:rsid w:val="00AF663D"/>
    <w:rsid w:val="00AF7386"/>
    <w:rsid w:val="00AF7934"/>
    <w:rsid w:val="00B00B81"/>
    <w:rsid w:val="00B04580"/>
    <w:rsid w:val="00B04B09"/>
    <w:rsid w:val="00B147E9"/>
    <w:rsid w:val="00B16A51"/>
    <w:rsid w:val="00B32222"/>
    <w:rsid w:val="00B32305"/>
    <w:rsid w:val="00B3618D"/>
    <w:rsid w:val="00B36233"/>
    <w:rsid w:val="00B42851"/>
    <w:rsid w:val="00B45AC7"/>
    <w:rsid w:val="00B5372F"/>
    <w:rsid w:val="00B61129"/>
    <w:rsid w:val="00B67E7F"/>
    <w:rsid w:val="00B72E5C"/>
    <w:rsid w:val="00B767F8"/>
    <w:rsid w:val="00B800EC"/>
    <w:rsid w:val="00B839B2"/>
    <w:rsid w:val="00B84A04"/>
    <w:rsid w:val="00B9366A"/>
    <w:rsid w:val="00B94252"/>
    <w:rsid w:val="00B9715A"/>
    <w:rsid w:val="00BA14BE"/>
    <w:rsid w:val="00BA2732"/>
    <w:rsid w:val="00BA293D"/>
    <w:rsid w:val="00BA49BC"/>
    <w:rsid w:val="00BA4F6D"/>
    <w:rsid w:val="00BA56B7"/>
    <w:rsid w:val="00BA7A1E"/>
    <w:rsid w:val="00BB2F6C"/>
    <w:rsid w:val="00BB3875"/>
    <w:rsid w:val="00BB5860"/>
    <w:rsid w:val="00BB6AAD"/>
    <w:rsid w:val="00BC4A19"/>
    <w:rsid w:val="00BC4E6D"/>
    <w:rsid w:val="00BC6463"/>
    <w:rsid w:val="00BD0617"/>
    <w:rsid w:val="00BD2E9B"/>
    <w:rsid w:val="00BD7FB2"/>
    <w:rsid w:val="00BE12D9"/>
    <w:rsid w:val="00C00930"/>
    <w:rsid w:val="00C02D03"/>
    <w:rsid w:val="00C060AD"/>
    <w:rsid w:val="00C113BF"/>
    <w:rsid w:val="00C2176E"/>
    <w:rsid w:val="00C23430"/>
    <w:rsid w:val="00C27D67"/>
    <w:rsid w:val="00C4631F"/>
    <w:rsid w:val="00C47CDE"/>
    <w:rsid w:val="00C50E16"/>
    <w:rsid w:val="00C55258"/>
    <w:rsid w:val="00C82EEB"/>
    <w:rsid w:val="00C92ECC"/>
    <w:rsid w:val="00C971DC"/>
    <w:rsid w:val="00CA16B7"/>
    <w:rsid w:val="00CA62AE"/>
    <w:rsid w:val="00CB5B1A"/>
    <w:rsid w:val="00CC220B"/>
    <w:rsid w:val="00CC5C43"/>
    <w:rsid w:val="00CD02AE"/>
    <w:rsid w:val="00CD2A4F"/>
    <w:rsid w:val="00CE03CA"/>
    <w:rsid w:val="00CE22F1"/>
    <w:rsid w:val="00CE3C90"/>
    <w:rsid w:val="00CE50F2"/>
    <w:rsid w:val="00CE6502"/>
    <w:rsid w:val="00CF7D3C"/>
    <w:rsid w:val="00D01F09"/>
    <w:rsid w:val="00D147EB"/>
    <w:rsid w:val="00D34667"/>
    <w:rsid w:val="00D401E1"/>
    <w:rsid w:val="00D408B4"/>
    <w:rsid w:val="00D45211"/>
    <w:rsid w:val="00D524C8"/>
    <w:rsid w:val="00D6707F"/>
    <w:rsid w:val="00D70E24"/>
    <w:rsid w:val="00D72B61"/>
    <w:rsid w:val="00D77B50"/>
    <w:rsid w:val="00D806B3"/>
    <w:rsid w:val="00DA3D1D"/>
    <w:rsid w:val="00DB6286"/>
    <w:rsid w:val="00DB645F"/>
    <w:rsid w:val="00DB76E9"/>
    <w:rsid w:val="00DC0A67"/>
    <w:rsid w:val="00DC0B98"/>
    <w:rsid w:val="00DC1D5E"/>
    <w:rsid w:val="00DC44FF"/>
    <w:rsid w:val="00DC5220"/>
    <w:rsid w:val="00DD2061"/>
    <w:rsid w:val="00DD6C8E"/>
    <w:rsid w:val="00DD7DAB"/>
    <w:rsid w:val="00DE3355"/>
    <w:rsid w:val="00DF0C60"/>
    <w:rsid w:val="00DF486F"/>
    <w:rsid w:val="00DF5B5B"/>
    <w:rsid w:val="00DF7619"/>
    <w:rsid w:val="00E042D8"/>
    <w:rsid w:val="00E07EE7"/>
    <w:rsid w:val="00E1103B"/>
    <w:rsid w:val="00E17B44"/>
    <w:rsid w:val="00E20F27"/>
    <w:rsid w:val="00E22443"/>
    <w:rsid w:val="00E22B62"/>
    <w:rsid w:val="00E27FEA"/>
    <w:rsid w:val="00E3790F"/>
    <w:rsid w:val="00E4086F"/>
    <w:rsid w:val="00E43B3C"/>
    <w:rsid w:val="00E50188"/>
    <w:rsid w:val="00E50BB3"/>
    <w:rsid w:val="00E515CB"/>
    <w:rsid w:val="00E52260"/>
    <w:rsid w:val="00E639B6"/>
    <w:rsid w:val="00E6434B"/>
    <w:rsid w:val="00E6463D"/>
    <w:rsid w:val="00E72E9B"/>
    <w:rsid w:val="00E823DD"/>
    <w:rsid w:val="00E850C3"/>
    <w:rsid w:val="00E87DF2"/>
    <w:rsid w:val="00E93F38"/>
    <w:rsid w:val="00E9462E"/>
    <w:rsid w:val="00E95D7C"/>
    <w:rsid w:val="00EA470E"/>
    <w:rsid w:val="00EA47A7"/>
    <w:rsid w:val="00EA57EB"/>
    <w:rsid w:val="00EB3226"/>
    <w:rsid w:val="00EC213A"/>
    <w:rsid w:val="00EC7744"/>
    <w:rsid w:val="00ED0DAD"/>
    <w:rsid w:val="00ED0F46"/>
    <w:rsid w:val="00ED2373"/>
    <w:rsid w:val="00ED5259"/>
    <w:rsid w:val="00ED6B2C"/>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58B5"/>
    <w:rsid w:val="00F47DA2"/>
    <w:rsid w:val="00F519FC"/>
    <w:rsid w:val="00F6239D"/>
    <w:rsid w:val="00F7077B"/>
    <w:rsid w:val="00F715D2"/>
    <w:rsid w:val="00F7274F"/>
    <w:rsid w:val="00F73DEE"/>
    <w:rsid w:val="00F74E84"/>
    <w:rsid w:val="00F76FA8"/>
    <w:rsid w:val="00F870B8"/>
    <w:rsid w:val="00F92098"/>
    <w:rsid w:val="00F93F08"/>
    <w:rsid w:val="00F94CED"/>
    <w:rsid w:val="00FA02BB"/>
    <w:rsid w:val="00FA2CEE"/>
    <w:rsid w:val="00FA318C"/>
    <w:rsid w:val="00FB6F92"/>
    <w:rsid w:val="00FC026E"/>
    <w:rsid w:val="00FC5124"/>
    <w:rsid w:val="00FC5315"/>
    <w:rsid w:val="00FD0F68"/>
    <w:rsid w:val="00FD4731"/>
    <w:rsid w:val="00FD6768"/>
    <w:rsid w:val="00FD71A4"/>
    <w:rsid w:val="00FE4F2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BEAB15"/>
  <w15:docId w15:val="{0A74DBDA-F6AD-4816-B215-7A99CE09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99"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17BA"/>
    <w:pPr>
      <w:spacing w:before="120" w:after="120"/>
    </w:pPr>
    <w:rPr>
      <w:rFonts w:ascii="Arial" w:hAnsi="Arial"/>
      <w:sz w:val="22"/>
      <w:szCs w:val="24"/>
      <w:lang w:eastAsia="en-US"/>
    </w:rPr>
  </w:style>
  <w:style w:type="paragraph" w:styleId="Heading1">
    <w:name w:val="heading 1"/>
    <w:basedOn w:val="StyleTitle"/>
    <w:next w:val="Normal"/>
    <w:qFormat/>
    <w:rsid w:val="00907903"/>
    <w:pPr>
      <w:outlineLvl w:val="0"/>
    </w:pPr>
  </w:style>
  <w:style w:type="paragraph" w:styleId="Heading2">
    <w:name w:val="heading 2"/>
    <w:next w:val="Paragraphtext"/>
    <w:qFormat/>
    <w:rsid w:val="007117BA"/>
    <w:pPr>
      <w:keepNext/>
      <w:spacing w:before="240" w:after="60"/>
      <w:outlineLvl w:val="1"/>
    </w:pPr>
    <w:rPr>
      <w:rFonts w:ascii="Arial" w:hAnsi="Arial" w:cs="Arial"/>
      <w:bCs/>
      <w:iCs/>
      <w:color w:val="358189"/>
      <w:sz w:val="28"/>
      <w:szCs w:val="28"/>
      <w:lang w:eastAsia="en-US"/>
    </w:rPr>
  </w:style>
  <w:style w:type="paragraph" w:styleId="Heading3">
    <w:name w:val="heading 3"/>
    <w:basedOn w:val="Heading2"/>
    <w:next w:val="Normal"/>
    <w:qFormat/>
    <w:rsid w:val="007117BA"/>
    <w:pPr>
      <w:outlineLvl w:val="2"/>
    </w:pPr>
    <w:rPr>
      <w:b/>
      <w:bCs w:val="0"/>
      <w:sz w:val="22"/>
      <w:szCs w:val="26"/>
    </w:rPr>
  </w:style>
  <w:style w:type="paragraph" w:styleId="Heading4">
    <w:name w:val="heading 4"/>
    <w:basedOn w:val="Heading3"/>
    <w:next w:val="Normal"/>
    <w:qFormat/>
    <w:rsid w:val="007117BA"/>
    <w:pPr>
      <w:spacing w:before="0"/>
      <w:outlineLvl w:val="3"/>
    </w:pPr>
    <w:rPr>
      <w:bCs/>
      <w:iCs w:val="0"/>
      <w:color w:val="auto"/>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D77B50"/>
    <w:pPr>
      <w:spacing w:before="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6B1D31"/>
    <w:pPr>
      <w:spacing w:before="480"/>
      <w:contextualSpacing/>
    </w:pPr>
    <w:rPr>
      <w:rFonts w:eastAsiaTheme="majorEastAsia" w:cstheme="majorBidi"/>
      <w:color w:val="3F4A75"/>
      <w:kern w:val="28"/>
      <w:sz w:val="40"/>
      <w:szCs w:val="52"/>
    </w:rPr>
  </w:style>
  <w:style w:type="character" w:customStyle="1" w:styleId="TitleChar">
    <w:name w:val="Title Char"/>
    <w:basedOn w:val="DefaultParagraphFont"/>
    <w:link w:val="Title"/>
    <w:rsid w:val="006B1D31"/>
    <w:rPr>
      <w:rFonts w:ascii="Arial" w:eastAsiaTheme="majorEastAsia" w:hAnsi="Arial" w:cstheme="majorBidi"/>
      <w:color w:val="3F4A75"/>
      <w:kern w:val="28"/>
      <w:sz w:val="40"/>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99"/>
    <w:qFormat/>
    <w:rsid w:val="00907903"/>
    <w:pPr>
      <w:numPr>
        <w:numId w:val="48"/>
      </w:numPr>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907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7903"/>
    <w:pPr>
      <w:spacing w:before="0" w:after="0"/>
      <w:contextualSpacing/>
    </w:pPr>
    <w:rPr>
      <w:b/>
      <w:bCs/>
      <w:sz w:val="20"/>
      <w:szCs w:val="20"/>
    </w:rPr>
  </w:style>
  <w:style w:type="paragraph" w:customStyle="1" w:styleId="Tabletextleft">
    <w:name w:val="Table text left"/>
    <w:basedOn w:val="Normal"/>
    <w:rsid w:val="00907903"/>
    <w:pPr>
      <w:spacing w:before="60" w:after="60"/>
    </w:pPr>
    <w:rPr>
      <w:color w:val="000000" w:themeColor="text1"/>
      <w:sz w:val="20"/>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Caption">
    <w:name w:val="caption"/>
    <w:basedOn w:val="Normal"/>
    <w:next w:val="Normal"/>
    <w:unhideWhenUsed/>
    <w:rsid w:val="00907903"/>
    <w:rPr>
      <w:b/>
      <w:iCs/>
      <w:sz w:val="18"/>
      <w:szCs w:val="18"/>
    </w:rPr>
  </w:style>
  <w:style w:type="paragraph" w:customStyle="1" w:styleId="Default">
    <w:name w:val="Default"/>
    <w:rsid w:val="00101B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AD2746"/>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AD274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77960"/>
    <w:rPr>
      <w:color w:val="605E5C"/>
      <w:shd w:val="clear" w:color="auto" w:fill="E1DFDD"/>
    </w:rPr>
  </w:style>
  <w:style w:type="character" w:styleId="CommentReference">
    <w:name w:val="annotation reference"/>
    <w:basedOn w:val="DefaultParagraphFont"/>
    <w:semiHidden/>
    <w:unhideWhenUsed/>
    <w:rsid w:val="00824B84"/>
    <w:rPr>
      <w:sz w:val="16"/>
      <w:szCs w:val="16"/>
    </w:rPr>
  </w:style>
  <w:style w:type="paragraph" w:styleId="CommentText">
    <w:name w:val="annotation text"/>
    <w:basedOn w:val="Normal"/>
    <w:link w:val="CommentTextChar"/>
    <w:semiHidden/>
    <w:unhideWhenUsed/>
    <w:rsid w:val="00824B84"/>
    <w:rPr>
      <w:sz w:val="20"/>
      <w:szCs w:val="20"/>
    </w:rPr>
  </w:style>
  <w:style w:type="character" w:customStyle="1" w:styleId="CommentTextChar">
    <w:name w:val="Comment Text Char"/>
    <w:basedOn w:val="DefaultParagraphFont"/>
    <w:link w:val="CommentText"/>
    <w:semiHidden/>
    <w:rsid w:val="00824B84"/>
    <w:rPr>
      <w:rFonts w:ascii="Arial" w:hAnsi="Arial"/>
      <w:lang w:eastAsia="en-US"/>
    </w:rPr>
  </w:style>
  <w:style w:type="paragraph" w:styleId="CommentSubject">
    <w:name w:val="annotation subject"/>
    <w:basedOn w:val="CommentText"/>
    <w:next w:val="CommentText"/>
    <w:link w:val="CommentSubjectChar"/>
    <w:semiHidden/>
    <w:unhideWhenUsed/>
    <w:rsid w:val="00824B84"/>
    <w:rPr>
      <w:b/>
      <w:bCs/>
    </w:rPr>
  </w:style>
  <w:style w:type="character" w:customStyle="1" w:styleId="CommentSubjectChar">
    <w:name w:val="Comment Subject Char"/>
    <w:basedOn w:val="CommentTextChar"/>
    <w:link w:val="CommentSubject"/>
    <w:semiHidden/>
    <w:rsid w:val="00824B84"/>
    <w:rPr>
      <w:rFonts w:ascii="Arial" w:hAnsi="Arial"/>
      <w:b/>
      <w:bCs/>
      <w:lang w:eastAsia="en-US"/>
    </w:rPr>
  </w:style>
  <w:style w:type="character" w:styleId="FollowedHyperlink">
    <w:name w:val="FollowedHyperlink"/>
    <w:basedOn w:val="DefaultParagraphFont"/>
    <w:semiHidden/>
    <w:unhideWhenUsed/>
    <w:rsid w:val="00ED6B2C"/>
    <w:rPr>
      <w:color w:val="800080" w:themeColor="followedHyperlink"/>
      <w:u w:val="single"/>
    </w:rPr>
  </w:style>
  <w:style w:type="paragraph" w:customStyle="1" w:styleId="StyleTitle">
    <w:name w:val="Style Title"/>
    <w:basedOn w:val="Title"/>
    <w:rsid w:val="00907903"/>
    <w:pPr>
      <w:spacing w:before="120"/>
      <w:contextualSpacing w:val="0"/>
    </w:pPr>
    <w:rPr>
      <w:rFonts w:eastAsia="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025601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284324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6652519">
      <w:bodyDiv w:val="1"/>
      <w:marLeft w:val="0"/>
      <w:marRight w:val="0"/>
      <w:marTop w:val="0"/>
      <w:marBottom w:val="0"/>
      <w:divBdr>
        <w:top w:val="none" w:sz="0" w:space="0" w:color="auto"/>
        <w:left w:val="none" w:sz="0" w:space="0" w:color="auto"/>
        <w:bottom w:val="none" w:sz="0" w:space="0" w:color="auto"/>
        <w:right w:val="none" w:sz="0" w:space="0" w:color="auto"/>
      </w:divBdr>
      <w:divsChild>
        <w:div w:id="690031090">
          <w:marLeft w:val="475"/>
          <w:marRight w:val="346"/>
          <w:marTop w:val="121"/>
          <w:marBottom w:val="0"/>
          <w:divBdr>
            <w:top w:val="none" w:sz="0" w:space="0" w:color="auto"/>
            <w:left w:val="none" w:sz="0" w:space="0" w:color="auto"/>
            <w:bottom w:val="none" w:sz="0" w:space="0" w:color="auto"/>
            <w:right w:val="none" w:sz="0" w:space="0" w:color="auto"/>
          </w:divBdr>
        </w:div>
        <w:div w:id="1989508110">
          <w:marLeft w:val="475"/>
          <w:marRight w:val="187"/>
          <w:marTop w:val="120"/>
          <w:marBottom w:val="0"/>
          <w:divBdr>
            <w:top w:val="none" w:sz="0" w:space="0" w:color="auto"/>
            <w:left w:val="none" w:sz="0" w:space="0" w:color="auto"/>
            <w:bottom w:val="none" w:sz="0" w:space="0" w:color="auto"/>
            <w:right w:val="none" w:sz="0" w:space="0" w:color="auto"/>
          </w:divBdr>
        </w:div>
        <w:div w:id="415444050">
          <w:marLeft w:val="475"/>
          <w:marRight w:val="187"/>
          <w:marTop w:val="120"/>
          <w:marBottom w:val="0"/>
          <w:divBdr>
            <w:top w:val="none" w:sz="0" w:space="0" w:color="auto"/>
            <w:left w:val="none" w:sz="0" w:space="0" w:color="auto"/>
            <w:bottom w:val="none" w:sz="0" w:space="0" w:color="auto"/>
            <w:right w:val="none" w:sz="0" w:space="0" w:color="auto"/>
          </w:divBdr>
        </w:div>
      </w:divsChild>
    </w:div>
    <w:div w:id="1629625037">
      <w:bodyDiv w:val="1"/>
      <w:marLeft w:val="0"/>
      <w:marRight w:val="0"/>
      <w:marTop w:val="0"/>
      <w:marBottom w:val="0"/>
      <w:divBdr>
        <w:top w:val="none" w:sz="0" w:space="0" w:color="auto"/>
        <w:left w:val="none" w:sz="0" w:space="0" w:color="auto"/>
        <w:bottom w:val="none" w:sz="0" w:space="0" w:color="auto"/>
        <w:right w:val="none" w:sz="0" w:space="0" w:color="auto"/>
      </w:divBdr>
    </w:div>
    <w:div w:id="18174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initiatives-and-programs/commonwealth-home-support-programme-chsp/commonwealth-home-support-programme-chsp-new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apps-and-tools/health-workforce-locator/health-workforce-locator" TargetMode="External"/><Relationship Id="rId2" Type="http://schemas.openxmlformats.org/officeDocument/2006/relationships/customXml" Target="../customXml/item2.xml"/><Relationship Id="rId16" Type="http://schemas.openxmlformats.org/officeDocument/2006/relationships/hyperlink" Target="https://www.health.gov.au/resources/publications/modified-monash-model-fact-she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news/announcements/commonwealth-home-support-programme-chsp-2022-23-extension-working-group" TargetMode="External"/><Relationship Id="rId10" Type="http://schemas.openxmlformats.org/officeDocument/2006/relationships/endnotes" Target="endnotes.xml"/><Relationship Id="rId19" Type="http://schemas.openxmlformats.org/officeDocument/2006/relationships/hyperlink" Target="mailto:homesupportpolicy@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94DE42-C693-44C4-BC14-68064B04EB83}">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1489</Words>
  <Characters>8537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Commonwealth Home Support Programme (CHSP) Culturally and Linguistically Diverse (CALD) Respite Services 2020-2022 Grant Opportunity (GO4552) and CHSP Growth Funding 2020-21 and 2021-22 Grant Opportunity (GO3632)</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 Payment in Arrears and Unit Pricing Fact sheet</dc:title>
  <dc:subject>Aged care</dc:subject>
  <dc:creator>Australian Government Department of Health</dc:creator>
  <cp:keywords>Aged care; funding; grants</cp:keywords>
  <cp:lastModifiedBy>MASCHKE, Elvia</cp:lastModifiedBy>
  <cp:revision>2</cp:revision>
  <dcterms:created xsi:type="dcterms:W3CDTF">2021-07-16T04:52:00Z</dcterms:created>
  <dcterms:modified xsi:type="dcterms:W3CDTF">2021-07-16T04:52:00Z</dcterms:modified>
</cp:coreProperties>
</file>