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20D" w:rsidRPr="00932284" w:rsidRDefault="009D420D" w:rsidP="0004575C">
      <w:pPr>
        <w:pBdr>
          <w:top w:val="double" w:sz="12" w:space="31" w:color="B66113"/>
          <w:bottom w:val="double" w:sz="12" w:space="0" w:color="B66113"/>
        </w:pBdr>
        <w:spacing w:line="312" w:lineRule="auto"/>
        <w:jc w:val="center"/>
        <w:rPr>
          <w:rFonts w:asciiTheme="minorHAnsi" w:hAnsiTheme="minorHAnsi" w:cs="Arial"/>
          <w:b/>
          <w:color w:val="01653F"/>
          <w:spacing w:val="5"/>
          <w:sz w:val="44"/>
          <w:szCs w:val="48"/>
          <w:lang w:eastAsia="en-AU"/>
        </w:rPr>
      </w:pPr>
      <w:r w:rsidRPr="00932284">
        <w:rPr>
          <w:rFonts w:asciiTheme="minorHAnsi" w:hAnsiTheme="minorHAnsi" w:cs="Arial"/>
          <w:b/>
          <w:color w:val="01653F"/>
          <w:spacing w:val="5"/>
          <w:sz w:val="44"/>
          <w:szCs w:val="48"/>
          <w:lang w:eastAsia="en-AU"/>
        </w:rPr>
        <w:t>Medicare Benefits Schedule Review Taskforce</w:t>
      </w:r>
    </w:p>
    <w:p w:rsidR="009D420D" w:rsidRPr="009D420D" w:rsidRDefault="00B122E2" w:rsidP="0004575C">
      <w:pPr>
        <w:pBdr>
          <w:top w:val="double" w:sz="12" w:space="31" w:color="B66113"/>
          <w:bottom w:val="double" w:sz="12" w:space="0" w:color="B66113"/>
        </w:pBdr>
        <w:spacing w:before="840" w:after="360" w:line="312" w:lineRule="auto"/>
        <w:contextualSpacing/>
        <w:jc w:val="center"/>
        <w:rPr>
          <w:rFonts w:asciiTheme="minorHAnsi" w:hAnsiTheme="minorHAnsi" w:cs="Arial"/>
          <w:b/>
          <w:spacing w:val="5"/>
          <w:sz w:val="48"/>
          <w:szCs w:val="60"/>
          <w:lang w:eastAsia="en-AU"/>
        </w:rPr>
      </w:pPr>
      <w:r>
        <w:rPr>
          <w:rFonts w:asciiTheme="minorHAnsi" w:hAnsiTheme="minorHAnsi" w:cs="Arial"/>
          <w:b/>
          <w:spacing w:val="5"/>
          <w:sz w:val="48"/>
          <w:szCs w:val="60"/>
          <w:lang w:eastAsia="en-AU"/>
        </w:rPr>
        <w:t>Obsolete MBS</w:t>
      </w:r>
      <w:r w:rsidR="009D420D">
        <w:rPr>
          <w:rFonts w:asciiTheme="minorHAnsi" w:hAnsiTheme="minorHAnsi" w:cs="Arial"/>
          <w:b/>
          <w:spacing w:val="5"/>
          <w:sz w:val="48"/>
          <w:szCs w:val="60"/>
          <w:lang w:eastAsia="en-AU"/>
        </w:rPr>
        <w:t xml:space="preserve"> </w:t>
      </w:r>
      <w:r>
        <w:rPr>
          <w:rFonts w:asciiTheme="minorHAnsi" w:hAnsiTheme="minorHAnsi" w:cs="Arial"/>
          <w:b/>
          <w:spacing w:val="5"/>
          <w:sz w:val="48"/>
          <w:szCs w:val="60"/>
          <w:lang w:eastAsia="en-AU"/>
        </w:rPr>
        <w:t>Items Report</w:t>
      </w:r>
    </w:p>
    <w:p w:rsidR="009D420D" w:rsidRDefault="009D420D" w:rsidP="0004575C">
      <w:pPr>
        <w:pBdr>
          <w:top w:val="double" w:sz="12" w:space="31" w:color="B66113"/>
          <w:bottom w:val="double" w:sz="12" w:space="0" w:color="B66113"/>
        </w:pBdr>
        <w:spacing w:before="840" w:after="360" w:line="312" w:lineRule="auto"/>
        <w:contextualSpacing/>
        <w:jc w:val="center"/>
        <w:rPr>
          <w:rFonts w:asciiTheme="minorHAnsi" w:hAnsiTheme="minorHAnsi" w:cs="Arial"/>
          <w:b/>
          <w:spacing w:val="5"/>
          <w:sz w:val="56"/>
          <w:szCs w:val="60"/>
          <w:lang w:eastAsia="en-AU"/>
        </w:rPr>
      </w:pPr>
      <w:r>
        <w:rPr>
          <w:rFonts w:asciiTheme="minorHAnsi" w:hAnsiTheme="minorHAnsi" w:cs="Arial"/>
          <w:b/>
          <w:spacing w:val="5"/>
          <w:sz w:val="56"/>
          <w:szCs w:val="60"/>
          <w:lang w:eastAsia="en-AU"/>
        </w:rPr>
        <w:t>Taskforce Findings</w:t>
      </w:r>
    </w:p>
    <w:p w:rsidR="009D420D" w:rsidRDefault="009D420D" w:rsidP="009D420D">
      <w:pPr>
        <w:spacing w:before="240"/>
        <w:rPr>
          <w:rFonts w:asciiTheme="minorHAnsi" w:hAnsiTheme="minorHAnsi" w:cs="Arial"/>
          <w:color w:val="000000" w:themeColor="text1"/>
          <w:sz w:val="22"/>
        </w:rPr>
      </w:pPr>
    </w:p>
    <w:p w:rsidR="009D420D" w:rsidRPr="00AB469A" w:rsidRDefault="009D420D" w:rsidP="009D420D">
      <w:pPr>
        <w:spacing w:before="240" w:after="240" w:line="276" w:lineRule="auto"/>
        <w:rPr>
          <w:rFonts w:asciiTheme="minorHAnsi" w:hAnsiTheme="minorHAnsi" w:cs="Arial"/>
          <w:color w:val="000000" w:themeColor="text1"/>
          <w:sz w:val="22"/>
          <w:szCs w:val="22"/>
        </w:rPr>
      </w:pPr>
      <w:r w:rsidRPr="00AB469A">
        <w:rPr>
          <w:rFonts w:asciiTheme="minorHAnsi" w:hAnsiTheme="minorHAnsi" w:cs="Arial"/>
          <w:color w:val="000000" w:themeColor="text1"/>
          <w:sz w:val="22"/>
          <w:szCs w:val="22"/>
        </w:rPr>
        <w:t xml:space="preserve">This document </w:t>
      </w:r>
      <w:r w:rsidRPr="009D420D">
        <w:rPr>
          <w:rFonts w:asciiTheme="minorHAnsi" w:hAnsiTheme="minorHAnsi" w:cs="Arial"/>
          <w:color w:val="000000" w:themeColor="text1"/>
          <w:sz w:val="22"/>
          <w:szCs w:val="22"/>
        </w:rPr>
        <w:t xml:space="preserve">outlines the Medical Benefits Schedule (MBS) Taskforce’s recommendations relating to </w:t>
      </w:r>
      <w:r w:rsidR="00595818">
        <w:rPr>
          <w:rFonts w:asciiTheme="minorHAnsi" w:hAnsiTheme="minorHAnsi" w:cs="Arial"/>
          <w:color w:val="000000" w:themeColor="text1"/>
          <w:sz w:val="22"/>
          <w:szCs w:val="22"/>
        </w:rPr>
        <w:t xml:space="preserve">consultation on </w:t>
      </w:r>
      <w:r w:rsidR="00FF011F">
        <w:rPr>
          <w:rFonts w:asciiTheme="minorHAnsi" w:hAnsiTheme="minorHAnsi" w:cs="Arial"/>
          <w:color w:val="000000" w:themeColor="text1"/>
          <w:sz w:val="22"/>
          <w:szCs w:val="22"/>
        </w:rPr>
        <w:t>Obsolete</w:t>
      </w:r>
      <w:r w:rsidR="0007139A">
        <w:rPr>
          <w:rFonts w:asciiTheme="minorHAnsi" w:hAnsiTheme="minorHAnsi" w:cs="Arial"/>
          <w:color w:val="000000" w:themeColor="text1"/>
          <w:sz w:val="22"/>
          <w:szCs w:val="22"/>
        </w:rPr>
        <w:t xml:space="preserve"> MBS</w:t>
      </w:r>
      <w:r w:rsidR="00FF011F">
        <w:rPr>
          <w:rFonts w:asciiTheme="minorHAnsi" w:hAnsiTheme="minorHAnsi" w:cs="Arial"/>
          <w:color w:val="000000" w:themeColor="text1"/>
          <w:sz w:val="22"/>
          <w:szCs w:val="22"/>
        </w:rPr>
        <w:t xml:space="preserve"> Items</w:t>
      </w:r>
      <w:r w:rsidR="00595818">
        <w:rPr>
          <w:rFonts w:asciiTheme="minorHAnsi" w:hAnsiTheme="minorHAnsi" w:cs="Arial"/>
          <w:color w:val="000000" w:themeColor="text1"/>
          <w:sz w:val="22"/>
          <w:szCs w:val="22"/>
        </w:rPr>
        <w:t xml:space="preserve"> undertaken in 2015.</w:t>
      </w:r>
    </w:p>
    <w:p w:rsidR="001A4A6F" w:rsidRDefault="009D420D" w:rsidP="001A4A6F">
      <w:pPr>
        <w:spacing w:before="40" w:line="276" w:lineRule="auto"/>
        <w:rPr>
          <w:rFonts w:asciiTheme="minorHAnsi" w:hAnsiTheme="minorHAnsi" w:cs="Arial"/>
          <w:color w:val="000000" w:themeColor="text1"/>
          <w:sz w:val="22"/>
          <w:szCs w:val="22"/>
        </w:rPr>
      </w:pPr>
      <w:r w:rsidRPr="009D420D">
        <w:rPr>
          <w:rFonts w:asciiTheme="minorHAnsi" w:hAnsiTheme="minorHAnsi" w:cs="Arial"/>
          <w:color w:val="000000" w:themeColor="text1"/>
          <w:sz w:val="22"/>
          <w:szCs w:val="22"/>
        </w:rPr>
        <w:t xml:space="preserve">The Taskforce considered the recommendations from the </w:t>
      </w:r>
      <w:r w:rsidR="00FF011F">
        <w:rPr>
          <w:rFonts w:asciiTheme="minorHAnsi" w:hAnsiTheme="minorHAnsi" w:cs="Arial"/>
          <w:color w:val="000000" w:themeColor="text1"/>
          <w:sz w:val="22"/>
          <w:szCs w:val="22"/>
        </w:rPr>
        <w:t>Obsolete Items report</w:t>
      </w:r>
      <w:r w:rsidRPr="009D420D">
        <w:rPr>
          <w:rFonts w:asciiTheme="minorHAnsi" w:hAnsiTheme="minorHAnsi" w:cs="Arial"/>
          <w:color w:val="000000" w:themeColor="text1"/>
          <w:sz w:val="22"/>
          <w:szCs w:val="22"/>
        </w:rPr>
        <w:t xml:space="preserve"> and feedback from public consultation.</w:t>
      </w:r>
    </w:p>
    <w:tbl>
      <w:tblPr>
        <w:tblStyle w:val="TableGrid"/>
        <w:tblpPr w:leftFromText="180" w:rightFromText="180" w:vertAnchor="text" w:horzAnchor="page" w:tblpX="6848" w:tblpY="56"/>
        <w:tblW w:w="2298"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the panel members for the Obstetrics Clinical Committee and their positions. The table also shows that they have no declared conflicts of interest."/>
      </w:tblPr>
      <w:tblGrid>
        <w:gridCol w:w="3232"/>
        <w:gridCol w:w="872"/>
      </w:tblGrid>
      <w:tr w:rsidR="009D420D" w:rsidRPr="00AB469A" w:rsidTr="00E53998">
        <w:trPr>
          <w:trHeight w:val="297"/>
          <w:tblHeader/>
        </w:trPr>
        <w:tc>
          <w:tcPr>
            <w:tcW w:w="3938" w:type="pct"/>
            <w:shd w:val="clear" w:color="auto" w:fill="FFFFFF" w:themeFill="background1"/>
            <w:hideMark/>
          </w:tcPr>
          <w:p w:rsidR="009D420D" w:rsidRPr="0007139A" w:rsidRDefault="009D420D" w:rsidP="001A4A6F">
            <w:pPr>
              <w:spacing w:before="40" w:line="276" w:lineRule="auto"/>
              <w:rPr>
                <w:rFonts w:asciiTheme="minorHAnsi" w:hAnsiTheme="minorHAnsi"/>
                <w:b/>
                <w:sz w:val="22"/>
                <w:szCs w:val="22"/>
                <w:highlight w:val="yellow"/>
              </w:rPr>
            </w:pPr>
            <w:r w:rsidRPr="001A4A6F">
              <w:rPr>
                <w:rFonts w:asciiTheme="minorHAnsi" w:hAnsiTheme="minorHAnsi"/>
                <w:b/>
                <w:sz w:val="22"/>
                <w:szCs w:val="22"/>
              </w:rPr>
              <w:t xml:space="preserve">Number of </w:t>
            </w:r>
            <w:r w:rsidR="001A4A6F">
              <w:rPr>
                <w:rFonts w:asciiTheme="minorHAnsi" w:hAnsiTheme="minorHAnsi"/>
                <w:b/>
                <w:sz w:val="22"/>
                <w:szCs w:val="22"/>
              </w:rPr>
              <w:t>items</w:t>
            </w:r>
          </w:p>
        </w:tc>
        <w:tc>
          <w:tcPr>
            <w:tcW w:w="1062" w:type="pct"/>
            <w:shd w:val="clear" w:color="auto" w:fill="auto"/>
            <w:vAlign w:val="center"/>
          </w:tcPr>
          <w:p w:rsidR="009D420D" w:rsidRPr="00AB469A" w:rsidRDefault="0007139A" w:rsidP="00B26446">
            <w:pPr>
              <w:spacing w:before="40" w:line="276" w:lineRule="auto"/>
              <w:jc w:val="center"/>
              <w:rPr>
                <w:rFonts w:asciiTheme="minorHAnsi" w:hAnsiTheme="minorHAnsi"/>
                <w:sz w:val="22"/>
                <w:szCs w:val="22"/>
              </w:rPr>
            </w:pPr>
            <w:r>
              <w:rPr>
                <w:rFonts w:asciiTheme="minorHAnsi" w:hAnsiTheme="minorHAnsi"/>
                <w:sz w:val="22"/>
                <w:szCs w:val="22"/>
              </w:rPr>
              <w:t>2</w:t>
            </w:r>
            <w:r w:rsidR="00C94733">
              <w:rPr>
                <w:rFonts w:asciiTheme="minorHAnsi" w:hAnsiTheme="minorHAnsi"/>
                <w:sz w:val="22"/>
                <w:szCs w:val="22"/>
              </w:rPr>
              <w:t>6</w:t>
            </w:r>
          </w:p>
        </w:tc>
      </w:tr>
      <w:tr w:rsidR="001A4A6F" w:rsidRPr="00AB469A" w:rsidTr="00B26446">
        <w:trPr>
          <w:trHeight w:val="297"/>
        </w:trPr>
        <w:tc>
          <w:tcPr>
            <w:tcW w:w="3938" w:type="pct"/>
            <w:shd w:val="clear" w:color="auto" w:fill="FFFFFF" w:themeFill="background1"/>
          </w:tcPr>
          <w:p w:rsidR="001A4A6F" w:rsidRPr="0007139A" w:rsidRDefault="001A4A6F" w:rsidP="001A4A6F">
            <w:pPr>
              <w:spacing w:before="40" w:line="276" w:lineRule="auto"/>
              <w:rPr>
                <w:rFonts w:asciiTheme="minorHAnsi" w:hAnsiTheme="minorHAnsi"/>
                <w:b/>
                <w:sz w:val="22"/>
                <w:szCs w:val="22"/>
                <w:highlight w:val="yellow"/>
              </w:rPr>
            </w:pPr>
            <w:r>
              <w:rPr>
                <w:rFonts w:asciiTheme="minorHAnsi" w:hAnsiTheme="minorHAnsi"/>
                <w:b/>
                <w:sz w:val="22"/>
                <w:szCs w:val="22"/>
              </w:rPr>
              <w:t>Number of recommendations</w:t>
            </w:r>
          </w:p>
        </w:tc>
        <w:tc>
          <w:tcPr>
            <w:tcW w:w="1062" w:type="pct"/>
            <w:shd w:val="clear" w:color="auto" w:fill="auto"/>
            <w:vAlign w:val="center"/>
          </w:tcPr>
          <w:p w:rsidR="001A4A6F" w:rsidRPr="00AB469A" w:rsidRDefault="001A4A6F" w:rsidP="001A4A6F">
            <w:pPr>
              <w:spacing w:before="40" w:line="276" w:lineRule="auto"/>
              <w:jc w:val="center"/>
              <w:rPr>
                <w:rFonts w:asciiTheme="minorHAnsi" w:hAnsiTheme="minorHAnsi"/>
                <w:sz w:val="22"/>
                <w:szCs w:val="22"/>
              </w:rPr>
            </w:pPr>
            <w:r>
              <w:rPr>
                <w:rFonts w:asciiTheme="minorHAnsi" w:hAnsiTheme="minorHAnsi"/>
                <w:sz w:val="22"/>
                <w:szCs w:val="22"/>
              </w:rPr>
              <w:t>3</w:t>
            </w:r>
          </w:p>
        </w:tc>
      </w:tr>
    </w:tbl>
    <w:p w:rsidR="0007139A" w:rsidRDefault="0007139A" w:rsidP="009D420D">
      <w:pPr>
        <w:spacing w:line="276" w:lineRule="auto"/>
        <w:rPr>
          <w:rFonts w:asciiTheme="minorHAnsi" w:hAnsiTheme="minorHAnsi" w:cs="Arial"/>
          <w:color w:val="000000" w:themeColor="text1"/>
          <w:sz w:val="22"/>
          <w:szCs w:val="22"/>
        </w:rPr>
      </w:pPr>
    </w:p>
    <w:p w:rsidR="009D420D" w:rsidRPr="00AB469A" w:rsidRDefault="009D420D" w:rsidP="009D420D">
      <w:pPr>
        <w:spacing w:line="276" w:lineRule="auto"/>
        <w:rPr>
          <w:rFonts w:asciiTheme="minorHAnsi" w:hAnsiTheme="minorHAnsi" w:cs="Arial"/>
          <w:color w:val="000000" w:themeColor="text1"/>
          <w:sz w:val="22"/>
          <w:szCs w:val="22"/>
        </w:rPr>
      </w:pPr>
      <w:r w:rsidRPr="009D420D">
        <w:rPr>
          <w:rFonts w:asciiTheme="minorHAnsi" w:hAnsiTheme="minorHAnsi" w:cs="Arial"/>
          <w:color w:val="000000" w:themeColor="text1"/>
          <w:sz w:val="22"/>
          <w:szCs w:val="22"/>
        </w:rPr>
        <w:t xml:space="preserve">The Taskforce endorsed </w:t>
      </w:r>
      <w:r w:rsidRPr="001A4A6F">
        <w:rPr>
          <w:rFonts w:asciiTheme="minorHAnsi" w:hAnsiTheme="minorHAnsi" w:cs="Arial"/>
          <w:color w:val="000000" w:themeColor="text1"/>
          <w:sz w:val="22"/>
          <w:szCs w:val="22"/>
        </w:rPr>
        <w:t xml:space="preserve">all of the recommendations </w:t>
      </w:r>
      <w:r w:rsidR="001A4A6F">
        <w:rPr>
          <w:rFonts w:asciiTheme="minorHAnsi" w:hAnsiTheme="minorHAnsi" w:cs="Arial"/>
          <w:color w:val="000000" w:themeColor="text1"/>
          <w:sz w:val="22"/>
          <w:szCs w:val="22"/>
        </w:rPr>
        <w:t xml:space="preserve">that </w:t>
      </w:r>
      <w:r w:rsidR="001A4A6F" w:rsidRPr="00A470F1">
        <w:rPr>
          <w:rFonts w:asciiTheme="minorHAnsi" w:hAnsiTheme="minorHAnsi" w:cs="Arial"/>
          <w:color w:val="000000" w:themeColor="text1"/>
          <w:sz w:val="22"/>
          <w:szCs w:val="22"/>
        </w:rPr>
        <w:t>relate to a number of MBS items which were identified as obsolete by the first tranche of the MBS Review’s clinical committees</w:t>
      </w:r>
      <w:r w:rsidR="001A4A6F">
        <w:rPr>
          <w:rFonts w:asciiTheme="minorHAnsi" w:hAnsiTheme="minorHAnsi" w:cs="Arial"/>
          <w:color w:val="000000" w:themeColor="text1"/>
          <w:sz w:val="22"/>
          <w:szCs w:val="22"/>
        </w:rPr>
        <w:t xml:space="preserve"> to remove</w:t>
      </w:r>
      <w:r w:rsidR="00A470F1">
        <w:rPr>
          <w:rFonts w:asciiTheme="minorHAnsi" w:hAnsiTheme="minorHAnsi" w:cs="Arial"/>
          <w:color w:val="000000" w:themeColor="text1"/>
          <w:sz w:val="22"/>
          <w:szCs w:val="22"/>
        </w:rPr>
        <w:t>,</w:t>
      </w:r>
      <w:r w:rsidR="001A4A6F">
        <w:rPr>
          <w:rFonts w:asciiTheme="minorHAnsi" w:hAnsiTheme="minorHAnsi" w:cs="Arial"/>
          <w:color w:val="000000" w:themeColor="text1"/>
          <w:sz w:val="22"/>
          <w:szCs w:val="22"/>
        </w:rPr>
        <w:t xml:space="preserve"> or amend to restrict access to certain MBS items.</w:t>
      </w:r>
    </w:p>
    <w:p w:rsidR="009D420D" w:rsidRPr="00AB469A" w:rsidRDefault="009D420D" w:rsidP="009D420D">
      <w:pPr>
        <w:spacing w:line="276" w:lineRule="auto"/>
        <w:rPr>
          <w:rFonts w:asciiTheme="minorHAnsi" w:hAnsiTheme="minorHAnsi" w:cs="Arial"/>
          <w:color w:val="000000" w:themeColor="text1"/>
          <w:sz w:val="22"/>
          <w:szCs w:val="22"/>
        </w:rPr>
      </w:pPr>
    </w:p>
    <w:p w:rsidR="00595818" w:rsidRDefault="0007139A" w:rsidP="00595818">
      <w:pPr>
        <w:tabs>
          <w:tab w:val="left" w:pos="426"/>
        </w:tabs>
        <w:rPr>
          <w:rFonts w:asciiTheme="minorHAnsi" w:hAnsiTheme="minorHAnsi" w:cs="Arial"/>
          <w:color w:val="000000" w:themeColor="text1"/>
          <w:sz w:val="22"/>
          <w:szCs w:val="22"/>
        </w:rPr>
      </w:pPr>
      <w:r>
        <w:rPr>
          <w:rFonts w:asciiTheme="minorHAnsi" w:hAnsiTheme="minorHAnsi" w:cs="Arial"/>
          <w:color w:val="000000" w:themeColor="text1"/>
          <w:sz w:val="22"/>
          <w:szCs w:val="22"/>
        </w:rPr>
        <w:t>The recommendations seek</w:t>
      </w:r>
      <w:r w:rsidR="001A4A6F">
        <w:rPr>
          <w:rFonts w:asciiTheme="minorHAnsi" w:hAnsiTheme="minorHAnsi" w:cs="Arial"/>
          <w:color w:val="000000" w:themeColor="text1"/>
          <w:sz w:val="22"/>
          <w:szCs w:val="22"/>
        </w:rPr>
        <w:t xml:space="preserve"> to</w:t>
      </w:r>
      <w:r>
        <w:rPr>
          <w:rFonts w:asciiTheme="minorHAnsi" w:hAnsiTheme="minorHAnsi" w:cs="Arial"/>
          <w:color w:val="000000" w:themeColor="text1"/>
          <w:sz w:val="22"/>
          <w:szCs w:val="22"/>
        </w:rPr>
        <w:t xml:space="preserve"> </w:t>
      </w:r>
      <w:r w:rsidRPr="00A470F1">
        <w:rPr>
          <w:rFonts w:asciiTheme="minorHAnsi" w:hAnsiTheme="minorHAnsi" w:cs="Arial"/>
          <w:color w:val="000000" w:themeColor="text1"/>
          <w:sz w:val="22"/>
          <w:szCs w:val="22"/>
        </w:rPr>
        <w:t>reduce the use of services with limited clinical benefit to enable resources to be redirected to new or existing services with proven benefit.</w:t>
      </w:r>
    </w:p>
    <w:p w:rsidR="00595818" w:rsidRPr="00595818" w:rsidRDefault="00595818" w:rsidP="00595818">
      <w:pPr>
        <w:tabs>
          <w:tab w:val="left" w:pos="426"/>
        </w:tabs>
        <w:rPr>
          <w:rFonts w:asciiTheme="minorHAnsi" w:hAnsiTheme="minorHAnsi" w:cs="Arial"/>
          <w:color w:val="000000" w:themeColor="text1"/>
          <w:sz w:val="22"/>
          <w:szCs w:val="22"/>
        </w:rPr>
      </w:pPr>
    </w:p>
    <w:p w:rsidR="00595818" w:rsidRPr="00E2678D" w:rsidRDefault="009D420D" w:rsidP="00595818">
      <w:pPr>
        <w:keepNext/>
        <w:spacing w:before="120" w:line="276" w:lineRule="auto"/>
        <w:ind w:left="567" w:hanging="567"/>
        <w:outlineLvl w:val="0"/>
        <w:rPr>
          <w:rFonts w:asciiTheme="minorHAnsi" w:eastAsiaTheme="minorHAnsi" w:hAnsiTheme="minorHAnsi" w:cs="Arial"/>
          <w:b/>
          <w:bCs/>
          <w:color w:val="01653F"/>
          <w:kern w:val="32"/>
          <w:sz w:val="32"/>
          <w:szCs w:val="28"/>
          <w:lang w:val="en-US"/>
        </w:rPr>
      </w:pPr>
      <w:r>
        <w:rPr>
          <w:rFonts w:asciiTheme="minorHAnsi" w:eastAsiaTheme="minorHAnsi" w:hAnsiTheme="minorHAnsi" w:cs="Arial"/>
          <w:b/>
          <w:bCs/>
          <w:color w:val="01653F"/>
          <w:kern w:val="32"/>
          <w:sz w:val="32"/>
          <w:szCs w:val="28"/>
          <w:lang w:val="en-US"/>
        </w:rPr>
        <w:t>List of Taskforce recommendations</w:t>
      </w:r>
    </w:p>
    <w:p w:rsidR="00595818" w:rsidRPr="00595818" w:rsidRDefault="00A470F1" w:rsidP="00595818">
      <w:pPr>
        <w:pStyle w:val="ListParagraph"/>
        <w:numPr>
          <w:ilvl w:val="0"/>
          <w:numId w:val="6"/>
        </w:numPr>
        <w:rPr>
          <w:rFonts w:asciiTheme="minorHAnsi" w:hAnsiTheme="minorHAnsi"/>
          <w:b/>
        </w:rPr>
      </w:pPr>
      <w:r>
        <w:rPr>
          <w:rFonts w:asciiTheme="minorHAnsi" w:hAnsiTheme="minorHAnsi"/>
          <w:b/>
        </w:rPr>
        <w:t>The</w:t>
      </w:r>
      <w:r w:rsidR="001A4A6F" w:rsidRPr="00D17E2A">
        <w:rPr>
          <w:rFonts w:asciiTheme="minorHAnsi" w:hAnsiTheme="minorHAnsi"/>
          <w:b/>
        </w:rPr>
        <w:t xml:space="preserve"> </w:t>
      </w:r>
      <w:r w:rsidR="00C94733">
        <w:rPr>
          <w:rFonts w:asciiTheme="minorHAnsi" w:hAnsiTheme="minorHAnsi"/>
          <w:b/>
        </w:rPr>
        <w:t xml:space="preserve">following </w:t>
      </w:r>
      <w:r w:rsidRPr="00D17E2A">
        <w:rPr>
          <w:rFonts w:asciiTheme="minorHAnsi" w:hAnsiTheme="minorHAnsi"/>
          <w:b/>
        </w:rPr>
        <w:t>items</w:t>
      </w:r>
      <w:r>
        <w:rPr>
          <w:rFonts w:asciiTheme="minorHAnsi" w:hAnsiTheme="minorHAnsi"/>
          <w:b/>
        </w:rPr>
        <w:t xml:space="preserve"> </w:t>
      </w:r>
      <w:r w:rsidR="001A4A6F" w:rsidRPr="00D17E2A">
        <w:rPr>
          <w:rFonts w:asciiTheme="minorHAnsi" w:hAnsiTheme="minorHAnsi"/>
          <w:b/>
        </w:rPr>
        <w:t xml:space="preserve">currently listed on the Medicare Benefits Schedule are </w:t>
      </w:r>
      <w:bookmarkStart w:id="0" w:name="_GoBack"/>
      <w:bookmarkEnd w:id="0"/>
      <w:r w:rsidR="001A4A6F" w:rsidRPr="00D17E2A">
        <w:rPr>
          <w:rFonts w:asciiTheme="minorHAnsi" w:hAnsiTheme="minorHAnsi"/>
          <w:b/>
        </w:rPr>
        <w:t>obsolete.</w:t>
      </w:r>
    </w:p>
    <w:p w:rsidR="001A4A6F" w:rsidRPr="00595818" w:rsidRDefault="00A470F1" w:rsidP="001A4A6F">
      <w:pPr>
        <w:pStyle w:val="ListParagraph"/>
        <w:numPr>
          <w:ilvl w:val="0"/>
          <w:numId w:val="6"/>
        </w:numPr>
        <w:rPr>
          <w:rFonts w:asciiTheme="minorHAnsi" w:hAnsiTheme="minorHAnsi"/>
          <w:b/>
        </w:rPr>
      </w:pPr>
      <w:r>
        <w:rPr>
          <w:rFonts w:asciiTheme="minorHAnsi" w:hAnsiTheme="minorHAnsi"/>
          <w:b/>
        </w:rPr>
        <w:t>The</w:t>
      </w:r>
      <w:r w:rsidR="001A4A6F">
        <w:rPr>
          <w:rFonts w:asciiTheme="minorHAnsi" w:hAnsiTheme="minorHAnsi"/>
          <w:b/>
        </w:rPr>
        <w:t xml:space="preserve"> following</w:t>
      </w:r>
      <w:r>
        <w:rPr>
          <w:rFonts w:asciiTheme="minorHAnsi" w:hAnsiTheme="minorHAnsi"/>
          <w:b/>
        </w:rPr>
        <w:t xml:space="preserve"> items be removed from the MBS</w:t>
      </w:r>
      <w:r w:rsidR="001A4A6F" w:rsidRPr="00D17E2A">
        <w:rPr>
          <w:rFonts w:asciiTheme="minorHAnsi" w:hAnsiTheme="minorHAnsi"/>
          <w:b/>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ayout w:type="fixed"/>
        <w:tblLook w:val="04A0" w:firstRow="1" w:lastRow="0" w:firstColumn="1" w:lastColumn="0" w:noHBand="0" w:noVBand="1"/>
      </w:tblPr>
      <w:tblGrid>
        <w:gridCol w:w="851"/>
        <w:gridCol w:w="8221"/>
      </w:tblGrid>
      <w:tr w:rsidR="001A4A6F" w:rsidRPr="00D17E2A" w:rsidTr="00E53998">
        <w:trPr>
          <w:trHeight w:val="283"/>
          <w:tblHeader/>
        </w:trPr>
        <w:tc>
          <w:tcPr>
            <w:tcW w:w="851" w:type="dxa"/>
            <w:shd w:val="clear" w:color="000000" w:fill="FFFFFF" w:themeFill="background1"/>
            <w:vAlign w:val="center"/>
          </w:tcPr>
          <w:p w:rsidR="001A4A6F" w:rsidRPr="00D17E2A" w:rsidRDefault="001A4A6F" w:rsidP="00D1707A">
            <w:pPr>
              <w:spacing w:before="40" w:after="40"/>
              <w:jc w:val="center"/>
              <w:rPr>
                <w:rFonts w:asciiTheme="minorHAnsi" w:hAnsiTheme="minorHAnsi" w:cs="Arial"/>
                <w:b/>
                <w:color w:val="000000"/>
                <w:sz w:val="20"/>
                <w:szCs w:val="20"/>
              </w:rPr>
            </w:pPr>
            <w:r w:rsidRPr="00D17E2A">
              <w:rPr>
                <w:rFonts w:asciiTheme="minorHAnsi" w:hAnsiTheme="minorHAnsi" w:cs="Arial"/>
                <w:b/>
                <w:color w:val="000000"/>
                <w:sz w:val="20"/>
                <w:szCs w:val="20"/>
              </w:rPr>
              <w:t>Item</w:t>
            </w:r>
          </w:p>
        </w:tc>
        <w:tc>
          <w:tcPr>
            <w:tcW w:w="8221" w:type="dxa"/>
            <w:shd w:val="clear" w:color="000000" w:fill="FFFFFF" w:themeFill="background1"/>
            <w:vAlign w:val="center"/>
          </w:tcPr>
          <w:p w:rsidR="001A4A6F" w:rsidRPr="00D17E2A" w:rsidRDefault="001A4A6F" w:rsidP="00D1707A">
            <w:pPr>
              <w:spacing w:before="40" w:after="40"/>
              <w:jc w:val="center"/>
              <w:rPr>
                <w:rFonts w:asciiTheme="minorHAnsi" w:hAnsiTheme="minorHAnsi" w:cs="Arial"/>
                <w:b/>
                <w:color w:val="000000"/>
                <w:sz w:val="20"/>
                <w:szCs w:val="20"/>
              </w:rPr>
            </w:pPr>
            <w:r w:rsidRPr="00D17E2A">
              <w:rPr>
                <w:rFonts w:asciiTheme="minorHAnsi" w:hAnsiTheme="minorHAnsi" w:cs="Arial"/>
                <w:b/>
                <w:color w:val="000000"/>
                <w:sz w:val="20"/>
                <w:szCs w:val="20"/>
              </w:rPr>
              <w:t>Service—Short descriptor</w:t>
            </w:r>
          </w:p>
        </w:tc>
      </w:tr>
      <w:tr w:rsidR="001A4A6F" w:rsidRPr="00D17E2A" w:rsidTr="00D1707A">
        <w:trPr>
          <w:trHeight w:val="275"/>
        </w:trPr>
        <w:tc>
          <w:tcPr>
            <w:tcW w:w="9072" w:type="dxa"/>
            <w:gridSpan w:val="2"/>
            <w:shd w:val="clear" w:color="000000" w:fill="FFFFFF" w:themeFill="background1"/>
            <w:vAlign w:val="center"/>
          </w:tcPr>
          <w:p w:rsidR="001A4A6F" w:rsidRPr="00D17E2A" w:rsidRDefault="001A4A6F" w:rsidP="00D1707A">
            <w:pPr>
              <w:spacing w:before="40" w:after="40"/>
              <w:jc w:val="center"/>
              <w:rPr>
                <w:rFonts w:asciiTheme="minorHAnsi" w:hAnsiTheme="minorHAnsi" w:cs="Arial"/>
                <w:b/>
                <w:color w:val="000000"/>
                <w:sz w:val="20"/>
                <w:szCs w:val="20"/>
              </w:rPr>
            </w:pPr>
            <w:r w:rsidRPr="00D17E2A">
              <w:rPr>
                <w:rFonts w:asciiTheme="minorHAnsi" w:hAnsiTheme="minorHAnsi" w:cs="Arial"/>
                <w:b/>
                <w:color w:val="000000"/>
                <w:sz w:val="20"/>
                <w:szCs w:val="20"/>
              </w:rPr>
              <w:t>Diagnostic imaging</w:t>
            </w:r>
          </w:p>
        </w:tc>
      </w:tr>
      <w:tr w:rsidR="001A4A6F" w:rsidRPr="00D17E2A" w:rsidTr="00D1707A">
        <w:trPr>
          <w:trHeight w:val="283"/>
        </w:trPr>
        <w:tc>
          <w:tcPr>
            <w:tcW w:w="851" w:type="dxa"/>
            <w:tcBorders>
              <w:bottom w:val="single" w:sz="4" w:space="0" w:color="auto"/>
            </w:tcBorders>
            <w:shd w:val="clear" w:color="000000" w:fill="FFFFFF" w:themeFill="background1"/>
            <w:vAlign w:val="center"/>
            <w:hideMark/>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58924</w:t>
            </w:r>
          </w:p>
        </w:tc>
        <w:tc>
          <w:tcPr>
            <w:tcW w:w="8221" w:type="dxa"/>
            <w:shd w:val="clear" w:color="000000" w:fill="FFFFFF" w:themeFill="background1"/>
            <w:vAlign w:val="center"/>
            <w:hideMark/>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Graham’s Test (cholecystography), with preliminary plain films and with or without tomography - (R)</w:t>
            </w:r>
          </w:p>
        </w:tc>
      </w:tr>
      <w:tr w:rsidR="001A4A6F" w:rsidRPr="00D17E2A" w:rsidTr="00D1707A">
        <w:trPr>
          <w:trHeight w:val="283"/>
        </w:trPr>
        <w:tc>
          <w:tcPr>
            <w:tcW w:w="851" w:type="dxa"/>
            <w:tcBorders>
              <w:left w:val="single" w:sz="4" w:space="0" w:color="auto"/>
            </w:tcBorders>
            <w:shd w:val="clear" w:color="000000" w:fill="FFFFFF" w:themeFill="background1"/>
            <w:vAlign w:val="center"/>
            <w:hideMark/>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58926</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[Mirror item] Graham’s Test (cholecystography), with preliminary plain films and with or without tomography - (R)(NK)</w:t>
            </w:r>
          </w:p>
        </w:tc>
      </w:tr>
      <w:tr w:rsidR="001A4A6F" w:rsidRPr="00D17E2A" w:rsidTr="00D1707A">
        <w:trPr>
          <w:trHeight w:val="283"/>
        </w:trPr>
        <w:tc>
          <w:tcPr>
            <w:tcW w:w="851" w:type="dxa"/>
            <w:shd w:val="clear" w:color="000000" w:fill="FFFFFF" w:themeFill="background1"/>
            <w:vAlign w:val="center"/>
            <w:hideMark/>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59503</w:t>
            </w:r>
          </w:p>
        </w:tc>
        <w:tc>
          <w:tcPr>
            <w:tcW w:w="8221" w:type="dxa"/>
            <w:shd w:val="clear" w:color="000000" w:fill="FFFFFF" w:themeFill="background1"/>
            <w:vAlign w:val="center"/>
            <w:hideMark/>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Pelvimetry, not being a service associated with a service to which item 57201 applies (R)*</w:t>
            </w:r>
          </w:p>
        </w:tc>
      </w:tr>
      <w:tr w:rsidR="001A4A6F" w:rsidRPr="00D17E2A" w:rsidTr="00D1707A">
        <w:trPr>
          <w:trHeight w:val="283"/>
        </w:trPr>
        <w:tc>
          <w:tcPr>
            <w:tcW w:w="851" w:type="dxa"/>
            <w:shd w:val="clear" w:color="000000" w:fill="FFFFFF" w:themeFill="background1"/>
            <w:vAlign w:val="center"/>
            <w:hideMark/>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59504</w:t>
            </w:r>
          </w:p>
        </w:tc>
        <w:tc>
          <w:tcPr>
            <w:tcW w:w="8221" w:type="dxa"/>
            <w:shd w:val="clear" w:color="000000" w:fill="FFFFFF" w:themeFill="background1"/>
            <w:vAlign w:val="center"/>
            <w:hideMark/>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[Mirror item] Pelvimetry, not being a service associated with a service to which item 57201 applies (R)(NK)</w:t>
            </w:r>
          </w:p>
        </w:tc>
      </w:tr>
      <w:tr w:rsidR="001A4A6F" w:rsidRPr="00D17E2A" w:rsidTr="00D1707A">
        <w:trPr>
          <w:trHeight w:val="283"/>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59736</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Vasoepididymography, 1 side (R)</w:t>
            </w:r>
          </w:p>
        </w:tc>
      </w:tr>
      <w:tr w:rsidR="001A4A6F" w:rsidRPr="00D17E2A" w:rsidTr="00D1707A">
        <w:trPr>
          <w:trHeight w:val="283"/>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59737</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[Mirror item] Vasoepididymography, 1 side (R)(NK)</w:t>
            </w:r>
          </w:p>
        </w:tc>
      </w:tr>
      <w:tr w:rsidR="001A4A6F" w:rsidRPr="00D17E2A" w:rsidTr="00D1707A">
        <w:trPr>
          <w:trHeight w:val="22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59760</w:t>
            </w:r>
          </w:p>
        </w:tc>
        <w:tc>
          <w:tcPr>
            <w:tcW w:w="8221" w:type="dxa"/>
            <w:shd w:val="clear" w:color="000000" w:fill="FFFFFF" w:themeFill="background1"/>
            <w:vAlign w:val="center"/>
          </w:tcPr>
          <w:p w:rsidR="00595818"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Peritoneogram (herniography) with or without contrast medium including preparation - performed on a person &gt;14 years of age (R)</w:t>
            </w:r>
          </w:p>
        </w:tc>
      </w:tr>
      <w:tr w:rsidR="001A4A6F" w:rsidRPr="00D17E2A" w:rsidTr="00D1707A">
        <w:trPr>
          <w:trHeight w:val="22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59761</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[Mirror item] Peritoneogram (herniography) with or without contrast medium including preparation - performed on a person &gt;14 years of age (R)(NK)</w:t>
            </w:r>
          </w:p>
        </w:tc>
      </w:tr>
      <w:tr w:rsidR="001A4A6F" w:rsidRPr="00D17E2A" w:rsidTr="00D1707A">
        <w:trPr>
          <w:trHeight w:val="22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61465</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Venography (R)</w:t>
            </w:r>
          </w:p>
        </w:tc>
      </w:tr>
      <w:tr w:rsidR="001A4A6F" w:rsidRPr="00D17E2A" w:rsidTr="00D1707A">
        <w:trPr>
          <w:trHeight w:val="22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61711</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[Mirror item] Venography (R)(NK)</w:t>
            </w:r>
          </w:p>
        </w:tc>
      </w:tr>
      <w:tr w:rsidR="001A4A6F" w:rsidRPr="00D17E2A" w:rsidTr="00D1707A">
        <w:trPr>
          <w:trHeight w:val="283"/>
        </w:trPr>
        <w:tc>
          <w:tcPr>
            <w:tcW w:w="9072" w:type="dxa"/>
            <w:gridSpan w:val="2"/>
            <w:shd w:val="clear" w:color="000000" w:fill="FFFFFF" w:themeFill="background1"/>
            <w:vAlign w:val="center"/>
          </w:tcPr>
          <w:p w:rsidR="001A4A6F" w:rsidRPr="00D17E2A" w:rsidRDefault="001A4A6F" w:rsidP="00D1707A">
            <w:pPr>
              <w:spacing w:before="40" w:after="40"/>
              <w:jc w:val="center"/>
              <w:rPr>
                <w:rFonts w:asciiTheme="minorHAnsi" w:hAnsiTheme="minorHAnsi" w:cs="Arial"/>
                <w:b/>
                <w:color w:val="000000"/>
                <w:sz w:val="20"/>
                <w:szCs w:val="20"/>
              </w:rPr>
            </w:pPr>
            <w:r w:rsidRPr="00D17E2A">
              <w:rPr>
                <w:rFonts w:asciiTheme="minorHAnsi" w:hAnsiTheme="minorHAnsi" w:cs="Arial"/>
                <w:b/>
                <w:color w:val="000000"/>
                <w:sz w:val="20"/>
                <w:szCs w:val="20"/>
              </w:rPr>
              <w:lastRenderedPageBreak/>
              <w:t>Ear, nose and throat surgery</w:t>
            </w:r>
          </w:p>
        </w:tc>
      </w:tr>
      <w:tr w:rsidR="001A4A6F" w:rsidRPr="00D17E2A" w:rsidTr="00D1707A">
        <w:trPr>
          <w:trHeight w:val="22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11321</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Glycerol induced cochlear function changes assessed by a minimum of 4 air conduction and speech discrimination tests (Klockoff's tests)</w:t>
            </w:r>
          </w:p>
        </w:tc>
      </w:tr>
      <w:tr w:rsidR="001A4A6F" w:rsidRPr="00D17E2A" w:rsidTr="00D1707A">
        <w:trPr>
          <w:trHeight w:val="22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18246</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Glossopharyngeal nerve, injection of an anaesthetic agent</w:t>
            </w:r>
          </w:p>
        </w:tc>
      </w:tr>
      <w:tr w:rsidR="001A4A6F" w:rsidRPr="00D17E2A" w:rsidTr="00D1707A">
        <w:trPr>
          <w:trHeight w:val="22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41680</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Cryotherapy to nose in the treatment of nasal haemorrhage (Anaes.)</w:t>
            </w:r>
          </w:p>
        </w:tc>
      </w:tr>
      <w:tr w:rsidR="001A4A6F" w:rsidRPr="00D17E2A" w:rsidTr="00D1707A">
        <w:trPr>
          <w:trHeight w:val="22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41695</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Turbinates, cryotherapy to (Anaes.)</w:t>
            </w:r>
          </w:p>
        </w:tc>
      </w:tr>
      <w:tr w:rsidR="001A4A6F" w:rsidRPr="00D17E2A" w:rsidTr="00D1707A">
        <w:trPr>
          <w:trHeight w:val="22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41758</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Division of pharyngeal adhesions (Anaes.)</w:t>
            </w:r>
          </w:p>
        </w:tc>
      </w:tr>
      <w:tr w:rsidR="001A4A6F" w:rsidRPr="00D17E2A" w:rsidTr="00D1707A">
        <w:trPr>
          <w:trHeight w:val="22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41761</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Postnasal space, direct examination of, with or without biopsy (Anaes.)</w:t>
            </w:r>
          </w:p>
        </w:tc>
      </w:tr>
      <w:tr w:rsidR="001A4A6F" w:rsidRPr="00D17E2A" w:rsidTr="00D1707A">
        <w:trPr>
          <w:trHeight w:val="22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41849</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Larynx, direct examination of, with biopsy (Anaes.) (Assist.)*</w:t>
            </w:r>
          </w:p>
        </w:tc>
      </w:tr>
      <w:tr w:rsidR="001A4A6F" w:rsidRPr="00D17E2A" w:rsidTr="00D1707A">
        <w:trPr>
          <w:trHeight w:val="22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41852</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Larynx, direct examination of, with removal of tumour (Anaes.) (Assist.)*</w:t>
            </w:r>
          </w:p>
        </w:tc>
      </w:tr>
      <w:tr w:rsidR="001A4A6F" w:rsidRPr="00D17E2A" w:rsidTr="00D1707A">
        <w:trPr>
          <w:trHeight w:val="283"/>
        </w:trPr>
        <w:tc>
          <w:tcPr>
            <w:tcW w:w="9072" w:type="dxa"/>
            <w:gridSpan w:val="2"/>
            <w:shd w:val="clear" w:color="000000" w:fill="FFFFFF" w:themeFill="background1"/>
            <w:vAlign w:val="center"/>
          </w:tcPr>
          <w:p w:rsidR="001A4A6F" w:rsidRPr="00D17E2A" w:rsidRDefault="001A4A6F" w:rsidP="00D1707A">
            <w:pPr>
              <w:spacing w:before="40" w:after="40"/>
              <w:jc w:val="center"/>
              <w:rPr>
                <w:rFonts w:asciiTheme="minorHAnsi" w:hAnsiTheme="minorHAnsi" w:cs="Arial"/>
                <w:b/>
                <w:color w:val="000000"/>
                <w:sz w:val="20"/>
                <w:szCs w:val="20"/>
              </w:rPr>
            </w:pPr>
            <w:r w:rsidRPr="00D17E2A">
              <w:rPr>
                <w:rFonts w:asciiTheme="minorHAnsi" w:hAnsiTheme="minorHAnsi" w:cs="Arial"/>
                <w:b/>
                <w:color w:val="000000"/>
                <w:sz w:val="20"/>
                <w:szCs w:val="20"/>
              </w:rPr>
              <w:t>Gastroenterology</w:t>
            </w:r>
          </w:p>
        </w:tc>
      </w:tr>
      <w:tr w:rsidR="001A4A6F" w:rsidRPr="00D17E2A" w:rsidTr="00D1707A">
        <w:trPr>
          <w:trHeight w:val="39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color w:val="000000"/>
                <w:sz w:val="20"/>
                <w:szCs w:val="20"/>
              </w:rPr>
            </w:pPr>
            <w:r w:rsidRPr="00D17E2A">
              <w:rPr>
                <w:rFonts w:asciiTheme="minorHAnsi" w:hAnsiTheme="minorHAnsi" w:cs="Arial"/>
                <w:color w:val="000000"/>
                <w:sz w:val="20"/>
                <w:szCs w:val="20"/>
              </w:rPr>
              <w:t>13500</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color w:val="000000"/>
                <w:sz w:val="20"/>
                <w:szCs w:val="20"/>
              </w:rPr>
            </w:pPr>
            <w:r w:rsidRPr="00D17E2A">
              <w:rPr>
                <w:rFonts w:asciiTheme="minorHAnsi" w:hAnsiTheme="minorHAnsi" w:cs="Arial"/>
                <w:color w:val="000000"/>
                <w:sz w:val="20"/>
                <w:szCs w:val="20"/>
              </w:rPr>
              <w:t>Gastric hypothermia by closed circuit circulation of refrigerant in the absence of gastrointestinal haemorrhage</w:t>
            </w:r>
          </w:p>
        </w:tc>
      </w:tr>
      <w:tr w:rsidR="001A4A6F" w:rsidRPr="00D17E2A" w:rsidTr="00D1707A">
        <w:trPr>
          <w:trHeight w:val="39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color w:val="000000"/>
                <w:sz w:val="20"/>
                <w:szCs w:val="20"/>
              </w:rPr>
            </w:pPr>
            <w:r w:rsidRPr="00D17E2A">
              <w:rPr>
                <w:rFonts w:asciiTheme="minorHAnsi" w:hAnsiTheme="minorHAnsi" w:cs="Arial"/>
                <w:color w:val="000000"/>
                <w:sz w:val="20"/>
                <w:szCs w:val="20"/>
              </w:rPr>
              <w:t>13503</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color w:val="000000"/>
                <w:sz w:val="20"/>
                <w:szCs w:val="20"/>
              </w:rPr>
            </w:pPr>
            <w:r w:rsidRPr="00D17E2A">
              <w:rPr>
                <w:rFonts w:asciiTheme="minorHAnsi" w:hAnsiTheme="minorHAnsi" w:cs="Arial"/>
                <w:color w:val="000000"/>
                <w:sz w:val="20"/>
                <w:szCs w:val="20"/>
              </w:rPr>
              <w:t>Gastric hypothermia by closed circuit circulation of refrigerant for upper gastrointestinal haemorrhage</w:t>
            </w:r>
          </w:p>
        </w:tc>
      </w:tr>
      <w:tr w:rsidR="001A4A6F" w:rsidRPr="00D17E2A" w:rsidTr="00D1707A">
        <w:trPr>
          <w:trHeight w:val="39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color w:val="000000"/>
                <w:sz w:val="20"/>
                <w:szCs w:val="20"/>
              </w:rPr>
            </w:pPr>
            <w:r w:rsidRPr="00D17E2A">
              <w:rPr>
                <w:rFonts w:asciiTheme="minorHAnsi" w:hAnsiTheme="minorHAnsi" w:cs="Arial"/>
                <w:color w:val="000000"/>
                <w:sz w:val="20"/>
                <w:szCs w:val="20"/>
              </w:rPr>
              <w:t>32078</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color w:val="000000"/>
                <w:sz w:val="20"/>
                <w:szCs w:val="20"/>
              </w:rPr>
            </w:pPr>
            <w:r w:rsidRPr="00D17E2A">
              <w:rPr>
                <w:rFonts w:asciiTheme="minorHAnsi" w:hAnsiTheme="minorHAnsi" w:cs="Arial"/>
                <w:color w:val="000000"/>
                <w:sz w:val="20"/>
                <w:szCs w:val="20"/>
              </w:rPr>
              <w:t xml:space="preserve">Sigmoidoscopic examination with diathermy or resection of 1 or more polyps where the time taken is </w:t>
            </w:r>
            <w:r w:rsidRPr="00D17E2A">
              <w:rPr>
                <w:rFonts w:ascii="Cambria Math" w:hAnsi="Cambria Math" w:cs="Cambria Math"/>
                <w:color w:val="000000"/>
                <w:sz w:val="20"/>
                <w:szCs w:val="20"/>
              </w:rPr>
              <w:t>≦</w:t>
            </w:r>
            <w:r w:rsidRPr="00D17E2A">
              <w:rPr>
                <w:rFonts w:asciiTheme="minorHAnsi" w:hAnsiTheme="minorHAnsi" w:cs="Arial"/>
                <w:color w:val="000000"/>
                <w:sz w:val="20"/>
                <w:szCs w:val="20"/>
              </w:rPr>
              <w:t>45 minutes (Anaes.)</w:t>
            </w:r>
          </w:p>
        </w:tc>
      </w:tr>
      <w:tr w:rsidR="001A4A6F" w:rsidRPr="00D17E2A" w:rsidTr="00D1707A">
        <w:trPr>
          <w:trHeight w:val="39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color w:val="000000"/>
                <w:sz w:val="20"/>
                <w:szCs w:val="20"/>
              </w:rPr>
            </w:pPr>
            <w:r w:rsidRPr="00D17E2A">
              <w:rPr>
                <w:rFonts w:asciiTheme="minorHAnsi" w:hAnsiTheme="minorHAnsi" w:cs="Arial"/>
                <w:color w:val="000000"/>
                <w:sz w:val="20"/>
                <w:szCs w:val="20"/>
              </w:rPr>
              <w:t>32081</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color w:val="000000"/>
                <w:sz w:val="20"/>
                <w:szCs w:val="20"/>
              </w:rPr>
            </w:pPr>
            <w:r w:rsidRPr="00D17E2A">
              <w:rPr>
                <w:rFonts w:asciiTheme="minorHAnsi" w:hAnsiTheme="minorHAnsi" w:cs="Arial"/>
                <w:color w:val="000000"/>
                <w:sz w:val="20"/>
                <w:szCs w:val="20"/>
              </w:rPr>
              <w:t>Sigmoidoscopic examination with diathermy or resection of 1 or more polyps where the time taken is &gt; 45 minutes (Anaes.)*</w:t>
            </w:r>
          </w:p>
        </w:tc>
      </w:tr>
      <w:tr w:rsidR="001A4A6F" w:rsidRPr="00D17E2A" w:rsidTr="00D1707A">
        <w:trPr>
          <w:trHeight w:val="283"/>
        </w:trPr>
        <w:tc>
          <w:tcPr>
            <w:tcW w:w="9072" w:type="dxa"/>
            <w:gridSpan w:val="2"/>
            <w:shd w:val="clear" w:color="000000" w:fill="FFFFFF" w:themeFill="background1"/>
            <w:vAlign w:val="center"/>
          </w:tcPr>
          <w:p w:rsidR="001A4A6F" w:rsidRPr="00D17E2A" w:rsidRDefault="001A4A6F" w:rsidP="00D1707A">
            <w:pPr>
              <w:spacing w:before="40" w:after="40"/>
              <w:jc w:val="center"/>
              <w:rPr>
                <w:rFonts w:asciiTheme="minorHAnsi" w:hAnsiTheme="minorHAnsi" w:cs="Arial"/>
                <w:b/>
                <w:color w:val="000000"/>
                <w:sz w:val="20"/>
                <w:szCs w:val="20"/>
              </w:rPr>
            </w:pPr>
            <w:r w:rsidRPr="00D17E2A">
              <w:rPr>
                <w:rFonts w:asciiTheme="minorHAnsi" w:hAnsiTheme="minorHAnsi" w:cs="Arial"/>
                <w:b/>
                <w:color w:val="000000"/>
                <w:sz w:val="20"/>
                <w:szCs w:val="20"/>
              </w:rPr>
              <w:t>Thoracic medicine</w:t>
            </w:r>
          </w:p>
        </w:tc>
      </w:tr>
      <w:tr w:rsidR="001A4A6F" w:rsidRPr="00D17E2A" w:rsidTr="00D1707A">
        <w:trPr>
          <w:trHeight w:val="340"/>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color w:val="000000"/>
                <w:sz w:val="20"/>
                <w:szCs w:val="20"/>
              </w:rPr>
            </w:pPr>
            <w:r w:rsidRPr="00D17E2A">
              <w:rPr>
                <w:rFonts w:asciiTheme="minorHAnsi" w:hAnsiTheme="minorHAnsi" w:cs="Arial"/>
                <w:color w:val="000000"/>
                <w:sz w:val="20"/>
                <w:szCs w:val="20"/>
              </w:rPr>
              <w:t>11500</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color w:val="000000"/>
                <w:sz w:val="20"/>
                <w:szCs w:val="20"/>
              </w:rPr>
            </w:pPr>
            <w:r w:rsidRPr="00D17E2A">
              <w:rPr>
                <w:rFonts w:asciiTheme="minorHAnsi" w:hAnsiTheme="minorHAnsi" w:cs="Arial"/>
                <w:color w:val="000000"/>
                <w:sz w:val="20"/>
                <w:szCs w:val="20"/>
              </w:rPr>
              <w:t>Bronchospirometry, including gas analysis</w:t>
            </w:r>
          </w:p>
        </w:tc>
      </w:tr>
      <w:tr w:rsidR="001A4A6F" w:rsidRPr="00D17E2A" w:rsidTr="00D1707A">
        <w:trPr>
          <w:trHeight w:val="283"/>
        </w:trPr>
        <w:tc>
          <w:tcPr>
            <w:tcW w:w="9072" w:type="dxa"/>
            <w:gridSpan w:val="2"/>
            <w:shd w:val="clear" w:color="000000" w:fill="FFFFFF" w:themeFill="background1"/>
            <w:vAlign w:val="center"/>
          </w:tcPr>
          <w:p w:rsidR="001A4A6F" w:rsidRPr="00D17E2A" w:rsidRDefault="001A4A6F" w:rsidP="00D1707A">
            <w:pPr>
              <w:spacing w:before="40" w:after="40"/>
              <w:jc w:val="center"/>
              <w:rPr>
                <w:rFonts w:asciiTheme="minorHAnsi" w:hAnsiTheme="minorHAnsi" w:cs="Arial"/>
                <w:color w:val="000000"/>
                <w:sz w:val="20"/>
                <w:szCs w:val="20"/>
              </w:rPr>
            </w:pPr>
            <w:r w:rsidRPr="00D17E2A">
              <w:rPr>
                <w:rFonts w:asciiTheme="minorHAnsi" w:hAnsiTheme="minorHAnsi" w:cs="Arial"/>
                <w:b/>
                <w:color w:val="000000"/>
                <w:sz w:val="20"/>
                <w:szCs w:val="20"/>
              </w:rPr>
              <w:t>Obstetrics</w:t>
            </w:r>
          </w:p>
        </w:tc>
      </w:tr>
      <w:tr w:rsidR="001A4A6F" w:rsidRPr="00D17E2A" w:rsidTr="00D1707A">
        <w:trPr>
          <w:trHeight w:val="283"/>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16504</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Treatment of habitual miscarriage by injection of hormones each injection up to a maximum of 12 injections, where the injection is not administered during a routine antenatal attendance</w:t>
            </w:r>
          </w:p>
        </w:tc>
      </w:tr>
    </w:tbl>
    <w:p w:rsidR="001A4A6F" w:rsidRPr="00D17E2A" w:rsidRDefault="001A4A6F" w:rsidP="001A4A6F">
      <w:pPr>
        <w:rPr>
          <w:rFonts w:asciiTheme="minorHAnsi" w:hAnsiTheme="minorHAnsi"/>
        </w:rPr>
      </w:pPr>
    </w:p>
    <w:p w:rsidR="001A4A6F" w:rsidRPr="00D17E2A" w:rsidRDefault="001A4A6F" w:rsidP="001A4A6F">
      <w:pPr>
        <w:rPr>
          <w:rFonts w:asciiTheme="minorHAnsi" w:hAnsiTheme="minorHAnsi"/>
        </w:rPr>
      </w:pPr>
    </w:p>
    <w:p w:rsidR="001A4A6F" w:rsidRPr="00A470F1" w:rsidRDefault="001A4A6F" w:rsidP="00A470F1">
      <w:pPr>
        <w:pStyle w:val="ListParagraph"/>
        <w:numPr>
          <w:ilvl w:val="0"/>
          <w:numId w:val="6"/>
        </w:numPr>
        <w:rPr>
          <w:rFonts w:asciiTheme="minorHAnsi" w:hAnsiTheme="minorHAnsi"/>
          <w:b/>
        </w:rPr>
      </w:pPr>
      <w:r w:rsidRPr="00A470F1">
        <w:rPr>
          <w:rFonts w:asciiTheme="minorHAnsi" w:hAnsiTheme="minorHAnsi"/>
          <w:b/>
        </w:rPr>
        <w:t>That the following diagnostic imaging items are obsolete in relation to adult patients, and that they be amended by the Diagnostic Imaging Clinical Committee to restrict access to paediatric patients.</w:t>
      </w:r>
    </w:p>
    <w:p w:rsidR="001A4A6F" w:rsidRPr="00D17E2A" w:rsidRDefault="001A4A6F" w:rsidP="001A4A6F">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ayout w:type="fixed"/>
        <w:tblLook w:val="04A0" w:firstRow="1" w:lastRow="0" w:firstColumn="1" w:lastColumn="0" w:noHBand="0" w:noVBand="1"/>
      </w:tblPr>
      <w:tblGrid>
        <w:gridCol w:w="851"/>
        <w:gridCol w:w="8221"/>
      </w:tblGrid>
      <w:tr w:rsidR="001A4A6F" w:rsidRPr="00D17E2A" w:rsidTr="00D1707A">
        <w:trPr>
          <w:trHeight w:val="113"/>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59715</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Bronchography, 1 side, with or without preliminary plain films and with preparation and contrast injection - (R)</w:t>
            </w:r>
          </w:p>
        </w:tc>
      </w:tr>
      <w:tr w:rsidR="001A4A6F" w:rsidRPr="00D17E2A" w:rsidTr="00D1707A">
        <w:trPr>
          <w:trHeight w:val="113"/>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59716</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[Mirror item] Bronchography, 1 side, with or without preliminary plain films and with preparation and contrast injection - (R)(NK)</w:t>
            </w:r>
          </w:p>
        </w:tc>
      </w:tr>
    </w:tbl>
    <w:p w:rsidR="001A4A6F" w:rsidRPr="00D17E2A" w:rsidRDefault="001A4A6F" w:rsidP="001A4A6F">
      <w:pPr>
        <w:rPr>
          <w:rFonts w:asciiTheme="minorHAnsi" w:hAnsiTheme="minorHAnsi"/>
        </w:rPr>
      </w:pPr>
    </w:p>
    <w:p w:rsidR="00A470F1" w:rsidRDefault="00A470F1">
      <w:pPr>
        <w:rPr>
          <w:rFonts w:asciiTheme="minorHAnsi" w:hAnsiTheme="minorHAnsi"/>
        </w:rPr>
      </w:pPr>
      <w:r>
        <w:rPr>
          <w:rFonts w:asciiTheme="minorHAnsi" w:hAnsiTheme="minorHAnsi"/>
        </w:rPr>
        <w:br w:type="page"/>
      </w:r>
    </w:p>
    <w:p w:rsidR="001A4A6F" w:rsidRPr="00D17E2A" w:rsidRDefault="001A4A6F" w:rsidP="001A4A6F">
      <w:pPr>
        <w:rPr>
          <w:rFonts w:asciiTheme="minorHAnsi" w:hAnsiTheme="minorHAnsi"/>
        </w:rPr>
      </w:pPr>
    </w:p>
    <w:p w:rsidR="001A4A6F" w:rsidRPr="00D17E2A" w:rsidRDefault="001A4A6F" w:rsidP="001A4A6F">
      <w:pPr>
        <w:rPr>
          <w:rFonts w:asciiTheme="minorHAnsi" w:hAnsiTheme="minorHAnsi"/>
          <w:b/>
        </w:rPr>
      </w:pPr>
      <w:r w:rsidRPr="00D17E2A">
        <w:rPr>
          <w:rFonts w:asciiTheme="minorHAnsi" w:hAnsiTheme="minorHAnsi"/>
          <w:b/>
        </w:rPr>
        <w:t>Other matters</w:t>
      </w:r>
    </w:p>
    <w:p w:rsidR="001A4A6F" w:rsidRPr="00D17E2A" w:rsidRDefault="001A4A6F" w:rsidP="001A4A6F">
      <w:pPr>
        <w:rPr>
          <w:rFonts w:asciiTheme="minorHAnsi" w:hAnsiTheme="minorHAnsi"/>
        </w:rPr>
      </w:pPr>
    </w:p>
    <w:p w:rsidR="001A4A6F" w:rsidRPr="00D17E2A" w:rsidRDefault="001A4A6F" w:rsidP="001A4A6F">
      <w:pPr>
        <w:rPr>
          <w:rFonts w:asciiTheme="minorHAnsi" w:hAnsiTheme="minorHAnsi"/>
        </w:rPr>
      </w:pPr>
      <w:r w:rsidRPr="00D17E2A">
        <w:rPr>
          <w:rFonts w:asciiTheme="minorHAnsi" w:hAnsiTheme="minorHAnsi"/>
        </w:rPr>
        <w:t xml:space="preserve">In addition, the Taskforce agreed that a number of the items considered for obsolescence are of questionable utility in their current form but, rather than be removed completely from the MBS, should be referred </w:t>
      </w:r>
      <w:r>
        <w:rPr>
          <w:rFonts w:asciiTheme="minorHAnsi" w:hAnsiTheme="minorHAnsi"/>
        </w:rPr>
        <w:t>back for further consideration</w:t>
      </w:r>
      <w:r w:rsidRPr="00D17E2A">
        <w:rPr>
          <w:rFonts w:asciiTheme="minorHAnsi" w:hAnsiTheme="minorHAnsi"/>
        </w:rPr>
        <w:t>. These items are:</w:t>
      </w:r>
    </w:p>
    <w:p w:rsidR="001A4A6F" w:rsidRPr="00D17E2A" w:rsidRDefault="001A4A6F" w:rsidP="001A4A6F">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ayout w:type="fixed"/>
        <w:tblLook w:val="04A0" w:firstRow="1" w:lastRow="0" w:firstColumn="1" w:lastColumn="0" w:noHBand="0" w:noVBand="1"/>
      </w:tblPr>
      <w:tblGrid>
        <w:gridCol w:w="851"/>
        <w:gridCol w:w="8221"/>
      </w:tblGrid>
      <w:tr w:rsidR="001A4A6F" w:rsidRPr="00D17E2A" w:rsidTr="00D1707A">
        <w:trPr>
          <w:trHeight w:val="113"/>
        </w:trPr>
        <w:tc>
          <w:tcPr>
            <w:tcW w:w="9072" w:type="dxa"/>
            <w:gridSpan w:val="2"/>
            <w:shd w:val="clear" w:color="000000" w:fill="FFFFFF" w:themeFill="background1"/>
            <w:vAlign w:val="center"/>
          </w:tcPr>
          <w:p w:rsidR="001A4A6F" w:rsidRPr="00D17E2A" w:rsidRDefault="001A4A6F" w:rsidP="00D1707A">
            <w:pPr>
              <w:spacing w:before="40" w:after="40"/>
              <w:jc w:val="center"/>
              <w:rPr>
                <w:rFonts w:asciiTheme="minorHAnsi" w:hAnsiTheme="minorHAnsi" w:cs="Arial"/>
                <w:b/>
                <w:sz w:val="20"/>
                <w:szCs w:val="20"/>
              </w:rPr>
            </w:pPr>
            <w:r w:rsidRPr="00D17E2A">
              <w:rPr>
                <w:rFonts w:asciiTheme="minorHAnsi" w:hAnsiTheme="minorHAnsi" w:cs="Arial"/>
                <w:b/>
                <w:sz w:val="20"/>
                <w:szCs w:val="20"/>
              </w:rPr>
              <w:t>Diagnostic imaging</w:t>
            </w:r>
          </w:p>
        </w:tc>
      </w:tr>
      <w:tr w:rsidR="001A4A6F" w:rsidRPr="00D17E2A" w:rsidTr="00D1707A">
        <w:trPr>
          <w:trHeight w:val="283"/>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58706</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Intravenous Pyelography, with or without preliminary plain films and with or without tomography - (R)</w:t>
            </w:r>
          </w:p>
        </w:tc>
      </w:tr>
      <w:tr w:rsidR="001A4A6F" w:rsidRPr="00D17E2A" w:rsidTr="00D1707A">
        <w:trPr>
          <w:trHeight w:val="283"/>
        </w:trPr>
        <w:tc>
          <w:tcPr>
            <w:tcW w:w="851" w:type="dxa"/>
            <w:shd w:val="clear" w:color="000000" w:fill="FFFFFF" w:themeFill="background1"/>
            <w:vAlign w:val="center"/>
            <w:hideMark/>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58708</w:t>
            </w:r>
          </w:p>
        </w:tc>
        <w:tc>
          <w:tcPr>
            <w:tcW w:w="8221" w:type="dxa"/>
            <w:shd w:val="clear" w:color="000000" w:fill="FFFFFF" w:themeFill="background1"/>
            <w:vAlign w:val="center"/>
            <w:hideMark/>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[Mirror item] Intravenous Pyelography, with or without preliminary plain films and with or without tomography - (R)(NK)</w:t>
            </w:r>
          </w:p>
        </w:tc>
      </w:tr>
    </w:tbl>
    <w:p w:rsidR="001A4A6F" w:rsidRPr="00D17E2A" w:rsidRDefault="001A4A6F" w:rsidP="001A4A6F">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ayout w:type="fixed"/>
        <w:tblLook w:val="04A0" w:firstRow="1" w:lastRow="0" w:firstColumn="1" w:lastColumn="0" w:noHBand="0" w:noVBand="1"/>
      </w:tblPr>
      <w:tblGrid>
        <w:gridCol w:w="851"/>
        <w:gridCol w:w="8221"/>
      </w:tblGrid>
      <w:tr w:rsidR="001A4A6F" w:rsidRPr="00D17E2A" w:rsidTr="00D1707A">
        <w:trPr>
          <w:trHeight w:val="227"/>
        </w:trPr>
        <w:tc>
          <w:tcPr>
            <w:tcW w:w="9072" w:type="dxa"/>
            <w:gridSpan w:val="2"/>
            <w:shd w:val="clear" w:color="000000" w:fill="FFFFFF" w:themeFill="background1"/>
            <w:vAlign w:val="center"/>
          </w:tcPr>
          <w:p w:rsidR="001A4A6F" w:rsidRPr="00D17E2A" w:rsidRDefault="001A4A6F" w:rsidP="00D1707A">
            <w:pPr>
              <w:spacing w:before="40" w:after="40"/>
              <w:jc w:val="center"/>
              <w:rPr>
                <w:rFonts w:asciiTheme="minorHAnsi" w:hAnsiTheme="minorHAnsi" w:cs="Arial"/>
                <w:b/>
                <w:sz w:val="20"/>
                <w:szCs w:val="20"/>
              </w:rPr>
            </w:pPr>
            <w:r w:rsidRPr="00D17E2A">
              <w:rPr>
                <w:rFonts w:asciiTheme="minorHAnsi" w:hAnsiTheme="minorHAnsi" w:cs="Arial"/>
                <w:b/>
                <w:sz w:val="20"/>
                <w:szCs w:val="20"/>
              </w:rPr>
              <w:t>Ear, nose and throat surgery</w:t>
            </w:r>
          </w:p>
        </w:tc>
      </w:tr>
      <w:tr w:rsidR="001A4A6F" w:rsidRPr="00D17E2A" w:rsidTr="00D1707A">
        <w:trPr>
          <w:trHeight w:val="227"/>
        </w:trPr>
        <w:tc>
          <w:tcPr>
            <w:tcW w:w="85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41846</w:t>
            </w:r>
          </w:p>
        </w:tc>
        <w:tc>
          <w:tcPr>
            <w:tcW w:w="8221" w:type="dxa"/>
            <w:shd w:val="clear" w:color="000000" w:fill="FFFFFF" w:themeFill="background1"/>
            <w:vAlign w:val="center"/>
          </w:tcPr>
          <w:p w:rsidR="001A4A6F" w:rsidRPr="00D17E2A" w:rsidRDefault="001A4A6F" w:rsidP="00D1707A">
            <w:pPr>
              <w:spacing w:before="40" w:after="40"/>
              <w:rPr>
                <w:rFonts w:asciiTheme="minorHAnsi" w:hAnsiTheme="minorHAnsi" w:cs="Arial"/>
                <w:sz w:val="20"/>
                <w:szCs w:val="20"/>
              </w:rPr>
            </w:pPr>
            <w:r w:rsidRPr="00D17E2A">
              <w:rPr>
                <w:rFonts w:asciiTheme="minorHAnsi" w:hAnsiTheme="minorHAnsi" w:cs="Arial"/>
                <w:sz w:val="20"/>
                <w:szCs w:val="20"/>
              </w:rPr>
              <w:t>Larynx, direct examination of the supraglottic, glottic and subglottic regions, not being a service associated with any other procedure on the larynx or with the administration of a general anaesthetic (Anaes.)</w:t>
            </w:r>
          </w:p>
        </w:tc>
      </w:tr>
    </w:tbl>
    <w:p w:rsidR="001A4A6F" w:rsidRPr="00D17E2A" w:rsidRDefault="001A4A6F" w:rsidP="001A4A6F">
      <w:pPr>
        <w:rPr>
          <w:rFonts w:asciiTheme="minorHAnsi" w:hAnsiTheme="minorHAnsi"/>
        </w:rPr>
      </w:pPr>
    </w:p>
    <w:p w:rsidR="001A4A6F" w:rsidRPr="00D17E2A" w:rsidRDefault="001A4A6F" w:rsidP="001A4A6F">
      <w:pPr>
        <w:rPr>
          <w:rFonts w:asciiTheme="minorHAnsi" w:hAnsiTheme="minorHAnsi"/>
        </w:rPr>
      </w:pPr>
      <w:r w:rsidRPr="00D17E2A">
        <w:rPr>
          <w:rFonts w:asciiTheme="minorHAnsi" w:hAnsiTheme="minorHAnsi"/>
        </w:rPr>
        <w:t>The Taskforce also agreed that a decision on the gastroenterology item 30493 (Biliary manometry) should be deferred pending further consideration by that Clinical Committee.</w:t>
      </w:r>
    </w:p>
    <w:p w:rsidR="00A470F1" w:rsidRDefault="00A470F1" w:rsidP="00C36864">
      <w:pPr>
        <w:spacing w:line="360" w:lineRule="auto"/>
        <w:rPr>
          <w:rFonts w:asciiTheme="minorHAnsi" w:hAnsiTheme="minorHAnsi" w:cs="Arial"/>
          <w:color w:val="000000" w:themeColor="text1"/>
          <w:sz w:val="22"/>
          <w:szCs w:val="22"/>
        </w:rPr>
      </w:pPr>
    </w:p>
    <w:p w:rsidR="00A470F1" w:rsidRPr="00A470F1" w:rsidRDefault="00A470F1" w:rsidP="00C36864">
      <w:pPr>
        <w:spacing w:line="360" w:lineRule="auto"/>
        <w:rPr>
          <w:rFonts w:asciiTheme="minorHAnsi" w:eastAsiaTheme="minorHAnsi" w:hAnsiTheme="minorHAnsi" w:cs="Arial"/>
          <w:b/>
          <w:bCs/>
          <w:color w:val="01653F"/>
          <w:kern w:val="32"/>
          <w:sz w:val="32"/>
          <w:szCs w:val="28"/>
          <w:lang w:val="en-US"/>
        </w:rPr>
      </w:pPr>
      <w:r w:rsidRPr="00A470F1">
        <w:rPr>
          <w:rFonts w:asciiTheme="minorHAnsi" w:eastAsiaTheme="minorHAnsi" w:hAnsiTheme="minorHAnsi" w:cs="Arial"/>
          <w:b/>
          <w:bCs/>
          <w:color w:val="01653F"/>
          <w:kern w:val="32"/>
          <w:sz w:val="32"/>
          <w:szCs w:val="28"/>
          <w:lang w:val="en-US"/>
        </w:rPr>
        <w:t>Public consultation</w:t>
      </w:r>
    </w:p>
    <w:p w:rsidR="00A470F1" w:rsidRDefault="00A470F1" w:rsidP="00A470F1">
      <w:pPr>
        <w:rPr>
          <w:rFonts w:asciiTheme="minorHAnsi" w:hAnsiTheme="minorHAnsi"/>
          <w:color w:val="000000" w:themeColor="text1"/>
        </w:rPr>
      </w:pPr>
      <w:r w:rsidRPr="00D17E2A">
        <w:rPr>
          <w:rFonts w:asciiTheme="minorHAnsi" w:hAnsiTheme="minorHAnsi"/>
          <w:color w:val="000000" w:themeColor="text1"/>
        </w:rPr>
        <w:t>Between 21 December 2015 and 8 February 2016, stakeholder comment on the proposed obsolescence of</w:t>
      </w:r>
      <w:r>
        <w:rPr>
          <w:rFonts w:asciiTheme="minorHAnsi" w:hAnsiTheme="minorHAnsi"/>
          <w:color w:val="000000" w:themeColor="text1"/>
        </w:rPr>
        <w:t xml:space="preserve"> these items was sought through online consultation</w:t>
      </w:r>
      <w:r w:rsidRPr="00D17E2A">
        <w:rPr>
          <w:rFonts w:asciiTheme="minorHAnsi" w:hAnsiTheme="minorHAnsi"/>
          <w:color w:val="000000" w:themeColor="text1"/>
        </w:rPr>
        <w:t>. There were a total of 63 responses to the online survey: 36 respondents identified as health professionals and 23 as consumers. There were also nine written submissions made by a</w:t>
      </w:r>
      <w:r>
        <w:rPr>
          <w:rFonts w:asciiTheme="minorHAnsi" w:hAnsiTheme="minorHAnsi"/>
          <w:color w:val="000000" w:themeColor="text1"/>
        </w:rPr>
        <w:t xml:space="preserve"> range of professional bodies. T</w:t>
      </w:r>
      <w:r w:rsidRPr="00D17E2A">
        <w:rPr>
          <w:rFonts w:asciiTheme="minorHAnsi" w:hAnsiTheme="minorHAnsi"/>
        </w:rPr>
        <w:t xml:space="preserve">he feedback resulted in no changes to the </w:t>
      </w:r>
      <w:r>
        <w:rPr>
          <w:rFonts w:asciiTheme="minorHAnsi" w:hAnsiTheme="minorHAnsi"/>
        </w:rPr>
        <w:t>recommendations.</w:t>
      </w:r>
    </w:p>
    <w:p w:rsidR="00A470F1" w:rsidRPr="00A470F1" w:rsidRDefault="00A470F1" w:rsidP="00A470F1">
      <w:pPr>
        <w:rPr>
          <w:rFonts w:asciiTheme="minorHAnsi" w:hAnsiTheme="minorHAnsi"/>
          <w:color w:val="000000" w:themeColor="text1"/>
        </w:rPr>
      </w:pPr>
    </w:p>
    <w:p w:rsidR="00A470F1" w:rsidRPr="00D17E2A" w:rsidRDefault="00A470F1" w:rsidP="00A470F1">
      <w:pPr>
        <w:rPr>
          <w:rFonts w:asciiTheme="minorHAnsi" w:hAnsiTheme="minorHAnsi"/>
        </w:rPr>
      </w:pPr>
      <w:r w:rsidRPr="00D17E2A">
        <w:rPr>
          <w:rFonts w:asciiTheme="minorHAnsi" w:hAnsiTheme="minorHAnsi"/>
        </w:rPr>
        <w:t xml:space="preserve">In making these recommendations, the Taskforce is mindful of the potential adverse impact on patient care of the removal of an item from the MBS. However, the Taskforce is absolutely confident, in light of the opinions of the relevant Clinical Committees, the views of stakeholders, and the Taskforce’s own expertise—that the removal of the items listed </w:t>
      </w:r>
      <w:r w:rsidR="00595818">
        <w:rPr>
          <w:rFonts w:asciiTheme="minorHAnsi" w:hAnsiTheme="minorHAnsi"/>
        </w:rPr>
        <w:t xml:space="preserve">in this document </w:t>
      </w:r>
      <w:r w:rsidRPr="00D17E2A">
        <w:rPr>
          <w:rFonts w:asciiTheme="minorHAnsi" w:hAnsiTheme="minorHAnsi"/>
        </w:rPr>
        <w:t xml:space="preserve">will have no undesirable consequences. Rather, their removal will improve patient care overall by removing the option of the sub-optimal care </w:t>
      </w:r>
      <w:r w:rsidR="00C94733">
        <w:rPr>
          <w:rFonts w:asciiTheme="minorHAnsi" w:hAnsiTheme="minorHAnsi"/>
        </w:rPr>
        <w:t xml:space="preserve">that </w:t>
      </w:r>
      <w:r w:rsidRPr="00D17E2A">
        <w:rPr>
          <w:rFonts w:asciiTheme="minorHAnsi" w:hAnsiTheme="minorHAnsi"/>
        </w:rPr>
        <w:t>these items represent, and</w:t>
      </w:r>
      <w:r w:rsidR="00C94733">
        <w:rPr>
          <w:rFonts w:asciiTheme="minorHAnsi" w:hAnsiTheme="minorHAnsi"/>
        </w:rPr>
        <w:t xml:space="preserve"> will encourage</w:t>
      </w:r>
      <w:r w:rsidRPr="00D17E2A">
        <w:rPr>
          <w:rFonts w:asciiTheme="minorHAnsi" w:hAnsiTheme="minorHAnsi"/>
        </w:rPr>
        <w:t xml:space="preserve"> the use of better investigations and procedures listed on the MBS.</w:t>
      </w:r>
    </w:p>
    <w:p w:rsidR="00A470F1" w:rsidRPr="00C36864" w:rsidRDefault="00A470F1" w:rsidP="00C36864">
      <w:pPr>
        <w:spacing w:line="360" w:lineRule="auto"/>
        <w:rPr>
          <w:rFonts w:asciiTheme="minorHAnsi" w:hAnsiTheme="minorHAnsi" w:cs="Arial"/>
          <w:color w:val="000000" w:themeColor="text1"/>
          <w:sz w:val="22"/>
          <w:szCs w:val="22"/>
        </w:rPr>
      </w:pPr>
    </w:p>
    <w:sectPr w:rsidR="00A470F1" w:rsidRPr="00C36864" w:rsidSect="00595818">
      <w:footerReference w:type="default" r:id="rId7"/>
      <w:pgSz w:w="11906" w:h="16838"/>
      <w:pgMar w:top="993" w:right="1558" w:bottom="1276" w:left="1418" w:header="708"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267" w:rsidRDefault="00D85267" w:rsidP="009D420D">
      <w:r>
        <w:separator/>
      </w:r>
    </w:p>
  </w:endnote>
  <w:endnote w:type="continuationSeparator" w:id="0">
    <w:p w:rsidR="00D85267" w:rsidRDefault="00D85267" w:rsidP="009D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630" w:rsidRDefault="00D85267" w:rsidP="005D4630">
    <w:pPr>
      <w:pStyle w:val="Footer"/>
      <w:pBdr>
        <w:top w:val="single" w:sz="4" w:space="1" w:color="B56012"/>
      </w:pBdr>
      <w:tabs>
        <w:tab w:val="clear" w:pos="4513"/>
      </w:tabs>
      <w:jc w:val="center"/>
    </w:pPr>
    <w:r>
      <w:rPr>
        <w:color w:val="01653F"/>
        <w:sz w:val="16"/>
      </w:rPr>
      <w:t xml:space="preserve">Taskforce findings from the </w:t>
    </w:r>
    <w:r w:rsidR="00C94733">
      <w:rPr>
        <w:color w:val="01653F"/>
        <w:sz w:val="16"/>
      </w:rPr>
      <w:t>Obsolete Items</w:t>
    </w:r>
    <w:r>
      <w:rPr>
        <w:color w:val="01653F"/>
        <w:sz w:val="16"/>
      </w:rPr>
      <w:t xml:space="preserve"> Report</w:t>
    </w:r>
    <w:r>
      <w:rPr>
        <w:color w:val="01653F"/>
        <w:sz w:val="16"/>
      </w:rPr>
      <w:tab/>
    </w:r>
    <w:r w:rsidRPr="003B1222">
      <w:rPr>
        <w:color w:val="01653F"/>
        <w:sz w:val="16"/>
      </w:rPr>
      <w:t xml:space="preserve">Page </w:t>
    </w:r>
    <w:r w:rsidRPr="003B1222">
      <w:rPr>
        <w:rFonts w:eastAsiaTheme="minorHAnsi"/>
        <w:color w:val="01653F"/>
        <w:sz w:val="22"/>
      </w:rPr>
      <w:fldChar w:fldCharType="begin"/>
    </w:r>
    <w:r w:rsidRPr="003B1222">
      <w:rPr>
        <w:color w:val="01653F"/>
      </w:rPr>
      <w:instrText xml:space="preserve"> PAGE   \* MERGEFORMAT </w:instrText>
    </w:r>
    <w:r w:rsidRPr="003B1222">
      <w:rPr>
        <w:rFonts w:eastAsiaTheme="minorHAnsi"/>
        <w:color w:val="01653F"/>
        <w:sz w:val="22"/>
      </w:rPr>
      <w:fldChar w:fldCharType="separate"/>
    </w:r>
    <w:r w:rsidR="00BB0E2F" w:rsidRPr="00BB0E2F">
      <w:rPr>
        <w:rFonts w:eastAsiaTheme="majorEastAsia"/>
        <w:noProof/>
        <w:color w:val="01653F"/>
        <w:sz w:val="16"/>
      </w:rPr>
      <w:t>2</w:t>
    </w:r>
    <w:r w:rsidRPr="003B1222">
      <w:rPr>
        <w:rFonts w:eastAsiaTheme="majorEastAsia"/>
        <w:noProof/>
        <w:color w:val="01653F"/>
        <w:sz w:val="16"/>
      </w:rPr>
      <w:fldChar w:fldCharType="end"/>
    </w:r>
  </w:p>
  <w:p w:rsidR="005D4630" w:rsidRDefault="00BB0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267" w:rsidRDefault="00D85267" w:rsidP="009D420D">
      <w:r>
        <w:separator/>
      </w:r>
    </w:p>
  </w:footnote>
  <w:footnote w:type="continuationSeparator" w:id="0">
    <w:p w:rsidR="00D85267" w:rsidRDefault="00D85267" w:rsidP="009D4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826"/>
    <w:multiLevelType w:val="hybridMultilevel"/>
    <w:tmpl w:val="032C30B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1E3D04"/>
    <w:multiLevelType w:val="hybridMultilevel"/>
    <w:tmpl w:val="6C82365C"/>
    <w:lvl w:ilvl="0" w:tplc="80E8C1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A738C6"/>
    <w:multiLevelType w:val="hybridMultilevel"/>
    <w:tmpl w:val="859655C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4DF450F3"/>
    <w:multiLevelType w:val="hybridMultilevel"/>
    <w:tmpl w:val="81E84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770642"/>
    <w:multiLevelType w:val="multilevel"/>
    <w:tmpl w:val="6360F57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30831"/>
    <w:multiLevelType w:val="hybridMultilevel"/>
    <w:tmpl w:val="855C9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0D"/>
    <w:rsid w:val="00003743"/>
    <w:rsid w:val="0004575C"/>
    <w:rsid w:val="00067456"/>
    <w:rsid w:val="0007139A"/>
    <w:rsid w:val="0009024E"/>
    <w:rsid w:val="000E14E0"/>
    <w:rsid w:val="00176AFD"/>
    <w:rsid w:val="001A4A6F"/>
    <w:rsid w:val="001B3443"/>
    <w:rsid w:val="002F3AE3"/>
    <w:rsid w:val="0030786C"/>
    <w:rsid w:val="003C7B14"/>
    <w:rsid w:val="003D17F9"/>
    <w:rsid w:val="004867E2"/>
    <w:rsid w:val="004B19C9"/>
    <w:rsid w:val="00540D36"/>
    <w:rsid w:val="00595818"/>
    <w:rsid w:val="005F4FC2"/>
    <w:rsid w:val="008264EB"/>
    <w:rsid w:val="00855044"/>
    <w:rsid w:val="00931DA7"/>
    <w:rsid w:val="009643BE"/>
    <w:rsid w:val="009D420D"/>
    <w:rsid w:val="00A2358E"/>
    <w:rsid w:val="00A4512D"/>
    <w:rsid w:val="00A470F1"/>
    <w:rsid w:val="00A57FD3"/>
    <w:rsid w:val="00A705AF"/>
    <w:rsid w:val="00AD3249"/>
    <w:rsid w:val="00B122E2"/>
    <w:rsid w:val="00B42851"/>
    <w:rsid w:val="00BB0E2F"/>
    <w:rsid w:val="00C36864"/>
    <w:rsid w:val="00C94733"/>
    <w:rsid w:val="00CB5B1A"/>
    <w:rsid w:val="00D85267"/>
    <w:rsid w:val="00E42352"/>
    <w:rsid w:val="00E53998"/>
    <w:rsid w:val="00F83680"/>
    <w:rsid w:val="00FB2F1F"/>
    <w:rsid w:val="00FF0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5D83A6-4050-4A7B-B68F-4386B39DC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20D"/>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9D420D"/>
    <w:rPr>
      <w:sz w:val="24"/>
      <w:szCs w:val="24"/>
      <w:lang w:eastAsia="en-US"/>
    </w:rPr>
  </w:style>
  <w:style w:type="paragraph" w:styleId="Footer">
    <w:name w:val="footer"/>
    <w:basedOn w:val="Normal"/>
    <w:link w:val="FooterChar"/>
    <w:uiPriority w:val="99"/>
    <w:rsid w:val="009D420D"/>
    <w:pPr>
      <w:tabs>
        <w:tab w:val="center" w:pos="4513"/>
        <w:tab w:val="right" w:pos="9026"/>
      </w:tabs>
    </w:pPr>
  </w:style>
  <w:style w:type="character" w:customStyle="1" w:styleId="FooterChar">
    <w:name w:val="Footer Char"/>
    <w:basedOn w:val="DefaultParagraphFont"/>
    <w:link w:val="Footer"/>
    <w:uiPriority w:val="99"/>
    <w:rsid w:val="009D420D"/>
    <w:rPr>
      <w:sz w:val="24"/>
      <w:szCs w:val="24"/>
      <w:lang w:eastAsia="en-US"/>
    </w:rPr>
  </w:style>
  <w:style w:type="table" w:styleId="TableGrid">
    <w:name w:val="Table Grid"/>
    <w:basedOn w:val="TableNormal"/>
    <w:rsid w:val="009D4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umbered">
    <w:name w:val="Heading 3 Numbered"/>
    <w:basedOn w:val="Heading2"/>
    <w:qFormat/>
    <w:rsid w:val="009D420D"/>
    <w:pPr>
      <w:spacing w:before="120" w:after="120" w:line="312" w:lineRule="auto"/>
      <w:ind w:left="720" w:hanging="720"/>
      <w:outlineLvl w:val="2"/>
    </w:pPr>
    <w:rPr>
      <w:rFonts w:asciiTheme="minorHAnsi" w:eastAsiaTheme="minorHAnsi" w:hAnsiTheme="minorHAnsi"/>
      <w:color w:val="B56011"/>
      <w:szCs w:val="22"/>
      <w:lang w:val="en-US"/>
    </w:rPr>
  </w:style>
  <w:style w:type="paragraph" w:customStyle="1" w:styleId="NormalBulleted">
    <w:name w:val="Normal Bulleted"/>
    <w:basedOn w:val="ListContinue"/>
    <w:link w:val="NormalBulletedChar"/>
    <w:qFormat/>
    <w:rsid w:val="009D420D"/>
    <w:pPr>
      <w:numPr>
        <w:numId w:val="1"/>
      </w:numPr>
      <w:spacing w:before="180" w:line="312" w:lineRule="auto"/>
    </w:pPr>
    <w:rPr>
      <w:rFonts w:asciiTheme="minorHAnsi" w:hAnsiTheme="minorHAnsi"/>
      <w:sz w:val="22"/>
      <w:lang w:eastAsia="en-AU"/>
    </w:rPr>
  </w:style>
  <w:style w:type="character" w:customStyle="1" w:styleId="NormalBulletedChar">
    <w:name w:val="Normal Bulleted Char"/>
    <w:basedOn w:val="DefaultParagraphFont"/>
    <w:link w:val="NormalBulleted"/>
    <w:rsid w:val="009D420D"/>
    <w:rPr>
      <w:rFonts w:asciiTheme="minorHAnsi" w:hAnsiTheme="minorHAnsi"/>
      <w:sz w:val="22"/>
      <w:szCs w:val="24"/>
    </w:rPr>
  </w:style>
  <w:style w:type="paragraph" w:styleId="ListContinue">
    <w:name w:val="List Continue"/>
    <w:basedOn w:val="Normal"/>
    <w:rsid w:val="009D420D"/>
    <w:pPr>
      <w:spacing w:after="120"/>
      <w:ind w:left="283"/>
      <w:contextualSpacing/>
    </w:pPr>
  </w:style>
  <w:style w:type="paragraph" w:styleId="Header">
    <w:name w:val="header"/>
    <w:basedOn w:val="Normal"/>
    <w:link w:val="HeaderChar"/>
    <w:rsid w:val="009D420D"/>
    <w:pPr>
      <w:tabs>
        <w:tab w:val="center" w:pos="4513"/>
        <w:tab w:val="right" w:pos="9026"/>
      </w:tabs>
    </w:pPr>
  </w:style>
  <w:style w:type="character" w:customStyle="1" w:styleId="HeaderChar">
    <w:name w:val="Header Char"/>
    <w:basedOn w:val="DefaultParagraphFont"/>
    <w:link w:val="Header"/>
    <w:rsid w:val="009D420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1328">
      <w:bodyDiv w:val="1"/>
      <w:marLeft w:val="0"/>
      <w:marRight w:val="0"/>
      <w:marTop w:val="0"/>
      <w:marBottom w:val="0"/>
      <w:divBdr>
        <w:top w:val="none" w:sz="0" w:space="0" w:color="auto"/>
        <w:left w:val="none" w:sz="0" w:space="0" w:color="auto"/>
        <w:bottom w:val="none" w:sz="0" w:space="0" w:color="auto"/>
        <w:right w:val="none" w:sz="0" w:space="0" w:color="auto"/>
      </w:divBdr>
    </w:div>
    <w:div w:id="91404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Taskforce findings – Obsolete MBS items</dc:title>
  <dc:creator>MBS Review Taskforce</dc:creator>
  <cp:keywords>MBS Review, Medicare</cp:keywords>
  <cp:lastModifiedBy>ROBERTSON, Jen</cp:lastModifiedBy>
  <cp:revision>3</cp:revision>
  <cp:lastPrinted>2017-06-26T06:54:00Z</cp:lastPrinted>
  <dcterms:created xsi:type="dcterms:W3CDTF">2021-06-01T06:47:00Z</dcterms:created>
  <dcterms:modified xsi:type="dcterms:W3CDTF">2021-06-01T06:48:00Z</dcterms:modified>
</cp:coreProperties>
</file>