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B1" w:rsidRDefault="00154AFD">
      <w:pPr>
        <w:pStyle w:val="BodyText"/>
        <w:spacing w:line="132" w:lineRule="exact"/>
        <w:ind w:left="100"/>
        <w:rPr>
          <w:rFonts w:ascii="Times New Roman"/>
          <w:sz w:val="13"/>
        </w:rPr>
      </w:pP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1033" style="width:451.35pt;height:6.6pt;mso-position-horizontal-relative:char;mso-position-vertical-relative:line" coordsize="9027,132">
            <v:rect id="_x0000_s1036" style="position:absolute;width:9027;height:132" fillcolor="#bf0000" stroked="f"/>
            <v:shape id="_x0000_s1035" style="position:absolute;top:50;width:9027;height:32" coordorigin=",50" coordsize="9027,32" path="m9026,50r-4,l,50r,5l,77r,5l9026,82r,-27l9026,50xe" fillcolor="#a0a0a0" stroked="f">
              <v:path arrowok="t"/>
            </v:shape>
            <v:shape id="_x0000_s1034" style="position:absolute;top:55;width:9027;height:27" coordorigin=",55" coordsize="9027,27" path="m9026,55r-4,l9022,77,,77r,5l9022,82r4,l9026,77r,-22xe" fillcolor="#e2e2e2" stroked="f">
              <v:path arrowok="t"/>
            </v:shape>
            <w10:wrap type="none"/>
            <w10:anchorlock/>
          </v:group>
        </w:pict>
      </w:r>
    </w:p>
    <w:p w:rsidR="001D7CB1" w:rsidRDefault="001D7CB1">
      <w:pPr>
        <w:pStyle w:val="BodyText"/>
        <w:rPr>
          <w:rFonts w:ascii="Times New Roman"/>
          <w:sz w:val="20"/>
        </w:rPr>
      </w:pPr>
    </w:p>
    <w:p w:rsidR="001D7CB1" w:rsidRDefault="001D7CB1">
      <w:pPr>
        <w:pStyle w:val="BodyText"/>
        <w:rPr>
          <w:rFonts w:ascii="Times New Roman"/>
          <w:sz w:val="20"/>
        </w:rPr>
      </w:pPr>
    </w:p>
    <w:p w:rsidR="001D7CB1" w:rsidRDefault="001D7CB1">
      <w:pPr>
        <w:pStyle w:val="BodyText"/>
        <w:spacing w:before="8"/>
        <w:rPr>
          <w:rFonts w:ascii="Times New Roman"/>
          <w:sz w:val="16"/>
        </w:rPr>
      </w:pPr>
    </w:p>
    <w:p w:rsidR="001D7CB1" w:rsidRDefault="00154AFD">
      <w:pPr>
        <w:spacing w:before="88"/>
        <w:ind w:left="1195" w:right="1259"/>
        <w:jc w:val="center"/>
        <w:rPr>
          <w:rFonts w:ascii="Arial"/>
          <w:b/>
          <w:sz w:val="40"/>
        </w:rPr>
      </w:pPr>
      <w:r>
        <w:rPr>
          <w:rFonts w:ascii="Arial"/>
          <w:b/>
          <w:color w:val="01643F"/>
          <w:sz w:val="40"/>
        </w:rPr>
        <w:t>Medicare</w:t>
      </w:r>
      <w:r>
        <w:rPr>
          <w:rFonts w:ascii="Arial"/>
          <w:b/>
          <w:color w:val="01643F"/>
          <w:spacing w:val="-2"/>
          <w:sz w:val="40"/>
        </w:rPr>
        <w:t xml:space="preserve"> </w:t>
      </w:r>
      <w:r>
        <w:rPr>
          <w:rFonts w:ascii="Arial"/>
          <w:b/>
          <w:color w:val="01643F"/>
          <w:sz w:val="40"/>
        </w:rPr>
        <w:t>Benefits</w:t>
      </w:r>
      <w:r>
        <w:rPr>
          <w:rFonts w:ascii="Arial"/>
          <w:b/>
          <w:color w:val="01643F"/>
          <w:spacing w:val="-4"/>
          <w:sz w:val="40"/>
        </w:rPr>
        <w:t xml:space="preserve"> </w:t>
      </w:r>
      <w:r>
        <w:rPr>
          <w:rFonts w:ascii="Arial"/>
          <w:b/>
          <w:color w:val="01643F"/>
          <w:sz w:val="40"/>
        </w:rPr>
        <w:t>Schedule</w:t>
      </w:r>
      <w:r>
        <w:rPr>
          <w:rFonts w:ascii="Arial"/>
          <w:b/>
          <w:color w:val="01643F"/>
          <w:spacing w:val="-2"/>
          <w:sz w:val="40"/>
        </w:rPr>
        <w:t xml:space="preserve"> </w:t>
      </w:r>
      <w:r>
        <w:rPr>
          <w:rFonts w:ascii="Arial"/>
          <w:b/>
          <w:color w:val="01643F"/>
          <w:sz w:val="40"/>
        </w:rPr>
        <w:t>Review</w:t>
      </w:r>
    </w:p>
    <w:p w:rsidR="001D7CB1" w:rsidRDefault="001D7CB1">
      <w:pPr>
        <w:pStyle w:val="BodyText"/>
        <w:spacing w:before="10"/>
        <w:rPr>
          <w:rFonts w:ascii="Arial"/>
          <w:b/>
          <w:sz w:val="39"/>
        </w:rPr>
      </w:pPr>
      <w:bookmarkStart w:id="0" w:name="_GoBack"/>
      <w:bookmarkEnd w:id="0"/>
    </w:p>
    <w:p w:rsidR="001D7CB1" w:rsidRDefault="00154AFD">
      <w:pPr>
        <w:spacing w:before="1"/>
        <w:ind w:left="404" w:right="464"/>
        <w:jc w:val="center"/>
        <w:rPr>
          <w:rFonts w:ascii="Arial"/>
          <w:b/>
          <w:sz w:val="40"/>
        </w:rPr>
      </w:pPr>
      <w:r>
        <w:rPr>
          <w:rFonts w:ascii="Arial"/>
          <w:b/>
          <w:color w:val="01643F"/>
          <w:sz w:val="40"/>
        </w:rPr>
        <w:t>Taskforce</w:t>
      </w:r>
    </w:p>
    <w:p w:rsidR="001D7CB1" w:rsidRDefault="00154AFD">
      <w:pPr>
        <w:pStyle w:val="Title"/>
        <w:spacing w:before="294" w:line="480" w:lineRule="auto"/>
        <w:ind w:left="407"/>
      </w:pPr>
      <w:r>
        <w:t>Intensive Care and Emergency Medicine</w:t>
      </w:r>
      <w:r>
        <w:rPr>
          <w:spacing w:val="-120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Report</w:t>
      </w:r>
    </w:p>
    <w:p w:rsidR="001D7CB1" w:rsidRDefault="00154AFD">
      <w:pPr>
        <w:pStyle w:val="Title"/>
        <w:spacing w:line="505" w:lineRule="exact"/>
      </w:pPr>
      <w:r>
        <w:t>Taskforce</w:t>
      </w:r>
      <w:r>
        <w:rPr>
          <w:spacing w:val="-1"/>
        </w:rPr>
        <w:t xml:space="preserve"> </w:t>
      </w:r>
      <w:r>
        <w:t>Findings</w:t>
      </w:r>
    </w:p>
    <w:p w:rsidR="001D7CB1" w:rsidRDefault="00154AFD">
      <w:pPr>
        <w:pStyle w:val="BodyText"/>
        <w:spacing w:before="6"/>
        <w:rPr>
          <w:rFonts w:ascii="Arial"/>
          <w:b/>
          <w:sz w:val="27"/>
        </w:rPr>
      </w:pPr>
      <w:r>
        <w:pict>
          <v:group id="_x0000_s1029" style="position:absolute;margin-left:1in;margin-top:17.8pt;width:451.35pt;height:6.6pt;z-index:-15728128;mso-wrap-distance-left:0;mso-wrap-distance-right:0;mso-position-horizontal-relative:page" coordorigin="1440,356" coordsize="9027,132">
            <v:rect id="_x0000_s1032" style="position:absolute;left:1440;top:355;width:9027;height:132" fillcolor="#bf0000" stroked="f"/>
            <v:shape id="_x0000_s1031" style="position:absolute;left:1440;top:406;width:9027;height:32" coordorigin="1440,406" coordsize="9027,32" path="m10466,406r-4,l1440,406r,5l1440,433r,5l10466,438r,-27l10466,406xe" fillcolor="#a0a0a0" stroked="f">
              <v:path arrowok="t"/>
            </v:shape>
            <v:shape id="_x0000_s1030" style="position:absolute;left:1440;top:411;width:9027;height:27" coordorigin="1440,411" coordsize="9027,27" path="m10466,411r-4,l10462,433r-9022,l1440,438r9022,l10466,438r,-5l10466,411xe" fillcolor="#e2e2e2" stroked="f">
              <v:path arrowok="t"/>
            </v:shape>
            <w10:wrap type="topAndBottom" anchorx="page"/>
          </v:group>
        </w:pict>
      </w:r>
    </w:p>
    <w:p w:rsidR="001D7CB1" w:rsidRDefault="001D7CB1">
      <w:pPr>
        <w:pStyle w:val="BodyText"/>
        <w:rPr>
          <w:rFonts w:ascii="Arial"/>
          <w:b/>
          <w:sz w:val="20"/>
        </w:rPr>
      </w:pPr>
    </w:p>
    <w:p w:rsidR="001D7CB1" w:rsidRDefault="001D7CB1">
      <w:pPr>
        <w:pStyle w:val="BodyText"/>
        <w:rPr>
          <w:rFonts w:ascii="Arial"/>
          <w:b/>
          <w:sz w:val="20"/>
        </w:rPr>
      </w:pPr>
    </w:p>
    <w:p w:rsidR="001D7CB1" w:rsidRDefault="00154AFD">
      <w:pPr>
        <w:pStyle w:val="BodyText"/>
        <w:spacing w:line="360" w:lineRule="auto"/>
        <w:ind w:left="100" w:right="859"/>
      </w:pPr>
      <w:r>
        <w:t>This document outlines the Medicare Benefits Schedule (MBS) Taskforce’s</w:t>
      </w:r>
      <w:r>
        <w:rPr>
          <w:spacing w:val="1"/>
        </w:rPr>
        <w:t xml:space="preserve"> </w:t>
      </w:r>
      <w:r>
        <w:t>recommendations in response to the Intensive Care and Emergency Medicine Clinical</w:t>
      </w:r>
      <w:r>
        <w:rPr>
          <w:spacing w:val="-52"/>
        </w:rPr>
        <w:t xml:space="preserve"> </w:t>
      </w:r>
      <w:r>
        <w:t>Committee Report.</w:t>
      </w:r>
    </w:p>
    <w:p w:rsidR="001D7CB1" w:rsidRDefault="001D7CB1">
      <w:pPr>
        <w:pStyle w:val="BodyText"/>
        <w:spacing w:before="11"/>
        <w:rPr>
          <w:sz w:val="35"/>
        </w:rPr>
      </w:pPr>
    </w:p>
    <w:p w:rsidR="001D7CB1" w:rsidRDefault="00154AFD">
      <w:pPr>
        <w:pStyle w:val="BodyText"/>
        <w:spacing w:line="362" w:lineRule="auto"/>
        <w:ind w:left="100" w:right="554"/>
      </w:pPr>
      <w:r>
        <w:t>The Taskforce considered the recommendations from the Intensive Care and Emergency</w:t>
      </w:r>
      <w:r>
        <w:rPr>
          <w:spacing w:val="-52"/>
        </w:rPr>
        <w:t xml:space="preserve"> </w:t>
      </w:r>
      <w:r>
        <w:t>Medicine</w:t>
      </w:r>
      <w:r>
        <w:rPr>
          <w:spacing w:val="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consultation.</w:t>
      </w:r>
    </w:p>
    <w:p w:rsidR="001D7CB1" w:rsidRDefault="001D7CB1">
      <w:pPr>
        <w:pStyle w:val="BodyText"/>
        <w:rPr>
          <w:sz w:val="20"/>
        </w:rPr>
      </w:pPr>
    </w:p>
    <w:p w:rsidR="001D7CB1" w:rsidRDefault="001D7CB1">
      <w:pPr>
        <w:pStyle w:val="BodyText"/>
        <w:spacing w:before="8" w:after="1"/>
        <w:rPr>
          <w:sz w:val="15"/>
        </w:rPr>
      </w:pPr>
    </w:p>
    <w:p w:rsidR="001D7CB1" w:rsidRDefault="00154AFD">
      <w:pPr>
        <w:pStyle w:val="BodyText"/>
        <w:spacing w:line="20" w:lineRule="exact"/>
        <w:ind w:left="5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5.75pt;height:.5pt;mso-position-horizontal-relative:char;mso-position-vertical-relative:line" coordsize="3915,10">
            <v:shape id="_x0000_s1028" style="position:absolute;width:3915;height:10" coordsize="3915,10" path="m3914,l3271,,,,,10r3271,l3914,10r,-10xe" fillcolor="black" stroked="f">
              <v:path arrowok="t"/>
            </v:shape>
            <w10:wrap type="none"/>
            <w10:anchorlock/>
          </v:group>
        </w:pict>
      </w:r>
    </w:p>
    <w:p w:rsidR="001D7CB1" w:rsidRDefault="001D7CB1">
      <w:pPr>
        <w:spacing w:line="20" w:lineRule="exact"/>
        <w:rPr>
          <w:sz w:val="2"/>
        </w:rPr>
        <w:sectPr w:rsidR="001D7CB1">
          <w:footerReference w:type="default" r:id="rId7"/>
          <w:type w:val="continuous"/>
          <w:pgSz w:w="11910" w:h="16840"/>
          <w:pgMar w:top="1480" w:right="1280" w:bottom="1180" w:left="1340" w:header="720" w:footer="985" w:gutter="0"/>
          <w:pgNumType w:start="1"/>
          <w:cols w:space="720"/>
        </w:sectPr>
      </w:pPr>
    </w:p>
    <w:p w:rsidR="001D7CB1" w:rsidRDefault="00154AFD">
      <w:pPr>
        <w:pStyle w:val="BodyText"/>
        <w:spacing w:line="360" w:lineRule="auto"/>
        <w:ind w:left="207" w:right="23"/>
      </w:pPr>
      <w:r>
        <w:t>The Taskforce endorsed the recommendations</w:t>
      </w:r>
      <w:r>
        <w:rPr>
          <w:spacing w:val="-5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Intensive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Emergency</w:t>
      </w:r>
    </w:p>
    <w:p w:rsidR="001D7CB1" w:rsidRDefault="00154AFD">
      <w:pPr>
        <w:pStyle w:val="Heading1"/>
        <w:tabs>
          <w:tab w:val="right" w:pos="3808"/>
        </w:tabs>
        <w:spacing w:before="428"/>
        <w:ind w:left="207"/>
      </w:pPr>
      <w:r>
        <w:rPr>
          <w:b w:val="0"/>
        </w:rPr>
        <w:br w:type="column"/>
      </w:r>
      <w:r>
        <w:t>Number</w:t>
      </w:r>
      <w:r>
        <w:rPr>
          <w:spacing w:val="2"/>
        </w:rPr>
        <w:t xml:space="preserve"> </w:t>
      </w:r>
      <w:r>
        <w:t>of items</w:t>
      </w:r>
      <w:r>
        <w:rPr>
          <w:spacing w:val="-3"/>
        </w:rPr>
        <w:t xml:space="preserve"> </w:t>
      </w:r>
      <w:r>
        <w:t>reviewed</w:t>
      </w:r>
      <w:r>
        <w:rPr>
          <w:rFonts w:ascii="Times New Roman"/>
        </w:rPr>
        <w:tab/>
      </w:r>
      <w:r>
        <w:t>29</w:t>
      </w:r>
    </w:p>
    <w:p w:rsidR="001D7CB1" w:rsidRDefault="001D7CB1">
      <w:pPr>
        <w:sectPr w:rsidR="001D7CB1">
          <w:type w:val="continuous"/>
          <w:pgSz w:w="11910" w:h="16840"/>
          <w:pgMar w:top="1480" w:right="1280" w:bottom="1180" w:left="1340" w:header="720" w:footer="720" w:gutter="0"/>
          <w:cols w:num="2" w:space="720" w:equalWidth="0">
            <w:col w:w="4799" w:space="303"/>
            <w:col w:w="4188"/>
          </w:cols>
        </w:sectPr>
      </w:pPr>
    </w:p>
    <w:p w:rsidR="001D7CB1" w:rsidRDefault="00154AFD">
      <w:pPr>
        <w:pStyle w:val="BodyText"/>
        <w:tabs>
          <w:tab w:val="left" w:pos="5202"/>
          <w:tab w:val="left" w:pos="9172"/>
        </w:tabs>
        <w:spacing w:line="248" w:lineRule="exact"/>
        <w:ind w:left="207"/>
        <w:rPr>
          <w:rFonts w:ascii="Times New Roman"/>
        </w:rPr>
      </w:pPr>
      <w:r>
        <w:t>Medicine</w:t>
      </w:r>
      <w:r>
        <w:rPr>
          <w:spacing w:val="1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Committee,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submitted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D7CB1" w:rsidRDefault="00154AFD">
      <w:pPr>
        <w:pStyle w:val="Heading1"/>
        <w:spacing w:line="228" w:lineRule="exact"/>
        <w:ind w:left="5310"/>
      </w:pP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recommendations</w:t>
      </w:r>
    </w:p>
    <w:p w:rsidR="001D7CB1" w:rsidRDefault="001D7CB1">
      <w:pPr>
        <w:spacing w:line="228" w:lineRule="exact"/>
        <w:sectPr w:rsidR="001D7CB1">
          <w:type w:val="continuous"/>
          <w:pgSz w:w="11910" w:h="16840"/>
          <w:pgMar w:top="1480" w:right="1280" w:bottom="1180" w:left="1340" w:header="720" w:footer="720" w:gutter="0"/>
          <w:cols w:space="720"/>
        </w:sectPr>
      </w:pPr>
    </w:p>
    <w:p w:rsidR="001D7CB1" w:rsidRDefault="00154AFD">
      <w:pPr>
        <w:pStyle w:val="BodyText"/>
        <w:spacing w:line="244" w:lineRule="exact"/>
        <w:ind w:left="207"/>
      </w:pP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for</w:t>
      </w:r>
    </w:p>
    <w:p w:rsidR="001D7CB1" w:rsidRDefault="00154AFD">
      <w:pPr>
        <w:pStyle w:val="BodyText"/>
        <w:spacing w:before="146"/>
        <w:ind w:left="207"/>
      </w:pPr>
      <w:r>
        <w:pict>
          <v:shape id="_x0000_s1026" style="position:absolute;left:0;text-align:left;margin-left:327.1pt;margin-top:29.55pt;width:195.75pt;height:.5pt;z-index:15730176;mso-position-horizontal-relative:page" coordorigin="6542,591" coordsize="3915,10" path="m10457,591r-643,l6542,591r,9l9814,600r643,l10457,591xe" fillcolor="black" stroked="f">
            <v:path arrowok="t"/>
            <w10:wrap anchorx="page"/>
          </v:shape>
        </w:pict>
      </w:r>
      <w:r>
        <w:t>Government</w:t>
      </w:r>
      <w:r>
        <w:rPr>
          <w:spacing w:val="-1"/>
        </w:rPr>
        <w:t xml:space="preserve"> </w:t>
      </w:r>
      <w:r>
        <w:t>consideration.</w:t>
      </w:r>
    </w:p>
    <w:p w:rsidR="001D7CB1" w:rsidRDefault="00154AFD">
      <w:pPr>
        <w:pStyle w:val="Heading1"/>
        <w:tabs>
          <w:tab w:val="right" w:pos="3808"/>
        </w:tabs>
        <w:spacing w:before="177"/>
        <w:ind w:left="207"/>
      </w:pPr>
      <w:r>
        <w:rPr>
          <w:b w:val="0"/>
        </w:rPr>
        <w:br w:type="column"/>
      </w:r>
      <w:r>
        <w:t>made</w:t>
      </w:r>
      <w:r>
        <w:rPr>
          <w:rFonts w:ascii="Times New Roman"/>
        </w:rPr>
        <w:tab/>
      </w:r>
      <w:r>
        <w:t>10</w:t>
      </w:r>
    </w:p>
    <w:p w:rsidR="001D7CB1" w:rsidRDefault="001D7CB1">
      <w:pPr>
        <w:sectPr w:rsidR="001D7CB1">
          <w:type w:val="continuous"/>
          <w:pgSz w:w="11910" w:h="16840"/>
          <w:pgMar w:top="1480" w:right="1280" w:bottom="1180" w:left="1340" w:header="720" w:footer="720" w:gutter="0"/>
          <w:cols w:num="2" w:space="720" w:equalWidth="0">
            <w:col w:w="3659" w:space="1443"/>
            <w:col w:w="4188"/>
          </w:cols>
        </w:sectPr>
      </w:pPr>
    </w:p>
    <w:p w:rsidR="001D7CB1" w:rsidRDefault="00154AFD">
      <w:pPr>
        <w:pStyle w:val="BodyText"/>
        <w:spacing w:before="600" w:line="360" w:lineRule="auto"/>
        <w:ind w:left="100" w:right="430"/>
      </w:pPr>
      <w:r>
        <w:t>The recommendations are intended to encourage best practice, improve patient care and</w:t>
      </w:r>
      <w:r>
        <w:rPr>
          <w:spacing w:val="-52"/>
        </w:rPr>
        <w:t xml:space="preserve"> </w:t>
      </w:r>
      <w:r>
        <w:t>safety, and ensuring that MBS services provide value for the patient and the</w:t>
      </w:r>
      <w:r>
        <w:t xml:space="preserve"> healthcare</w:t>
      </w:r>
      <w:r>
        <w:rPr>
          <w:spacing w:val="1"/>
        </w:rPr>
        <w:t xml:space="preserve"> </w:t>
      </w:r>
      <w:r>
        <w:t>system. This may be achieved by deleting items that are obsolete or that provide</w:t>
      </w:r>
      <w:r>
        <w:rPr>
          <w:spacing w:val="1"/>
        </w:rPr>
        <w:t xml:space="preserve"> </w:t>
      </w:r>
      <w:r>
        <w:t>questionable</w:t>
      </w:r>
      <w:r>
        <w:rPr>
          <w:spacing w:val="-3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low-value care;</w:t>
      </w:r>
      <w:r>
        <w:rPr>
          <w:spacing w:val="2"/>
        </w:rPr>
        <w:t xml:space="preserve"> </w:t>
      </w:r>
      <w:r>
        <w:t>consolidating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splitting items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</w:p>
    <w:p w:rsidR="001D7CB1" w:rsidRDefault="001D7CB1">
      <w:pPr>
        <w:spacing w:line="360" w:lineRule="auto"/>
        <w:sectPr w:rsidR="001D7CB1">
          <w:type w:val="continuous"/>
          <w:pgSz w:w="11910" w:h="16840"/>
          <w:pgMar w:top="1480" w:right="1280" w:bottom="1180" w:left="1340" w:header="720" w:footer="720" w:gutter="0"/>
          <w:cols w:space="720"/>
        </w:sectPr>
      </w:pPr>
    </w:p>
    <w:p w:rsidR="001D7CB1" w:rsidRDefault="00154AFD">
      <w:pPr>
        <w:pStyle w:val="BodyText"/>
        <w:spacing w:before="41" w:line="360" w:lineRule="auto"/>
        <w:ind w:left="100" w:right="852"/>
      </w:pPr>
      <w:r>
        <w:lastRenderedPageBreak/>
        <w:t>potential misuse; modernising item descriptors to reflec</w:t>
      </w:r>
      <w:r>
        <w:t>t best practice; and providing</w:t>
      </w:r>
      <w:r>
        <w:rPr>
          <w:spacing w:val="-52"/>
        </w:rPr>
        <w:t xml:space="preserve"> </w:t>
      </w:r>
      <w:r>
        <w:t>clinical guidance</w:t>
      </w:r>
      <w:r>
        <w:rPr>
          <w:spacing w:val="-2"/>
        </w:rPr>
        <w:t xml:space="preserve"> </w:t>
      </w:r>
      <w:r>
        <w:t>for appropriate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explanatory notes.</w:t>
      </w:r>
    </w:p>
    <w:p w:rsidR="001D7CB1" w:rsidRDefault="001D7CB1">
      <w:pPr>
        <w:pStyle w:val="BodyText"/>
      </w:pPr>
    </w:p>
    <w:p w:rsidR="001D7CB1" w:rsidRDefault="00154AFD">
      <w:pPr>
        <w:spacing w:before="179"/>
        <w:ind w:left="100"/>
        <w:rPr>
          <w:rFonts w:ascii="Arial"/>
          <w:sz w:val="32"/>
        </w:rPr>
      </w:pPr>
      <w:r>
        <w:rPr>
          <w:rFonts w:ascii="Arial"/>
          <w:color w:val="01643F"/>
          <w:sz w:val="32"/>
        </w:rPr>
        <w:t>List</w:t>
      </w:r>
      <w:r>
        <w:rPr>
          <w:rFonts w:ascii="Arial"/>
          <w:color w:val="01643F"/>
          <w:spacing w:val="-1"/>
          <w:sz w:val="32"/>
        </w:rPr>
        <w:t xml:space="preserve"> </w:t>
      </w:r>
      <w:r>
        <w:rPr>
          <w:rFonts w:ascii="Arial"/>
          <w:color w:val="01643F"/>
          <w:sz w:val="32"/>
        </w:rPr>
        <w:t>of</w:t>
      </w:r>
      <w:r>
        <w:rPr>
          <w:rFonts w:ascii="Arial"/>
          <w:color w:val="01643F"/>
          <w:spacing w:val="-1"/>
          <w:sz w:val="32"/>
        </w:rPr>
        <w:t xml:space="preserve"> </w:t>
      </w:r>
      <w:r>
        <w:rPr>
          <w:rFonts w:ascii="Arial"/>
          <w:color w:val="01643F"/>
          <w:sz w:val="32"/>
        </w:rPr>
        <w:t>Taskforce</w:t>
      </w:r>
      <w:r>
        <w:rPr>
          <w:rFonts w:ascii="Arial"/>
          <w:color w:val="01643F"/>
          <w:spacing w:val="-3"/>
          <w:sz w:val="32"/>
        </w:rPr>
        <w:t xml:space="preserve"> </w:t>
      </w:r>
      <w:r>
        <w:rPr>
          <w:rFonts w:ascii="Arial"/>
          <w:color w:val="01643F"/>
          <w:sz w:val="32"/>
        </w:rPr>
        <w:t>recommendations</w:t>
      </w:r>
    </w:p>
    <w:p w:rsidR="001D7CB1" w:rsidRDefault="00154AFD">
      <w:pPr>
        <w:pStyle w:val="Heading1"/>
        <w:spacing w:before="194"/>
      </w:pPr>
      <w:r>
        <w:t>Recommendation</w:t>
      </w:r>
      <w:r>
        <w:rPr>
          <w:spacing w:val="-1"/>
        </w:rPr>
        <w:t xml:space="preserve"> </w:t>
      </w:r>
      <w:r>
        <w:t>1</w:t>
      </w:r>
    </w:p>
    <w:p w:rsidR="001D7CB1" w:rsidRDefault="001D7CB1">
      <w:pPr>
        <w:pStyle w:val="BodyText"/>
        <w:spacing w:before="1"/>
        <w:rPr>
          <w:b/>
          <w:sz w:val="25"/>
        </w:rPr>
      </w:pPr>
    </w:p>
    <w:p w:rsidR="001D7CB1" w:rsidRDefault="00154AFD">
      <w:pPr>
        <w:pStyle w:val="BodyText"/>
        <w:spacing w:before="1" w:line="360" w:lineRule="auto"/>
        <w:ind w:left="100" w:right="605"/>
      </w:pPr>
      <w:r>
        <w:t>Restructure ED attendance items into three tiered base items with add-ons items. – The</w:t>
      </w:r>
      <w:r>
        <w:rPr>
          <w:spacing w:val="-52"/>
        </w:rPr>
        <w:t xml:space="preserve"> </w:t>
      </w:r>
      <w:r>
        <w:t>three tiered base items reflect the differing levels of professional involvement required</w:t>
      </w:r>
      <w:r>
        <w:rPr>
          <w:spacing w:val="1"/>
        </w:rPr>
        <w:t xml:space="preserve"> </w:t>
      </w:r>
      <w:r>
        <w:t>during emergency attendances, based on the number of differential diagnoses and</w:t>
      </w:r>
      <w:r>
        <w:rPr>
          <w:spacing w:val="1"/>
        </w:rPr>
        <w:t xml:space="preserve"> </w:t>
      </w:r>
      <w:r>
        <w:t>comorbidities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 consideration.</w:t>
      </w:r>
    </w:p>
    <w:p w:rsidR="001D7CB1" w:rsidRDefault="001D7CB1">
      <w:pPr>
        <w:pStyle w:val="BodyText"/>
        <w:spacing w:before="10"/>
        <w:rPr>
          <w:sz w:val="35"/>
        </w:rPr>
      </w:pPr>
    </w:p>
    <w:p w:rsidR="001D7CB1" w:rsidRDefault="00154AFD">
      <w:pPr>
        <w:pStyle w:val="ListParagraph"/>
        <w:numPr>
          <w:ilvl w:val="0"/>
          <w:numId w:val="1"/>
        </w:numPr>
        <w:tabs>
          <w:tab w:val="left" w:pos="274"/>
        </w:tabs>
        <w:spacing w:line="360" w:lineRule="auto"/>
        <w:ind w:right="351" w:firstLine="0"/>
        <w:rPr>
          <w:sz w:val="24"/>
        </w:rPr>
      </w:pPr>
      <w:r>
        <w:rPr>
          <w:sz w:val="24"/>
        </w:rPr>
        <w:t>The add-on items are designed to reflect the significant additional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 associated with issues or tasks that may be performed in an ED context, but</w:t>
      </w:r>
      <w:r>
        <w:rPr>
          <w:spacing w:val="1"/>
          <w:sz w:val="24"/>
        </w:rPr>
        <w:t xml:space="preserve"> </w:t>
      </w:r>
      <w:r>
        <w:rPr>
          <w:sz w:val="24"/>
        </w:rPr>
        <w:t>that are not a standard component of any particular base item. Specifically, these item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cover resuscitation (for half an hour to one hour, one to two hours, or two hours or more),</w:t>
      </w:r>
      <w:r>
        <w:rPr>
          <w:spacing w:val="-52"/>
          <w:sz w:val="24"/>
        </w:rPr>
        <w:t xml:space="preserve"> </w:t>
      </w:r>
      <w:r>
        <w:rPr>
          <w:sz w:val="24"/>
        </w:rPr>
        <w:t>anaesthesia, minor procedures, procedures, fracture / dislocation management excluding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aftercare, fracture / dislocation management including aftercare, care for </w:t>
      </w:r>
      <w:r>
        <w:rPr>
          <w:sz w:val="24"/>
        </w:rPr>
        <w:t>patients above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of 75</w:t>
      </w:r>
      <w:r>
        <w:rPr>
          <w:spacing w:val="1"/>
          <w:sz w:val="24"/>
        </w:rPr>
        <w:t xml:space="preserve"> </w:t>
      </w:r>
      <w:r>
        <w:rPr>
          <w:sz w:val="24"/>
        </w:rPr>
        <w:t>or below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two,</w:t>
      </w:r>
      <w:r>
        <w:rPr>
          <w:spacing w:val="-3"/>
          <w:sz w:val="24"/>
        </w:rPr>
        <w:t xml:space="preserve"> </w:t>
      </w:r>
      <w:r>
        <w:rPr>
          <w:sz w:val="24"/>
        </w:rPr>
        <w:t>chemical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physical restraints, and</w:t>
      </w:r>
      <w:r>
        <w:rPr>
          <w:spacing w:val="4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of care.</w:t>
      </w:r>
    </w:p>
    <w:p w:rsidR="001D7CB1" w:rsidRDefault="001D7CB1">
      <w:pPr>
        <w:pStyle w:val="BodyText"/>
      </w:pPr>
    </w:p>
    <w:p w:rsidR="001D7CB1" w:rsidRDefault="00154AFD">
      <w:pPr>
        <w:pStyle w:val="ListParagraph"/>
        <w:numPr>
          <w:ilvl w:val="0"/>
          <w:numId w:val="1"/>
        </w:numPr>
        <w:tabs>
          <w:tab w:val="left" w:pos="274"/>
        </w:tabs>
        <w:spacing w:before="146" w:line="360" w:lineRule="auto"/>
        <w:ind w:firstLine="0"/>
        <w:rPr>
          <w:sz w:val="24"/>
        </w:rPr>
      </w:pPr>
      <w:r>
        <w:rPr>
          <w:sz w:val="24"/>
        </w:rPr>
        <w:t>Other MBS items should not be used for services (or components of services) provided in</w:t>
      </w:r>
      <w:r>
        <w:rPr>
          <w:spacing w:val="-52"/>
          <w:sz w:val="24"/>
        </w:rPr>
        <w:t xml:space="preserve"> </w:t>
      </w:r>
      <w:r>
        <w:rPr>
          <w:sz w:val="24"/>
        </w:rPr>
        <w:t>the course of an ED attendance (i.e., services rendered by an Emergency Physician 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 with an ED attendance). Add-on items should be used instead of all existing</w:t>
      </w:r>
      <w:r>
        <w:rPr>
          <w:spacing w:val="1"/>
          <w:sz w:val="24"/>
        </w:rPr>
        <w:t xml:space="preserve"> </w:t>
      </w:r>
      <w:r>
        <w:rPr>
          <w:sz w:val="24"/>
        </w:rPr>
        <w:t>MBS</w:t>
      </w:r>
      <w:r>
        <w:rPr>
          <w:spacing w:val="-1"/>
          <w:sz w:val="24"/>
        </w:rPr>
        <w:t xml:space="preserve"> </w:t>
      </w:r>
      <w:r>
        <w:rPr>
          <w:sz w:val="24"/>
        </w:rPr>
        <w:t>procedural items, such as anaesthetics items.</w:t>
      </w:r>
    </w:p>
    <w:p w:rsidR="001D7CB1" w:rsidRDefault="001D7CB1">
      <w:pPr>
        <w:pStyle w:val="BodyText"/>
        <w:spacing w:before="11"/>
        <w:rPr>
          <w:sz w:val="35"/>
        </w:rPr>
      </w:pPr>
    </w:p>
    <w:p w:rsidR="001D7CB1" w:rsidRDefault="00154AFD">
      <w:pPr>
        <w:pStyle w:val="Heading1"/>
      </w:pPr>
      <w:r>
        <w:t>Recommendation</w:t>
      </w:r>
      <w:r>
        <w:rPr>
          <w:spacing w:val="-1"/>
        </w:rPr>
        <w:t xml:space="preserve"> </w:t>
      </w:r>
      <w:r>
        <w:t>2</w:t>
      </w:r>
    </w:p>
    <w:p w:rsidR="001D7CB1" w:rsidRDefault="00154AFD">
      <w:pPr>
        <w:pStyle w:val="BodyText"/>
        <w:spacing w:before="149" w:line="360" w:lineRule="auto"/>
        <w:ind w:left="100" w:right="225"/>
      </w:pPr>
      <w:r>
        <w:t>Use a consisten</w:t>
      </w:r>
      <w:r>
        <w:t>t item framework for all emergency attendances, regardless of the provider</w:t>
      </w:r>
      <w:r>
        <w:rPr>
          <w:spacing w:val="1"/>
        </w:rPr>
        <w:t xml:space="preserve"> </w:t>
      </w:r>
      <w:r>
        <w:t>type. – Item descriptions for professional attendances in accredited private EDs should</w:t>
      </w:r>
      <w:r>
        <w:rPr>
          <w:spacing w:val="1"/>
        </w:rPr>
        <w:t xml:space="preserve"> </w:t>
      </w:r>
      <w:r>
        <w:t>specify the provider type and applicable schedule fee but should otherwise be the same,</w:t>
      </w:r>
      <w:r>
        <w:rPr>
          <w:spacing w:val="1"/>
        </w:rPr>
        <w:t xml:space="preserve"> </w:t>
      </w:r>
      <w:r>
        <w:t>regar</w:t>
      </w:r>
      <w:r>
        <w:t>dless of whether the item is provided by a specialist Emergency Physician, a trainee in</w:t>
      </w:r>
      <w:r>
        <w:rPr>
          <w:spacing w:val="1"/>
        </w:rPr>
        <w:t xml:space="preserve"> </w:t>
      </w:r>
      <w:r>
        <w:t>emergency medicine, a GP (whether vocationally registered or non-vocationally registered),</w:t>
      </w:r>
      <w:r>
        <w:rPr>
          <w:spacing w:val="-52"/>
        </w:rPr>
        <w:t xml:space="preserve"> </w:t>
      </w:r>
      <w:r>
        <w:t>or another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practitioner.</w:t>
      </w:r>
    </w:p>
    <w:p w:rsidR="001D7CB1" w:rsidRDefault="001D7CB1">
      <w:pPr>
        <w:spacing w:line="360" w:lineRule="auto"/>
        <w:sectPr w:rsidR="001D7CB1">
          <w:pgSz w:w="11910" w:h="16840"/>
          <w:pgMar w:top="1380" w:right="1280" w:bottom="1180" w:left="1340" w:header="0" w:footer="985" w:gutter="0"/>
          <w:cols w:space="720"/>
        </w:sectPr>
      </w:pPr>
    </w:p>
    <w:p w:rsidR="001D7CB1" w:rsidRDefault="00154AFD">
      <w:pPr>
        <w:pStyle w:val="ListParagraph"/>
        <w:numPr>
          <w:ilvl w:val="0"/>
          <w:numId w:val="1"/>
        </w:numPr>
        <w:tabs>
          <w:tab w:val="left" w:pos="274"/>
        </w:tabs>
        <w:spacing w:before="41" w:line="360" w:lineRule="auto"/>
        <w:ind w:right="389" w:firstLine="0"/>
        <w:rPr>
          <w:sz w:val="24"/>
        </w:rPr>
      </w:pPr>
      <w:r>
        <w:rPr>
          <w:sz w:val="24"/>
        </w:rPr>
        <w:lastRenderedPageBreak/>
        <w:t>A lower MBS benefit should</w:t>
      </w:r>
      <w:r>
        <w:rPr>
          <w:sz w:val="24"/>
        </w:rPr>
        <w:t xml:space="preserve"> apply if the provider is not a vocationally recognised</w:t>
      </w:r>
      <w:r>
        <w:rPr>
          <w:spacing w:val="1"/>
          <w:sz w:val="24"/>
        </w:rPr>
        <w:t xml:space="preserve"> </w:t>
      </w:r>
      <w:r>
        <w:rPr>
          <w:sz w:val="24"/>
        </w:rPr>
        <w:t>Emergency Medicine Specialist (i.e., an Emergency Physician, defined by recognition as a</w:t>
      </w:r>
      <w:r>
        <w:rPr>
          <w:spacing w:val="1"/>
          <w:sz w:val="24"/>
        </w:rPr>
        <w:t xml:space="preserve"> </w:t>
      </w:r>
      <w:r>
        <w:rPr>
          <w:sz w:val="24"/>
        </w:rPr>
        <w:t>Fellow of the ACEM). This ‘scaled access’ to emergency attendance items should provide a</w:t>
      </w:r>
      <w:r>
        <w:rPr>
          <w:spacing w:val="-52"/>
          <w:sz w:val="24"/>
        </w:rPr>
        <w:t xml:space="preserve"> </w:t>
      </w:r>
      <w:r>
        <w:rPr>
          <w:sz w:val="24"/>
        </w:rPr>
        <w:t>fixed proportion of th</w:t>
      </w:r>
      <w:r>
        <w:rPr>
          <w:sz w:val="24"/>
        </w:rPr>
        <w:t>e benefit available for services provided by Emergency Medicine</w:t>
      </w:r>
      <w:r>
        <w:rPr>
          <w:spacing w:val="1"/>
          <w:sz w:val="24"/>
        </w:rPr>
        <w:t xml:space="preserve"> </w:t>
      </w:r>
      <w:r>
        <w:rPr>
          <w:sz w:val="24"/>
        </w:rPr>
        <w:t>Specialists.</w:t>
      </w:r>
    </w:p>
    <w:p w:rsidR="001D7CB1" w:rsidRDefault="001D7CB1">
      <w:pPr>
        <w:pStyle w:val="BodyText"/>
      </w:pPr>
    </w:p>
    <w:p w:rsidR="001D7CB1" w:rsidRDefault="00154AFD">
      <w:pPr>
        <w:pStyle w:val="BodyText"/>
        <w:spacing w:before="147" w:line="360" w:lineRule="auto"/>
        <w:ind w:left="100" w:right="178"/>
      </w:pPr>
      <w:r>
        <w:t>The proposed item descriptors and explanatory notes are the same as those provided in</w:t>
      </w:r>
      <w:r>
        <w:rPr>
          <w:spacing w:val="1"/>
        </w:rPr>
        <w:t xml:space="preserve"> </w:t>
      </w:r>
      <w:r>
        <w:t>Section 4.2 – Emergency Department attendance items, except that they also specify the</w:t>
      </w:r>
      <w:r>
        <w:rPr>
          <w:spacing w:val="1"/>
        </w:rPr>
        <w:t xml:space="preserve"> </w:t>
      </w:r>
      <w:r>
        <w:t>provi</w:t>
      </w:r>
      <w:r>
        <w:t>der type and applicable schedule fee. Specifically, in place of “medical practitioner who</w:t>
      </w:r>
      <w:r>
        <w:rPr>
          <w:spacing w:val="-52"/>
        </w:rPr>
        <w:t xml:space="preserve"> </w:t>
      </w:r>
      <w:r>
        <w:t>is an Emergency Physician in the practice of Emergency Medicine,” item descriptors should</w:t>
      </w:r>
      <w:r>
        <w:rPr>
          <w:spacing w:val="1"/>
        </w:rPr>
        <w:t xml:space="preserve"> </w:t>
      </w:r>
      <w:r>
        <w:t>specify “medical practitioner who is not an Emergency Physician in the pract</w:t>
      </w:r>
      <w:r>
        <w:t>ice of</w:t>
      </w:r>
      <w:r>
        <w:rPr>
          <w:spacing w:val="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Medicine”.</w:t>
      </w:r>
    </w:p>
    <w:p w:rsidR="001D7CB1" w:rsidRDefault="001D7CB1">
      <w:pPr>
        <w:pStyle w:val="BodyText"/>
        <w:spacing w:before="10"/>
        <w:rPr>
          <w:sz w:val="35"/>
        </w:rPr>
      </w:pPr>
    </w:p>
    <w:p w:rsidR="001D7CB1" w:rsidRDefault="00154AFD">
      <w:pPr>
        <w:pStyle w:val="Heading1"/>
        <w:spacing w:before="1"/>
      </w:pPr>
      <w:r>
        <w:t>Recommendation</w:t>
      </w:r>
      <w:r>
        <w:rPr>
          <w:spacing w:val="-1"/>
        </w:rPr>
        <w:t xml:space="preserve"> </w:t>
      </w:r>
      <w:r>
        <w:t>3</w:t>
      </w:r>
    </w:p>
    <w:p w:rsidR="001D7CB1" w:rsidRDefault="00154AFD">
      <w:pPr>
        <w:pStyle w:val="BodyText"/>
        <w:spacing w:before="146" w:line="362" w:lineRule="auto"/>
        <w:ind w:left="100" w:right="330"/>
      </w:pPr>
      <w:r>
        <w:t>Leave items relating to daily management of a patient in an Intensive Care Unit (ICU; items</w:t>
      </w:r>
      <w:r>
        <w:rPr>
          <w:spacing w:val="-52"/>
        </w:rPr>
        <w:t xml:space="preserve"> </w:t>
      </w:r>
      <w:r>
        <w:t>13870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13873)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invasive pressure</w:t>
      </w:r>
      <w:r>
        <w:rPr>
          <w:spacing w:val="-1"/>
        </w:rPr>
        <w:t xml:space="preserve"> </w:t>
      </w:r>
      <w:r>
        <w:t>monitoring (item</w:t>
      </w:r>
      <w:r>
        <w:rPr>
          <w:spacing w:val="-4"/>
        </w:rPr>
        <w:t xml:space="preserve"> </w:t>
      </w:r>
      <w:r>
        <w:t>13876) unchanged.</w:t>
      </w:r>
    </w:p>
    <w:p w:rsidR="001D7CB1" w:rsidRDefault="001D7CB1">
      <w:pPr>
        <w:pStyle w:val="BodyText"/>
        <w:spacing w:before="8"/>
        <w:rPr>
          <w:sz w:val="35"/>
        </w:rPr>
      </w:pPr>
    </w:p>
    <w:p w:rsidR="001D7CB1" w:rsidRDefault="00154AFD">
      <w:pPr>
        <w:pStyle w:val="BodyText"/>
        <w:spacing w:line="360" w:lineRule="auto"/>
        <w:ind w:left="100" w:right="358"/>
      </w:pPr>
      <w:r>
        <w:t>This recommendation reflects the Committee’s view that these items are functioning as</w:t>
      </w:r>
      <w:r>
        <w:rPr>
          <w:spacing w:val="1"/>
        </w:rPr>
        <w:t xml:space="preserve"> </w:t>
      </w:r>
      <w:r>
        <w:t>intended, and that item 13876 remains an accurate and appropriate scalable surrogate for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complexity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patients 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ICU.</w:t>
      </w:r>
    </w:p>
    <w:p w:rsidR="001D7CB1" w:rsidRDefault="001D7CB1">
      <w:pPr>
        <w:pStyle w:val="BodyText"/>
        <w:spacing w:before="11"/>
        <w:rPr>
          <w:sz w:val="35"/>
        </w:rPr>
      </w:pPr>
    </w:p>
    <w:p w:rsidR="001D7CB1" w:rsidRDefault="00154AFD">
      <w:pPr>
        <w:pStyle w:val="Heading1"/>
      </w:pPr>
      <w:r>
        <w:t>Recommendation</w:t>
      </w:r>
      <w:r>
        <w:rPr>
          <w:spacing w:val="-1"/>
        </w:rPr>
        <w:t xml:space="preserve"> </w:t>
      </w:r>
      <w:r>
        <w:t>4</w:t>
      </w:r>
    </w:p>
    <w:p w:rsidR="001D7CB1" w:rsidRDefault="00154AFD">
      <w:pPr>
        <w:pStyle w:val="BodyText"/>
        <w:spacing w:before="146" w:line="360" w:lineRule="auto"/>
        <w:ind w:left="100" w:right="612"/>
      </w:pPr>
      <w:r>
        <w:t>Remove the differential f</w:t>
      </w:r>
      <w:r>
        <w:t>ees for the first day (remove item 13847) and subsequent days</w:t>
      </w:r>
      <w:r>
        <w:rPr>
          <w:spacing w:val="-52"/>
        </w:rPr>
        <w:t xml:space="preserve"> </w:t>
      </w:r>
      <w:r>
        <w:t>(revise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13848)</w:t>
      </w:r>
      <w:r>
        <w:rPr>
          <w:spacing w:val="-2"/>
        </w:rPr>
        <w:t xml:space="preserve"> </w:t>
      </w:r>
      <w:r>
        <w:t>of managing counterpulsation by</w:t>
      </w:r>
      <w:r>
        <w:rPr>
          <w:spacing w:val="-2"/>
        </w:rPr>
        <w:t xml:space="preserve"> </w:t>
      </w:r>
      <w:r>
        <w:t>intraaortic balloon.</w:t>
      </w:r>
    </w:p>
    <w:p w:rsidR="001D7CB1" w:rsidRDefault="001D7CB1">
      <w:pPr>
        <w:pStyle w:val="BodyText"/>
      </w:pPr>
    </w:p>
    <w:p w:rsidR="001D7CB1" w:rsidRDefault="00154AFD">
      <w:pPr>
        <w:pStyle w:val="BodyText"/>
        <w:spacing w:before="148" w:line="360" w:lineRule="auto"/>
        <w:ind w:left="100" w:right="263"/>
      </w:pPr>
      <w:r>
        <w:t>This recommendation simplifies the MBS and is intended to enhance value for the patient</w:t>
      </w:r>
      <w:r>
        <w:rPr>
          <w:spacing w:val="1"/>
        </w:rPr>
        <w:t xml:space="preserve"> </w:t>
      </w:r>
      <w:r>
        <w:t>and the health system, recognisi</w:t>
      </w:r>
      <w:r>
        <w:t>ng that there is no significant difference in the professional</w:t>
      </w:r>
      <w:r>
        <w:rPr>
          <w:spacing w:val="-52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between first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care.</w:t>
      </w:r>
    </w:p>
    <w:p w:rsidR="001D7CB1" w:rsidRDefault="001D7CB1">
      <w:pPr>
        <w:spacing w:line="360" w:lineRule="auto"/>
        <w:sectPr w:rsidR="001D7CB1">
          <w:pgSz w:w="11910" w:h="16840"/>
          <w:pgMar w:top="1380" w:right="1280" w:bottom="1180" w:left="1340" w:header="0" w:footer="985" w:gutter="0"/>
          <w:cols w:space="720"/>
        </w:sectPr>
      </w:pPr>
    </w:p>
    <w:p w:rsidR="001D7CB1" w:rsidRDefault="00154AFD">
      <w:pPr>
        <w:pStyle w:val="Heading1"/>
        <w:spacing w:before="41"/>
      </w:pPr>
      <w:r>
        <w:lastRenderedPageBreak/>
        <w:t>Recommendation</w:t>
      </w:r>
      <w:r>
        <w:rPr>
          <w:spacing w:val="-1"/>
        </w:rPr>
        <w:t xml:space="preserve"> </w:t>
      </w:r>
      <w:r>
        <w:t>5</w:t>
      </w:r>
    </w:p>
    <w:p w:rsidR="001D7CB1" w:rsidRDefault="00154AFD">
      <w:pPr>
        <w:pStyle w:val="BodyText"/>
        <w:spacing w:before="146" w:line="360" w:lineRule="auto"/>
        <w:ind w:left="100" w:right="265"/>
      </w:pPr>
      <w:r>
        <w:t>Consider an expedited MSAC assessment for listing 6 new MBS items for extracorporeal life</w:t>
      </w:r>
      <w:r>
        <w:rPr>
          <w:spacing w:val="-52"/>
        </w:rPr>
        <w:t xml:space="preserve"> </w:t>
      </w:r>
      <w:r>
        <w:t>supp</w:t>
      </w:r>
      <w:r>
        <w:t>ort, and revise items 13851 and 13854 to clarify that they are intended to cover</w:t>
      </w:r>
      <w:r>
        <w:rPr>
          <w:spacing w:val="1"/>
        </w:rPr>
        <w:t xml:space="preserve"> </w:t>
      </w:r>
      <w:r>
        <w:t>ventricular</w:t>
      </w:r>
      <w:r>
        <w:rPr>
          <w:spacing w:val="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(VADs).</w:t>
      </w:r>
    </w:p>
    <w:p w:rsidR="001D7CB1" w:rsidRDefault="001D7CB1">
      <w:pPr>
        <w:pStyle w:val="BodyText"/>
      </w:pPr>
    </w:p>
    <w:p w:rsidR="001D7CB1" w:rsidRDefault="00154AFD">
      <w:pPr>
        <w:pStyle w:val="BodyText"/>
        <w:spacing w:before="148" w:line="360" w:lineRule="auto"/>
        <w:ind w:left="100" w:right="433"/>
      </w:pPr>
      <w:r>
        <w:t>This recommendation focuses on addressing ambiguity in the current item descriptors for</w:t>
      </w:r>
      <w:r>
        <w:rPr>
          <w:spacing w:val="-52"/>
        </w:rPr>
        <w:t xml:space="preserve"> </w:t>
      </w:r>
      <w:r>
        <w:t>items 13851 and</w:t>
      </w:r>
      <w:r>
        <w:rPr>
          <w:spacing w:val="-2"/>
        </w:rPr>
        <w:t xml:space="preserve"> </w:t>
      </w:r>
      <w:r>
        <w:t>13854,</w:t>
      </w:r>
      <w:r>
        <w:rPr>
          <w:spacing w:val="-2"/>
        </w:rPr>
        <w:t xml:space="preserve"> </w:t>
      </w:r>
      <w:r>
        <w:t>and on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best-practice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services.</w:t>
      </w:r>
    </w:p>
    <w:p w:rsidR="001D7CB1" w:rsidRDefault="001D7CB1">
      <w:pPr>
        <w:pStyle w:val="BodyText"/>
        <w:spacing w:before="11"/>
        <w:rPr>
          <w:sz w:val="35"/>
        </w:rPr>
      </w:pPr>
    </w:p>
    <w:p w:rsidR="001D7CB1" w:rsidRDefault="00154AFD">
      <w:pPr>
        <w:pStyle w:val="Heading1"/>
      </w:pPr>
      <w:r>
        <w:t>Recommendation</w:t>
      </w:r>
      <w:r>
        <w:rPr>
          <w:spacing w:val="-1"/>
        </w:rPr>
        <w:t xml:space="preserve"> </w:t>
      </w:r>
      <w:r>
        <w:t>6</w:t>
      </w:r>
    </w:p>
    <w:p w:rsidR="001D7CB1" w:rsidRDefault="00154AFD">
      <w:pPr>
        <w:pStyle w:val="BodyText"/>
        <w:spacing w:before="147" w:line="360" w:lineRule="auto"/>
        <w:ind w:left="100" w:right="294"/>
      </w:pPr>
      <w:r>
        <w:t>Revise the item descriptions for item 13815 (central vein catheterisation) and item 13842</w:t>
      </w:r>
      <w:r>
        <w:rPr>
          <w:spacing w:val="1"/>
        </w:rPr>
        <w:t xml:space="preserve"> </w:t>
      </w:r>
      <w:r>
        <w:t>(intra-arterial cannulation) to encourage ultrasound guidance where clinically appropriate.</w:t>
      </w:r>
      <w:r>
        <w:rPr>
          <w:spacing w:val="1"/>
        </w:rPr>
        <w:t xml:space="preserve"> </w:t>
      </w:r>
      <w:r>
        <w:t>Where used, ultrasound gu</w:t>
      </w:r>
      <w:r>
        <w:t>idance should not attract payment of benefits separate to those</w:t>
      </w:r>
      <w:r>
        <w:rPr>
          <w:spacing w:val="-52"/>
        </w:rPr>
        <w:t xml:space="preserve"> </w:t>
      </w:r>
      <w:r>
        <w:t>for items 13815 and 13842. This recommendation focuses on supporting best-practice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value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patients and the community.</w:t>
      </w:r>
    </w:p>
    <w:p w:rsidR="001D7CB1" w:rsidRDefault="001D7CB1">
      <w:pPr>
        <w:pStyle w:val="BodyText"/>
      </w:pPr>
    </w:p>
    <w:p w:rsidR="001D7CB1" w:rsidRDefault="00154AFD">
      <w:pPr>
        <w:pStyle w:val="Heading1"/>
        <w:spacing w:before="147"/>
      </w:pPr>
      <w:r>
        <w:t>Recommendation</w:t>
      </w:r>
      <w:r>
        <w:rPr>
          <w:spacing w:val="-1"/>
        </w:rPr>
        <w:t xml:space="preserve"> </w:t>
      </w:r>
      <w:r>
        <w:t>7</w:t>
      </w:r>
    </w:p>
    <w:p w:rsidR="001D7CB1" w:rsidRDefault="00154AFD">
      <w:pPr>
        <w:pStyle w:val="BodyText"/>
        <w:spacing w:before="146" w:line="360" w:lineRule="auto"/>
        <w:ind w:left="100" w:right="223"/>
      </w:pPr>
      <w:r>
        <w:t>Introduce an MBS item for the discussion and documentation of goals of care by an</w:t>
      </w:r>
      <w:r>
        <w:rPr>
          <w:spacing w:val="1"/>
        </w:rPr>
        <w:t xml:space="preserve"> </w:t>
      </w:r>
      <w:r>
        <w:t>Intensive Care Specialist. This service is for patients potentially nearing end of life, where</w:t>
      </w:r>
      <w:r>
        <w:rPr>
          <w:spacing w:val="1"/>
        </w:rPr>
        <w:t xml:space="preserve"> </w:t>
      </w:r>
      <w:r>
        <w:t>alternatives to active management may be an appropriate clinical choice, and wh</w:t>
      </w:r>
      <w:r>
        <w:t>ere</w:t>
      </w:r>
      <w:r>
        <w:rPr>
          <w:spacing w:val="1"/>
        </w:rPr>
        <w:t xml:space="preserve"> </w:t>
      </w:r>
      <w:r>
        <w:t>relevant goals of care do not already exist. (See the proposed item descriptor in Section 5.6</w:t>
      </w:r>
      <w:r>
        <w:rPr>
          <w:spacing w:val="1"/>
        </w:rPr>
        <w:t xml:space="preserve"> </w:t>
      </w:r>
      <w:r>
        <w:t>for the appropriate clinical indications, required service components and restrictions on use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item.)</w:t>
      </w:r>
    </w:p>
    <w:p w:rsidR="001D7CB1" w:rsidRDefault="001D7CB1">
      <w:pPr>
        <w:pStyle w:val="BodyText"/>
        <w:spacing w:before="10"/>
        <w:rPr>
          <w:sz w:val="35"/>
        </w:rPr>
      </w:pPr>
    </w:p>
    <w:p w:rsidR="001D7CB1" w:rsidRDefault="00154AFD">
      <w:pPr>
        <w:pStyle w:val="BodyText"/>
        <w:spacing w:before="1" w:line="360" w:lineRule="auto"/>
        <w:ind w:left="100" w:right="198"/>
      </w:pPr>
      <w:r>
        <w:t>This recommendation focuses on supporting acces</w:t>
      </w:r>
      <w:r>
        <w:t>s to best-practice decision-making</w:t>
      </w:r>
      <w:r>
        <w:rPr>
          <w:spacing w:val="1"/>
        </w:rPr>
        <w:t xml:space="preserve"> </w:t>
      </w:r>
      <w:r>
        <w:t>services, with the aim of improving both the patient experience and enhancing value for the</w:t>
      </w:r>
      <w:r>
        <w:rPr>
          <w:spacing w:val="-52"/>
        </w:rPr>
        <w:t xml:space="preserve"> </w:t>
      </w:r>
      <w:r>
        <w:t>patient and the health system. The Committee noted that in ideal circumstances, goals of</w:t>
      </w:r>
      <w:r>
        <w:rPr>
          <w:spacing w:val="1"/>
        </w:rPr>
        <w:t xml:space="preserve"> </w:t>
      </w:r>
      <w:r>
        <w:t xml:space="preserve">care are defined with a provider who is </w:t>
      </w:r>
      <w:r>
        <w:t>familiar with the patient, prior to admission to</w:t>
      </w:r>
      <w:r>
        <w:rPr>
          <w:spacing w:val="1"/>
        </w:rPr>
        <w:t xml:space="preserve"> </w:t>
      </w:r>
      <w:r>
        <w:t>hospital or an ICU. However, if this has not occurred, it is important that patients (and,</w:t>
      </w:r>
      <w:r>
        <w:rPr>
          <w:spacing w:val="1"/>
        </w:rPr>
        <w:t xml:space="preserve"> </w:t>
      </w:r>
      <w:r>
        <w:t>where relevant, family and carers) receive support to make informed choices prior to</w:t>
      </w:r>
      <w:r>
        <w:rPr>
          <w:spacing w:val="1"/>
        </w:rPr>
        <w:t xml:space="preserve"> </w:t>
      </w:r>
      <w:r>
        <w:t>embarking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pote</w:t>
      </w:r>
      <w:r>
        <w:t>ntially</w:t>
      </w:r>
      <w:r>
        <w:rPr>
          <w:spacing w:val="-2"/>
        </w:rPr>
        <w:t xml:space="preserve"> </w:t>
      </w:r>
      <w:r>
        <w:t>prolonged</w:t>
      </w:r>
      <w:r>
        <w:rPr>
          <w:spacing w:val="-2"/>
        </w:rPr>
        <w:t xml:space="preserve"> </w:t>
      </w:r>
      <w:r>
        <w:t>treatment.</w:t>
      </w:r>
    </w:p>
    <w:p w:rsidR="001D7CB1" w:rsidRDefault="001D7CB1">
      <w:pPr>
        <w:spacing w:line="360" w:lineRule="auto"/>
        <w:sectPr w:rsidR="001D7CB1">
          <w:pgSz w:w="11910" w:h="16840"/>
          <w:pgMar w:top="1380" w:right="1280" w:bottom="1180" w:left="1340" w:header="0" w:footer="985" w:gutter="0"/>
          <w:cols w:space="720"/>
        </w:sectPr>
      </w:pPr>
    </w:p>
    <w:p w:rsidR="001D7CB1" w:rsidRDefault="00154AFD">
      <w:pPr>
        <w:pStyle w:val="Heading1"/>
        <w:spacing w:before="41"/>
      </w:pPr>
      <w:r>
        <w:lastRenderedPageBreak/>
        <w:t>Recommendation</w:t>
      </w:r>
      <w:r>
        <w:rPr>
          <w:spacing w:val="-1"/>
        </w:rPr>
        <w:t xml:space="preserve"> </w:t>
      </w:r>
      <w:r>
        <w:t>8</w:t>
      </w:r>
    </w:p>
    <w:p w:rsidR="001D7CB1" w:rsidRDefault="00154AFD">
      <w:pPr>
        <w:pStyle w:val="BodyText"/>
        <w:spacing w:before="146" w:line="360" w:lineRule="auto"/>
        <w:ind w:left="100" w:right="405"/>
      </w:pPr>
      <w:r>
        <w:t>Remove obsolete item 14200 (relating to the practice of gastric lavage in the treatment of</w:t>
      </w:r>
      <w:r>
        <w:rPr>
          <w:spacing w:val="-52"/>
        </w:rPr>
        <w:t xml:space="preserve"> </w:t>
      </w:r>
      <w:r>
        <w:t>ingested</w:t>
      </w:r>
      <w:r>
        <w:rPr>
          <w:spacing w:val="-3"/>
        </w:rPr>
        <w:t xml:space="preserve"> </w:t>
      </w:r>
      <w:r>
        <w:t>poison)</w:t>
      </w:r>
      <w:r>
        <w:rPr>
          <w:spacing w:val="1"/>
        </w:rPr>
        <w:t xml:space="preserve"> </w:t>
      </w:r>
      <w:r>
        <w:t>from the MBS.</w:t>
      </w:r>
    </w:p>
    <w:p w:rsidR="001D7CB1" w:rsidRDefault="001D7CB1">
      <w:pPr>
        <w:pStyle w:val="BodyText"/>
        <w:spacing w:before="11"/>
        <w:rPr>
          <w:sz w:val="35"/>
        </w:rPr>
      </w:pPr>
    </w:p>
    <w:p w:rsidR="001D7CB1" w:rsidRDefault="00154AFD">
      <w:pPr>
        <w:pStyle w:val="Heading1"/>
      </w:pPr>
      <w:r>
        <w:t>Recommendation</w:t>
      </w:r>
      <w:r>
        <w:rPr>
          <w:spacing w:val="-1"/>
        </w:rPr>
        <w:t xml:space="preserve"> </w:t>
      </w:r>
      <w:r>
        <w:t>9</w:t>
      </w:r>
    </w:p>
    <w:p w:rsidR="001D7CB1" w:rsidRDefault="00154AFD">
      <w:pPr>
        <w:pStyle w:val="BodyText"/>
        <w:spacing w:before="149" w:line="360" w:lineRule="auto"/>
        <w:ind w:left="100" w:right="170"/>
      </w:pPr>
      <w:r>
        <w:t>Consider an expedited MSAC assessment for listing an MBS item for rapid response system /</w:t>
      </w:r>
      <w:r>
        <w:rPr>
          <w:spacing w:val="-52"/>
        </w:rPr>
        <w:t xml:space="preserve"> </w:t>
      </w:r>
      <w:r>
        <w:t>code blue attendances. This service is for attendances outside of EDs and ICUs by the</w:t>
      </w:r>
      <w:r>
        <w:rPr>
          <w:spacing w:val="1"/>
        </w:rPr>
        <w:t xml:space="preserve"> </w:t>
      </w:r>
      <w:r>
        <w:t>medical practitioner taking overall responsibility for the patient in the course</w:t>
      </w:r>
      <w:r>
        <w:t xml:space="preserve"> of the call or</w:t>
      </w:r>
      <w:r>
        <w:rPr>
          <w:spacing w:val="1"/>
        </w:rPr>
        <w:t xml:space="preserve"> </w:t>
      </w:r>
      <w:r>
        <w:t>code response. It is not claimable in conjunction with ED attendance or ICU daily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items by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provider.</w:t>
      </w:r>
    </w:p>
    <w:p w:rsidR="001D7CB1" w:rsidRDefault="001D7CB1">
      <w:pPr>
        <w:pStyle w:val="BodyText"/>
        <w:spacing w:before="11"/>
        <w:rPr>
          <w:sz w:val="35"/>
        </w:rPr>
      </w:pPr>
    </w:p>
    <w:p w:rsidR="001D7CB1" w:rsidRDefault="00154AFD">
      <w:pPr>
        <w:pStyle w:val="BodyText"/>
        <w:spacing w:line="360" w:lineRule="auto"/>
        <w:ind w:left="100" w:right="479"/>
      </w:pPr>
      <w:r>
        <w:t>This recommendation focuses on supporting access to this best-practice health service. It</w:t>
      </w:r>
      <w:r>
        <w:rPr>
          <w:spacing w:val="-52"/>
        </w:rPr>
        <w:t xml:space="preserve"> </w:t>
      </w:r>
      <w:r>
        <w:t>recognises that such attenda</w:t>
      </w:r>
      <w:r>
        <w:t>nces require a higher level of professional involvement than</w:t>
      </w:r>
      <w:r>
        <w:rPr>
          <w:spacing w:val="-52"/>
        </w:rPr>
        <w:t xml:space="preserve"> </w:t>
      </w:r>
      <w:r>
        <w:t>other referred attendances because the patient is either unstable or critically ill, and</w:t>
      </w:r>
      <w:r>
        <w:rPr>
          <w:spacing w:val="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 provider is</w:t>
      </w:r>
      <w:r>
        <w:rPr>
          <w:spacing w:val="-2"/>
        </w:rPr>
        <w:t xml:space="preserve"> </w:t>
      </w:r>
      <w:r>
        <w:t>unfamiliar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and must</w:t>
      </w:r>
      <w:r>
        <w:rPr>
          <w:spacing w:val="-2"/>
        </w:rPr>
        <w:t xml:space="preserve"> </w:t>
      </w:r>
      <w:r>
        <w:t>attend</w:t>
      </w:r>
      <w:r>
        <w:rPr>
          <w:spacing w:val="2"/>
        </w:rPr>
        <w:t xml:space="preserve"> </w:t>
      </w:r>
      <w:r>
        <w:t>immediately.</w:t>
      </w:r>
    </w:p>
    <w:p w:rsidR="001D7CB1" w:rsidRDefault="001D7CB1">
      <w:pPr>
        <w:pStyle w:val="BodyText"/>
      </w:pPr>
    </w:p>
    <w:p w:rsidR="001D7CB1" w:rsidRDefault="00154AFD">
      <w:pPr>
        <w:pStyle w:val="Heading1"/>
        <w:spacing w:before="147"/>
      </w:pPr>
      <w:r>
        <w:t>Recommendation</w:t>
      </w:r>
      <w:r>
        <w:rPr>
          <w:spacing w:val="-1"/>
        </w:rPr>
        <w:t xml:space="preserve"> </w:t>
      </w:r>
      <w:r>
        <w:t>10</w:t>
      </w:r>
    </w:p>
    <w:p w:rsidR="001D7CB1" w:rsidRDefault="00154AFD">
      <w:pPr>
        <w:pStyle w:val="BodyText"/>
        <w:spacing w:before="147"/>
        <w:ind w:left="100"/>
      </w:pPr>
      <w:r>
        <w:t>Leave</w:t>
      </w:r>
      <w:r>
        <w:rPr>
          <w:spacing w:val="-1"/>
        </w:rPr>
        <w:t xml:space="preserve"> </w:t>
      </w:r>
      <w:r>
        <w:t>items 13818,</w:t>
      </w:r>
      <w:r>
        <w:rPr>
          <w:spacing w:val="-1"/>
        </w:rPr>
        <w:t xml:space="preserve"> </w:t>
      </w:r>
      <w:r>
        <w:t>13830, 13857</w:t>
      </w:r>
      <w:r>
        <w:rPr>
          <w:spacing w:val="-3"/>
        </w:rPr>
        <w:t xml:space="preserve"> </w:t>
      </w:r>
      <w:r>
        <w:t>and 13881–13888</w:t>
      </w:r>
      <w:r>
        <w:rPr>
          <w:spacing w:val="2"/>
        </w:rPr>
        <w:t xml:space="preserve"> </w:t>
      </w:r>
      <w:r>
        <w:t>unchanged.</w:t>
      </w:r>
    </w:p>
    <w:sectPr w:rsidR="001D7CB1">
      <w:pgSz w:w="11910" w:h="16840"/>
      <w:pgMar w:top="1380" w:right="1280" w:bottom="1180" w:left="13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4AFD">
      <w:r>
        <w:separator/>
      </w:r>
    </w:p>
  </w:endnote>
  <w:endnote w:type="continuationSeparator" w:id="0">
    <w:p w:rsidR="00000000" w:rsidRDefault="0015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B1" w:rsidRDefault="00154AF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81.65pt;width:382.3pt;height:12.1pt;z-index:-15800832;mso-position-horizontal-relative:page;mso-position-vertical-relative:page" filled="f" stroked="f">
          <v:textbox inset="0,0,0,0">
            <w:txbxContent>
              <w:p w:rsidR="001D7CB1" w:rsidRDefault="00154AFD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01643F"/>
                    <w:sz w:val="18"/>
                  </w:rPr>
                  <w:t>Taskforce</w:t>
                </w:r>
                <w:r>
                  <w:rPr>
                    <w:rFonts w:ascii="Arial"/>
                    <w:color w:val="01643F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findings</w:t>
                </w:r>
                <w:r>
                  <w:rPr>
                    <w:rFonts w:ascii="Arial"/>
                    <w:color w:val="01643F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from</w:t>
                </w:r>
                <w:r>
                  <w:rPr>
                    <w:rFonts w:ascii="Arial"/>
                    <w:color w:val="01643F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the</w:t>
                </w:r>
                <w:r>
                  <w:rPr>
                    <w:rFonts w:ascii="Arial"/>
                    <w:color w:val="01643F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Intensive</w:t>
                </w:r>
                <w:r>
                  <w:rPr>
                    <w:rFonts w:ascii="Arial"/>
                    <w:color w:val="01643F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Care</w:t>
                </w:r>
                <w:r>
                  <w:rPr>
                    <w:rFonts w:ascii="Arial"/>
                    <w:color w:val="01643F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and</w:t>
                </w:r>
                <w:r>
                  <w:rPr>
                    <w:rFonts w:ascii="Arial"/>
                    <w:color w:val="01643F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Emergency</w:t>
                </w:r>
                <w:r>
                  <w:rPr>
                    <w:rFonts w:ascii="Arial"/>
                    <w:color w:val="01643F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Medicine</w:t>
                </w:r>
                <w:r>
                  <w:rPr>
                    <w:rFonts w:ascii="Arial"/>
                    <w:color w:val="01643F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Clinical</w:t>
                </w:r>
                <w:r>
                  <w:rPr>
                    <w:rFonts w:ascii="Arial"/>
                    <w:color w:val="01643F"/>
                    <w:spacing w:val="2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Committee</w:t>
                </w:r>
                <w:r>
                  <w:rPr>
                    <w:rFonts w:ascii="Arial"/>
                    <w:color w:val="01643F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781.65pt;width:37.45pt;height:12.1pt;z-index:-15800320;mso-position-horizontal-relative:page;mso-position-vertical-relative:page" filled="f" stroked="f">
          <v:textbox inset="0,0,0,0">
            <w:txbxContent>
              <w:p w:rsidR="001D7CB1" w:rsidRDefault="00154AFD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01643F"/>
                    <w:sz w:val="18"/>
                  </w:rPr>
                  <w:t>Page</w:t>
                </w:r>
                <w:r>
                  <w:rPr>
                    <w:rFonts w:ascii="Arial"/>
                    <w:color w:val="01643F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01643F"/>
                    <w:sz w:val="18"/>
                  </w:rPr>
                  <w:t>|</w:t>
                </w:r>
                <w:r>
                  <w:rPr>
                    <w:rFonts w:ascii="Arial"/>
                    <w:color w:val="01643F"/>
                    <w:spacing w:val="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01643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01643F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4AFD">
      <w:r>
        <w:separator/>
      </w:r>
    </w:p>
  </w:footnote>
  <w:footnote w:type="continuationSeparator" w:id="0">
    <w:p w:rsidR="00000000" w:rsidRDefault="0015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E42B3"/>
    <w:multiLevelType w:val="hybridMultilevel"/>
    <w:tmpl w:val="FD66EE64"/>
    <w:lvl w:ilvl="0" w:tplc="36AE0CAA">
      <w:numFmt w:val="bullet"/>
      <w:lvlText w:val="–"/>
      <w:lvlJc w:val="left"/>
      <w:pPr>
        <w:ind w:left="100" w:hanging="174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D146128">
      <w:numFmt w:val="bullet"/>
      <w:lvlText w:val="•"/>
      <w:lvlJc w:val="left"/>
      <w:pPr>
        <w:ind w:left="1018" w:hanging="174"/>
      </w:pPr>
      <w:rPr>
        <w:rFonts w:hint="default"/>
      </w:rPr>
    </w:lvl>
    <w:lvl w:ilvl="2" w:tplc="BD4CB31A">
      <w:numFmt w:val="bullet"/>
      <w:lvlText w:val="•"/>
      <w:lvlJc w:val="left"/>
      <w:pPr>
        <w:ind w:left="1937" w:hanging="174"/>
      </w:pPr>
      <w:rPr>
        <w:rFonts w:hint="default"/>
      </w:rPr>
    </w:lvl>
    <w:lvl w:ilvl="3" w:tplc="A490D2F8">
      <w:numFmt w:val="bullet"/>
      <w:lvlText w:val="•"/>
      <w:lvlJc w:val="left"/>
      <w:pPr>
        <w:ind w:left="2855" w:hanging="174"/>
      </w:pPr>
      <w:rPr>
        <w:rFonts w:hint="default"/>
      </w:rPr>
    </w:lvl>
    <w:lvl w:ilvl="4" w:tplc="2514CAC2">
      <w:numFmt w:val="bullet"/>
      <w:lvlText w:val="•"/>
      <w:lvlJc w:val="left"/>
      <w:pPr>
        <w:ind w:left="3774" w:hanging="174"/>
      </w:pPr>
      <w:rPr>
        <w:rFonts w:hint="default"/>
      </w:rPr>
    </w:lvl>
    <w:lvl w:ilvl="5" w:tplc="F66E9408">
      <w:numFmt w:val="bullet"/>
      <w:lvlText w:val="•"/>
      <w:lvlJc w:val="left"/>
      <w:pPr>
        <w:ind w:left="4693" w:hanging="174"/>
      </w:pPr>
      <w:rPr>
        <w:rFonts w:hint="default"/>
      </w:rPr>
    </w:lvl>
    <w:lvl w:ilvl="6" w:tplc="7FE6429E">
      <w:numFmt w:val="bullet"/>
      <w:lvlText w:val="•"/>
      <w:lvlJc w:val="left"/>
      <w:pPr>
        <w:ind w:left="5611" w:hanging="174"/>
      </w:pPr>
      <w:rPr>
        <w:rFonts w:hint="default"/>
      </w:rPr>
    </w:lvl>
    <w:lvl w:ilvl="7" w:tplc="295E3FA2">
      <w:numFmt w:val="bullet"/>
      <w:lvlText w:val="•"/>
      <w:lvlJc w:val="left"/>
      <w:pPr>
        <w:ind w:left="6530" w:hanging="174"/>
      </w:pPr>
      <w:rPr>
        <w:rFonts w:hint="default"/>
      </w:rPr>
    </w:lvl>
    <w:lvl w:ilvl="8" w:tplc="91B8C754">
      <w:numFmt w:val="bullet"/>
      <w:lvlText w:val="•"/>
      <w:lvlJc w:val="left"/>
      <w:pPr>
        <w:ind w:left="7449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D7CB1"/>
    <w:rsid w:val="00154AFD"/>
    <w:rsid w:val="001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A51620D-A2AF-4356-A839-4C886E0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06" w:right="46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100" w:right="3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Taskforce Findings ICEM Recommendations</vt:lpstr>
    </vt:vector>
  </TitlesOfParts>
  <Company>Department of Health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Taskforce findings – Intensive Care and Emergency Medicine Clinical Committee report</dc:title>
  <dc:creator>MBS Review Taskforce</dc:creator>
  <cp:keywords>MBS Review, Medicare</cp:keywords>
  <cp:lastModifiedBy>ROBERTSON, Jen</cp:lastModifiedBy>
  <cp:revision>2</cp:revision>
  <dcterms:created xsi:type="dcterms:W3CDTF">2021-06-01T06:12:00Z</dcterms:created>
  <dcterms:modified xsi:type="dcterms:W3CDTF">2021-06-01T06:13:00Z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2021-06-01T00:00:00Z</vt:filetime>
  </property>
</Properties>
</file>