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8FCD5" w14:textId="77777777" w:rsidR="00543D47" w:rsidRPr="00370DFD" w:rsidRDefault="00543D47" w:rsidP="00543D47">
      <w:pPr>
        <w:pStyle w:val="Subtitle"/>
      </w:pPr>
      <w:bookmarkStart w:id="0" w:name="_Toc427153112"/>
      <w:r w:rsidRPr="00370DFD">
        <w:t>Medicare Benefits Schedule Review Taskforce</w:t>
      </w:r>
    </w:p>
    <w:p w14:paraId="74785A22" w14:textId="77777777" w:rsidR="00543D47" w:rsidRPr="00370DFD" w:rsidRDefault="00543D47" w:rsidP="00543D47">
      <w:pPr>
        <w:pStyle w:val="Title"/>
        <w:rPr>
          <w:sz w:val="60"/>
          <w:szCs w:val="60"/>
        </w:rPr>
      </w:pPr>
      <w:r>
        <w:rPr>
          <w:sz w:val="60"/>
          <w:szCs w:val="60"/>
        </w:rPr>
        <w:t>Second r</w:t>
      </w:r>
      <w:r w:rsidRPr="00370DFD">
        <w:rPr>
          <w:sz w:val="60"/>
          <w:szCs w:val="60"/>
        </w:rPr>
        <w:t>eport from the Pathology Clinical Committee</w:t>
      </w:r>
      <w:r>
        <w:rPr>
          <w:sz w:val="60"/>
          <w:szCs w:val="60"/>
        </w:rPr>
        <w:t xml:space="preserve"> on Chemical Pathology </w:t>
      </w:r>
    </w:p>
    <w:p w14:paraId="4826B3A0" w14:textId="77777777" w:rsidR="00543D47" w:rsidRPr="00370DFD" w:rsidRDefault="00543D47" w:rsidP="00543D47">
      <w:pPr>
        <w:pStyle w:val="Subtitle"/>
        <w:rPr>
          <w:rStyle w:val="IntenseReference"/>
          <w:bCs w:val="0"/>
          <w:i w:val="0"/>
          <w:smallCaps w:val="0"/>
          <w:sz w:val="20"/>
          <w:szCs w:val="20"/>
        </w:rPr>
      </w:pPr>
      <w:bookmarkStart w:id="1" w:name="_Toc448369494"/>
      <w:r>
        <w:t>September 2017</w:t>
      </w:r>
      <w:r w:rsidRPr="00370DFD">
        <w:rPr>
          <w:rStyle w:val="IntenseReference"/>
          <w:bCs w:val="0"/>
          <w:i w:val="0"/>
          <w:smallCaps w:val="0"/>
          <w:sz w:val="20"/>
          <w:szCs w:val="20"/>
        </w:rPr>
        <w:br w:type="page"/>
      </w:r>
    </w:p>
    <w:tbl>
      <w:tblPr>
        <w:tblStyle w:val="TableGrid"/>
        <w:tblW w:w="5000" w:type="pct"/>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12" w:space="0" w:color="984806" w:themeColor="accent6" w:themeShade="80"/>
          <w:insideV w:val="single" w:sz="12" w:space="0" w:color="984806" w:themeColor="accent6" w:themeShade="80"/>
        </w:tblBorders>
        <w:tblCellMar>
          <w:top w:w="28" w:type="dxa"/>
          <w:left w:w="28" w:type="dxa"/>
          <w:bottom w:w="28" w:type="dxa"/>
          <w:right w:w="28" w:type="dxa"/>
        </w:tblCellMar>
        <w:tblLook w:val="04A0" w:firstRow="1" w:lastRow="0" w:firstColumn="1" w:lastColumn="0" w:noHBand="0" w:noVBand="1"/>
        <w:tblCaption w:val="Important Note"/>
        <w:tblDescription w:val="The views and recommendations in this report from the Clinical Committee have been released for the purpose of seeking the views of stakeholders. &#10;This report does not constitute the final position on these items, which is subject to: &#10;Δ Stakeholder feedback.&#10;Then&#10;Δ Consideration by the MBS Review Taskforce.&#10;Then, if endorsed, consideration by&#10;Δ The Minister for Health. &#10;Δ The Government.&#10;Stakeholders should provide comment on the recommendations via mbsreviews@health.gov.au.&#10;Confidentiality of comments: &#10;If you would like your feedback to remain confidential, please mark it as such. It is important to be aware that confidential feedback may still be subject to access under freedom of information law&#10;"/>
      </w:tblPr>
      <w:tblGrid>
        <w:gridCol w:w="8996"/>
      </w:tblGrid>
      <w:tr w:rsidR="00543D47" w14:paraId="194EB8A5" w14:textId="77777777" w:rsidTr="00D9610A">
        <w:trPr>
          <w:tblHeader/>
        </w:trPr>
        <w:tc>
          <w:tcPr>
            <w:tcW w:w="9016" w:type="dxa"/>
            <w:tc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tcBorders>
            <w:hideMark/>
          </w:tcPr>
          <w:p w14:paraId="0FC5E2E9" w14:textId="77777777" w:rsidR="00543D47" w:rsidRDefault="00543D47" w:rsidP="00D9610A">
            <w:pPr>
              <w:rPr>
                <w:rFonts w:cstheme="minorHAnsi"/>
                <w:b/>
                <w:color w:val="01653F"/>
                <w:sz w:val="32"/>
                <w:szCs w:val="32"/>
              </w:rPr>
            </w:pPr>
            <w:r>
              <w:rPr>
                <w:rFonts w:cstheme="minorHAnsi"/>
                <w:b/>
                <w:color w:val="01653F"/>
                <w:sz w:val="32"/>
                <w:szCs w:val="32"/>
              </w:rPr>
              <w:lastRenderedPageBreak/>
              <w:t>Important note</w:t>
            </w:r>
          </w:p>
          <w:p w14:paraId="359EB9B2" w14:textId="77777777" w:rsidR="00543D47" w:rsidRDefault="00543D47" w:rsidP="00D9610A">
            <w:pPr>
              <w:rPr>
                <w:rFonts w:ascii="Calibri" w:hAnsi="Calibri"/>
                <w:szCs w:val="22"/>
                <w:lang w:val="en-GB"/>
              </w:rPr>
            </w:pPr>
            <w:r>
              <w:rPr>
                <w:lang w:val="en-GB"/>
              </w:rPr>
              <w:t xml:space="preserve">The views and recommendations in this report from the Clinical Committee have been released for the purpose of seeking the views of stakeholders. </w:t>
            </w:r>
          </w:p>
          <w:p w14:paraId="2546AC38" w14:textId="77777777" w:rsidR="00543D47" w:rsidRDefault="00543D47" w:rsidP="00D9610A">
            <w:pPr>
              <w:rPr>
                <w:lang w:val="en-GB"/>
              </w:rPr>
            </w:pPr>
            <w:r>
              <w:rPr>
                <w:lang w:val="en-GB"/>
              </w:rPr>
              <w:t xml:space="preserve">This report does not constitute the final position on these items, which is subject to: </w:t>
            </w:r>
          </w:p>
          <w:p w14:paraId="2349AFEB" w14:textId="77777777" w:rsidR="00543D47" w:rsidRDefault="00543D47" w:rsidP="00D9610A">
            <w:pPr>
              <w:pStyle w:val="01squarebullet"/>
              <w:numPr>
                <w:ilvl w:val="0"/>
                <w:numId w:val="83"/>
              </w:numPr>
              <w:spacing w:line="240" w:lineRule="auto"/>
              <w:ind w:right="0"/>
            </w:pPr>
            <w:r>
              <w:t>Stakeholder feedback.</w:t>
            </w:r>
          </w:p>
          <w:p w14:paraId="5CEEA076" w14:textId="77777777" w:rsidR="00543D47" w:rsidRDefault="00543D47" w:rsidP="00D9610A">
            <w:pPr>
              <w:pStyle w:val="01squarebullet"/>
              <w:numPr>
                <w:ilvl w:val="0"/>
                <w:numId w:val="0"/>
              </w:numPr>
            </w:pPr>
            <w:r>
              <w:t>Then</w:t>
            </w:r>
          </w:p>
          <w:p w14:paraId="498EC3C1" w14:textId="77777777" w:rsidR="00543D47" w:rsidRDefault="00543D47" w:rsidP="00D9610A">
            <w:pPr>
              <w:pStyle w:val="01squarebullet"/>
              <w:numPr>
                <w:ilvl w:val="0"/>
                <w:numId w:val="83"/>
              </w:numPr>
              <w:spacing w:line="240" w:lineRule="auto"/>
              <w:ind w:right="0"/>
            </w:pPr>
            <w:r>
              <w:t>Consideration by the MBS Review Taskforce.</w:t>
            </w:r>
          </w:p>
          <w:p w14:paraId="04F8AABE" w14:textId="77777777" w:rsidR="00543D47" w:rsidRDefault="00543D47" w:rsidP="00D9610A">
            <w:pPr>
              <w:pStyle w:val="01squarebullet"/>
              <w:numPr>
                <w:ilvl w:val="0"/>
                <w:numId w:val="0"/>
              </w:numPr>
            </w:pPr>
            <w:r>
              <w:t xml:space="preserve">Then, </w:t>
            </w:r>
            <w:r>
              <w:rPr>
                <w:i/>
              </w:rPr>
              <w:t>if endorsed</w:t>
            </w:r>
            <w:r>
              <w:t>, consideration by</w:t>
            </w:r>
          </w:p>
          <w:p w14:paraId="52BAF684" w14:textId="77777777" w:rsidR="00543D47" w:rsidRDefault="00543D47" w:rsidP="00D9610A">
            <w:pPr>
              <w:pStyle w:val="01squarebullet"/>
              <w:numPr>
                <w:ilvl w:val="0"/>
                <w:numId w:val="83"/>
              </w:numPr>
              <w:spacing w:line="240" w:lineRule="auto"/>
              <w:ind w:right="0"/>
            </w:pPr>
            <w:r>
              <w:t xml:space="preserve">The Minister for Health. </w:t>
            </w:r>
          </w:p>
          <w:p w14:paraId="69900855" w14:textId="77777777" w:rsidR="00543D47" w:rsidRDefault="00543D47" w:rsidP="00D9610A">
            <w:pPr>
              <w:pStyle w:val="01squarebullet"/>
              <w:numPr>
                <w:ilvl w:val="0"/>
                <w:numId w:val="83"/>
              </w:numPr>
              <w:spacing w:line="240" w:lineRule="auto"/>
              <w:ind w:right="0"/>
            </w:pPr>
            <w:r>
              <w:t>The Government.</w:t>
            </w:r>
          </w:p>
          <w:p w14:paraId="559C91AC" w14:textId="77777777" w:rsidR="00543D47" w:rsidRDefault="00543D47" w:rsidP="00D9610A">
            <w:pPr>
              <w:rPr>
                <w:u w:val="single"/>
                <w:lang w:val="en-GB"/>
              </w:rPr>
            </w:pPr>
            <w:r>
              <w:rPr>
                <w:lang w:val="en-GB"/>
              </w:rPr>
              <w:t xml:space="preserve">Stakeholders should provide comment on the recommendations via </w:t>
            </w:r>
            <w:hyperlink r:id="rId8" w:history="1">
              <w:r>
                <w:rPr>
                  <w:rStyle w:val="Hyperlink"/>
                  <w:lang w:val="en-GB"/>
                </w:rPr>
                <w:t>mbsreviews@health.gov.au</w:t>
              </w:r>
            </w:hyperlink>
            <w:r>
              <w:rPr>
                <w:lang w:val="en-GB"/>
              </w:rPr>
              <w:t>.</w:t>
            </w:r>
          </w:p>
          <w:p w14:paraId="728D69CB" w14:textId="77777777" w:rsidR="00543D47" w:rsidRDefault="00543D47" w:rsidP="00D9610A">
            <w:pPr>
              <w:rPr>
                <w:rFonts w:cstheme="minorHAnsi"/>
                <w:b/>
                <w:color w:val="01653F"/>
                <w:sz w:val="32"/>
                <w:szCs w:val="32"/>
              </w:rPr>
            </w:pPr>
            <w:r>
              <w:rPr>
                <w:rFonts w:cstheme="minorHAnsi"/>
                <w:b/>
                <w:color w:val="01653F"/>
                <w:sz w:val="32"/>
                <w:szCs w:val="32"/>
              </w:rPr>
              <w:t xml:space="preserve">Confidentiality of comments: </w:t>
            </w:r>
          </w:p>
          <w:p w14:paraId="362089AE" w14:textId="77777777" w:rsidR="00543D47" w:rsidRDefault="00543D47" w:rsidP="00D9610A">
            <w:pPr>
              <w:rPr>
                <w:rFonts w:ascii="Calibri" w:hAnsi="Calibri"/>
                <w:szCs w:val="22"/>
              </w:rPr>
            </w:pPr>
            <w:r>
              <w:t>If you would like your feedback to remain confidential, please mark it as such. It is important to be aware that confidential feedback may still be subject to access under freedom of information law.</w:t>
            </w:r>
          </w:p>
        </w:tc>
      </w:tr>
    </w:tbl>
    <w:p w14:paraId="7C0E6303" w14:textId="77777777" w:rsidR="00543D47" w:rsidRDefault="00543D47" w:rsidP="00543D47">
      <w:pPr>
        <w:spacing w:before="120" w:after="120"/>
        <w:rPr>
          <w:rFonts w:cs="Arial"/>
          <w:b/>
          <w:color w:val="01653F"/>
          <w:sz w:val="32"/>
          <w:szCs w:val="32"/>
        </w:rPr>
        <w:sectPr w:rsidR="00543D47" w:rsidSect="002111EC">
          <w:footerReference w:type="default" r:id="rId9"/>
          <w:endnotePr>
            <w:numFmt w:val="decimal"/>
          </w:endnotePr>
          <w:pgSz w:w="11906" w:h="16838" w:code="9"/>
          <w:pgMar w:top="1021" w:right="1440" w:bottom="1021" w:left="1440" w:header="567" w:footer="170" w:gutter="0"/>
          <w:paperSrc w:first="2" w:other="2"/>
          <w:cols w:space="720"/>
          <w:docGrid w:linePitch="326"/>
        </w:sectPr>
      </w:pPr>
    </w:p>
    <w:p w14:paraId="4EF95875" w14:textId="77777777" w:rsidR="00543D47" w:rsidRPr="00370DFD" w:rsidRDefault="00543D47" w:rsidP="00543D47">
      <w:pPr>
        <w:spacing w:before="120" w:after="120"/>
        <w:rPr>
          <w:rFonts w:cs="Arial"/>
          <w:b/>
          <w:color w:val="01653F"/>
          <w:sz w:val="32"/>
          <w:szCs w:val="32"/>
        </w:rPr>
      </w:pPr>
      <w:r w:rsidRPr="00370DFD">
        <w:rPr>
          <w:rFonts w:cs="Arial"/>
          <w:b/>
          <w:color w:val="01653F"/>
          <w:sz w:val="32"/>
          <w:szCs w:val="32"/>
        </w:rPr>
        <w:lastRenderedPageBreak/>
        <w:t xml:space="preserve">Table of </w:t>
      </w:r>
      <w:r>
        <w:rPr>
          <w:rFonts w:cs="Arial"/>
          <w:b/>
          <w:color w:val="01653F"/>
          <w:sz w:val="32"/>
          <w:szCs w:val="32"/>
        </w:rPr>
        <w:t>c</w:t>
      </w:r>
      <w:r w:rsidRPr="00370DFD">
        <w:rPr>
          <w:rFonts w:cs="Arial"/>
          <w:b/>
          <w:color w:val="01653F"/>
          <w:sz w:val="32"/>
          <w:szCs w:val="32"/>
        </w:rPr>
        <w:t>ontents</w:t>
      </w:r>
      <w:bookmarkEnd w:id="1"/>
    </w:p>
    <w:p w14:paraId="4EC36FC6" w14:textId="77777777" w:rsidR="00543D47" w:rsidRDefault="00543D47" w:rsidP="00543D47">
      <w:pPr>
        <w:pStyle w:val="TOC1"/>
        <w:rPr>
          <w:rFonts w:eastAsiaTheme="minorEastAsia" w:cstheme="minorBidi"/>
          <w:b w:val="0"/>
          <w:noProof/>
        </w:rPr>
      </w:pPr>
      <w:r w:rsidRPr="00370DFD">
        <w:rPr>
          <w:smallCaps/>
          <w:noProof/>
          <w:sz w:val="24"/>
        </w:rPr>
        <w:fldChar w:fldCharType="begin"/>
      </w:r>
      <w:r w:rsidRPr="00370DFD">
        <w:rPr>
          <w:smallCaps/>
          <w:noProof/>
          <w:sz w:val="24"/>
        </w:rPr>
        <w:instrText xml:space="preserve"> TOC \o "1-2" \t "Rec,2" </w:instrText>
      </w:r>
      <w:r w:rsidRPr="00370DFD">
        <w:rPr>
          <w:smallCaps/>
          <w:noProof/>
          <w:sz w:val="24"/>
        </w:rPr>
        <w:fldChar w:fldCharType="separate"/>
      </w:r>
      <w:r w:rsidRPr="00F57302">
        <w:rPr>
          <w:noProof/>
        </w:rPr>
        <w:t>1.</w:t>
      </w:r>
      <w:r>
        <w:rPr>
          <w:rFonts w:eastAsiaTheme="minorEastAsia" w:cstheme="minorBidi"/>
          <w:b w:val="0"/>
          <w:noProof/>
        </w:rPr>
        <w:tab/>
      </w:r>
      <w:r w:rsidRPr="00F57302">
        <w:rPr>
          <w:noProof/>
        </w:rPr>
        <w:t>Executive summary</w:t>
      </w:r>
      <w:r>
        <w:rPr>
          <w:noProof/>
        </w:rPr>
        <w:tab/>
      </w:r>
      <w:r>
        <w:rPr>
          <w:noProof/>
        </w:rPr>
        <w:fldChar w:fldCharType="begin"/>
      </w:r>
      <w:r>
        <w:rPr>
          <w:noProof/>
        </w:rPr>
        <w:instrText xml:space="preserve"> PAGEREF _Toc514247601 \h </w:instrText>
      </w:r>
      <w:r>
        <w:rPr>
          <w:noProof/>
        </w:rPr>
      </w:r>
      <w:r>
        <w:rPr>
          <w:noProof/>
        </w:rPr>
        <w:fldChar w:fldCharType="separate"/>
      </w:r>
      <w:r>
        <w:rPr>
          <w:noProof/>
        </w:rPr>
        <w:t>7</w:t>
      </w:r>
      <w:r>
        <w:rPr>
          <w:noProof/>
        </w:rPr>
        <w:fldChar w:fldCharType="end"/>
      </w:r>
    </w:p>
    <w:p w14:paraId="3AA3CEA7" w14:textId="77777777" w:rsidR="00543D47" w:rsidRDefault="00543D47" w:rsidP="00543D47">
      <w:pPr>
        <w:pStyle w:val="TOC2"/>
        <w:rPr>
          <w:rFonts w:eastAsiaTheme="minorEastAsia" w:cstheme="minorBidi"/>
          <w:noProof/>
        </w:rPr>
      </w:pPr>
      <w:r>
        <w:rPr>
          <w:noProof/>
        </w:rPr>
        <w:t>1.1</w:t>
      </w:r>
      <w:r>
        <w:rPr>
          <w:rFonts w:eastAsiaTheme="minorEastAsia" w:cstheme="minorBidi"/>
          <w:noProof/>
        </w:rPr>
        <w:tab/>
      </w:r>
      <w:r>
        <w:rPr>
          <w:noProof/>
        </w:rPr>
        <w:t>MBS Review process</w:t>
      </w:r>
      <w:r>
        <w:rPr>
          <w:noProof/>
        </w:rPr>
        <w:tab/>
      </w:r>
      <w:r>
        <w:rPr>
          <w:noProof/>
        </w:rPr>
        <w:fldChar w:fldCharType="begin"/>
      </w:r>
      <w:r>
        <w:rPr>
          <w:noProof/>
        </w:rPr>
        <w:instrText xml:space="preserve"> PAGEREF _Toc514247602 \h </w:instrText>
      </w:r>
      <w:r>
        <w:rPr>
          <w:noProof/>
        </w:rPr>
      </w:r>
      <w:r>
        <w:rPr>
          <w:noProof/>
        </w:rPr>
        <w:fldChar w:fldCharType="separate"/>
      </w:r>
      <w:r>
        <w:rPr>
          <w:noProof/>
        </w:rPr>
        <w:t>7</w:t>
      </w:r>
      <w:r>
        <w:rPr>
          <w:noProof/>
        </w:rPr>
        <w:fldChar w:fldCharType="end"/>
      </w:r>
    </w:p>
    <w:p w14:paraId="393BC0B3" w14:textId="77777777" w:rsidR="00543D47" w:rsidRDefault="00543D47" w:rsidP="00543D47">
      <w:pPr>
        <w:pStyle w:val="TOC2"/>
        <w:rPr>
          <w:rFonts w:eastAsiaTheme="minorEastAsia" w:cstheme="minorBidi"/>
          <w:noProof/>
        </w:rPr>
      </w:pPr>
      <w:r>
        <w:rPr>
          <w:noProof/>
        </w:rPr>
        <w:t>1.2</w:t>
      </w:r>
      <w:r>
        <w:rPr>
          <w:rFonts w:eastAsiaTheme="minorEastAsia" w:cstheme="minorBidi"/>
          <w:noProof/>
        </w:rPr>
        <w:tab/>
      </w:r>
      <w:r>
        <w:rPr>
          <w:noProof/>
        </w:rPr>
        <w:t>The Pathology Clinical Committee</w:t>
      </w:r>
      <w:r>
        <w:rPr>
          <w:noProof/>
        </w:rPr>
        <w:tab/>
      </w:r>
      <w:r>
        <w:rPr>
          <w:noProof/>
        </w:rPr>
        <w:fldChar w:fldCharType="begin"/>
      </w:r>
      <w:r>
        <w:rPr>
          <w:noProof/>
        </w:rPr>
        <w:instrText xml:space="preserve"> PAGEREF _Toc514247603 \h </w:instrText>
      </w:r>
      <w:r>
        <w:rPr>
          <w:noProof/>
        </w:rPr>
      </w:r>
      <w:r>
        <w:rPr>
          <w:noProof/>
        </w:rPr>
        <w:fldChar w:fldCharType="separate"/>
      </w:r>
      <w:r>
        <w:rPr>
          <w:noProof/>
        </w:rPr>
        <w:t>8</w:t>
      </w:r>
      <w:r>
        <w:rPr>
          <w:noProof/>
        </w:rPr>
        <w:fldChar w:fldCharType="end"/>
      </w:r>
    </w:p>
    <w:p w14:paraId="445C594F" w14:textId="77777777" w:rsidR="00543D47" w:rsidRDefault="00543D47" w:rsidP="00543D47">
      <w:pPr>
        <w:pStyle w:val="TOC2"/>
        <w:rPr>
          <w:rFonts w:eastAsiaTheme="minorEastAsia" w:cstheme="minorBidi"/>
          <w:noProof/>
        </w:rPr>
      </w:pPr>
      <w:r>
        <w:rPr>
          <w:noProof/>
        </w:rPr>
        <w:t>1.3</w:t>
      </w:r>
      <w:r>
        <w:rPr>
          <w:rFonts w:eastAsiaTheme="minorEastAsia" w:cstheme="minorBidi"/>
          <w:noProof/>
        </w:rPr>
        <w:tab/>
      </w:r>
      <w:r>
        <w:rPr>
          <w:noProof/>
        </w:rPr>
        <w:t>Recommendations</w:t>
      </w:r>
      <w:r>
        <w:rPr>
          <w:noProof/>
        </w:rPr>
        <w:tab/>
      </w:r>
      <w:r>
        <w:rPr>
          <w:noProof/>
        </w:rPr>
        <w:fldChar w:fldCharType="begin"/>
      </w:r>
      <w:r>
        <w:rPr>
          <w:noProof/>
        </w:rPr>
        <w:instrText xml:space="preserve"> PAGEREF _Toc514247604 \h </w:instrText>
      </w:r>
      <w:r>
        <w:rPr>
          <w:noProof/>
        </w:rPr>
      </w:r>
      <w:r>
        <w:rPr>
          <w:noProof/>
        </w:rPr>
        <w:fldChar w:fldCharType="separate"/>
      </w:r>
      <w:r>
        <w:rPr>
          <w:noProof/>
        </w:rPr>
        <w:t>8</w:t>
      </w:r>
      <w:r>
        <w:rPr>
          <w:noProof/>
        </w:rPr>
        <w:fldChar w:fldCharType="end"/>
      </w:r>
    </w:p>
    <w:p w14:paraId="25DB1414" w14:textId="77777777" w:rsidR="00543D47" w:rsidRDefault="00543D47" w:rsidP="00543D47">
      <w:pPr>
        <w:pStyle w:val="TOC2"/>
        <w:rPr>
          <w:rFonts w:eastAsiaTheme="minorEastAsia" w:cstheme="minorBidi"/>
          <w:noProof/>
        </w:rPr>
      </w:pPr>
      <w:r>
        <w:rPr>
          <w:noProof/>
        </w:rPr>
        <w:t>1.4</w:t>
      </w:r>
      <w:r>
        <w:rPr>
          <w:rFonts w:eastAsiaTheme="minorEastAsia" w:cstheme="minorBidi"/>
          <w:noProof/>
        </w:rPr>
        <w:tab/>
      </w:r>
      <w:r>
        <w:rPr>
          <w:noProof/>
        </w:rPr>
        <w:t>Consumer engagement</w:t>
      </w:r>
      <w:r>
        <w:rPr>
          <w:noProof/>
        </w:rPr>
        <w:tab/>
      </w:r>
      <w:r>
        <w:rPr>
          <w:noProof/>
        </w:rPr>
        <w:fldChar w:fldCharType="begin"/>
      </w:r>
      <w:r>
        <w:rPr>
          <w:noProof/>
        </w:rPr>
        <w:instrText xml:space="preserve"> PAGEREF _Toc514247605 \h </w:instrText>
      </w:r>
      <w:r>
        <w:rPr>
          <w:noProof/>
        </w:rPr>
      </w:r>
      <w:r>
        <w:rPr>
          <w:noProof/>
        </w:rPr>
        <w:fldChar w:fldCharType="separate"/>
      </w:r>
      <w:r>
        <w:rPr>
          <w:noProof/>
        </w:rPr>
        <w:t>9</w:t>
      </w:r>
      <w:r>
        <w:rPr>
          <w:noProof/>
        </w:rPr>
        <w:fldChar w:fldCharType="end"/>
      </w:r>
    </w:p>
    <w:p w14:paraId="609DF7B7" w14:textId="77777777" w:rsidR="00543D47" w:rsidRDefault="00543D47" w:rsidP="00543D47">
      <w:pPr>
        <w:pStyle w:val="TOC1"/>
        <w:rPr>
          <w:rFonts w:eastAsiaTheme="minorEastAsia" w:cstheme="minorBidi"/>
          <w:b w:val="0"/>
          <w:noProof/>
        </w:rPr>
      </w:pPr>
      <w:r w:rsidRPr="00F57302">
        <w:rPr>
          <w:noProof/>
        </w:rPr>
        <w:t>2.</w:t>
      </w:r>
      <w:r>
        <w:rPr>
          <w:rFonts w:eastAsiaTheme="minorEastAsia" w:cstheme="minorBidi"/>
          <w:b w:val="0"/>
          <w:noProof/>
        </w:rPr>
        <w:tab/>
      </w:r>
      <w:r w:rsidRPr="00F57302">
        <w:rPr>
          <w:noProof/>
        </w:rPr>
        <w:t>About the Medicare Benefits Schedule (MBS) Review</w:t>
      </w:r>
      <w:r>
        <w:rPr>
          <w:noProof/>
        </w:rPr>
        <w:tab/>
      </w:r>
      <w:r>
        <w:rPr>
          <w:noProof/>
        </w:rPr>
        <w:fldChar w:fldCharType="begin"/>
      </w:r>
      <w:r>
        <w:rPr>
          <w:noProof/>
        </w:rPr>
        <w:instrText xml:space="preserve"> PAGEREF _Toc514247606 \h </w:instrText>
      </w:r>
      <w:r>
        <w:rPr>
          <w:noProof/>
        </w:rPr>
      </w:r>
      <w:r>
        <w:rPr>
          <w:noProof/>
        </w:rPr>
        <w:fldChar w:fldCharType="separate"/>
      </w:r>
      <w:r>
        <w:rPr>
          <w:noProof/>
        </w:rPr>
        <w:t>11</w:t>
      </w:r>
      <w:r>
        <w:rPr>
          <w:noProof/>
        </w:rPr>
        <w:fldChar w:fldCharType="end"/>
      </w:r>
    </w:p>
    <w:p w14:paraId="27350704" w14:textId="77777777" w:rsidR="00543D47" w:rsidRDefault="00543D47" w:rsidP="00543D47">
      <w:pPr>
        <w:pStyle w:val="TOC2"/>
        <w:rPr>
          <w:rFonts w:eastAsiaTheme="minorEastAsia" w:cstheme="minorBidi"/>
          <w:noProof/>
        </w:rPr>
      </w:pPr>
      <w:r w:rsidRPr="00F57302">
        <w:rPr>
          <w:noProof/>
        </w:rPr>
        <w:t>2.1</w:t>
      </w:r>
      <w:r>
        <w:rPr>
          <w:rFonts w:eastAsiaTheme="minorEastAsia" w:cstheme="minorBidi"/>
          <w:noProof/>
        </w:rPr>
        <w:tab/>
      </w:r>
      <w:r w:rsidRPr="00F57302">
        <w:rPr>
          <w:noProof/>
        </w:rPr>
        <w:t>Medicare and the MBS</w:t>
      </w:r>
      <w:r>
        <w:rPr>
          <w:noProof/>
        </w:rPr>
        <w:tab/>
      </w:r>
      <w:r>
        <w:rPr>
          <w:noProof/>
        </w:rPr>
        <w:fldChar w:fldCharType="begin"/>
      </w:r>
      <w:r>
        <w:rPr>
          <w:noProof/>
        </w:rPr>
        <w:instrText xml:space="preserve"> PAGEREF _Toc514247607 \h </w:instrText>
      </w:r>
      <w:r>
        <w:rPr>
          <w:noProof/>
        </w:rPr>
      </w:r>
      <w:r>
        <w:rPr>
          <w:noProof/>
        </w:rPr>
        <w:fldChar w:fldCharType="separate"/>
      </w:r>
      <w:r>
        <w:rPr>
          <w:noProof/>
        </w:rPr>
        <w:t>11</w:t>
      </w:r>
      <w:r>
        <w:rPr>
          <w:noProof/>
        </w:rPr>
        <w:fldChar w:fldCharType="end"/>
      </w:r>
    </w:p>
    <w:p w14:paraId="385AEEA2" w14:textId="77777777" w:rsidR="00543D47" w:rsidRDefault="00543D47" w:rsidP="00543D47">
      <w:pPr>
        <w:pStyle w:val="TOC2"/>
        <w:rPr>
          <w:rFonts w:eastAsiaTheme="minorEastAsia" w:cstheme="minorBidi"/>
          <w:noProof/>
        </w:rPr>
      </w:pPr>
      <w:r w:rsidRPr="00F57302">
        <w:rPr>
          <w:noProof/>
        </w:rPr>
        <w:t>2.2</w:t>
      </w:r>
      <w:r>
        <w:rPr>
          <w:rFonts w:eastAsiaTheme="minorEastAsia" w:cstheme="minorBidi"/>
          <w:noProof/>
        </w:rPr>
        <w:tab/>
      </w:r>
      <w:r w:rsidRPr="00F57302">
        <w:rPr>
          <w:noProof/>
        </w:rPr>
        <w:t>The MBS Review Taskforce</w:t>
      </w:r>
      <w:r>
        <w:rPr>
          <w:noProof/>
        </w:rPr>
        <w:tab/>
      </w:r>
      <w:r>
        <w:rPr>
          <w:noProof/>
        </w:rPr>
        <w:fldChar w:fldCharType="begin"/>
      </w:r>
      <w:r>
        <w:rPr>
          <w:noProof/>
        </w:rPr>
        <w:instrText xml:space="preserve"> PAGEREF _Toc514247608 \h </w:instrText>
      </w:r>
      <w:r>
        <w:rPr>
          <w:noProof/>
        </w:rPr>
      </w:r>
      <w:r>
        <w:rPr>
          <w:noProof/>
        </w:rPr>
        <w:fldChar w:fldCharType="separate"/>
      </w:r>
      <w:r>
        <w:rPr>
          <w:noProof/>
        </w:rPr>
        <w:t>11</w:t>
      </w:r>
      <w:r>
        <w:rPr>
          <w:noProof/>
        </w:rPr>
        <w:fldChar w:fldCharType="end"/>
      </w:r>
    </w:p>
    <w:p w14:paraId="13818FF3" w14:textId="77777777" w:rsidR="00543D47" w:rsidRDefault="00543D47" w:rsidP="00543D47">
      <w:pPr>
        <w:pStyle w:val="TOC2"/>
        <w:rPr>
          <w:rFonts w:eastAsiaTheme="minorEastAsia" w:cstheme="minorBidi"/>
          <w:noProof/>
        </w:rPr>
      </w:pPr>
      <w:r w:rsidRPr="00F57302">
        <w:rPr>
          <w:noProof/>
        </w:rPr>
        <w:t>2.3</w:t>
      </w:r>
      <w:r>
        <w:rPr>
          <w:rFonts w:eastAsiaTheme="minorEastAsia" w:cstheme="minorBidi"/>
          <w:noProof/>
        </w:rPr>
        <w:tab/>
      </w:r>
      <w:r w:rsidRPr="00F57302">
        <w:rPr>
          <w:noProof/>
        </w:rPr>
        <w:t>The Taskforce’s approach</w:t>
      </w:r>
      <w:r>
        <w:rPr>
          <w:noProof/>
        </w:rPr>
        <w:tab/>
      </w:r>
      <w:r>
        <w:rPr>
          <w:noProof/>
        </w:rPr>
        <w:fldChar w:fldCharType="begin"/>
      </w:r>
      <w:r>
        <w:rPr>
          <w:noProof/>
        </w:rPr>
        <w:instrText xml:space="preserve"> PAGEREF _Toc514247609 \h </w:instrText>
      </w:r>
      <w:r>
        <w:rPr>
          <w:noProof/>
        </w:rPr>
      </w:r>
      <w:r>
        <w:rPr>
          <w:noProof/>
        </w:rPr>
        <w:fldChar w:fldCharType="separate"/>
      </w:r>
      <w:r>
        <w:rPr>
          <w:noProof/>
        </w:rPr>
        <w:t>12</w:t>
      </w:r>
      <w:r>
        <w:rPr>
          <w:noProof/>
        </w:rPr>
        <w:fldChar w:fldCharType="end"/>
      </w:r>
    </w:p>
    <w:p w14:paraId="6C7C219C" w14:textId="77777777" w:rsidR="00543D47" w:rsidRDefault="00543D47" w:rsidP="00543D47">
      <w:pPr>
        <w:pStyle w:val="TOC1"/>
        <w:rPr>
          <w:rFonts w:eastAsiaTheme="minorEastAsia" w:cstheme="minorBidi"/>
          <w:b w:val="0"/>
          <w:noProof/>
        </w:rPr>
      </w:pPr>
      <w:r w:rsidRPr="00F57302">
        <w:rPr>
          <w:noProof/>
        </w:rPr>
        <w:t>3.</w:t>
      </w:r>
      <w:r>
        <w:rPr>
          <w:rFonts w:eastAsiaTheme="minorEastAsia" w:cstheme="minorBidi"/>
          <w:b w:val="0"/>
          <w:noProof/>
        </w:rPr>
        <w:tab/>
      </w:r>
      <w:r w:rsidRPr="00F57302">
        <w:rPr>
          <w:noProof/>
        </w:rPr>
        <w:t>About the Pathology Clinical Committee</w:t>
      </w:r>
      <w:r>
        <w:rPr>
          <w:noProof/>
        </w:rPr>
        <w:tab/>
      </w:r>
      <w:r>
        <w:rPr>
          <w:noProof/>
        </w:rPr>
        <w:fldChar w:fldCharType="begin"/>
      </w:r>
      <w:r>
        <w:rPr>
          <w:noProof/>
        </w:rPr>
        <w:instrText xml:space="preserve"> PAGEREF _Toc514247610 \h </w:instrText>
      </w:r>
      <w:r>
        <w:rPr>
          <w:noProof/>
        </w:rPr>
      </w:r>
      <w:r>
        <w:rPr>
          <w:noProof/>
        </w:rPr>
        <w:fldChar w:fldCharType="separate"/>
      </w:r>
      <w:r>
        <w:rPr>
          <w:noProof/>
        </w:rPr>
        <w:t>14</w:t>
      </w:r>
      <w:r>
        <w:rPr>
          <w:noProof/>
        </w:rPr>
        <w:fldChar w:fldCharType="end"/>
      </w:r>
    </w:p>
    <w:p w14:paraId="712250AF" w14:textId="77777777" w:rsidR="00543D47" w:rsidRDefault="00543D47" w:rsidP="00543D47">
      <w:pPr>
        <w:pStyle w:val="TOC2"/>
        <w:rPr>
          <w:rFonts w:eastAsiaTheme="minorEastAsia" w:cstheme="minorBidi"/>
          <w:noProof/>
        </w:rPr>
      </w:pPr>
      <w:r w:rsidRPr="00F57302">
        <w:rPr>
          <w:noProof/>
        </w:rPr>
        <w:t>3.1</w:t>
      </w:r>
      <w:r>
        <w:rPr>
          <w:rFonts w:eastAsiaTheme="minorEastAsia" w:cstheme="minorBidi"/>
          <w:noProof/>
        </w:rPr>
        <w:tab/>
      </w:r>
      <w:r w:rsidRPr="00F57302">
        <w:rPr>
          <w:noProof/>
        </w:rPr>
        <w:t>Pathology Clinical Committee members</w:t>
      </w:r>
      <w:r>
        <w:rPr>
          <w:noProof/>
        </w:rPr>
        <w:tab/>
      </w:r>
      <w:r>
        <w:rPr>
          <w:noProof/>
        </w:rPr>
        <w:fldChar w:fldCharType="begin"/>
      </w:r>
      <w:r>
        <w:rPr>
          <w:noProof/>
        </w:rPr>
        <w:instrText xml:space="preserve"> PAGEREF _Toc514247611 \h </w:instrText>
      </w:r>
      <w:r>
        <w:rPr>
          <w:noProof/>
        </w:rPr>
      </w:r>
      <w:r>
        <w:rPr>
          <w:noProof/>
        </w:rPr>
        <w:fldChar w:fldCharType="separate"/>
      </w:r>
      <w:r>
        <w:rPr>
          <w:noProof/>
        </w:rPr>
        <w:t>14</w:t>
      </w:r>
      <w:r>
        <w:rPr>
          <w:noProof/>
        </w:rPr>
        <w:fldChar w:fldCharType="end"/>
      </w:r>
    </w:p>
    <w:p w14:paraId="4C7E42E2" w14:textId="77777777" w:rsidR="00543D47" w:rsidRDefault="00543D47" w:rsidP="00543D47">
      <w:pPr>
        <w:pStyle w:val="TOC2"/>
        <w:rPr>
          <w:rFonts w:eastAsiaTheme="minorEastAsia" w:cstheme="minorBidi"/>
          <w:noProof/>
        </w:rPr>
      </w:pPr>
      <w:r w:rsidRPr="00F57302">
        <w:rPr>
          <w:noProof/>
        </w:rPr>
        <w:t>3.2</w:t>
      </w:r>
      <w:r>
        <w:rPr>
          <w:rFonts w:eastAsiaTheme="minorEastAsia" w:cstheme="minorBidi"/>
          <w:noProof/>
        </w:rPr>
        <w:tab/>
      </w:r>
      <w:r w:rsidRPr="00F57302">
        <w:rPr>
          <w:noProof/>
        </w:rPr>
        <w:t>Chemical Working Group</w:t>
      </w:r>
      <w:r>
        <w:rPr>
          <w:noProof/>
        </w:rPr>
        <w:tab/>
      </w:r>
      <w:r>
        <w:rPr>
          <w:noProof/>
        </w:rPr>
        <w:fldChar w:fldCharType="begin"/>
      </w:r>
      <w:r>
        <w:rPr>
          <w:noProof/>
        </w:rPr>
        <w:instrText xml:space="preserve"> PAGEREF _Toc514247612 \h </w:instrText>
      </w:r>
      <w:r>
        <w:rPr>
          <w:noProof/>
        </w:rPr>
      </w:r>
      <w:r>
        <w:rPr>
          <w:noProof/>
        </w:rPr>
        <w:fldChar w:fldCharType="separate"/>
      </w:r>
      <w:r>
        <w:rPr>
          <w:noProof/>
        </w:rPr>
        <w:t>15</w:t>
      </w:r>
      <w:r>
        <w:rPr>
          <w:noProof/>
        </w:rPr>
        <w:fldChar w:fldCharType="end"/>
      </w:r>
    </w:p>
    <w:p w14:paraId="22D8B4F1" w14:textId="77777777" w:rsidR="00543D47" w:rsidRDefault="00543D47" w:rsidP="00543D47">
      <w:pPr>
        <w:pStyle w:val="TOC2"/>
        <w:rPr>
          <w:rFonts w:eastAsiaTheme="minorEastAsia" w:cstheme="minorBidi"/>
          <w:noProof/>
        </w:rPr>
      </w:pPr>
      <w:r>
        <w:rPr>
          <w:noProof/>
        </w:rPr>
        <w:t>3.3</w:t>
      </w:r>
      <w:r>
        <w:rPr>
          <w:rFonts w:eastAsiaTheme="minorEastAsia" w:cstheme="minorBidi"/>
          <w:noProof/>
        </w:rPr>
        <w:tab/>
      </w:r>
      <w:r>
        <w:rPr>
          <w:noProof/>
        </w:rPr>
        <w:t>Tumour Marker Working Group</w:t>
      </w:r>
      <w:r>
        <w:rPr>
          <w:noProof/>
        </w:rPr>
        <w:tab/>
      </w:r>
      <w:r>
        <w:rPr>
          <w:noProof/>
        </w:rPr>
        <w:fldChar w:fldCharType="begin"/>
      </w:r>
      <w:r>
        <w:rPr>
          <w:noProof/>
        </w:rPr>
        <w:instrText xml:space="preserve"> PAGEREF _Toc514247613 \h </w:instrText>
      </w:r>
      <w:r>
        <w:rPr>
          <w:noProof/>
        </w:rPr>
      </w:r>
      <w:r>
        <w:rPr>
          <w:noProof/>
        </w:rPr>
        <w:fldChar w:fldCharType="separate"/>
      </w:r>
      <w:r>
        <w:rPr>
          <w:noProof/>
        </w:rPr>
        <w:t>16</w:t>
      </w:r>
      <w:r>
        <w:rPr>
          <w:noProof/>
        </w:rPr>
        <w:fldChar w:fldCharType="end"/>
      </w:r>
    </w:p>
    <w:p w14:paraId="6EA2370C" w14:textId="77777777" w:rsidR="00543D47" w:rsidRDefault="00543D47" w:rsidP="00543D47">
      <w:pPr>
        <w:pStyle w:val="TOC2"/>
        <w:rPr>
          <w:rFonts w:eastAsiaTheme="minorEastAsia" w:cstheme="minorBidi"/>
          <w:noProof/>
        </w:rPr>
      </w:pPr>
      <w:r w:rsidRPr="00F57302">
        <w:rPr>
          <w:noProof/>
        </w:rPr>
        <w:t>3.4</w:t>
      </w:r>
      <w:r>
        <w:rPr>
          <w:rFonts w:eastAsiaTheme="minorEastAsia" w:cstheme="minorBidi"/>
          <w:noProof/>
        </w:rPr>
        <w:tab/>
      </w:r>
      <w:r w:rsidRPr="00F57302">
        <w:rPr>
          <w:noProof/>
        </w:rPr>
        <w:t>Areas of responsibility of the Committee</w:t>
      </w:r>
      <w:r>
        <w:rPr>
          <w:noProof/>
        </w:rPr>
        <w:tab/>
      </w:r>
      <w:r>
        <w:rPr>
          <w:noProof/>
        </w:rPr>
        <w:fldChar w:fldCharType="begin"/>
      </w:r>
      <w:r>
        <w:rPr>
          <w:noProof/>
        </w:rPr>
        <w:instrText xml:space="preserve"> PAGEREF _Toc514247614 \h </w:instrText>
      </w:r>
      <w:r>
        <w:rPr>
          <w:noProof/>
        </w:rPr>
      </w:r>
      <w:r>
        <w:rPr>
          <w:noProof/>
        </w:rPr>
        <w:fldChar w:fldCharType="separate"/>
      </w:r>
      <w:r>
        <w:rPr>
          <w:noProof/>
        </w:rPr>
        <w:t>17</w:t>
      </w:r>
      <w:r>
        <w:rPr>
          <w:noProof/>
        </w:rPr>
        <w:fldChar w:fldCharType="end"/>
      </w:r>
    </w:p>
    <w:p w14:paraId="6026BBB9" w14:textId="77777777" w:rsidR="00543D47" w:rsidRDefault="00543D47" w:rsidP="00543D47">
      <w:pPr>
        <w:pStyle w:val="TOC2"/>
        <w:rPr>
          <w:rFonts w:eastAsiaTheme="minorEastAsia" w:cstheme="minorBidi"/>
          <w:noProof/>
        </w:rPr>
      </w:pPr>
      <w:r w:rsidRPr="00F57302">
        <w:rPr>
          <w:noProof/>
        </w:rPr>
        <w:t>3.5</w:t>
      </w:r>
      <w:r>
        <w:rPr>
          <w:rFonts w:eastAsiaTheme="minorEastAsia" w:cstheme="minorBidi"/>
          <w:noProof/>
        </w:rPr>
        <w:tab/>
      </w:r>
      <w:r w:rsidRPr="00F57302">
        <w:rPr>
          <w:noProof/>
        </w:rPr>
        <w:t>Summary of the Committee’s review approach</w:t>
      </w:r>
      <w:r>
        <w:rPr>
          <w:noProof/>
        </w:rPr>
        <w:tab/>
      </w:r>
      <w:r>
        <w:rPr>
          <w:noProof/>
        </w:rPr>
        <w:fldChar w:fldCharType="begin"/>
      </w:r>
      <w:r>
        <w:rPr>
          <w:noProof/>
        </w:rPr>
        <w:instrText xml:space="preserve"> PAGEREF _Toc514247615 \h </w:instrText>
      </w:r>
      <w:r>
        <w:rPr>
          <w:noProof/>
        </w:rPr>
      </w:r>
      <w:r>
        <w:rPr>
          <w:noProof/>
        </w:rPr>
        <w:fldChar w:fldCharType="separate"/>
      </w:r>
      <w:r>
        <w:rPr>
          <w:noProof/>
        </w:rPr>
        <w:t>18</w:t>
      </w:r>
      <w:r>
        <w:rPr>
          <w:noProof/>
        </w:rPr>
        <w:fldChar w:fldCharType="end"/>
      </w:r>
    </w:p>
    <w:p w14:paraId="48FC857E" w14:textId="77777777" w:rsidR="00543D47" w:rsidRDefault="00543D47" w:rsidP="00543D47">
      <w:pPr>
        <w:pStyle w:val="TOC1"/>
        <w:rPr>
          <w:rFonts w:eastAsiaTheme="minorEastAsia" w:cstheme="minorBidi"/>
          <w:b w:val="0"/>
          <w:noProof/>
        </w:rPr>
      </w:pPr>
      <w:r w:rsidRPr="00F57302">
        <w:rPr>
          <w:noProof/>
        </w:rPr>
        <w:t>4.</w:t>
      </w:r>
      <w:r>
        <w:rPr>
          <w:rFonts w:eastAsiaTheme="minorEastAsia" w:cstheme="minorBidi"/>
          <w:b w:val="0"/>
          <w:noProof/>
        </w:rPr>
        <w:tab/>
      </w:r>
      <w:r w:rsidRPr="00F57302">
        <w:rPr>
          <w:noProof/>
        </w:rPr>
        <w:t>Recommendations</w:t>
      </w:r>
      <w:r>
        <w:rPr>
          <w:noProof/>
        </w:rPr>
        <w:tab/>
      </w:r>
      <w:r>
        <w:rPr>
          <w:noProof/>
        </w:rPr>
        <w:fldChar w:fldCharType="begin"/>
      </w:r>
      <w:r>
        <w:rPr>
          <w:noProof/>
        </w:rPr>
        <w:instrText xml:space="preserve"> PAGEREF _Toc514247616 \h </w:instrText>
      </w:r>
      <w:r>
        <w:rPr>
          <w:noProof/>
        </w:rPr>
      </w:r>
      <w:r>
        <w:rPr>
          <w:noProof/>
        </w:rPr>
        <w:fldChar w:fldCharType="separate"/>
      </w:r>
      <w:r>
        <w:rPr>
          <w:noProof/>
        </w:rPr>
        <w:t>19</w:t>
      </w:r>
      <w:r>
        <w:rPr>
          <w:noProof/>
        </w:rPr>
        <w:fldChar w:fldCharType="end"/>
      </w:r>
    </w:p>
    <w:p w14:paraId="1A9A1216" w14:textId="77777777" w:rsidR="00543D47" w:rsidRDefault="00543D47" w:rsidP="00543D47">
      <w:pPr>
        <w:pStyle w:val="TOC2"/>
        <w:rPr>
          <w:rFonts w:eastAsiaTheme="minorEastAsia" w:cstheme="minorBidi"/>
          <w:noProof/>
        </w:rPr>
      </w:pPr>
      <w:r w:rsidRPr="00F57302">
        <w:rPr>
          <w:noProof/>
        </w:rPr>
        <w:t>4.1</w:t>
      </w:r>
      <w:r>
        <w:rPr>
          <w:rFonts w:eastAsiaTheme="minorEastAsia" w:cstheme="minorBidi"/>
          <w:noProof/>
        </w:rPr>
        <w:tab/>
      </w:r>
      <w:r w:rsidRPr="00F57302">
        <w:rPr>
          <w:noProof/>
        </w:rPr>
        <w:t>Frequent and common clinical chemistry tests, blood gas and calcium</w:t>
      </w:r>
      <w:r>
        <w:rPr>
          <w:noProof/>
        </w:rPr>
        <w:tab/>
      </w:r>
      <w:r>
        <w:rPr>
          <w:noProof/>
        </w:rPr>
        <w:fldChar w:fldCharType="begin"/>
      </w:r>
      <w:r>
        <w:rPr>
          <w:noProof/>
        </w:rPr>
        <w:instrText xml:space="preserve"> PAGEREF _Toc514247617 \h </w:instrText>
      </w:r>
      <w:r>
        <w:rPr>
          <w:noProof/>
        </w:rPr>
      </w:r>
      <w:r>
        <w:rPr>
          <w:noProof/>
        </w:rPr>
        <w:fldChar w:fldCharType="separate"/>
      </w:r>
      <w:r>
        <w:rPr>
          <w:noProof/>
        </w:rPr>
        <w:t>19</w:t>
      </w:r>
      <w:r>
        <w:rPr>
          <w:noProof/>
        </w:rPr>
        <w:fldChar w:fldCharType="end"/>
      </w:r>
    </w:p>
    <w:p w14:paraId="23B48B45" w14:textId="77777777" w:rsidR="00543D47" w:rsidRDefault="00543D47" w:rsidP="00543D47">
      <w:pPr>
        <w:pStyle w:val="TOC2"/>
        <w:rPr>
          <w:rFonts w:eastAsiaTheme="minorEastAsia" w:cstheme="minorBidi"/>
          <w:noProof/>
        </w:rPr>
      </w:pPr>
      <w:r w:rsidRPr="00F57302">
        <w:rPr>
          <w:noProof/>
        </w:rPr>
        <w:t>4.2</w:t>
      </w:r>
      <w:r>
        <w:rPr>
          <w:rFonts w:eastAsiaTheme="minorEastAsia" w:cstheme="minorBidi"/>
          <w:noProof/>
        </w:rPr>
        <w:tab/>
      </w:r>
      <w:r w:rsidRPr="00F57302">
        <w:rPr>
          <w:noProof/>
        </w:rPr>
        <w:t>Tests done in diagnosing pregnancy and disease in pregnancy</w:t>
      </w:r>
      <w:r>
        <w:rPr>
          <w:noProof/>
        </w:rPr>
        <w:tab/>
      </w:r>
      <w:r>
        <w:rPr>
          <w:noProof/>
        </w:rPr>
        <w:fldChar w:fldCharType="begin"/>
      </w:r>
      <w:r>
        <w:rPr>
          <w:noProof/>
        </w:rPr>
        <w:instrText xml:space="preserve"> PAGEREF _Toc514247618 \h </w:instrText>
      </w:r>
      <w:r>
        <w:rPr>
          <w:noProof/>
        </w:rPr>
      </w:r>
      <w:r>
        <w:rPr>
          <w:noProof/>
        </w:rPr>
        <w:fldChar w:fldCharType="separate"/>
      </w:r>
      <w:r>
        <w:rPr>
          <w:noProof/>
        </w:rPr>
        <w:t>23</w:t>
      </w:r>
      <w:r>
        <w:rPr>
          <w:noProof/>
        </w:rPr>
        <w:fldChar w:fldCharType="end"/>
      </w:r>
    </w:p>
    <w:p w14:paraId="604F8F29" w14:textId="77777777" w:rsidR="00543D47" w:rsidRDefault="00543D47" w:rsidP="00543D47">
      <w:pPr>
        <w:pStyle w:val="TOC2"/>
        <w:rPr>
          <w:rFonts w:eastAsiaTheme="minorEastAsia" w:cstheme="minorBidi"/>
          <w:noProof/>
        </w:rPr>
      </w:pPr>
      <w:r w:rsidRPr="00F57302">
        <w:rPr>
          <w:noProof/>
        </w:rPr>
        <w:t>4.3</w:t>
      </w:r>
      <w:r>
        <w:rPr>
          <w:rFonts w:eastAsiaTheme="minorEastAsia" w:cstheme="minorBidi"/>
          <w:noProof/>
        </w:rPr>
        <w:tab/>
      </w:r>
      <w:r w:rsidRPr="00F57302">
        <w:rPr>
          <w:noProof/>
        </w:rPr>
        <w:t>Markers of cardiac risk or heart failure</w:t>
      </w:r>
      <w:r>
        <w:rPr>
          <w:noProof/>
        </w:rPr>
        <w:tab/>
      </w:r>
      <w:r>
        <w:rPr>
          <w:noProof/>
        </w:rPr>
        <w:fldChar w:fldCharType="begin"/>
      </w:r>
      <w:r>
        <w:rPr>
          <w:noProof/>
        </w:rPr>
        <w:instrText xml:space="preserve"> PAGEREF _Toc514247619 \h </w:instrText>
      </w:r>
      <w:r>
        <w:rPr>
          <w:noProof/>
        </w:rPr>
      </w:r>
      <w:r>
        <w:rPr>
          <w:noProof/>
        </w:rPr>
        <w:fldChar w:fldCharType="separate"/>
      </w:r>
      <w:r>
        <w:rPr>
          <w:noProof/>
        </w:rPr>
        <w:t>28</w:t>
      </w:r>
      <w:r>
        <w:rPr>
          <w:noProof/>
        </w:rPr>
        <w:fldChar w:fldCharType="end"/>
      </w:r>
    </w:p>
    <w:p w14:paraId="67340177" w14:textId="77777777" w:rsidR="00543D47" w:rsidRDefault="00543D47" w:rsidP="00543D47">
      <w:pPr>
        <w:pStyle w:val="TOC2"/>
        <w:rPr>
          <w:rFonts w:eastAsiaTheme="minorEastAsia" w:cstheme="minorBidi"/>
          <w:noProof/>
        </w:rPr>
      </w:pPr>
      <w:r w:rsidRPr="00F57302">
        <w:rPr>
          <w:noProof/>
        </w:rPr>
        <w:t>4.4</w:t>
      </w:r>
      <w:r>
        <w:rPr>
          <w:rFonts w:eastAsiaTheme="minorEastAsia" w:cstheme="minorBidi"/>
          <w:noProof/>
        </w:rPr>
        <w:tab/>
      </w:r>
      <w:r w:rsidRPr="00F57302">
        <w:rPr>
          <w:noProof/>
        </w:rPr>
        <w:t>Brain natriuretic peptide (BNP)</w:t>
      </w:r>
      <w:r>
        <w:rPr>
          <w:noProof/>
        </w:rPr>
        <w:tab/>
      </w:r>
      <w:r>
        <w:rPr>
          <w:noProof/>
        </w:rPr>
        <w:fldChar w:fldCharType="begin"/>
      </w:r>
      <w:r>
        <w:rPr>
          <w:noProof/>
        </w:rPr>
        <w:instrText xml:space="preserve"> PAGEREF _Toc514247620 \h </w:instrText>
      </w:r>
      <w:r>
        <w:rPr>
          <w:noProof/>
        </w:rPr>
      </w:r>
      <w:r>
        <w:rPr>
          <w:noProof/>
        </w:rPr>
        <w:fldChar w:fldCharType="separate"/>
      </w:r>
      <w:r>
        <w:rPr>
          <w:noProof/>
        </w:rPr>
        <w:t>31</w:t>
      </w:r>
      <w:r>
        <w:rPr>
          <w:noProof/>
        </w:rPr>
        <w:fldChar w:fldCharType="end"/>
      </w:r>
    </w:p>
    <w:p w14:paraId="51292FCF" w14:textId="77777777" w:rsidR="00543D47" w:rsidRDefault="00543D47" w:rsidP="00543D47">
      <w:pPr>
        <w:pStyle w:val="TOC2"/>
        <w:rPr>
          <w:rFonts w:eastAsiaTheme="minorEastAsia" w:cstheme="minorBidi"/>
          <w:noProof/>
        </w:rPr>
      </w:pPr>
      <w:r w:rsidRPr="00F57302">
        <w:rPr>
          <w:noProof/>
        </w:rPr>
        <w:t>4.5</w:t>
      </w:r>
      <w:r>
        <w:rPr>
          <w:rFonts w:eastAsiaTheme="minorEastAsia" w:cstheme="minorBidi"/>
          <w:noProof/>
        </w:rPr>
        <w:tab/>
      </w:r>
      <w:r w:rsidRPr="00F57302">
        <w:rPr>
          <w:noProof/>
        </w:rPr>
        <w:t>Urine and faeces-related tests</w:t>
      </w:r>
      <w:r>
        <w:rPr>
          <w:noProof/>
        </w:rPr>
        <w:tab/>
      </w:r>
      <w:r>
        <w:rPr>
          <w:noProof/>
        </w:rPr>
        <w:fldChar w:fldCharType="begin"/>
      </w:r>
      <w:r>
        <w:rPr>
          <w:noProof/>
        </w:rPr>
        <w:instrText xml:space="preserve"> PAGEREF _Toc514247621 \h </w:instrText>
      </w:r>
      <w:r>
        <w:rPr>
          <w:noProof/>
        </w:rPr>
      </w:r>
      <w:r>
        <w:rPr>
          <w:noProof/>
        </w:rPr>
        <w:fldChar w:fldCharType="separate"/>
      </w:r>
      <w:r>
        <w:rPr>
          <w:noProof/>
        </w:rPr>
        <w:t>32</w:t>
      </w:r>
      <w:r>
        <w:rPr>
          <w:noProof/>
        </w:rPr>
        <w:fldChar w:fldCharType="end"/>
      </w:r>
    </w:p>
    <w:p w14:paraId="341C0286" w14:textId="77777777" w:rsidR="00543D47" w:rsidRDefault="00543D47" w:rsidP="00543D47">
      <w:pPr>
        <w:pStyle w:val="TOC2"/>
        <w:rPr>
          <w:rFonts w:eastAsiaTheme="minorEastAsia" w:cstheme="minorBidi"/>
          <w:noProof/>
        </w:rPr>
      </w:pPr>
      <w:r w:rsidRPr="00F57302">
        <w:rPr>
          <w:noProof/>
        </w:rPr>
        <w:t>4.6</w:t>
      </w:r>
      <w:r>
        <w:rPr>
          <w:rFonts w:eastAsiaTheme="minorEastAsia" w:cstheme="minorBidi"/>
          <w:noProof/>
        </w:rPr>
        <w:tab/>
      </w:r>
      <w:r w:rsidRPr="00F57302">
        <w:rPr>
          <w:noProof/>
        </w:rPr>
        <w:t>Vitamins</w:t>
      </w:r>
      <w:r>
        <w:rPr>
          <w:noProof/>
        </w:rPr>
        <w:tab/>
      </w:r>
      <w:r>
        <w:rPr>
          <w:noProof/>
        </w:rPr>
        <w:fldChar w:fldCharType="begin"/>
      </w:r>
      <w:r>
        <w:rPr>
          <w:noProof/>
        </w:rPr>
        <w:instrText xml:space="preserve"> PAGEREF _Toc514247622 \h </w:instrText>
      </w:r>
      <w:r>
        <w:rPr>
          <w:noProof/>
        </w:rPr>
      </w:r>
      <w:r>
        <w:rPr>
          <w:noProof/>
        </w:rPr>
        <w:fldChar w:fldCharType="separate"/>
      </w:r>
      <w:r>
        <w:rPr>
          <w:noProof/>
        </w:rPr>
        <w:t>36</w:t>
      </w:r>
      <w:r>
        <w:rPr>
          <w:noProof/>
        </w:rPr>
        <w:fldChar w:fldCharType="end"/>
      </w:r>
    </w:p>
    <w:p w14:paraId="31999EDB" w14:textId="77777777" w:rsidR="00543D47" w:rsidRDefault="00543D47" w:rsidP="00543D47">
      <w:pPr>
        <w:pStyle w:val="TOC2"/>
        <w:rPr>
          <w:rFonts w:eastAsiaTheme="minorEastAsia" w:cstheme="minorBidi"/>
          <w:noProof/>
        </w:rPr>
      </w:pPr>
      <w:r w:rsidRPr="00F57302">
        <w:rPr>
          <w:noProof/>
        </w:rPr>
        <w:t>4.7</w:t>
      </w:r>
      <w:r>
        <w:rPr>
          <w:rFonts w:eastAsiaTheme="minorEastAsia" w:cstheme="minorBidi"/>
          <w:noProof/>
        </w:rPr>
        <w:tab/>
      </w:r>
      <w:r w:rsidRPr="00F57302">
        <w:rPr>
          <w:noProof/>
        </w:rPr>
        <w:t>Drugs</w:t>
      </w:r>
      <w:r>
        <w:rPr>
          <w:noProof/>
        </w:rPr>
        <w:tab/>
      </w:r>
      <w:r>
        <w:rPr>
          <w:noProof/>
        </w:rPr>
        <w:fldChar w:fldCharType="begin"/>
      </w:r>
      <w:r>
        <w:rPr>
          <w:noProof/>
        </w:rPr>
        <w:instrText xml:space="preserve"> PAGEREF _Toc514247623 \h </w:instrText>
      </w:r>
      <w:r>
        <w:rPr>
          <w:noProof/>
        </w:rPr>
      </w:r>
      <w:r>
        <w:rPr>
          <w:noProof/>
        </w:rPr>
        <w:fldChar w:fldCharType="separate"/>
      </w:r>
      <w:r>
        <w:rPr>
          <w:noProof/>
        </w:rPr>
        <w:t>38</w:t>
      </w:r>
      <w:r>
        <w:rPr>
          <w:noProof/>
        </w:rPr>
        <w:fldChar w:fldCharType="end"/>
      </w:r>
    </w:p>
    <w:p w14:paraId="6D6FF8AB" w14:textId="77777777" w:rsidR="00543D47" w:rsidRDefault="00543D47" w:rsidP="00543D47">
      <w:pPr>
        <w:pStyle w:val="TOC2"/>
        <w:rPr>
          <w:rFonts w:eastAsiaTheme="minorEastAsia" w:cstheme="minorBidi"/>
          <w:noProof/>
        </w:rPr>
      </w:pPr>
      <w:r>
        <w:rPr>
          <w:noProof/>
        </w:rPr>
        <w:t>4.8</w:t>
      </w:r>
      <w:r>
        <w:rPr>
          <w:rFonts w:eastAsiaTheme="minorEastAsia" w:cstheme="minorBidi"/>
          <w:noProof/>
        </w:rPr>
        <w:tab/>
      </w:r>
      <w:r>
        <w:rPr>
          <w:noProof/>
        </w:rPr>
        <w:t>Proteins and electrophoresis</w:t>
      </w:r>
      <w:r>
        <w:rPr>
          <w:noProof/>
        </w:rPr>
        <w:tab/>
      </w:r>
      <w:r>
        <w:rPr>
          <w:noProof/>
        </w:rPr>
        <w:fldChar w:fldCharType="begin"/>
      </w:r>
      <w:r>
        <w:rPr>
          <w:noProof/>
        </w:rPr>
        <w:instrText xml:space="preserve"> PAGEREF _Toc514247624 \h </w:instrText>
      </w:r>
      <w:r>
        <w:rPr>
          <w:noProof/>
        </w:rPr>
      </w:r>
      <w:r>
        <w:rPr>
          <w:noProof/>
        </w:rPr>
        <w:fldChar w:fldCharType="separate"/>
      </w:r>
      <w:r>
        <w:rPr>
          <w:noProof/>
        </w:rPr>
        <w:t>43</w:t>
      </w:r>
      <w:r>
        <w:rPr>
          <w:noProof/>
        </w:rPr>
        <w:fldChar w:fldCharType="end"/>
      </w:r>
    </w:p>
    <w:p w14:paraId="7BA3B267" w14:textId="77777777" w:rsidR="00543D47" w:rsidRDefault="00543D47" w:rsidP="00543D47">
      <w:pPr>
        <w:pStyle w:val="TOC2"/>
        <w:rPr>
          <w:rFonts w:eastAsiaTheme="minorEastAsia" w:cstheme="minorBidi"/>
          <w:noProof/>
        </w:rPr>
      </w:pPr>
      <w:r>
        <w:rPr>
          <w:noProof/>
        </w:rPr>
        <w:t>4.9</w:t>
      </w:r>
      <w:r>
        <w:rPr>
          <w:rFonts w:eastAsiaTheme="minorEastAsia" w:cstheme="minorBidi"/>
          <w:noProof/>
        </w:rPr>
        <w:tab/>
      </w:r>
      <w:r>
        <w:rPr>
          <w:noProof/>
        </w:rPr>
        <w:t>Immunology items: 71057, 71058, 71059, 71060, 71062, 71064, 71066, 71068, 71069, 71071, 71072, 71073, 71074, 71075, 71076, 71077, 71200</w:t>
      </w:r>
      <w:r>
        <w:rPr>
          <w:noProof/>
        </w:rPr>
        <w:tab/>
      </w:r>
      <w:r>
        <w:rPr>
          <w:noProof/>
        </w:rPr>
        <w:fldChar w:fldCharType="begin"/>
      </w:r>
      <w:r>
        <w:rPr>
          <w:noProof/>
        </w:rPr>
        <w:instrText xml:space="preserve"> PAGEREF _Toc514247625 \h </w:instrText>
      </w:r>
      <w:r>
        <w:rPr>
          <w:noProof/>
        </w:rPr>
      </w:r>
      <w:r>
        <w:rPr>
          <w:noProof/>
        </w:rPr>
        <w:fldChar w:fldCharType="separate"/>
      </w:r>
      <w:r>
        <w:rPr>
          <w:noProof/>
        </w:rPr>
        <w:t>50</w:t>
      </w:r>
      <w:r>
        <w:rPr>
          <w:noProof/>
        </w:rPr>
        <w:fldChar w:fldCharType="end"/>
      </w:r>
    </w:p>
    <w:p w14:paraId="5200040A" w14:textId="77777777" w:rsidR="00543D47" w:rsidRDefault="00543D47" w:rsidP="00543D47">
      <w:pPr>
        <w:pStyle w:val="TOC2"/>
        <w:rPr>
          <w:rFonts w:eastAsiaTheme="minorEastAsia" w:cstheme="minorBidi"/>
          <w:noProof/>
        </w:rPr>
      </w:pPr>
      <w:r w:rsidRPr="00F57302">
        <w:rPr>
          <w:noProof/>
        </w:rPr>
        <w:t>4.10</w:t>
      </w:r>
      <w:r>
        <w:rPr>
          <w:rFonts w:eastAsiaTheme="minorEastAsia" w:cstheme="minorBidi"/>
          <w:noProof/>
        </w:rPr>
        <w:tab/>
      </w:r>
      <w:r w:rsidRPr="00F57302">
        <w:rPr>
          <w:noProof/>
        </w:rPr>
        <w:t>Metals for toxicity or deficiency</w:t>
      </w:r>
      <w:r>
        <w:rPr>
          <w:noProof/>
        </w:rPr>
        <w:tab/>
      </w:r>
      <w:r>
        <w:rPr>
          <w:noProof/>
        </w:rPr>
        <w:fldChar w:fldCharType="begin"/>
      </w:r>
      <w:r>
        <w:rPr>
          <w:noProof/>
        </w:rPr>
        <w:instrText xml:space="preserve"> PAGEREF _Toc514247626 \h </w:instrText>
      </w:r>
      <w:r>
        <w:rPr>
          <w:noProof/>
        </w:rPr>
      </w:r>
      <w:r>
        <w:rPr>
          <w:noProof/>
        </w:rPr>
        <w:fldChar w:fldCharType="separate"/>
      </w:r>
      <w:r>
        <w:rPr>
          <w:noProof/>
        </w:rPr>
        <w:t>60</w:t>
      </w:r>
      <w:r>
        <w:rPr>
          <w:noProof/>
        </w:rPr>
        <w:fldChar w:fldCharType="end"/>
      </w:r>
    </w:p>
    <w:p w14:paraId="65A7DFC1" w14:textId="77777777" w:rsidR="00543D47" w:rsidRDefault="00543D47" w:rsidP="00543D47">
      <w:pPr>
        <w:pStyle w:val="TOC2"/>
        <w:rPr>
          <w:rFonts w:eastAsiaTheme="minorEastAsia" w:cstheme="minorBidi"/>
          <w:noProof/>
        </w:rPr>
      </w:pPr>
      <w:r w:rsidRPr="00F57302">
        <w:rPr>
          <w:noProof/>
        </w:rPr>
        <w:t>4.11</w:t>
      </w:r>
      <w:r>
        <w:rPr>
          <w:rFonts w:eastAsiaTheme="minorEastAsia" w:cstheme="minorBidi"/>
          <w:noProof/>
        </w:rPr>
        <w:tab/>
      </w:r>
      <w:r w:rsidRPr="00F57302">
        <w:rPr>
          <w:noProof/>
        </w:rPr>
        <w:t>Amino acids and porphyrins</w:t>
      </w:r>
      <w:r>
        <w:rPr>
          <w:noProof/>
        </w:rPr>
        <w:tab/>
      </w:r>
      <w:r>
        <w:rPr>
          <w:noProof/>
        </w:rPr>
        <w:fldChar w:fldCharType="begin"/>
      </w:r>
      <w:r>
        <w:rPr>
          <w:noProof/>
        </w:rPr>
        <w:instrText xml:space="preserve"> PAGEREF _Toc514247627 \h </w:instrText>
      </w:r>
      <w:r>
        <w:rPr>
          <w:noProof/>
        </w:rPr>
      </w:r>
      <w:r>
        <w:rPr>
          <w:noProof/>
        </w:rPr>
        <w:fldChar w:fldCharType="separate"/>
      </w:r>
      <w:r>
        <w:rPr>
          <w:noProof/>
        </w:rPr>
        <w:t>67</w:t>
      </w:r>
      <w:r>
        <w:rPr>
          <w:noProof/>
        </w:rPr>
        <w:fldChar w:fldCharType="end"/>
      </w:r>
    </w:p>
    <w:p w14:paraId="743FCD12" w14:textId="77777777" w:rsidR="00543D47" w:rsidRDefault="00543D47" w:rsidP="00543D47">
      <w:pPr>
        <w:pStyle w:val="TOC2"/>
        <w:rPr>
          <w:rFonts w:eastAsiaTheme="minorEastAsia" w:cstheme="minorBidi"/>
          <w:noProof/>
        </w:rPr>
      </w:pPr>
      <w:r>
        <w:rPr>
          <w:noProof/>
        </w:rPr>
        <w:t>4.12</w:t>
      </w:r>
      <w:r>
        <w:rPr>
          <w:rFonts w:eastAsiaTheme="minorEastAsia" w:cstheme="minorBidi"/>
          <w:noProof/>
        </w:rPr>
        <w:tab/>
      </w:r>
      <w:r>
        <w:rPr>
          <w:noProof/>
        </w:rPr>
        <w:t>Bone markers, HPLC, hormones and other</w:t>
      </w:r>
      <w:r>
        <w:rPr>
          <w:noProof/>
        </w:rPr>
        <w:tab/>
      </w:r>
      <w:r>
        <w:rPr>
          <w:noProof/>
        </w:rPr>
        <w:fldChar w:fldCharType="begin"/>
      </w:r>
      <w:r>
        <w:rPr>
          <w:noProof/>
        </w:rPr>
        <w:instrText xml:space="preserve"> PAGEREF _Toc514247628 \h </w:instrText>
      </w:r>
      <w:r>
        <w:rPr>
          <w:noProof/>
        </w:rPr>
      </w:r>
      <w:r>
        <w:rPr>
          <w:noProof/>
        </w:rPr>
        <w:fldChar w:fldCharType="separate"/>
      </w:r>
      <w:r>
        <w:rPr>
          <w:noProof/>
        </w:rPr>
        <w:t>72</w:t>
      </w:r>
      <w:r>
        <w:rPr>
          <w:noProof/>
        </w:rPr>
        <w:fldChar w:fldCharType="end"/>
      </w:r>
    </w:p>
    <w:p w14:paraId="4EAB2333" w14:textId="77777777" w:rsidR="00543D47" w:rsidRDefault="00543D47" w:rsidP="00543D47">
      <w:pPr>
        <w:pStyle w:val="TOC2"/>
        <w:rPr>
          <w:rFonts w:eastAsiaTheme="minorEastAsia" w:cstheme="minorBidi"/>
          <w:noProof/>
        </w:rPr>
      </w:pPr>
      <w:r>
        <w:rPr>
          <w:noProof/>
        </w:rPr>
        <w:t>4.13</w:t>
      </w:r>
      <w:r>
        <w:rPr>
          <w:rFonts w:eastAsiaTheme="minorEastAsia" w:cstheme="minorBidi"/>
          <w:noProof/>
        </w:rPr>
        <w:tab/>
      </w:r>
      <w:r>
        <w:rPr>
          <w:noProof/>
        </w:rPr>
        <w:t>Adrenaline, 5HIAA, metanephrins: items 66779, 66780</w:t>
      </w:r>
      <w:r>
        <w:rPr>
          <w:noProof/>
        </w:rPr>
        <w:tab/>
      </w:r>
      <w:r>
        <w:rPr>
          <w:noProof/>
        </w:rPr>
        <w:fldChar w:fldCharType="begin"/>
      </w:r>
      <w:r>
        <w:rPr>
          <w:noProof/>
        </w:rPr>
        <w:instrText xml:space="preserve"> PAGEREF _Toc514247629 \h </w:instrText>
      </w:r>
      <w:r>
        <w:rPr>
          <w:noProof/>
        </w:rPr>
      </w:r>
      <w:r>
        <w:rPr>
          <w:noProof/>
        </w:rPr>
        <w:fldChar w:fldCharType="separate"/>
      </w:r>
      <w:r>
        <w:rPr>
          <w:noProof/>
        </w:rPr>
        <w:t>73</w:t>
      </w:r>
      <w:r>
        <w:rPr>
          <w:noProof/>
        </w:rPr>
        <w:fldChar w:fldCharType="end"/>
      </w:r>
    </w:p>
    <w:p w14:paraId="16723884" w14:textId="77777777" w:rsidR="00543D47" w:rsidRDefault="00543D47" w:rsidP="00543D47">
      <w:pPr>
        <w:pStyle w:val="TOC1"/>
        <w:rPr>
          <w:rFonts w:eastAsiaTheme="minorEastAsia" w:cstheme="minorBidi"/>
          <w:b w:val="0"/>
          <w:noProof/>
        </w:rPr>
      </w:pPr>
      <w:r>
        <w:rPr>
          <w:noProof/>
        </w:rPr>
        <w:t>5.</w:t>
      </w:r>
      <w:r>
        <w:rPr>
          <w:rFonts w:eastAsiaTheme="minorEastAsia" w:cstheme="minorBidi"/>
          <w:b w:val="0"/>
          <w:noProof/>
        </w:rPr>
        <w:tab/>
      </w:r>
      <w:r>
        <w:rPr>
          <w:noProof/>
        </w:rPr>
        <w:t>Tumour marker items – 66650–66653 and 66629</w:t>
      </w:r>
      <w:r>
        <w:rPr>
          <w:noProof/>
        </w:rPr>
        <w:tab/>
      </w:r>
      <w:r>
        <w:rPr>
          <w:noProof/>
        </w:rPr>
        <w:fldChar w:fldCharType="begin"/>
      </w:r>
      <w:r>
        <w:rPr>
          <w:noProof/>
        </w:rPr>
        <w:instrText xml:space="preserve"> PAGEREF _Toc514247630 \h </w:instrText>
      </w:r>
      <w:r>
        <w:rPr>
          <w:noProof/>
        </w:rPr>
      </w:r>
      <w:r>
        <w:rPr>
          <w:noProof/>
        </w:rPr>
        <w:fldChar w:fldCharType="separate"/>
      </w:r>
      <w:r>
        <w:rPr>
          <w:noProof/>
        </w:rPr>
        <w:t>77</w:t>
      </w:r>
      <w:r>
        <w:rPr>
          <w:noProof/>
        </w:rPr>
        <w:fldChar w:fldCharType="end"/>
      </w:r>
    </w:p>
    <w:p w14:paraId="36EEE364" w14:textId="77777777" w:rsidR="00543D47" w:rsidRDefault="00543D47" w:rsidP="00543D47">
      <w:pPr>
        <w:pStyle w:val="TOC1"/>
        <w:rPr>
          <w:rFonts w:eastAsiaTheme="minorEastAsia" w:cstheme="minorBidi"/>
          <w:b w:val="0"/>
          <w:noProof/>
        </w:rPr>
      </w:pPr>
      <w:r w:rsidRPr="00F57302">
        <w:rPr>
          <w:noProof/>
        </w:rPr>
        <w:t>6.</w:t>
      </w:r>
      <w:r>
        <w:rPr>
          <w:rFonts w:eastAsiaTheme="minorEastAsia" w:cstheme="minorBidi"/>
          <w:b w:val="0"/>
          <w:noProof/>
        </w:rPr>
        <w:tab/>
      </w:r>
      <w:r w:rsidRPr="00F57302">
        <w:rPr>
          <w:noProof/>
        </w:rPr>
        <w:t>Items reviewed by the Diagnostic Medicine Clinical Committee</w:t>
      </w:r>
      <w:r>
        <w:rPr>
          <w:noProof/>
        </w:rPr>
        <w:tab/>
      </w:r>
      <w:r>
        <w:rPr>
          <w:noProof/>
        </w:rPr>
        <w:fldChar w:fldCharType="begin"/>
      </w:r>
      <w:r>
        <w:rPr>
          <w:noProof/>
        </w:rPr>
        <w:instrText xml:space="preserve"> PAGEREF _Toc514247631 \h </w:instrText>
      </w:r>
      <w:r>
        <w:rPr>
          <w:noProof/>
        </w:rPr>
      </w:r>
      <w:r>
        <w:rPr>
          <w:noProof/>
        </w:rPr>
        <w:fldChar w:fldCharType="separate"/>
      </w:r>
      <w:r>
        <w:rPr>
          <w:noProof/>
        </w:rPr>
        <w:t>87</w:t>
      </w:r>
      <w:r>
        <w:rPr>
          <w:noProof/>
        </w:rPr>
        <w:fldChar w:fldCharType="end"/>
      </w:r>
    </w:p>
    <w:p w14:paraId="05963917" w14:textId="77777777" w:rsidR="00543D47" w:rsidRDefault="00543D47" w:rsidP="00543D47">
      <w:pPr>
        <w:pStyle w:val="TOC2"/>
        <w:rPr>
          <w:rFonts w:eastAsiaTheme="minorEastAsia" w:cstheme="minorBidi"/>
          <w:noProof/>
        </w:rPr>
      </w:pPr>
      <w:r>
        <w:rPr>
          <w:noProof/>
        </w:rPr>
        <w:t>6.1</w:t>
      </w:r>
      <w:r>
        <w:rPr>
          <w:rFonts w:eastAsiaTheme="minorEastAsia" w:cstheme="minorBidi"/>
          <w:noProof/>
        </w:rPr>
        <w:tab/>
      </w:r>
      <w:r>
        <w:rPr>
          <w:noProof/>
        </w:rPr>
        <w:t>Vitamin B12</w:t>
      </w:r>
      <w:r>
        <w:rPr>
          <w:noProof/>
        </w:rPr>
        <w:tab/>
      </w:r>
      <w:r>
        <w:rPr>
          <w:noProof/>
        </w:rPr>
        <w:fldChar w:fldCharType="begin"/>
      </w:r>
      <w:r>
        <w:rPr>
          <w:noProof/>
        </w:rPr>
        <w:instrText xml:space="preserve"> PAGEREF _Toc514247632 \h </w:instrText>
      </w:r>
      <w:r>
        <w:rPr>
          <w:noProof/>
        </w:rPr>
      </w:r>
      <w:r>
        <w:rPr>
          <w:noProof/>
        </w:rPr>
        <w:fldChar w:fldCharType="separate"/>
      </w:r>
      <w:r>
        <w:rPr>
          <w:noProof/>
        </w:rPr>
        <w:t>87</w:t>
      </w:r>
      <w:r>
        <w:rPr>
          <w:noProof/>
        </w:rPr>
        <w:fldChar w:fldCharType="end"/>
      </w:r>
    </w:p>
    <w:p w14:paraId="6F18DEF3" w14:textId="77777777" w:rsidR="00543D47" w:rsidRDefault="00543D47" w:rsidP="00543D47">
      <w:pPr>
        <w:pStyle w:val="TOC1"/>
        <w:rPr>
          <w:rFonts w:eastAsiaTheme="minorEastAsia" w:cstheme="minorBidi"/>
          <w:b w:val="0"/>
          <w:noProof/>
        </w:rPr>
      </w:pPr>
      <w:r w:rsidRPr="00F57302">
        <w:rPr>
          <w:noProof/>
        </w:rPr>
        <w:t>7.</w:t>
      </w:r>
      <w:r>
        <w:rPr>
          <w:rFonts w:eastAsiaTheme="minorEastAsia" w:cstheme="minorBidi"/>
          <w:b w:val="0"/>
          <w:noProof/>
        </w:rPr>
        <w:tab/>
      </w:r>
      <w:r w:rsidRPr="00F57302">
        <w:rPr>
          <w:noProof/>
        </w:rPr>
        <w:t>Items with no changes</w:t>
      </w:r>
      <w:r>
        <w:rPr>
          <w:noProof/>
        </w:rPr>
        <w:tab/>
      </w:r>
      <w:r>
        <w:rPr>
          <w:noProof/>
        </w:rPr>
        <w:fldChar w:fldCharType="begin"/>
      </w:r>
      <w:r>
        <w:rPr>
          <w:noProof/>
        </w:rPr>
        <w:instrText xml:space="preserve"> PAGEREF _Toc514247633 \h </w:instrText>
      </w:r>
      <w:r>
        <w:rPr>
          <w:noProof/>
        </w:rPr>
      </w:r>
      <w:r>
        <w:rPr>
          <w:noProof/>
        </w:rPr>
        <w:fldChar w:fldCharType="separate"/>
      </w:r>
      <w:r>
        <w:rPr>
          <w:noProof/>
        </w:rPr>
        <w:t>93</w:t>
      </w:r>
      <w:r>
        <w:rPr>
          <w:noProof/>
        </w:rPr>
        <w:fldChar w:fldCharType="end"/>
      </w:r>
    </w:p>
    <w:p w14:paraId="282E07F1" w14:textId="77777777" w:rsidR="00543D47" w:rsidRDefault="00543D47" w:rsidP="00543D47">
      <w:pPr>
        <w:pStyle w:val="TOC1"/>
        <w:rPr>
          <w:rFonts w:eastAsiaTheme="minorEastAsia" w:cstheme="minorBidi"/>
          <w:b w:val="0"/>
          <w:noProof/>
        </w:rPr>
      </w:pPr>
      <w:r w:rsidRPr="00F57302">
        <w:rPr>
          <w:noProof/>
        </w:rPr>
        <w:t>8.</w:t>
      </w:r>
      <w:r>
        <w:rPr>
          <w:rFonts w:eastAsiaTheme="minorEastAsia" w:cstheme="minorBidi"/>
          <w:b w:val="0"/>
          <w:noProof/>
        </w:rPr>
        <w:tab/>
      </w:r>
      <w:r w:rsidRPr="00F57302">
        <w:rPr>
          <w:noProof/>
        </w:rPr>
        <w:t>Items to be deleted</w:t>
      </w:r>
      <w:r>
        <w:rPr>
          <w:noProof/>
        </w:rPr>
        <w:tab/>
      </w:r>
      <w:r>
        <w:rPr>
          <w:noProof/>
        </w:rPr>
        <w:fldChar w:fldCharType="begin"/>
      </w:r>
      <w:r>
        <w:rPr>
          <w:noProof/>
        </w:rPr>
        <w:instrText xml:space="preserve"> PAGEREF _Toc514247634 \h </w:instrText>
      </w:r>
      <w:r>
        <w:rPr>
          <w:noProof/>
        </w:rPr>
      </w:r>
      <w:r>
        <w:rPr>
          <w:noProof/>
        </w:rPr>
        <w:fldChar w:fldCharType="separate"/>
      </w:r>
      <w:r>
        <w:rPr>
          <w:noProof/>
        </w:rPr>
        <w:t>98</w:t>
      </w:r>
      <w:r>
        <w:rPr>
          <w:noProof/>
        </w:rPr>
        <w:fldChar w:fldCharType="end"/>
      </w:r>
    </w:p>
    <w:p w14:paraId="08F35F2D" w14:textId="77777777" w:rsidR="00543D47" w:rsidRDefault="00543D47" w:rsidP="00543D47">
      <w:pPr>
        <w:pStyle w:val="TOC1"/>
        <w:rPr>
          <w:rFonts w:eastAsiaTheme="minorEastAsia" w:cstheme="minorBidi"/>
          <w:b w:val="0"/>
          <w:noProof/>
        </w:rPr>
      </w:pPr>
      <w:r w:rsidRPr="00F57302">
        <w:rPr>
          <w:noProof/>
        </w:rPr>
        <w:lastRenderedPageBreak/>
        <w:t>9.</w:t>
      </w:r>
      <w:r>
        <w:rPr>
          <w:rFonts w:eastAsiaTheme="minorEastAsia" w:cstheme="minorBidi"/>
          <w:b w:val="0"/>
          <w:noProof/>
        </w:rPr>
        <w:tab/>
      </w:r>
      <w:r w:rsidRPr="00F57302">
        <w:rPr>
          <w:noProof/>
        </w:rPr>
        <w:t>References</w:t>
      </w:r>
      <w:r>
        <w:rPr>
          <w:noProof/>
        </w:rPr>
        <w:tab/>
      </w:r>
      <w:r>
        <w:rPr>
          <w:noProof/>
        </w:rPr>
        <w:fldChar w:fldCharType="begin"/>
      </w:r>
      <w:r>
        <w:rPr>
          <w:noProof/>
        </w:rPr>
        <w:instrText xml:space="preserve"> PAGEREF _Toc514247635 \h </w:instrText>
      </w:r>
      <w:r>
        <w:rPr>
          <w:noProof/>
        </w:rPr>
      </w:r>
      <w:r>
        <w:rPr>
          <w:noProof/>
        </w:rPr>
        <w:fldChar w:fldCharType="separate"/>
      </w:r>
      <w:r>
        <w:rPr>
          <w:noProof/>
        </w:rPr>
        <w:t>99</w:t>
      </w:r>
      <w:r>
        <w:rPr>
          <w:noProof/>
        </w:rPr>
        <w:fldChar w:fldCharType="end"/>
      </w:r>
    </w:p>
    <w:p w14:paraId="7B9704C8" w14:textId="77777777" w:rsidR="00543D47" w:rsidRDefault="00543D47" w:rsidP="00543D47">
      <w:pPr>
        <w:pStyle w:val="TOC1"/>
        <w:rPr>
          <w:rFonts w:eastAsiaTheme="minorEastAsia" w:cstheme="minorBidi"/>
          <w:b w:val="0"/>
          <w:noProof/>
        </w:rPr>
      </w:pPr>
      <w:r w:rsidRPr="00F57302">
        <w:rPr>
          <w:noProof/>
        </w:rPr>
        <w:t>10.</w:t>
      </w:r>
      <w:r>
        <w:rPr>
          <w:rFonts w:eastAsiaTheme="minorEastAsia" w:cstheme="minorBidi"/>
          <w:b w:val="0"/>
          <w:noProof/>
        </w:rPr>
        <w:tab/>
      </w:r>
      <w:r w:rsidRPr="00F57302">
        <w:rPr>
          <w:noProof/>
        </w:rPr>
        <w:t>Glossary</w:t>
      </w:r>
      <w:r>
        <w:rPr>
          <w:noProof/>
        </w:rPr>
        <w:tab/>
      </w:r>
      <w:r>
        <w:rPr>
          <w:noProof/>
        </w:rPr>
        <w:fldChar w:fldCharType="begin"/>
      </w:r>
      <w:r>
        <w:rPr>
          <w:noProof/>
        </w:rPr>
        <w:instrText xml:space="preserve"> PAGEREF _Toc514247636 \h </w:instrText>
      </w:r>
      <w:r>
        <w:rPr>
          <w:noProof/>
        </w:rPr>
      </w:r>
      <w:r>
        <w:rPr>
          <w:noProof/>
        </w:rPr>
        <w:fldChar w:fldCharType="separate"/>
      </w:r>
      <w:r>
        <w:rPr>
          <w:noProof/>
        </w:rPr>
        <w:t>102</w:t>
      </w:r>
      <w:r>
        <w:rPr>
          <w:noProof/>
        </w:rPr>
        <w:fldChar w:fldCharType="end"/>
      </w:r>
    </w:p>
    <w:p w14:paraId="6B9F58C7" w14:textId="77777777" w:rsidR="00543D47" w:rsidRDefault="00543D47" w:rsidP="00543D47">
      <w:pPr>
        <w:pStyle w:val="TOC1"/>
        <w:tabs>
          <w:tab w:val="left" w:pos="1320"/>
        </w:tabs>
        <w:rPr>
          <w:rFonts w:eastAsiaTheme="minorEastAsia" w:cstheme="minorBidi"/>
          <w:b w:val="0"/>
          <w:noProof/>
        </w:rPr>
      </w:pPr>
      <w:r w:rsidRPr="00F57302">
        <w:rPr>
          <w:noProof/>
          <w:color w:val="000000"/>
        </w:rPr>
        <w:t>Appendix A</w:t>
      </w:r>
      <w:r>
        <w:rPr>
          <w:rFonts w:eastAsiaTheme="minorEastAsia" w:cstheme="minorBidi"/>
          <w:b w:val="0"/>
          <w:noProof/>
        </w:rPr>
        <w:tab/>
      </w:r>
      <w:r w:rsidRPr="00F57302">
        <w:rPr>
          <w:noProof/>
        </w:rPr>
        <w:t>Summary for consumers</w:t>
      </w:r>
      <w:r>
        <w:rPr>
          <w:noProof/>
        </w:rPr>
        <w:tab/>
      </w:r>
      <w:r>
        <w:rPr>
          <w:noProof/>
        </w:rPr>
        <w:fldChar w:fldCharType="begin"/>
      </w:r>
      <w:r>
        <w:rPr>
          <w:noProof/>
        </w:rPr>
        <w:instrText xml:space="preserve"> PAGEREF _Toc514247637 \h </w:instrText>
      </w:r>
      <w:r>
        <w:rPr>
          <w:noProof/>
        </w:rPr>
      </w:r>
      <w:r>
        <w:rPr>
          <w:noProof/>
        </w:rPr>
        <w:fldChar w:fldCharType="separate"/>
      </w:r>
      <w:r>
        <w:rPr>
          <w:noProof/>
        </w:rPr>
        <w:t>104</w:t>
      </w:r>
      <w:r>
        <w:rPr>
          <w:noProof/>
        </w:rPr>
        <w:fldChar w:fldCharType="end"/>
      </w:r>
    </w:p>
    <w:p w14:paraId="5B1DA854" w14:textId="77777777" w:rsidR="00543D47" w:rsidRPr="00370DFD" w:rsidRDefault="00543D47" w:rsidP="00543D47">
      <w:pPr>
        <w:pStyle w:val="TableofFigures"/>
        <w:tabs>
          <w:tab w:val="left" w:pos="1100"/>
          <w:tab w:val="right" w:leader="dot" w:pos="9016"/>
        </w:tabs>
        <w:ind w:left="0" w:hanging="14"/>
        <w:rPr>
          <w:rStyle w:val="Hyperlink"/>
        </w:rPr>
      </w:pPr>
      <w:r w:rsidRPr="00370DFD">
        <w:rPr>
          <w:smallCaps/>
          <w:noProof/>
          <w:sz w:val="24"/>
          <w:szCs w:val="22"/>
        </w:rPr>
        <w:fldChar w:fldCharType="end"/>
      </w:r>
      <w:r w:rsidRPr="00370DFD">
        <w:br w:type="page"/>
      </w:r>
      <w:r w:rsidRPr="00370DFD">
        <w:rPr>
          <w:b/>
          <w:bCs/>
          <w:noProof/>
          <w:color w:val="01653F"/>
          <w:sz w:val="32"/>
          <w:szCs w:val="32"/>
        </w:rPr>
        <w:lastRenderedPageBreak/>
        <w:t>List of Tables</w:t>
      </w:r>
      <w:r>
        <w:rPr>
          <w:b/>
          <w:bCs/>
          <w:noProof/>
          <w:color w:val="01653F"/>
          <w:sz w:val="32"/>
          <w:szCs w:val="32"/>
        </w:rPr>
        <w:t xml:space="preserve"> and Figures</w:t>
      </w:r>
    </w:p>
    <w:p w14:paraId="1BCF76DC" w14:textId="77777777" w:rsidR="00543D47" w:rsidRDefault="00543D47" w:rsidP="00543D47">
      <w:pPr>
        <w:pStyle w:val="TableofFigures"/>
        <w:tabs>
          <w:tab w:val="right" w:leader="dot" w:pos="9016"/>
        </w:tabs>
        <w:rPr>
          <w:rFonts w:eastAsiaTheme="minorEastAsia" w:cstheme="minorBidi"/>
          <w:noProof/>
          <w:sz w:val="22"/>
          <w:szCs w:val="22"/>
        </w:rPr>
      </w:pPr>
      <w:r w:rsidRPr="00370DFD">
        <w:rPr>
          <w:rStyle w:val="Hyperlink"/>
        </w:rPr>
        <w:fldChar w:fldCharType="begin"/>
      </w:r>
      <w:r w:rsidRPr="00370DFD">
        <w:rPr>
          <w:rStyle w:val="Hyperlink"/>
        </w:rPr>
        <w:instrText xml:space="preserve"> TOC \h \z \t "Caption" \c </w:instrText>
      </w:r>
      <w:r w:rsidRPr="00370DFD">
        <w:rPr>
          <w:rStyle w:val="Hyperlink"/>
        </w:rPr>
        <w:fldChar w:fldCharType="separate"/>
      </w:r>
      <w:hyperlink w:anchor="_Toc534374900" w:history="1">
        <w:r w:rsidRPr="00210832">
          <w:rPr>
            <w:rStyle w:val="Hyperlink"/>
            <w:noProof/>
          </w:rPr>
          <w:t>Figure 1. Prioritisation matrix.</w:t>
        </w:r>
        <w:r>
          <w:rPr>
            <w:noProof/>
            <w:webHidden/>
          </w:rPr>
          <w:tab/>
        </w:r>
        <w:r>
          <w:rPr>
            <w:noProof/>
            <w:webHidden/>
          </w:rPr>
          <w:fldChar w:fldCharType="begin"/>
        </w:r>
        <w:r>
          <w:rPr>
            <w:noProof/>
            <w:webHidden/>
          </w:rPr>
          <w:instrText xml:space="preserve"> PAGEREF _Toc534374900 \h </w:instrText>
        </w:r>
        <w:r>
          <w:rPr>
            <w:noProof/>
            <w:webHidden/>
          </w:rPr>
        </w:r>
        <w:r>
          <w:rPr>
            <w:noProof/>
            <w:webHidden/>
          </w:rPr>
          <w:fldChar w:fldCharType="separate"/>
        </w:r>
        <w:r>
          <w:rPr>
            <w:noProof/>
            <w:webHidden/>
          </w:rPr>
          <w:t>14</w:t>
        </w:r>
        <w:r>
          <w:rPr>
            <w:noProof/>
            <w:webHidden/>
          </w:rPr>
          <w:fldChar w:fldCharType="end"/>
        </w:r>
      </w:hyperlink>
    </w:p>
    <w:p w14:paraId="010F8F52"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01" w:history="1">
        <w:r w:rsidR="00543D47" w:rsidRPr="00210832">
          <w:rPr>
            <w:rStyle w:val="Hyperlink"/>
            <w:noProof/>
          </w:rPr>
          <w:t>Table 1: Pathology Clinical Committee Members</w:t>
        </w:r>
        <w:r w:rsidR="00543D47">
          <w:rPr>
            <w:noProof/>
            <w:webHidden/>
          </w:rPr>
          <w:tab/>
        </w:r>
        <w:r w:rsidR="00543D47">
          <w:rPr>
            <w:noProof/>
            <w:webHidden/>
          </w:rPr>
          <w:fldChar w:fldCharType="begin"/>
        </w:r>
        <w:r w:rsidR="00543D47">
          <w:rPr>
            <w:noProof/>
            <w:webHidden/>
          </w:rPr>
          <w:instrText xml:space="preserve"> PAGEREF _Toc534374901 \h </w:instrText>
        </w:r>
        <w:r w:rsidR="00543D47">
          <w:rPr>
            <w:noProof/>
            <w:webHidden/>
          </w:rPr>
        </w:r>
        <w:r w:rsidR="00543D47">
          <w:rPr>
            <w:noProof/>
            <w:webHidden/>
          </w:rPr>
          <w:fldChar w:fldCharType="separate"/>
        </w:r>
        <w:r w:rsidR="00543D47">
          <w:rPr>
            <w:noProof/>
            <w:webHidden/>
          </w:rPr>
          <w:t>15</w:t>
        </w:r>
        <w:r w:rsidR="00543D47">
          <w:rPr>
            <w:noProof/>
            <w:webHidden/>
          </w:rPr>
          <w:fldChar w:fldCharType="end"/>
        </w:r>
      </w:hyperlink>
    </w:p>
    <w:p w14:paraId="4CF9F582" w14:textId="77777777" w:rsidR="00543D47" w:rsidRDefault="00427907" w:rsidP="00543D47">
      <w:pPr>
        <w:pStyle w:val="TableofFigures"/>
        <w:tabs>
          <w:tab w:val="left" w:pos="880"/>
          <w:tab w:val="right" w:leader="dot" w:pos="9016"/>
        </w:tabs>
        <w:rPr>
          <w:rFonts w:eastAsiaTheme="minorEastAsia" w:cstheme="minorBidi"/>
          <w:noProof/>
          <w:sz w:val="22"/>
          <w:szCs w:val="22"/>
        </w:rPr>
      </w:pPr>
      <w:hyperlink w:anchor="_Toc534374902" w:history="1">
        <w:r w:rsidR="00543D47" w:rsidRPr="00210832">
          <w:rPr>
            <w:rStyle w:val="Hyperlink"/>
            <w:noProof/>
          </w:rPr>
          <w:t>Table 2:</w:t>
        </w:r>
        <w:r w:rsidR="00543D47">
          <w:rPr>
            <w:rFonts w:eastAsiaTheme="minorEastAsia" w:cstheme="minorBidi"/>
            <w:noProof/>
            <w:sz w:val="22"/>
            <w:szCs w:val="22"/>
          </w:rPr>
          <w:tab/>
        </w:r>
        <w:r w:rsidR="00543D47" w:rsidRPr="00210832">
          <w:rPr>
            <w:rStyle w:val="Hyperlink"/>
            <w:noProof/>
          </w:rPr>
          <w:t>Chemical Working Group Members</w:t>
        </w:r>
        <w:r w:rsidR="00543D47">
          <w:rPr>
            <w:noProof/>
            <w:webHidden/>
          </w:rPr>
          <w:tab/>
        </w:r>
        <w:r w:rsidR="00543D47">
          <w:rPr>
            <w:noProof/>
            <w:webHidden/>
          </w:rPr>
          <w:fldChar w:fldCharType="begin"/>
        </w:r>
        <w:r w:rsidR="00543D47">
          <w:rPr>
            <w:noProof/>
            <w:webHidden/>
          </w:rPr>
          <w:instrText xml:space="preserve"> PAGEREF _Toc534374902 \h </w:instrText>
        </w:r>
        <w:r w:rsidR="00543D47">
          <w:rPr>
            <w:noProof/>
            <w:webHidden/>
          </w:rPr>
        </w:r>
        <w:r w:rsidR="00543D47">
          <w:rPr>
            <w:noProof/>
            <w:webHidden/>
          </w:rPr>
          <w:fldChar w:fldCharType="separate"/>
        </w:r>
        <w:r w:rsidR="00543D47">
          <w:rPr>
            <w:noProof/>
            <w:webHidden/>
          </w:rPr>
          <w:t>17</w:t>
        </w:r>
        <w:r w:rsidR="00543D47">
          <w:rPr>
            <w:noProof/>
            <w:webHidden/>
          </w:rPr>
          <w:fldChar w:fldCharType="end"/>
        </w:r>
      </w:hyperlink>
    </w:p>
    <w:p w14:paraId="2C4C6953" w14:textId="77777777" w:rsidR="00543D47" w:rsidRDefault="00427907" w:rsidP="00543D47">
      <w:pPr>
        <w:pStyle w:val="TableofFigures"/>
        <w:tabs>
          <w:tab w:val="left" w:pos="880"/>
          <w:tab w:val="right" w:leader="dot" w:pos="9016"/>
        </w:tabs>
        <w:rPr>
          <w:rFonts w:eastAsiaTheme="minorEastAsia" w:cstheme="minorBidi"/>
          <w:noProof/>
          <w:sz w:val="22"/>
          <w:szCs w:val="22"/>
        </w:rPr>
      </w:pPr>
      <w:hyperlink w:anchor="_Toc534374903" w:history="1">
        <w:r w:rsidR="00543D47" w:rsidRPr="00210832">
          <w:rPr>
            <w:rStyle w:val="Hyperlink"/>
            <w:noProof/>
          </w:rPr>
          <w:t>Table 3:</w:t>
        </w:r>
        <w:r w:rsidR="00543D47">
          <w:rPr>
            <w:rFonts w:eastAsiaTheme="minorEastAsia" w:cstheme="minorBidi"/>
            <w:noProof/>
            <w:sz w:val="22"/>
            <w:szCs w:val="22"/>
          </w:rPr>
          <w:tab/>
        </w:r>
        <w:r w:rsidR="00543D47" w:rsidRPr="00210832">
          <w:rPr>
            <w:rStyle w:val="Hyperlink"/>
            <w:noProof/>
          </w:rPr>
          <w:t>Tumour Marker Working Group Members</w:t>
        </w:r>
        <w:r w:rsidR="00543D47">
          <w:rPr>
            <w:noProof/>
            <w:webHidden/>
          </w:rPr>
          <w:tab/>
        </w:r>
        <w:r w:rsidR="00543D47">
          <w:rPr>
            <w:noProof/>
            <w:webHidden/>
          </w:rPr>
          <w:fldChar w:fldCharType="begin"/>
        </w:r>
        <w:r w:rsidR="00543D47">
          <w:rPr>
            <w:noProof/>
            <w:webHidden/>
          </w:rPr>
          <w:instrText xml:space="preserve"> PAGEREF _Toc534374903 \h </w:instrText>
        </w:r>
        <w:r w:rsidR="00543D47">
          <w:rPr>
            <w:noProof/>
            <w:webHidden/>
          </w:rPr>
        </w:r>
        <w:r w:rsidR="00543D47">
          <w:rPr>
            <w:noProof/>
            <w:webHidden/>
          </w:rPr>
          <w:fldChar w:fldCharType="separate"/>
        </w:r>
        <w:r w:rsidR="00543D47">
          <w:rPr>
            <w:noProof/>
            <w:webHidden/>
          </w:rPr>
          <w:t>18</w:t>
        </w:r>
        <w:r w:rsidR="00543D47">
          <w:rPr>
            <w:noProof/>
            <w:webHidden/>
          </w:rPr>
          <w:fldChar w:fldCharType="end"/>
        </w:r>
      </w:hyperlink>
    </w:p>
    <w:p w14:paraId="0A71661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04" w:history="1">
        <w:r w:rsidR="00543D47" w:rsidRPr="00210832">
          <w:rPr>
            <w:rStyle w:val="Hyperlink"/>
            <w:noProof/>
          </w:rPr>
          <w:t>Table 4. Item introduction table for items 66500, 66503, 66506, 66509, 66512</w:t>
        </w:r>
        <w:r w:rsidR="00543D47">
          <w:rPr>
            <w:noProof/>
            <w:webHidden/>
          </w:rPr>
          <w:tab/>
        </w:r>
        <w:r w:rsidR="00543D47">
          <w:rPr>
            <w:noProof/>
            <w:webHidden/>
          </w:rPr>
          <w:fldChar w:fldCharType="begin"/>
        </w:r>
        <w:r w:rsidR="00543D47">
          <w:rPr>
            <w:noProof/>
            <w:webHidden/>
          </w:rPr>
          <w:instrText xml:space="preserve"> PAGEREF _Toc534374904 \h </w:instrText>
        </w:r>
        <w:r w:rsidR="00543D47">
          <w:rPr>
            <w:noProof/>
            <w:webHidden/>
          </w:rPr>
        </w:r>
        <w:r w:rsidR="00543D47">
          <w:rPr>
            <w:noProof/>
            <w:webHidden/>
          </w:rPr>
          <w:fldChar w:fldCharType="separate"/>
        </w:r>
        <w:r w:rsidR="00543D47">
          <w:rPr>
            <w:noProof/>
            <w:webHidden/>
          </w:rPr>
          <w:t>20</w:t>
        </w:r>
        <w:r w:rsidR="00543D47">
          <w:rPr>
            <w:noProof/>
            <w:webHidden/>
          </w:rPr>
          <w:fldChar w:fldCharType="end"/>
        </w:r>
      </w:hyperlink>
    </w:p>
    <w:p w14:paraId="3B65C756"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05" w:history="1">
        <w:r w:rsidR="00543D47" w:rsidRPr="00210832">
          <w:rPr>
            <w:rStyle w:val="Hyperlink"/>
            <w:noProof/>
          </w:rPr>
          <w:t>Table 5. Recommended clinical groupings of tests in item 66500</w:t>
        </w:r>
        <w:r w:rsidR="00543D47">
          <w:rPr>
            <w:noProof/>
            <w:webHidden/>
          </w:rPr>
          <w:tab/>
        </w:r>
        <w:r w:rsidR="00543D47">
          <w:rPr>
            <w:noProof/>
            <w:webHidden/>
          </w:rPr>
          <w:fldChar w:fldCharType="begin"/>
        </w:r>
        <w:r w:rsidR="00543D47">
          <w:rPr>
            <w:noProof/>
            <w:webHidden/>
          </w:rPr>
          <w:instrText xml:space="preserve"> PAGEREF _Toc534374905 \h </w:instrText>
        </w:r>
        <w:r w:rsidR="00543D47">
          <w:rPr>
            <w:noProof/>
            <w:webHidden/>
          </w:rPr>
        </w:r>
        <w:r w:rsidR="00543D47">
          <w:rPr>
            <w:noProof/>
            <w:webHidden/>
          </w:rPr>
          <w:fldChar w:fldCharType="separate"/>
        </w:r>
        <w:r w:rsidR="00543D47">
          <w:rPr>
            <w:noProof/>
            <w:webHidden/>
          </w:rPr>
          <w:t>22</w:t>
        </w:r>
        <w:r w:rsidR="00543D47">
          <w:rPr>
            <w:noProof/>
            <w:webHidden/>
          </w:rPr>
          <w:fldChar w:fldCharType="end"/>
        </w:r>
      </w:hyperlink>
    </w:p>
    <w:p w14:paraId="4A9CFF50"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06" w:history="1">
        <w:r w:rsidR="00543D47" w:rsidRPr="00210832">
          <w:rPr>
            <w:rStyle w:val="Hyperlink"/>
            <w:noProof/>
          </w:rPr>
          <w:t>Table 6. Item introduction table for item 66749</w:t>
        </w:r>
        <w:r w:rsidR="00543D47">
          <w:rPr>
            <w:noProof/>
            <w:webHidden/>
          </w:rPr>
          <w:tab/>
        </w:r>
        <w:r w:rsidR="00543D47">
          <w:rPr>
            <w:noProof/>
            <w:webHidden/>
          </w:rPr>
          <w:fldChar w:fldCharType="begin"/>
        </w:r>
        <w:r w:rsidR="00543D47">
          <w:rPr>
            <w:noProof/>
            <w:webHidden/>
          </w:rPr>
          <w:instrText xml:space="preserve"> PAGEREF _Toc534374906 \h </w:instrText>
        </w:r>
        <w:r w:rsidR="00543D47">
          <w:rPr>
            <w:noProof/>
            <w:webHidden/>
          </w:rPr>
        </w:r>
        <w:r w:rsidR="00543D47">
          <w:rPr>
            <w:noProof/>
            <w:webHidden/>
          </w:rPr>
          <w:fldChar w:fldCharType="separate"/>
        </w:r>
        <w:r w:rsidR="00543D47">
          <w:rPr>
            <w:noProof/>
            <w:webHidden/>
          </w:rPr>
          <w:t>24</w:t>
        </w:r>
        <w:r w:rsidR="00543D47">
          <w:rPr>
            <w:noProof/>
            <w:webHidden/>
          </w:rPr>
          <w:fldChar w:fldCharType="end"/>
        </w:r>
      </w:hyperlink>
    </w:p>
    <w:p w14:paraId="03FB8E70"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07" w:history="1">
        <w:r w:rsidR="00543D47" w:rsidRPr="00210832">
          <w:rPr>
            <w:rStyle w:val="Hyperlink"/>
            <w:noProof/>
          </w:rPr>
          <w:t>Table 7. Item introduction table for items 66750 and 66751</w:t>
        </w:r>
        <w:r w:rsidR="00543D47">
          <w:rPr>
            <w:noProof/>
            <w:webHidden/>
          </w:rPr>
          <w:tab/>
        </w:r>
        <w:r w:rsidR="00543D47">
          <w:rPr>
            <w:noProof/>
            <w:webHidden/>
          </w:rPr>
          <w:fldChar w:fldCharType="begin"/>
        </w:r>
        <w:r w:rsidR="00543D47">
          <w:rPr>
            <w:noProof/>
            <w:webHidden/>
          </w:rPr>
          <w:instrText xml:space="preserve"> PAGEREF _Toc534374907 \h </w:instrText>
        </w:r>
        <w:r w:rsidR="00543D47">
          <w:rPr>
            <w:noProof/>
            <w:webHidden/>
          </w:rPr>
        </w:r>
        <w:r w:rsidR="00543D47">
          <w:rPr>
            <w:noProof/>
            <w:webHidden/>
          </w:rPr>
          <w:fldChar w:fldCharType="separate"/>
        </w:r>
        <w:r w:rsidR="00543D47">
          <w:rPr>
            <w:noProof/>
            <w:webHidden/>
          </w:rPr>
          <w:t>25</w:t>
        </w:r>
        <w:r w:rsidR="00543D47">
          <w:rPr>
            <w:noProof/>
            <w:webHidden/>
          </w:rPr>
          <w:fldChar w:fldCharType="end"/>
        </w:r>
      </w:hyperlink>
    </w:p>
    <w:p w14:paraId="6494012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08" w:history="1">
        <w:r w:rsidR="00543D47" w:rsidRPr="00210832">
          <w:rPr>
            <w:rStyle w:val="Hyperlink"/>
            <w:noProof/>
          </w:rPr>
          <w:t>Table 8. Current and proposed item descriptor for items 66750 and 66751</w:t>
        </w:r>
        <w:r w:rsidR="00543D47">
          <w:rPr>
            <w:noProof/>
            <w:webHidden/>
          </w:rPr>
          <w:tab/>
        </w:r>
        <w:r w:rsidR="00543D47">
          <w:rPr>
            <w:noProof/>
            <w:webHidden/>
          </w:rPr>
          <w:fldChar w:fldCharType="begin"/>
        </w:r>
        <w:r w:rsidR="00543D47">
          <w:rPr>
            <w:noProof/>
            <w:webHidden/>
          </w:rPr>
          <w:instrText xml:space="preserve"> PAGEREF _Toc534374908 \h </w:instrText>
        </w:r>
        <w:r w:rsidR="00543D47">
          <w:rPr>
            <w:noProof/>
            <w:webHidden/>
          </w:rPr>
        </w:r>
        <w:r w:rsidR="00543D47">
          <w:rPr>
            <w:noProof/>
            <w:webHidden/>
          </w:rPr>
          <w:fldChar w:fldCharType="separate"/>
        </w:r>
        <w:r w:rsidR="00543D47">
          <w:rPr>
            <w:noProof/>
            <w:webHidden/>
          </w:rPr>
          <w:t>26</w:t>
        </w:r>
        <w:r w:rsidR="00543D47">
          <w:rPr>
            <w:noProof/>
            <w:webHidden/>
          </w:rPr>
          <w:fldChar w:fldCharType="end"/>
        </w:r>
      </w:hyperlink>
    </w:p>
    <w:p w14:paraId="1CFD244A"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09" w:history="1">
        <w:r w:rsidR="00543D47" w:rsidRPr="00210832">
          <w:rPr>
            <w:rStyle w:val="Hyperlink"/>
            <w:noProof/>
          </w:rPr>
          <w:t>Figure 2. State variation in utilisation of items 66750 and 66751 represented as tests/100,000 people</w:t>
        </w:r>
        <w:r w:rsidR="00543D47">
          <w:rPr>
            <w:noProof/>
            <w:webHidden/>
          </w:rPr>
          <w:tab/>
        </w:r>
        <w:r w:rsidR="00543D47">
          <w:rPr>
            <w:noProof/>
            <w:webHidden/>
          </w:rPr>
          <w:fldChar w:fldCharType="begin"/>
        </w:r>
        <w:r w:rsidR="00543D47">
          <w:rPr>
            <w:noProof/>
            <w:webHidden/>
          </w:rPr>
          <w:instrText xml:space="preserve"> PAGEREF _Toc534374909 \h </w:instrText>
        </w:r>
        <w:r w:rsidR="00543D47">
          <w:rPr>
            <w:noProof/>
            <w:webHidden/>
          </w:rPr>
        </w:r>
        <w:r w:rsidR="00543D47">
          <w:rPr>
            <w:noProof/>
            <w:webHidden/>
          </w:rPr>
          <w:fldChar w:fldCharType="separate"/>
        </w:r>
        <w:r w:rsidR="00543D47">
          <w:rPr>
            <w:noProof/>
            <w:webHidden/>
          </w:rPr>
          <w:t>28</w:t>
        </w:r>
        <w:r w:rsidR="00543D47">
          <w:rPr>
            <w:noProof/>
            <w:webHidden/>
          </w:rPr>
          <w:fldChar w:fldCharType="end"/>
        </w:r>
      </w:hyperlink>
    </w:p>
    <w:p w14:paraId="3665ECA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0" w:history="1">
        <w:r w:rsidR="00543D47" w:rsidRPr="00210832">
          <w:rPr>
            <w:rStyle w:val="Hyperlink"/>
            <w:noProof/>
          </w:rPr>
          <w:t>Table 9. Co-claiming data for items 66750 and 66751 and nuchal translucency scan (item 55707)</w:t>
        </w:r>
        <w:r w:rsidR="00543D47">
          <w:rPr>
            <w:noProof/>
            <w:webHidden/>
          </w:rPr>
          <w:tab/>
        </w:r>
        <w:r w:rsidR="00543D47">
          <w:rPr>
            <w:noProof/>
            <w:webHidden/>
          </w:rPr>
          <w:fldChar w:fldCharType="begin"/>
        </w:r>
        <w:r w:rsidR="00543D47">
          <w:rPr>
            <w:noProof/>
            <w:webHidden/>
          </w:rPr>
          <w:instrText xml:space="preserve"> PAGEREF _Toc534374910 \h </w:instrText>
        </w:r>
        <w:r w:rsidR="00543D47">
          <w:rPr>
            <w:noProof/>
            <w:webHidden/>
          </w:rPr>
        </w:r>
        <w:r w:rsidR="00543D47">
          <w:rPr>
            <w:noProof/>
            <w:webHidden/>
          </w:rPr>
          <w:fldChar w:fldCharType="separate"/>
        </w:r>
        <w:r w:rsidR="00543D47">
          <w:rPr>
            <w:noProof/>
            <w:webHidden/>
          </w:rPr>
          <w:t>28</w:t>
        </w:r>
        <w:r w:rsidR="00543D47">
          <w:rPr>
            <w:noProof/>
            <w:webHidden/>
          </w:rPr>
          <w:fldChar w:fldCharType="end"/>
        </w:r>
      </w:hyperlink>
    </w:p>
    <w:p w14:paraId="7F35486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1" w:history="1">
        <w:r w:rsidR="00543D47" w:rsidRPr="00210832">
          <w:rPr>
            <w:rStyle w:val="Hyperlink"/>
            <w:noProof/>
          </w:rPr>
          <w:t>Table 10. Item introduction table for items 66518 and 66519</w:t>
        </w:r>
        <w:r w:rsidR="00543D47">
          <w:rPr>
            <w:noProof/>
            <w:webHidden/>
          </w:rPr>
          <w:tab/>
        </w:r>
        <w:r w:rsidR="00543D47">
          <w:rPr>
            <w:noProof/>
            <w:webHidden/>
          </w:rPr>
          <w:fldChar w:fldCharType="begin"/>
        </w:r>
        <w:r w:rsidR="00543D47">
          <w:rPr>
            <w:noProof/>
            <w:webHidden/>
          </w:rPr>
          <w:instrText xml:space="preserve"> PAGEREF _Toc534374911 \h </w:instrText>
        </w:r>
        <w:r w:rsidR="00543D47">
          <w:rPr>
            <w:noProof/>
            <w:webHidden/>
          </w:rPr>
        </w:r>
        <w:r w:rsidR="00543D47">
          <w:rPr>
            <w:noProof/>
            <w:webHidden/>
          </w:rPr>
          <w:fldChar w:fldCharType="separate"/>
        </w:r>
        <w:r w:rsidR="00543D47">
          <w:rPr>
            <w:noProof/>
            <w:webHidden/>
          </w:rPr>
          <w:t>29</w:t>
        </w:r>
        <w:r w:rsidR="00543D47">
          <w:rPr>
            <w:noProof/>
            <w:webHidden/>
          </w:rPr>
          <w:fldChar w:fldCharType="end"/>
        </w:r>
      </w:hyperlink>
    </w:p>
    <w:p w14:paraId="3A27103A"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2" w:history="1">
        <w:r w:rsidR="00543D47" w:rsidRPr="00210832">
          <w:rPr>
            <w:rStyle w:val="Hyperlink"/>
            <w:noProof/>
          </w:rPr>
          <w:t>Table 11: Current and proposed new item descriptor for items 66518 and 66519</w:t>
        </w:r>
        <w:r w:rsidR="00543D47">
          <w:rPr>
            <w:noProof/>
            <w:webHidden/>
          </w:rPr>
          <w:tab/>
        </w:r>
        <w:r w:rsidR="00543D47">
          <w:rPr>
            <w:noProof/>
            <w:webHidden/>
          </w:rPr>
          <w:fldChar w:fldCharType="begin"/>
        </w:r>
        <w:r w:rsidR="00543D47">
          <w:rPr>
            <w:noProof/>
            <w:webHidden/>
          </w:rPr>
          <w:instrText xml:space="preserve"> PAGEREF _Toc534374912 \h </w:instrText>
        </w:r>
        <w:r w:rsidR="00543D47">
          <w:rPr>
            <w:noProof/>
            <w:webHidden/>
          </w:rPr>
        </w:r>
        <w:r w:rsidR="00543D47">
          <w:rPr>
            <w:noProof/>
            <w:webHidden/>
          </w:rPr>
          <w:fldChar w:fldCharType="separate"/>
        </w:r>
        <w:r w:rsidR="00543D47">
          <w:rPr>
            <w:noProof/>
            <w:webHidden/>
          </w:rPr>
          <w:t>29</w:t>
        </w:r>
        <w:r w:rsidR="00543D47">
          <w:rPr>
            <w:noProof/>
            <w:webHidden/>
          </w:rPr>
          <w:fldChar w:fldCharType="end"/>
        </w:r>
      </w:hyperlink>
    </w:p>
    <w:p w14:paraId="07A64A21"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3" w:history="1">
        <w:r w:rsidR="00543D47" w:rsidRPr="00210832">
          <w:rPr>
            <w:rStyle w:val="Hyperlink"/>
            <w:noProof/>
          </w:rPr>
          <w:t>Table 12: Number of services per 100,000 persons</w:t>
        </w:r>
        <w:r w:rsidR="00543D47">
          <w:rPr>
            <w:noProof/>
            <w:webHidden/>
          </w:rPr>
          <w:tab/>
        </w:r>
        <w:r w:rsidR="00543D47">
          <w:rPr>
            <w:noProof/>
            <w:webHidden/>
          </w:rPr>
          <w:fldChar w:fldCharType="begin"/>
        </w:r>
        <w:r w:rsidR="00543D47">
          <w:rPr>
            <w:noProof/>
            <w:webHidden/>
          </w:rPr>
          <w:instrText xml:space="preserve"> PAGEREF _Toc534374913 \h </w:instrText>
        </w:r>
        <w:r w:rsidR="00543D47">
          <w:rPr>
            <w:noProof/>
            <w:webHidden/>
          </w:rPr>
        </w:r>
        <w:r w:rsidR="00543D47">
          <w:rPr>
            <w:noProof/>
            <w:webHidden/>
          </w:rPr>
          <w:fldChar w:fldCharType="separate"/>
        </w:r>
        <w:r w:rsidR="00543D47">
          <w:rPr>
            <w:noProof/>
            <w:webHidden/>
          </w:rPr>
          <w:t>30</w:t>
        </w:r>
        <w:r w:rsidR="00543D47">
          <w:rPr>
            <w:noProof/>
            <w:webHidden/>
          </w:rPr>
          <w:fldChar w:fldCharType="end"/>
        </w:r>
      </w:hyperlink>
    </w:p>
    <w:p w14:paraId="11768B4A"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4" w:history="1">
        <w:r w:rsidR="00543D47" w:rsidRPr="00210832">
          <w:rPr>
            <w:rStyle w:val="Hyperlink"/>
            <w:noProof/>
          </w:rPr>
          <w:t>Table 13. Item introduction table for item 66536</w:t>
        </w:r>
        <w:r w:rsidR="00543D47">
          <w:rPr>
            <w:noProof/>
            <w:webHidden/>
          </w:rPr>
          <w:tab/>
        </w:r>
        <w:r w:rsidR="00543D47">
          <w:rPr>
            <w:noProof/>
            <w:webHidden/>
          </w:rPr>
          <w:fldChar w:fldCharType="begin"/>
        </w:r>
        <w:r w:rsidR="00543D47">
          <w:rPr>
            <w:noProof/>
            <w:webHidden/>
          </w:rPr>
          <w:instrText xml:space="preserve"> PAGEREF _Toc534374914 \h </w:instrText>
        </w:r>
        <w:r w:rsidR="00543D47">
          <w:rPr>
            <w:noProof/>
            <w:webHidden/>
          </w:rPr>
        </w:r>
        <w:r w:rsidR="00543D47">
          <w:rPr>
            <w:noProof/>
            <w:webHidden/>
          </w:rPr>
          <w:fldChar w:fldCharType="separate"/>
        </w:r>
        <w:r w:rsidR="00543D47">
          <w:rPr>
            <w:noProof/>
            <w:webHidden/>
          </w:rPr>
          <w:t>30</w:t>
        </w:r>
        <w:r w:rsidR="00543D47">
          <w:rPr>
            <w:noProof/>
            <w:webHidden/>
          </w:rPr>
          <w:fldChar w:fldCharType="end"/>
        </w:r>
      </w:hyperlink>
    </w:p>
    <w:p w14:paraId="0BCA4B4F"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5" w:history="1">
        <w:r w:rsidR="00543D47" w:rsidRPr="00210832">
          <w:rPr>
            <w:rStyle w:val="Hyperlink"/>
            <w:noProof/>
          </w:rPr>
          <w:t>Table 14: Current and proposed new item descriptor for items 66536 and ladder</w:t>
        </w:r>
        <w:r w:rsidR="00543D47">
          <w:rPr>
            <w:noProof/>
            <w:webHidden/>
          </w:rPr>
          <w:tab/>
        </w:r>
        <w:r w:rsidR="00543D47">
          <w:rPr>
            <w:noProof/>
            <w:webHidden/>
          </w:rPr>
          <w:fldChar w:fldCharType="begin"/>
        </w:r>
        <w:r w:rsidR="00543D47">
          <w:rPr>
            <w:noProof/>
            <w:webHidden/>
          </w:rPr>
          <w:instrText xml:space="preserve"> PAGEREF _Toc534374915 \h </w:instrText>
        </w:r>
        <w:r w:rsidR="00543D47">
          <w:rPr>
            <w:noProof/>
            <w:webHidden/>
          </w:rPr>
        </w:r>
        <w:r w:rsidR="00543D47">
          <w:rPr>
            <w:noProof/>
            <w:webHidden/>
          </w:rPr>
          <w:fldChar w:fldCharType="separate"/>
        </w:r>
        <w:r w:rsidR="00543D47">
          <w:rPr>
            <w:noProof/>
            <w:webHidden/>
          </w:rPr>
          <w:t>31</w:t>
        </w:r>
        <w:r w:rsidR="00543D47">
          <w:rPr>
            <w:noProof/>
            <w:webHidden/>
          </w:rPr>
          <w:fldChar w:fldCharType="end"/>
        </w:r>
      </w:hyperlink>
    </w:p>
    <w:p w14:paraId="6AB7DCBB"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6" w:history="1">
        <w:r w:rsidR="00543D47" w:rsidRPr="00210832">
          <w:rPr>
            <w:rStyle w:val="Hyperlink"/>
            <w:noProof/>
          </w:rPr>
          <w:t>Table 15. Item introduction table for item 66830</w:t>
        </w:r>
        <w:r w:rsidR="00543D47">
          <w:rPr>
            <w:noProof/>
            <w:webHidden/>
          </w:rPr>
          <w:tab/>
        </w:r>
        <w:r w:rsidR="00543D47">
          <w:rPr>
            <w:noProof/>
            <w:webHidden/>
          </w:rPr>
          <w:fldChar w:fldCharType="begin"/>
        </w:r>
        <w:r w:rsidR="00543D47">
          <w:rPr>
            <w:noProof/>
            <w:webHidden/>
          </w:rPr>
          <w:instrText xml:space="preserve"> PAGEREF _Toc534374916 \h </w:instrText>
        </w:r>
        <w:r w:rsidR="00543D47">
          <w:rPr>
            <w:noProof/>
            <w:webHidden/>
          </w:rPr>
        </w:r>
        <w:r w:rsidR="00543D47">
          <w:rPr>
            <w:noProof/>
            <w:webHidden/>
          </w:rPr>
          <w:fldChar w:fldCharType="separate"/>
        </w:r>
        <w:r w:rsidR="00543D47">
          <w:rPr>
            <w:noProof/>
            <w:webHidden/>
          </w:rPr>
          <w:t>32</w:t>
        </w:r>
        <w:r w:rsidR="00543D47">
          <w:rPr>
            <w:noProof/>
            <w:webHidden/>
          </w:rPr>
          <w:fldChar w:fldCharType="end"/>
        </w:r>
      </w:hyperlink>
    </w:p>
    <w:p w14:paraId="2A9BD34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7" w:history="1">
        <w:r w:rsidR="00543D47" w:rsidRPr="00210832">
          <w:rPr>
            <w:rStyle w:val="Hyperlink"/>
            <w:noProof/>
          </w:rPr>
          <w:t>Table 16: Proposed new item descriptor</w:t>
        </w:r>
        <w:r w:rsidR="00543D47">
          <w:rPr>
            <w:noProof/>
            <w:webHidden/>
          </w:rPr>
          <w:tab/>
        </w:r>
        <w:r w:rsidR="00543D47">
          <w:rPr>
            <w:noProof/>
            <w:webHidden/>
          </w:rPr>
          <w:fldChar w:fldCharType="begin"/>
        </w:r>
        <w:r w:rsidR="00543D47">
          <w:rPr>
            <w:noProof/>
            <w:webHidden/>
          </w:rPr>
          <w:instrText xml:space="preserve"> PAGEREF _Toc534374917 \h </w:instrText>
        </w:r>
        <w:r w:rsidR="00543D47">
          <w:rPr>
            <w:noProof/>
            <w:webHidden/>
          </w:rPr>
        </w:r>
        <w:r w:rsidR="00543D47">
          <w:rPr>
            <w:noProof/>
            <w:webHidden/>
          </w:rPr>
          <w:fldChar w:fldCharType="separate"/>
        </w:r>
        <w:r w:rsidR="00543D47">
          <w:rPr>
            <w:noProof/>
            <w:webHidden/>
          </w:rPr>
          <w:t>33</w:t>
        </w:r>
        <w:r w:rsidR="00543D47">
          <w:rPr>
            <w:noProof/>
            <w:webHidden/>
          </w:rPr>
          <w:fldChar w:fldCharType="end"/>
        </w:r>
      </w:hyperlink>
    </w:p>
    <w:p w14:paraId="3704AFAB"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8" w:history="1">
        <w:r w:rsidR="00543D47" w:rsidRPr="00210832">
          <w:rPr>
            <w:rStyle w:val="Hyperlink"/>
            <w:noProof/>
          </w:rPr>
          <w:t>Table 17. Item introduction table for item 66680</w:t>
        </w:r>
        <w:r w:rsidR="00543D47">
          <w:rPr>
            <w:noProof/>
            <w:webHidden/>
          </w:rPr>
          <w:tab/>
        </w:r>
        <w:r w:rsidR="00543D47">
          <w:rPr>
            <w:noProof/>
            <w:webHidden/>
          </w:rPr>
          <w:fldChar w:fldCharType="begin"/>
        </w:r>
        <w:r w:rsidR="00543D47">
          <w:rPr>
            <w:noProof/>
            <w:webHidden/>
          </w:rPr>
          <w:instrText xml:space="preserve"> PAGEREF _Toc534374918 \h </w:instrText>
        </w:r>
        <w:r w:rsidR="00543D47">
          <w:rPr>
            <w:noProof/>
            <w:webHidden/>
          </w:rPr>
        </w:r>
        <w:r w:rsidR="00543D47">
          <w:rPr>
            <w:noProof/>
            <w:webHidden/>
          </w:rPr>
          <w:fldChar w:fldCharType="separate"/>
        </w:r>
        <w:r w:rsidR="00543D47">
          <w:rPr>
            <w:noProof/>
            <w:webHidden/>
          </w:rPr>
          <w:t>33</w:t>
        </w:r>
        <w:r w:rsidR="00543D47">
          <w:rPr>
            <w:noProof/>
            <w:webHidden/>
          </w:rPr>
          <w:fldChar w:fldCharType="end"/>
        </w:r>
      </w:hyperlink>
    </w:p>
    <w:p w14:paraId="49D4166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19" w:history="1">
        <w:r w:rsidR="00543D47" w:rsidRPr="00210832">
          <w:rPr>
            <w:rStyle w:val="Hyperlink"/>
            <w:noProof/>
          </w:rPr>
          <w:t>Table 18. Current and proposed new item descriptor for item 66680</w:t>
        </w:r>
        <w:r w:rsidR="00543D47">
          <w:rPr>
            <w:noProof/>
            <w:webHidden/>
          </w:rPr>
          <w:tab/>
        </w:r>
        <w:r w:rsidR="00543D47">
          <w:rPr>
            <w:noProof/>
            <w:webHidden/>
          </w:rPr>
          <w:fldChar w:fldCharType="begin"/>
        </w:r>
        <w:r w:rsidR="00543D47">
          <w:rPr>
            <w:noProof/>
            <w:webHidden/>
          </w:rPr>
          <w:instrText xml:space="preserve"> PAGEREF _Toc534374919 \h </w:instrText>
        </w:r>
        <w:r w:rsidR="00543D47">
          <w:rPr>
            <w:noProof/>
            <w:webHidden/>
          </w:rPr>
        </w:r>
        <w:r w:rsidR="00543D47">
          <w:rPr>
            <w:noProof/>
            <w:webHidden/>
          </w:rPr>
          <w:fldChar w:fldCharType="separate"/>
        </w:r>
        <w:r w:rsidR="00543D47">
          <w:rPr>
            <w:noProof/>
            <w:webHidden/>
          </w:rPr>
          <w:t>33</w:t>
        </w:r>
        <w:r w:rsidR="00543D47">
          <w:rPr>
            <w:noProof/>
            <w:webHidden/>
          </w:rPr>
          <w:fldChar w:fldCharType="end"/>
        </w:r>
      </w:hyperlink>
    </w:p>
    <w:p w14:paraId="686C3AB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0" w:history="1">
        <w:r w:rsidR="00543D47" w:rsidRPr="00210832">
          <w:rPr>
            <w:rStyle w:val="Hyperlink"/>
            <w:noProof/>
          </w:rPr>
          <w:t>Figure 3. State utilisation of item 66680 per 100,000 services</w:t>
        </w:r>
        <w:r w:rsidR="00543D47">
          <w:rPr>
            <w:noProof/>
            <w:webHidden/>
          </w:rPr>
          <w:tab/>
        </w:r>
        <w:r w:rsidR="00543D47">
          <w:rPr>
            <w:noProof/>
            <w:webHidden/>
          </w:rPr>
          <w:fldChar w:fldCharType="begin"/>
        </w:r>
        <w:r w:rsidR="00543D47">
          <w:rPr>
            <w:noProof/>
            <w:webHidden/>
          </w:rPr>
          <w:instrText xml:space="preserve"> PAGEREF _Toc534374920 \h </w:instrText>
        </w:r>
        <w:r w:rsidR="00543D47">
          <w:rPr>
            <w:noProof/>
            <w:webHidden/>
          </w:rPr>
        </w:r>
        <w:r w:rsidR="00543D47">
          <w:rPr>
            <w:noProof/>
            <w:webHidden/>
          </w:rPr>
          <w:fldChar w:fldCharType="separate"/>
        </w:r>
        <w:r w:rsidR="00543D47">
          <w:rPr>
            <w:noProof/>
            <w:webHidden/>
          </w:rPr>
          <w:t>35</w:t>
        </w:r>
        <w:r w:rsidR="00543D47">
          <w:rPr>
            <w:noProof/>
            <w:webHidden/>
          </w:rPr>
          <w:fldChar w:fldCharType="end"/>
        </w:r>
      </w:hyperlink>
    </w:p>
    <w:p w14:paraId="1B167640"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1" w:history="1">
        <w:r w:rsidR="00543D47" w:rsidRPr="00210832">
          <w:rPr>
            <w:rStyle w:val="Hyperlink"/>
            <w:noProof/>
          </w:rPr>
          <w:t>Table 19: Co-claiming data for items 66680 and 66674</w:t>
        </w:r>
        <w:r w:rsidR="00543D47">
          <w:rPr>
            <w:noProof/>
            <w:webHidden/>
          </w:rPr>
          <w:tab/>
        </w:r>
        <w:r w:rsidR="00543D47">
          <w:rPr>
            <w:noProof/>
            <w:webHidden/>
          </w:rPr>
          <w:fldChar w:fldCharType="begin"/>
        </w:r>
        <w:r w:rsidR="00543D47">
          <w:rPr>
            <w:noProof/>
            <w:webHidden/>
          </w:rPr>
          <w:instrText xml:space="preserve"> PAGEREF _Toc534374921 \h </w:instrText>
        </w:r>
        <w:r w:rsidR="00543D47">
          <w:rPr>
            <w:noProof/>
            <w:webHidden/>
          </w:rPr>
        </w:r>
        <w:r w:rsidR="00543D47">
          <w:rPr>
            <w:noProof/>
            <w:webHidden/>
          </w:rPr>
          <w:fldChar w:fldCharType="separate"/>
        </w:r>
        <w:r w:rsidR="00543D47">
          <w:rPr>
            <w:noProof/>
            <w:webHidden/>
          </w:rPr>
          <w:t>36</w:t>
        </w:r>
        <w:r w:rsidR="00543D47">
          <w:rPr>
            <w:noProof/>
            <w:webHidden/>
          </w:rPr>
          <w:fldChar w:fldCharType="end"/>
        </w:r>
      </w:hyperlink>
    </w:p>
    <w:p w14:paraId="47C325F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2" w:history="1">
        <w:r w:rsidR="00543D47" w:rsidRPr="00210832">
          <w:rPr>
            <w:rStyle w:val="Hyperlink"/>
            <w:noProof/>
          </w:rPr>
          <w:t>Table 20. Item introduction table for item 66674</w:t>
        </w:r>
        <w:r w:rsidR="00543D47">
          <w:rPr>
            <w:noProof/>
            <w:webHidden/>
          </w:rPr>
          <w:tab/>
        </w:r>
        <w:r w:rsidR="00543D47">
          <w:rPr>
            <w:noProof/>
            <w:webHidden/>
          </w:rPr>
          <w:fldChar w:fldCharType="begin"/>
        </w:r>
        <w:r w:rsidR="00543D47">
          <w:rPr>
            <w:noProof/>
            <w:webHidden/>
          </w:rPr>
          <w:instrText xml:space="preserve"> PAGEREF _Toc534374922 \h </w:instrText>
        </w:r>
        <w:r w:rsidR="00543D47">
          <w:rPr>
            <w:noProof/>
            <w:webHidden/>
          </w:rPr>
        </w:r>
        <w:r w:rsidR="00543D47">
          <w:rPr>
            <w:noProof/>
            <w:webHidden/>
          </w:rPr>
          <w:fldChar w:fldCharType="separate"/>
        </w:r>
        <w:r w:rsidR="00543D47">
          <w:rPr>
            <w:noProof/>
            <w:webHidden/>
          </w:rPr>
          <w:t>36</w:t>
        </w:r>
        <w:r w:rsidR="00543D47">
          <w:rPr>
            <w:noProof/>
            <w:webHidden/>
          </w:rPr>
          <w:fldChar w:fldCharType="end"/>
        </w:r>
      </w:hyperlink>
    </w:p>
    <w:p w14:paraId="2493DE0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3" w:history="1">
        <w:r w:rsidR="00543D47" w:rsidRPr="00210832">
          <w:rPr>
            <w:rStyle w:val="Hyperlink"/>
            <w:noProof/>
          </w:rPr>
          <w:t>Table 21: Current and proposed new item descriptor for items 66674</w:t>
        </w:r>
        <w:r w:rsidR="00543D47">
          <w:rPr>
            <w:noProof/>
            <w:webHidden/>
          </w:rPr>
          <w:tab/>
        </w:r>
        <w:r w:rsidR="00543D47">
          <w:rPr>
            <w:noProof/>
            <w:webHidden/>
          </w:rPr>
          <w:fldChar w:fldCharType="begin"/>
        </w:r>
        <w:r w:rsidR="00543D47">
          <w:rPr>
            <w:noProof/>
            <w:webHidden/>
          </w:rPr>
          <w:instrText xml:space="preserve"> PAGEREF _Toc534374923 \h </w:instrText>
        </w:r>
        <w:r w:rsidR="00543D47">
          <w:rPr>
            <w:noProof/>
            <w:webHidden/>
          </w:rPr>
        </w:r>
        <w:r w:rsidR="00543D47">
          <w:rPr>
            <w:noProof/>
            <w:webHidden/>
          </w:rPr>
          <w:fldChar w:fldCharType="separate"/>
        </w:r>
        <w:r w:rsidR="00543D47">
          <w:rPr>
            <w:noProof/>
            <w:webHidden/>
          </w:rPr>
          <w:t>36</w:t>
        </w:r>
        <w:r w:rsidR="00543D47">
          <w:rPr>
            <w:noProof/>
            <w:webHidden/>
          </w:rPr>
          <w:fldChar w:fldCharType="end"/>
        </w:r>
      </w:hyperlink>
    </w:p>
    <w:p w14:paraId="57B98AF5"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4" w:history="1">
        <w:r w:rsidR="00543D47" w:rsidRPr="00210832">
          <w:rPr>
            <w:rStyle w:val="Hyperlink"/>
            <w:noProof/>
          </w:rPr>
          <w:t>Table 22. Item introduction for items 66605, 66606</w:t>
        </w:r>
        <w:r w:rsidR="00543D47">
          <w:rPr>
            <w:noProof/>
            <w:webHidden/>
          </w:rPr>
          <w:tab/>
        </w:r>
        <w:r w:rsidR="00543D47">
          <w:rPr>
            <w:noProof/>
            <w:webHidden/>
          </w:rPr>
          <w:fldChar w:fldCharType="begin"/>
        </w:r>
        <w:r w:rsidR="00543D47">
          <w:rPr>
            <w:noProof/>
            <w:webHidden/>
          </w:rPr>
          <w:instrText xml:space="preserve"> PAGEREF _Toc534374924 \h </w:instrText>
        </w:r>
        <w:r w:rsidR="00543D47">
          <w:rPr>
            <w:noProof/>
            <w:webHidden/>
          </w:rPr>
        </w:r>
        <w:r w:rsidR="00543D47">
          <w:rPr>
            <w:noProof/>
            <w:webHidden/>
          </w:rPr>
          <w:fldChar w:fldCharType="separate"/>
        </w:r>
        <w:r w:rsidR="00543D47">
          <w:rPr>
            <w:noProof/>
            <w:webHidden/>
          </w:rPr>
          <w:t>37</w:t>
        </w:r>
        <w:r w:rsidR="00543D47">
          <w:rPr>
            <w:noProof/>
            <w:webHidden/>
          </w:rPr>
          <w:fldChar w:fldCharType="end"/>
        </w:r>
      </w:hyperlink>
    </w:p>
    <w:p w14:paraId="0414BFB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5" w:history="1">
        <w:r w:rsidR="00543D47" w:rsidRPr="00210832">
          <w:rPr>
            <w:rStyle w:val="Hyperlink"/>
            <w:noProof/>
          </w:rPr>
          <w:t>Table 23: Item introduction table for items 66607, 66610</w:t>
        </w:r>
        <w:r w:rsidR="00543D47">
          <w:rPr>
            <w:noProof/>
            <w:webHidden/>
          </w:rPr>
          <w:tab/>
        </w:r>
        <w:r w:rsidR="00543D47">
          <w:rPr>
            <w:noProof/>
            <w:webHidden/>
          </w:rPr>
          <w:fldChar w:fldCharType="begin"/>
        </w:r>
        <w:r w:rsidR="00543D47">
          <w:rPr>
            <w:noProof/>
            <w:webHidden/>
          </w:rPr>
          <w:instrText xml:space="preserve"> PAGEREF _Toc534374925 \h </w:instrText>
        </w:r>
        <w:r w:rsidR="00543D47">
          <w:rPr>
            <w:noProof/>
            <w:webHidden/>
          </w:rPr>
        </w:r>
        <w:r w:rsidR="00543D47">
          <w:rPr>
            <w:noProof/>
            <w:webHidden/>
          </w:rPr>
          <w:fldChar w:fldCharType="separate"/>
        </w:r>
        <w:r w:rsidR="00543D47">
          <w:rPr>
            <w:noProof/>
            <w:webHidden/>
          </w:rPr>
          <w:t>38</w:t>
        </w:r>
        <w:r w:rsidR="00543D47">
          <w:rPr>
            <w:noProof/>
            <w:webHidden/>
          </w:rPr>
          <w:fldChar w:fldCharType="end"/>
        </w:r>
      </w:hyperlink>
    </w:p>
    <w:p w14:paraId="2B0C43E6"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6" w:history="1">
        <w:r w:rsidR="00543D47" w:rsidRPr="00210832">
          <w:rPr>
            <w:rStyle w:val="Hyperlink"/>
            <w:noProof/>
          </w:rPr>
          <w:t>Table 24. Item introduction table for items 66623 and 66626</w:t>
        </w:r>
        <w:r w:rsidR="00543D47">
          <w:rPr>
            <w:noProof/>
            <w:webHidden/>
          </w:rPr>
          <w:tab/>
        </w:r>
        <w:r w:rsidR="00543D47">
          <w:rPr>
            <w:noProof/>
            <w:webHidden/>
          </w:rPr>
          <w:fldChar w:fldCharType="begin"/>
        </w:r>
        <w:r w:rsidR="00543D47">
          <w:rPr>
            <w:noProof/>
            <w:webHidden/>
          </w:rPr>
          <w:instrText xml:space="preserve"> PAGEREF _Toc534374926 \h </w:instrText>
        </w:r>
        <w:r w:rsidR="00543D47">
          <w:rPr>
            <w:noProof/>
            <w:webHidden/>
          </w:rPr>
        </w:r>
        <w:r w:rsidR="00543D47">
          <w:rPr>
            <w:noProof/>
            <w:webHidden/>
          </w:rPr>
          <w:fldChar w:fldCharType="separate"/>
        </w:r>
        <w:r w:rsidR="00543D47">
          <w:rPr>
            <w:noProof/>
            <w:webHidden/>
          </w:rPr>
          <w:t>39</w:t>
        </w:r>
        <w:r w:rsidR="00543D47">
          <w:rPr>
            <w:noProof/>
            <w:webHidden/>
          </w:rPr>
          <w:fldChar w:fldCharType="end"/>
        </w:r>
      </w:hyperlink>
    </w:p>
    <w:p w14:paraId="109595AA"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7" w:history="1">
        <w:r w:rsidR="00543D47" w:rsidRPr="00210832">
          <w:rPr>
            <w:rStyle w:val="Hyperlink"/>
            <w:noProof/>
          </w:rPr>
          <w:t>Figure 4. State utilisation for item 66623 services per 100,000 people</w:t>
        </w:r>
        <w:r w:rsidR="00543D47">
          <w:rPr>
            <w:noProof/>
            <w:webHidden/>
          </w:rPr>
          <w:tab/>
        </w:r>
        <w:r w:rsidR="00543D47">
          <w:rPr>
            <w:noProof/>
            <w:webHidden/>
          </w:rPr>
          <w:fldChar w:fldCharType="begin"/>
        </w:r>
        <w:r w:rsidR="00543D47">
          <w:rPr>
            <w:noProof/>
            <w:webHidden/>
          </w:rPr>
          <w:instrText xml:space="preserve"> PAGEREF _Toc534374927 \h </w:instrText>
        </w:r>
        <w:r w:rsidR="00543D47">
          <w:rPr>
            <w:noProof/>
            <w:webHidden/>
          </w:rPr>
        </w:r>
        <w:r w:rsidR="00543D47">
          <w:rPr>
            <w:noProof/>
            <w:webHidden/>
          </w:rPr>
          <w:fldChar w:fldCharType="separate"/>
        </w:r>
        <w:r w:rsidR="00543D47">
          <w:rPr>
            <w:noProof/>
            <w:webHidden/>
          </w:rPr>
          <w:t>40</w:t>
        </w:r>
        <w:r w:rsidR="00543D47">
          <w:rPr>
            <w:noProof/>
            <w:webHidden/>
          </w:rPr>
          <w:fldChar w:fldCharType="end"/>
        </w:r>
      </w:hyperlink>
    </w:p>
    <w:p w14:paraId="559B5CB2"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8" w:history="1">
        <w:r w:rsidR="00543D47" w:rsidRPr="00210832">
          <w:rPr>
            <w:rStyle w:val="Hyperlink"/>
            <w:noProof/>
          </w:rPr>
          <w:t>Figure 5. State utilisation for item 66626 services per 100,000 people</w:t>
        </w:r>
        <w:r w:rsidR="00543D47">
          <w:rPr>
            <w:noProof/>
            <w:webHidden/>
          </w:rPr>
          <w:tab/>
        </w:r>
        <w:r w:rsidR="00543D47">
          <w:rPr>
            <w:noProof/>
            <w:webHidden/>
          </w:rPr>
          <w:fldChar w:fldCharType="begin"/>
        </w:r>
        <w:r w:rsidR="00543D47">
          <w:rPr>
            <w:noProof/>
            <w:webHidden/>
          </w:rPr>
          <w:instrText xml:space="preserve"> PAGEREF _Toc534374928 \h </w:instrText>
        </w:r>
        <w:r w:rsidR="00543D47">
          <w:rPr>
            <w:noProof/>
            <w:webHidden/>
          </w:rPr>
        </w:r>
        <w:r w:rsidR="00543D47">
          <w:rPr>
            <w:noProof/>
            <w:webHidden/>
          </w:rPr>
          <w:fldChar w:fldCharType="separate"/>
        </w:r>
        <w:r w:rsidR="00543D47">
          <w:rPr>
            <w:noProof/>
            <w:webHidden/>
          </w:rPr>
          <w:t>41</w:t>
        </w:r>
        <w:r w:rsidR="00543D47">
          <w:rPr>
            <w:noProof/>
            <w:webHidden/>
          </w:rPr>
          <w:fldChar w:fldCharType="end"/>
        </w:r>
      </w:hyperlink>
    </w:p>
    <w:p w14:paraId="443FEC82"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29" w:history="1">
        <w:r w:rsidR="00543D47" w:rsidRPr="00210832">
          <w:rPr>
            <w:rStyle w:val="Hyperlink"/>
            <w:noProof/>
          </w:rPr>
          <w:t>Table 25. Item introduction table for items 66800, 66803, 66804, 66805, 66806</w:t>
        </w:r>
        <w:r w:rsidR="00543D47">
          <w:rPr>
            <w:noProof/>
            <w:webHidden/>
          </w:rPr>
          <w:tab/>
        </w:r>
        <w:r w:rsidR="00543D47">
          <w:rPr>
            <w:noProof/>
            <w:webHidden/>
          </w:rPr>
          <w:fldChar w:fldCharType="begin"/>
        </w:r>
        <w:r w:rsidR="00543D47">
          <w:rPr>
            <w:noProof/>
            <w:webHidden/>
          </w:rPr>
          <w:instrText xml:space="preserve"> PAGEREF _Toc534374929 \h </w:instrText>
        </w:r>
        <w:r w:rsidR="00543D47">
          <w:rPr>
            <w:noProof/>
            <w:webHidden/>
          </w:rPr>
        </w:r>
        <w:r w:rsidR="00543D47">
          <w:rPr>
            <w:noProof/>
            <w:webHidden/>
          </w:rPr>
          <w:fldChar w:fldCharType="separate"/>
        </w:r>
        <w:r w:rsidR="00543D47">
          <w:rPr>
            <w:noProof/>
            <w:webHidden/>
          </w:rPr>
          <w:t>41</w:t>
        </w:r>
        <w:r w:rsidR="00543D47">
          <w:rPr>
            <w:noProof/>
            <w:webHidden/>
          </w:rPr>
          <w:fldChar w:fldCharType="end"/>
        </w:r>
      </w:hyperlink>
    </w:p>
    <w:p w14:paraId="63611AE1"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0" w:history="1">
        <w:r w:rsidR="00543D47" w:rsidRPr="00210832">
          <w:rPr>
            <w:rStyle w:val="Hyperlink"/>
            <w:noProof/>
          </w:rPr>
          <w:t>Table 26: Current and proposed new item descriptor for item 66800</w:t>
        </w:r>
        <w:r w:rsidR="00543D47">
          <w:rPr>
            <w:noProof/>
            <w:webHidden/>
          </w:rPr>
          <w:tab/>
        </w:r>
        <w:r w:rsidR="00543D47">
          <w:rPr>
            <w:noProof/>
            <w:webHidden/>
          </w:rPr>
          <w:fldChar w:fldCharType="begin"/>
        </w:r>
        <w:r w:rsidR="00543D47">
          <w:rPr>
            <w:noProof/>
            <w:webHidden/>
          </w:rPr>
          <w:instrText xml:space="preserve"> PAGEREF _Toc534374930 \h </w:instrText>
        </w:r>
        <w:r w:rsidR="00543D47">
          <w:rPr>
            <w:noProof/>
            <w:webHidden/>
          </w:rPr>
        </w:r>
        <w:r w:rsidR="00543D47">
          <w:rPr>
            <w:noProof/>
            <w:webHidden/>
          </w:rPr>
          <w:fldChar w:fldCharType="separate"/>
        </w:r>
        <w:r w:rsidR="00543D47">
          <w:rPr>
            <w:noProof/>
            <w:webHidden/>
          </w:rPr>
          <w:t>42</w:t>
        </w:r>
        <w:r w:rsidR="00543D47">
          <w:rPr>
            <w:noProof/>
            <w:webHidden/>
          </w:rPr>
          <w:fldChar w:fldCharType="end"/>
        </w:r>
      </w:hyperlink>
    </w:p>
    <w:p w14:paraId="1F5119E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1" w:history="1">
        <w:r w:rsidR="00543D47" w:rsidRPr="00210832">
          <w:rPr>
            <w:rStyle w:val="Hyperlink"/>
            <w:noProof/>
          </w:rPr>
          <w:t>Table 27. Item introduction table for items 66812, 66815, 66816, 66817</w:t>
        </w:r>
        <w:r w:rsidR="00543D47">
          <w:rPr>
            <w:noProof/>
            <w:webHidden/>
          </w:rPr>
          <w:tab/>
        </w:r>
        <w:r w:rsidR="00543D47">
          <w:rPr>
            <w:noProof/>
            <w:webHidden/>
          </w:rPr>
          <w:fldChar w:fldCharType="begin"/>
        </w:r>
        <w:r w:rsidR="00543D47">
          <w:rPr>
            <w:noProof/>
            <w:webHidden/>
          </w:rPr>
          <w:instrText xml:space="preserve"> PAGEREF _Toc534374931 \h </w:instrText>
        </w:r>
        <w:r w:rsidR="00543D47">
          <w:rPr>
            <w:noProof/>
            <w:webHidden/>
          </w:rPr>
        </w:r>
        <w:r w:rsidR="00543D47">
          <w:rPr>
            <w:noProof/>
            <w:webHidden/>
          </w:rPr>
          <w:fldChar w:fldCharType="separate"/>
        </w:r>
        <w:r w:rsidR="00543D47">
          <w:rPr>
            <w:noProof/>
            <w:webHidden/>
          </w:rPr>
          <w:t>43</w:t>
        </w:r>
        <w:r w:rsidR="00543D47">
          <w:rPr>
            <w:noProof/>
            <w:webHidden/>
          </w:rPr>
          <w:fldChar w:fldCharType="end"/>
        </w:r>
      </w:hyperlink>
    </w:p>
    <w:p w14:paraId="055BAFE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2" w:history="1">
        <w:r w:rsidR="00543D47" w:rsidRPr="00210832">
          <w:rPr>
            <w:rStyle w:val="Hyperlink"/>
            <w:noProof/>
          </w:rPr>
          <w:t>Table 28. Item introduction table for item 66632</w:t>
        </w:r>
        <w:r w:rsidR="00543D47">
          <w:rPr>
            <w:noProof/>
            <w:webHidden/>
          </w:rPr>
          <w:tab/>
        </w:r>
        <w:r w:rsidR="00543D47">
          <w:rPr>
            <w:noProof/>
            <w:webHidden/>
          </w:rPr>
          <w:fldChar w:fldCharType="begin"/>
        </w:r>
        <w:r w:rsidR="00543D47">
          <w:rPr>
            <w:noProof/>
            <w:webHidden/>
          </w:rPr>
          <w:instrText xml:space="preserve"> PAGEREF _Toc534374932 \h </w:instrText>
        </w:r>
        <w:r w:rsidR="00543D47">
          <w:rPr>
            <w:noProof/>
            <w:webHidden/>
          </w:rPr>
        </w:r>
        <w:r w:rsidR="00543D47">
          <w:rPr>
            <w:noProof/>
            <w:webHidden/>
          </w:rPr>
          <w:fldChar w:fldCharType="separate"/>
        </w:r>
        <w:r w:rsidR="00543D47">
          <w:rPr>
            <w:noProof/>
            <w:webHidden/>
          </w:rPr>
          <w:t>44</w:t>
        </w:r>
        <w:r w:rsidR="00543D47">
          <w:rPr>
            <w:noProof/>
            <w:webHidden/>
          </w:rPr>
          <w:fldChar w:fldCharType="end"/>
        </w:r>
      </w:hyperlink>
    </w:p>
    <w:p w14:paraId="2977E37F"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3" w:history="1">
        <w:r w:rsidR="00543D47" w:rsidRPr="00210832">
          <w:rPr>
            <w:rStyle w:val="Hyperlink"/>
            <w:noProof/>
          </w:rPr>
          <w:t>Table 29. Item introduction table for item 66635, 66638 and 66639</w:t>
        </w:r>
        <w:r w:rsidR="00543D47">
          <w:rPr>
            <w:noProof/>
            <w:webHidden/>
          </w:rPr>
          <w:tab/>
        </w:r>
        <w:r w:rsidR="00543D47">
          <w:rPr>
            <w:noProof/>
            <w:webHidden/>
          </w:rPr>
          <w:fldChar w:fldCharType="begin"/>
        </w:r>
        <w:r w:rsidR="00543D47">
          <w:rPr>
            <w:noProof/>
            <w:webHidden/>
          </w:rPr>
          <w:instrText xml:space="preserve"> PAGEREF _Toc534374933 \h </w:instrText>
        </w:r>
        <w:r w:rsidR="00543D47">
          <w:rPr>
            <w:noProof/>
            <w:webHidden/>
          </w:rPr>
        </w:r>
        <w:r w:rsidR="00543D47">
          <w:rPr>
            <w:noProof/>
            <w:webHidden/>
          </w:rPr>
          <w:fldChar w:fldCharType="separate"/>
        </w:r>
        <w:r w:rsidR="00543D47">
          <w:rPr>
            <w:noProof/>
            <w:webHidden/>
          </w:rPr>
          <w:t>46</w:t>
        </w:r>
        <w:r w:rsidR="00543D47">
          <w:rPr>
            <w:noProof/>
            <w:webHidden/>
          </w:rPr>
          <w:fldChar w:fldCharType="end"/>
        </w:r>
      </w:hyperlink>
    </w:p>
    <w:p w14:paraId="775F49E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4" w:history="1">
        <w:r w:rsidR="00543D47" w:rsidRPr="00210832">
          <w:rPr>
            <w:rStyle w:val="Hyperlink"/>
            <w:noProof/>
          </w:rPr>
          <w:t>Table 30.</w:t>
        </w:r>
        <w:r w:rsidR="00543D47" w:rsidRPr="00210832">
          <w:rPr>
            <w:rStyle w:val="Hyperlink"/>
            <w:b/>
            <w:noProof/>
          </w:rPr>
          <w:t xml:space="preserve"> </w:t>
        </w:r>
        <w:r w:rsidR="00543D47" w:rsidRPr="00210832">
          <w:rPr>
            <w:rStyle w:val="Hyperlink"/>
            <w:noProof/>
          </w:rPr>
          <w:t>Current and proposed new item descriptor for items 66638 and 66639</w:t>
        </w:r>
        <w:r w:rsidR="00543D47">
          <w:rPr>
            <w:noProof/>
            <w:webHidden/>
          </w:rPr>
          <w:tab/>
        </w:r>
        <w:r w:rsidR="00543D47">
          <w:rPr>
            <w:noProof/>
            <w:webHidden/>
          </w:rPr>
          <w:fldChar w:fldCharType="begin"/>
        </w:r>
        <w:r w:rsidR="00543D47">
          <w:rPr>
            <w:noProof/>
            <w:webHidden/>
          </w:rPr>
          <w:instrText xml:space="preserve"> PAGEREF _Toc534374934 \h </w:instrText>
        </w:r>
        <w:r w:rsidR="00543D47">
          <w:rPr>
            <w:noProof/>
            <w:webHidden/>
          </w:rPr>
        </w:r>
        <w:r w:rsidR="00543D47">
          <w:rPr>
            <w:noProof/>
            <w:webHidden/>
          </w:rPr>
          <w:fldChar w:fldCharType="separate"/>
        </w:r>
        <w:r w:rsidR="00543D47">
          <w:rPr>
            <w:noProof/>
            <w:webHidden/>
          </w:rPr>
          <w:t>46</w:t>
        </w:r>
        <w:r w:rsidR="00543D47">
          <w:rPr>
            <w:noProof/>
            <w:webHidden/>
          </w:rPr>
          <w:fldChar w:fldCharType="end"/>
        </w:r>
      </w:hyperlink>
    </w:p>
    <w:p w14:paraId="1DA37A7D"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5" w:history="1">
        <w:r w:rsidR="00543D47" w:rsidRPr="00210832">
          <w:rPr>
            <w:rStyle w:val="Hyperlink"/>
            <w:noProof/>
          </w:rPr>
          <w:t>Figure 6. State utilisation for item 66638 services per 100,000 people</w:t>
        </w:r>
        <w:r w:rsidR="00543D47">
          <w:rPr>
            <w:noProof/>
            <w:webHidden/>
          </w:rPr>
          <w:tab/>
        </w:r>
        <w:r w:rsidR="00543D47">
          <w:rPr>
            <w:noProof/>
            <w:webHidden/>
          </w:rPr>
          <w:fldChar w:fldCharType="begin"/>
        </w:r>
        <w:r w:rsidR="00543D47">
          <w:rPr>
            <w:noProof/>
            <w:webHidden/>
          </w:rPr>
          <w:instrText xml:space="preserve"> PAGEREF _Toc534374935 \h </w:instrText>
        </w:r>
        <w:r w:rsidR="00543D47">
          <w:rPr>
            <w:noProof/>
            <w:webHidden/>
          </w:rPr>
        </w:r>
        <w:r w:rsidR="00543D47">
          <w:rPr>
            <w:noProof/>
            <w:webHidden/>
          </w:rPr>
          <w:fldChar w:fldCharType="separate"/>
        </w:r>
        <w:r w:rsidR="00543D47">
          <w:rPr>
            <w:noProof/>
            <w:webHidden/>
          </w:rPr>
          <w:t>47</w:t>
        </w:r>
        <w:r w:rsidR="00543D47">
          <w:rPr>
            <w:noProof/>
            <w:webHidden/>
          </w:rPr>
          <w:fldChar w:fldCharType="end"/>
        </w:r>
      </w:hyperlink>
    </w:p>
    <w:p w14:paraId="239ED73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6" w:history="1">
        <w:r w:rsidR="00543D47" w:rsidRPr="00210832">
          <w:rPr>
            <w:rStyle w:val="Hyperlink"/>
            <w:noProof/>
          </w:rPr>
          <w:t>Table 31. Item introduction table for item 66641 and 66642</w:t>
        </w:r>
        <w:r w:rsidR="00543D47">
          <w:rPr>
            <w:noProof/>
            <w:webHidden/>
          </w:rPr>
          <w:tab/>
        </w:r>
        <w:r w:rsidR="00543D47">
          <w:rPr>
            <w:noProof/>
            <w:webHidden/>
          </w:rPr>
          <w:fldChar w:fldCharType="begin"/>
        </w:r>
        <w:r w:rsidR="00543D47">
          <w:rPr>
            <w:noProof/>
            <w:webHidden/>
          </w:rPr>
          <w:instrText xml:space="preserve"> PAGEREF _Toc534374936 \h </w:instrText>
        </w:r>
        <w:r w:rsidR="00543D47">
          <w:rPr>
            <w:noProof/>
            <w:webHidden/>
          </w:rPr>
        </w:r>
        <w:r w:rsidR="00543D47">
          <w:rPr>
            <w:noProof/>
            <w:webHidden/>
          </w:rPr>
          <w:fldChar w:fldCharType="separate"/>
        </w:r>
        <w:r w:rsidR="00543D47">
          <w:rPr>
            <w:noProof/>
            <w:webHidden/>
          </w:rPr>
          <w:t>48</w:t>
        </w:r>
        <w:r w:rsidR="00543D47">
          <w:rPr>
            <w:noProof/>
            <w:webHidden/>
          </w:rPr>
          <w:fldChar w:fldCharType="end"/>
        </w:r>
      </w:hyperlink>
    </w:p>
    <w:p w14:paraId="1FB32F9A"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7" w:history="1">
        <w:r w:rsidR="00543D47" w:rsidRPr="00210832">
          <w:rPr>
            <w:rStyle w:val="Hyperlink"/>
            <w:noProof/>
          </w:rPr>
          <w:t>Table 32.</w:t>
        </w:r>
        <w:r w:rsidR="00543D47" w:rsidRPr="00210832">
          <w:rPr>
            <w:rStyle w:val="Hyperlink"/>
            <w:b/>
            <w:noProof/>
          </w:rPr>
          <w:t xml:space="preserve"> </w:t>
        </w:r>
        <w:r w:rsidR="00543D47" w:rsidRPr="00210832">
          <w:rPr>
            <w:rStyle w:val="Hyperlink"/>
            <w:noProof/>
          </w:rPr>
          <w:t>Current and proposed new item descriptor for item 66641</w:t>
        </w:r>
        <w:r w:rsidR="00543D47">
          <w:rPr>
            <w:noProof/>
            <w:webHidden/>
          </w:rPr>
          <w:tab/>
        </w:r>
        <w:r w:rsidR="00543D47">
          <w:rPr>
            <w:noProof/>
            <w:webHidden/>
          </w:rPr>
          <w:fldChar w:fldCharType="begin"/>
        </w:r>
        <w:r w:rsidR="00543D47">
          <w:rPr>
            <w:noProof/>
            <w:webHidden/>
          </w:rPr>
          <w:instrText xml:space="preserve"> PAGEREF _Toc534374937 \h </w:instrText>
        </w:r>
        <w:r w:rsidR="00543D47">
          <w:rPr>
            <w:noProof/>
            <w:webHidden/>
          </w:rPr>
        </w:r>
        <w:r w:rsidR="00543D47">
          <w:rPr>
            <w:noProof/>
            <w:webHidden/>
          </w:rPr>
          <w:fldChar w:fldCharType="separate"/>
        </w:r>
        <w:r w:rsidR="00543D47">
          <w:rPr>
            <w:noProof/>
            <w:webHidden/>
          </w:rPr>
          <w:t>48</w:t>
        </w:r>
        <w:r w:rsidR="00543D47">
          <w:rPr>
            <w:noProof/>
            <w:webHidden/>
          </w:rPr>
          <w:fldChar w:fldCharType="end"/>
        </w:r>
      </w:hyperlink>
    </w:p>
    <w:p w14:paraId="3835D986"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8" w:history="1">
        <w:r w:rsidR="00543D47" w:rsidRPr="00210832">
          <w:rPr>
            <w:rStyle w:val="Hyperlink"/>
            <w:noProof/>
          </w:rPr>
          <w:t>Figure 7. State utilisation for item 66641 services per 100,000 people</w:t>
        </w:r>
        <w:r w:rsidR="00543D47">
          <w:rPr>
            <w:noProof/>
            <w:webHidden/>
          </w:rPr>
          <w:tab/>
        </w:r>
        <w:r w:rsidR="00543D47">
          <w:rPr>
            <w:noProof/>
            <w:webHidden/>
          </w:rPr>
          <w:fldChar w:fldCharType="begin"/>
        </w:r>
        <w:r w:rsidR="00543D47">
          <w:rPr>
            <w:noProof/>
            <w:webHidden/>
          </w:rPr>
          <w:instrText xml:space="preserve"> PAGEREF _Toc534374938 \h </w:instrText>
        </w:r>
        <w:r w:rsidR="00543D47">
          <w:rPr>
            <w:noProof/>
            <w:webHidden/>
          </w:rPr>
        </w:r>
        <w:r w:rsidR="00543D47">
          <w:rPr>
            <w:noProof/>
            <w:webHidden/>
          </w:rPr>
          <w:fldChar w:fldCharType="separate"/>
        </w:r>
        <w:r w:rsidR="00543D47">
          <w:rPr>
            <w:noProof/>
            <w:webHidden/>
          </w:rPr>
          <w:t>49</w:t>
        </w:r>
        <w:r w:rsidR="00543D47">
          <w:rPr>
            <w:noProof/>
            <w:webHidden/>
          </w:rPr>
          <w:fldChar w:fldCharType="end"/>
        </w:r>
      </w:hyperlink>
    </w:p>
    <w:p w14:paraId="04E6B476"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39" w:history="1">
        <w:r w:rsidR="00543D47" w:rsidRPr="00210832">
          <w:rPr>
            <w:rStyle w:val="Hyperlink"/>
            <w:noProof/>
          </w:rPr>
          <w:t>Table 33. Item introduction table for items 66644 and 66647</w:t>
        </w:r>
        <w:r w:rsidR="00543D47">
          <w:rPr>
            <w:noProof/>
            <w:webHidden/>
          </w:rPr>
          <w:tab/>
        </w:r>
        <w:r w:rsidR="00543D47">
          <w:rPr>
            <w:noProof/>
            <w:webHidden/>
          </w:rPr>
          <w:fldChar w:fldCharType="begin"/>
        </w:r>
        <w:r w:rsidR="00543D47">
          <w:rPr>
            <w:noProof/>
            <w:webHidden/>
          </w:rPr>
          <w:instrText xml:space="preserve"> PAGEREF _Toc534374939 \h </w:instrText>
        </w:r>
        <w:r w:rsidR="00543D47">
          <w:rPr>
            <w:noProof/>
            <w:webHidden/>
          </w:rPr>
        </w:r>
        <w:r w:rsidR="00543D47">
          <w:rPr>
            <w:noProof/>
            <w:webHidden/>
          </w:rPr>
          <w:fldChar w:fldCharType="separate"/>
        </w:r>
        <w:r w:rsidR="00543D47">
          <w:rPr>
            <w:noProof/>
            <w:webHidden/>
          </w:rPr>
          <w:t>49</w:t>
        </w:r>
        <w:r w:rsidR="00543D47">
          <w:rPr>
            <w:noProof/>
            <w:webHidden/>
          </w:rPr>
          <w:fldChar w:fldCharType="end"/>
        </w:r>
      </w:hyperlink>
    </w:p>
    <w:p w14:paraId="21A5D0F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0" w:history="1">
        <w:r w:rsidR="00543D47" w:rsidRPr="00210832">
          <w:rPr>
            <w:rStyle w:val="Hyperlink"/>
            <w:noProof/>
          </w:rPr>
          <w:t>Table 34. Item introduction table for item 66758</w:t>
        </w:r>
        <w:r w:rsidR="00543D47">
          <w:rPr>
            <w:noProof/>
            <w:webHidden/>
          </w:rPr>
          <w:tab/>
        </w:r>
        <w:r w:rsidR="00543D47">
          <w:rPr>
            <w:noProof/>
            <w:webHidden/>
          </w:rPr>
          <w:fldChar w:fldCharType="begin"/>
        </w:r>
        <w:r w:rsidR="00543D47">
          <w:rPr>
            <w:noProof/>
            <w:webHidden/>
          </w:rPr>
          <w:instrText xml:space="preserve"> PAGEREF _Toc534374940 \h </w:instrText>
        </w:r>
        <w:r w:rsidR="00543D47">
          <w:rPr>
            <w:noProof/>
            <w:webHidden/>
          </w:rPr>
        </w:r>
        <w:r w:rsidR="00543D47">
          <w:rPr>
            <w:noProof/>
            <w:webHidden/>
          </w:rPr>
          <w:fldChar w:fldCharType="separate"/>
        </w:r>
        <w:r w:rsidR="00543D47">
          <w:rPr>
            <w:noProof/>
            <w:webHidden/>
          </w:rPr>
          <w:t>50</w:t>
        </w:r>
        <w:r w:rsidR="00543D47">
          <w:rPr>
            <w:noProof/>
            <w:webHidden/>
          </w:rPr>
          <w:fldChar w:fldCharType="end"/>
        </w:r>
      </w:hyperlink>
    </w:p>
    <w:p w14:paraId="714F1D46"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1" w:history="1">
        <w:r w:rsidR="00543D47" w:rsidRPr="00210832">
          <w:rPr>
            <w:rStyle w:val="Hyperlink"/>
            <w:noProof/>
          </w:rPr>
          <w:t>Table 35. Item introduction table for items 71057, 71058, 71059, 71060, 71062, 71064, 71066, 71068, 71069, 71071, 71072, 71073, 71074, 71075, 71076, 71077, 71200</w:t>
        </w:r>
        <w:r w:rsidR="00543D47">
          <w:rPr>
            <w:noProof/>
            <w:webHidden/>
          </w:rPr>
          <w:tab/>
        </w:r>
        <w:r w:rsidR="00543D47">
          <w:rPr>
            <w:noProof/>
            <w:webHidden/>
          </w:rPr>
          <w:fldChar w:fldCharType="begin"/>
        </w:r>
        <w:r w:rsidR="00543D47">
          <w:rPr>
            <w:noProof/>
            <w:webHidden/>
          </w:rPr>
          <w:instrText xml:space="preserve"> PAGEREF _Toc534374941 \h </w:instrText>
        </w:r>
        <w:r w:rsidR="00543D47">
          <w:rPr>
            <w:noProof/>
            <w:webHidden/>
          </w:rPr>
        </w:r>
        <w:r w:rsidR="00543D47">
          <w:rPr>
            <w:noProof/>
            <w:webHidden/>
          </w:rPr>
          <w:fldChar w:fldCharType="separate"/>
        </w:r>
        <w:r w:rsidR="00543D47">
          <w:rPr>
            <w:noProof/>
            <w:webHidden/>
          </w:rPr>
          <w:t>51</w:t>
        </w:r>
        <w:r w:rsidR="00543D47">
          <w:rPr>
            <w:noProof/>
            <w:webHidden/>
          </w:rPr>
          <w:fldChar w:fldCharType="end"/>
        </w:r>
      </w:hyperlink>
    </w:p>
    <w:p w14:paraId="0322FC72"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2" w:history="1">
        <w:r w:rsidR="00543D47" w:rsidRPr="00210832">
          <w:rPr>
            <w:rStyle w:val="Hyperlink"/>
            <w:noProof/>
          </w:rPr>
          <w:t>Table 36. MBS items that do not require amendment</w:t>
        </w:r>
        <w:r w:rsidR="00543D47">
          <w:rPr>
            <w:noProof/>
            <w:webHidden/>
          </w:rPr>
          <w:tab/>
        </w:r>
        <w:r w:rsidR="00543D47">
          <w:rPr>
            <w:noProof/>
            <w:webHidden/>
          </w:rPr>
          <w:fldChar w:fldCharType="begin"/>
        </w:r>
        <w:r w:rsidR="00543D47">
          <w:rPr>
            <w:noProof/>
            <w:webHidden/>
          </w:rPr>
          <w:instrText xml:space="preserve"> PAGEREF _Toc534374942 \h </w:instrText>
        </w:r>
        <w:r w:rsidR="00543D47">
          <w:rPr>
            <w:noProof/>
            <w:webHidden/>
          </w:rPr>
        </w:r>
        <w:r w:rsidR="00543D47">
          <w:rPr>
            <w:noProof/>
            <w:webHidden/>
          </w:rPr>
          <w:fldChar w:fldCharType="separate"/>
        </w:r>
        <w:r w:rsidR="00543D47">
          <w:rPr>
            <w:noProof/>
            <w:webHidden/>
          </w:rPr>
          <w:t>56</w:t>
        </w:r>
        <w:r w:rsidR="00543D47">
          <w:rPr>
            <w:noProof/>
            <w:webHidden/>
          </w:rPr>
          <w:fldChar w:fldCharType="end"/>
        </w:r>
      </w:hyperlink>
    </w:p>
    <w:p w14:paraId="703B582F"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3" w:history="1">
        <w:r w:rsidR="00543D47" w:rsidRPr="00210832">
          <w:rPr>
            <w:rStyle w:val="Hyperlink"/>
            <w:noProof/>
          </w:rPr>
          <w:t>Table 37. Current and proposed item descriptor 71066, 71072, 71074</w:t>
        </w:r>
        <w:r w:rsidR="00543D47">
          <w:rPr>
            <w:noProof/>
            <w:webHidden/>
          </w:rPr>
          <w:tab/>
        </w:r>
        <w:r w:rsidR="00543D47">
          <w:rPr>
            <w:noProof/>
            <w:webHidden/>
          </w:rPr>
          <w:fldChar w:fldCharType="begin"/>
        </w:r>
        <w:r w:rsidR="00543D47">
          <w:rPr>
            <w:noProof/>
            <w:webHidden/>
          </w:rPr>
          <w:instrText xml:space="preserve"> PAGEREF _Toc534374943 \h </w:instrText>
        </w:r>
        <w:r w:rsidR="00543D47">
          <w:rPr>
            <w:noProof/>
            <w:webHidden/>
          </w:rPr>
        </w:r>
        <w:r w:rsidR="00543D47">
          <w:rPr>
            <w:noProof/>
            <w:webHidden/>
          </w:rPr>
          <w:fldChar w:fldCharType="separate"/>
        </w:r>
        <w:r w:rsidR="00543D47">
          <w:rPr>
            <w:noProof/>
            <w:webHidden/>
          </w:rPr>
          <w:t>56</w:t>
        </w:r>
        <w:r w:rsidR="00543D47">
          <w:rPr>
            <w:noProof/>
            <w:webHidden/>
          </w:rPr>
          <w:fldChar w:fldCharType="end"/>
        </w:r>
      </w:hyperlink>
    </w:p>
    <w:p w14:paraId="2FB2FAD0"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4" w:history="1">
        <w:r w:rsidR="00543D47" w:rsidRPr="00210832">
          <w:rPr>
            <w:rStyle w:val="Hyperlink"/>
            <w:noProof/>
          </w:rPr>
          <w:t>Table 38. Current and proposed item descriptors 71075 and 71077</w:t>
        </w:r>
        <w:r w:rsidR="00543D47">
          <w:rPr>
            <w:noProof/>
            <w:webHidden/>
          </w:rPr>
          <w:tab/>
        </w:r>
        <w:r w:rsidR="00543D47">
          <w:rPr>
            <w:noProof/>
            <w:webHidden/>
          </w:rPr>
          <w:fldChar w:fldCharType="begin"/>
        </w:r>
        <w:r w:rsidR="00543D47">
          <w:rPr>
            <w:noProof/>
            <w:webHidden/>
          </w:rPr>
          <w:instrText xml:space="preserve"> PAGEREF _Toc534374944 \h </w:instrText>
        </w:r>
        <w:r w:rsidR="00543D47">
          <w:rPr>
            <w:noProof/>
            <w:webHidden/>
          </w:rPr>
        </w:r>
        <w:r w:rsidR="00543D47">
          <w:rPr>
            <w:noProof/>
            <w:webHidden/>
          </w:rPr>
          <w:fldChar w:fldCharType="separate"/>
        </w:r>
        <w:r w:rsidR="00543D47">
          <w:rPr>
            <w:noProof/>
            <w:webHidden/>
          </w:rPr>
          <w:t>57</w:t>
        </w:r>
        <w:r w:rsidR="00543D47">
          <w:rPr>
            <w:noProof/>
            <w:webHidden/>
          </w:rPr>
          <w:fldChar w:fldCharType="end"/>
        </w:r>
      </w:hyperlink>
    </w:p>
    <w:p w14:paraId="004CD22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5" w:history="1">
        <w:r w:rsidR="00543D47" w:rsidRPr="00210832">
          <w:rPr>
            <w:rStyle w:val="Hyperlink"/>
            <w:noProof/>
          </w:rPr>
          <w:t>Table 39.</w:t>
        </w:r>
        <w:r w:rsidR="00543D47" w:rsidRPr="00210832">
          <w:rPr>
            <w:rStyle w:val="Hyperlink"/>
            <w:b/>
            <w:noProof/>
          </w:rPr>
          <w:t xml:space="preserve"> </w:t>
        </w:r>
        <w:r w:rsidR="00543D47" w:rsidRPr="00210832">
          <w:rPr>
            <w:rStyle w:val="Hyperlink"/>
            <w:noProof/>
          </w:rPr>
          <w:t>Current and proposed new item descriptor for item 71062, 71066, 71072 and 71074</w:t>
        </w:r>
        <w:r w:rsidR="00543D47">
          <w:rPr>
            <w:noProof/>
            <w:webHidden/>
          </w:rPr>
          <w:tab/>
        </w:r>
        <w:r w:rsidR="00543D47">
          <w:rPr>
            <w:noProof/>
            <w:webHidden/>
          </w:rPr>
          <w:fldChar w:fldCharType="begin"/>
        </w:r>
        <w:r w:rsidR="00543D47">
          <w:rPr>
            <w:noProof/>
            <w:webHidden/>
          </w:rPr>
          <w:instrText xml:space="preserve"> PAGEREF _Toc534374945 \h </w:instrText>
        </w:r>
        <w:r w:rsidR="00543D47">
          <w:rPr>
            <w:noProof/>
            <w:webHidden/>
          </w:rPr>
        </w:r>
        <w:r w:rsidR="00543D47">
          <w:rPr>
            <w:noProof/>
            <w:webHidden/>
          </w:rPr>
          <w:fldChar w:fldCharType="separate"/>
        </w:r>
        <w:r w:rsidR="00543D47">
          <w:rPr>
            <w:noProof/>
            <w:webHidden/>
          </w:rPr>
          <w:t>57</w:t>
        </w:r>
        <w:r w:rsidR="00543D47">
          <w:rPr>
            <w:noProof/>
            <w:webHidden/>
          </w:rPr>
          <w:fldChar w:fldCharType="end"/>
        </w:r>
      </w:hyperlink>
    </w:p>
    <w:p w14:paraId="1E272525"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6" w:history="1">
        <w:r w:rsidR="00543D47" w:rsidRPr="00210832">
          <w:rPr>
            <w:rStyle w:val="Hyperlink"/>
            <w:noProof/>
          </w:rPr>
          <w:t>Table 40. Current and proposed item descriptor for item 71200</w:t>
        </w:r>
        <w:r w:rsidR="00543D47">
          <w:rPr>
            <w:noProof/>
            <w:webHidden/>
          </w:rPr>
          <w:tab/>
        </w:r>
        <w:r w:rsidR="00543D47">
          <w:rPr>
            <w:noProof/>
            <w:webHidden/>
          </w:rPr>
          <w:fldChar w:fldCharType="begin"/>
        </w:r>
        <w:r w:rsidR="00543D47">
          <w:rPr>
            <w:noProof/>
            <w:webHidden/>
          </w:rPr>
          <w:instrText xml:space="preserve"> PAGEREF _Toc534374946 \h </w:instrText>
        </w:r>
        <w:r w:rsidR="00543D47">
          <w:rPr>
            <w:noProof/>
            <w:webHidden/>
          </w:rPr>
        </w:r>
        <w:r w:rsidR="00543D47">
          <w:rPr>
            <w:noProof/>
            <w:webHidden/>
          </w:rPr>
          <w:fldChar w:fldCharType="separate"/>
        </w:r>
        <w:r w:rsidR="00543D47">
          <w:rPr>
            <w:noProof/>
            <w:webHidden/>
          </w:rPr>
          <w:t>58</w:t>
        </w:r>
        <w:r w:rsidR="00543D47">
          <w:rPr>
            <w:noProof/>
            <w:webHidden/>
          </w:rPr>
          <w:fldChar w:fldCharType="end"/>
        </w:r>
      </w:hyperlink>
    </w:p>
    <w:p w14:paraId="5EC8C366"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7" w:history="1">
        <w:r w:rsidR="00543D47" w:rsidRPr="00210832">
          <w:rPr>
            <w:rStyle w:val="Hyperlink"/>
            <w:noProof/>
          </w:rPr>
          <w:t>Table 41. Current and proposed item descriptors for Items 71165–71168</w:t>
        </w:r>
        <w:r w:rsidR="00543D47">
          <w:rPr>
            <w:noProof/>
            <w:webHidden/>
          </w:rPr>
          <w:tab/>
        </w:r>
        <w:r w:rsidR="00543D47">
          <w:rPr>
            <w:noProof/>
            <w:webHidden/>
          </w:rPr>
          <w:fldChar w:fldCharType="begin"/>
        </w:r>
        <w:r w:rsidR="00543D47">
          <w:rPr>
            <w:noProof/>
            <w:webHidden/>
          </w:rPr>
          <w:instrText xml:space="preserve"> PAGEREF _Toc534374947 \h </w:instrText>
        </w:r>
        <w:r w:rsidR="00543D47">
          <w:rPr>
            <w:noProof/>
            <w:webHidden/>
          </w:rPr>
        </w:r>
        <w:r w:rsidR="00543D47">
          <w:rPr>
            <w:noProof/>
            <w:webHidden/>
          </w:rPr>
          <w:fldChar w:fldCharType="separate"/>
        </w:r>
        <w:r w:rsidR="00543D47">
          <w:rPr>
            <w:noProof/>
            <w:webHidden/>
          </w:rPr>
          <w:t>59</w:t>
        </w:r>
        <w:r w:rsidR="00543D47">
          <w:rPr>
            <w:noProof/>
            <w:webHidden/>
          </w:rPr>
          <w:fldChar w:fldCharType="end"/>
        </w:r>
      </w:hyperlink>
    </w:p>
    <w:p w14:paraId="56FD08C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8" w:history="1">
        <w:r w:rsidR="00543D47" w:rsidRPr="00210832">
          <w:rPr>
            <w:rStyle w:val="Hyperlink"/>
            <w:noProof/>
          </w:rPr>
          <w:t>Table 42. New item descriptors for Items 71171, 71172, 71173 and 71174</w:t>
        </w:r>
        <w:r w:rsidR="00543D47">
          <w:rPr>
            <w:noProof/>
            <w:webHidden/>
          </w:rPr>
          <w:tab/>
        </w:r>
        <w:r w:rsidR="00543D47">
          <w:rPr>
            <w:noProof/>
            <w:webHidden/>
          </w:rPr>
          <w:fldChar w:fldCharType="begin"/>
        </w:r>
        <w:r w:rsidR="00543D47">
          <w:rPr>
            <w:noProof/>
            <w:webHidden/>
          </w:rPr>
          <w:instrText xml:space="preserve"> PAGEREF _Toc534374948 \h </w:instrText>
        </w:r>
        <w:r w:rsidR="00543D47">
          <w:rPr>
            <w:noProof/>
            <w:webHidden/>
          </w:rPr>
        </w:r>
        <w:r w:rsidR="00543D47">
          <w:rPr>
            <w:noProof/>
            <w:webHidden/>
          </w:rPr>
          <w:fldChar w:fldCharType="separate"/>
        </w:r>
        <w:r w:rsidR="00543D47">
          <w:rPr>
            <w:noProof/>
            <w:webHidden/>
          </w:rPr>
          <w:t>60</w:t>
        </w:r>
        <w:r w:rsidR="00543D47">
          <w:rPr>
            <w:noProof/>
            <w:webHidden/>
          </w:rPr>
          <w:fldChar w:fldCharType="end"/>
        </w:r>
      </w:hyperlink>
    </w:p>
    <w:p w14:paraId="44479E21"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49" w:history="1">
        <w:r w:rsidR="00543D47" w:rsidRPr="00210832">
          <w:rPr>
            <w:rStyle w:val="Hyperlink"/>
            <w:noProof/>
          </w:rPr>
          <w:t>Table 43. Item introduction table for items 66665, 66666</w:t>
        </w:r>
        <w:r w:rsidR="00543D47">
          <w:rPr>
            <w:noProof/>
            <w:webHidden/>
          </w:rPr>
          <w:tab/>
        </w:r>
        <w:r w:rsidR="00543D47">
          <w:rPr>
            <w:noProof/>
            <w:webHidden/>
          </w:rPr>
          <w:fldChar w:fldCharType="begin"/>
        </w:r>
        <w:r w:rsidR="00543D47">
          <w:rPr>
            <w:noProof/>
            <w:webHidden/>
          </w:rPr>
          <w:instrText xml:space="preserve"> PAGEREF _Toc534374949 \h </w:instrText>
        </w:r>
        <w:r w:rsidR="00543D47">
          <w:rPr>
            <w:noProof/>
            <w:webHidden/>
          </w:rPr>
        </w:r>
        <w:r w:rsidR="00543D47">
          <w:rPr>
            <w:noProof/>
            <w:webHidden/>
          </w:rPr>
          <w:fldChar w:fldCharType="separate"/>
        </w:r>
        <w:r w:rsidR="00543D47">
          <w:rPr>
            <w:noProof/>
            <w:webHidden/>
          </w:rPr>
          <w:t>61</w:t>
        </w:r>
        <w:r w:rsidR="00543D47">
          <w:rPr>
            <w:noProof/>
            <w:webHidden/>
          </w:rPr>
          <w:fldChar w:fldCharType="end"/>
        </w:r>
      </w:hyperlink>
    </w:p>
    <w:p w14:paraId="0A8A22E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0" w:history="1">
        <w:r w:rsidR="00543D47" w:rsidRPr="00210832">
          <w:rPr>
            <w:rStyle w:val="Hyperlink"/>
            <w:noProof/>
          </w:rPr>
          <w:t>Figure 8. Utilisation of item 66665 by services by location per 100,000 people</w:t>
        </w:r>
        <w:r w:rsidR="00543D47">
          <w:rPr>
            <w:noProof/>
            <w:webHidden/>
          </w:rPr>
          <w:tab/>
        </w:r>
        <w:r w:rsidR="00543D47">
          <w:rPr>
            <w:noProof/>
            <w:webHidden/>
          </w:rPr>
          <w:fldChar w:fldCharType="begin"/>
        </w:r>
        <w:r w:rsidR="00543D47">
          <w:rPr>
            <w:noProof/>
            <w:webHidden/>
          </w:rPr>
          <w:instrText xml:space="preserve"> PAGEREF _Toc534374950 \h </w:instrText>
        </w:r>
        <w:r w:rsidR="00543D47">
          <w:rPr>
            <w:noProof/>
            <w:webHidden/>
          </w:rPr>
        </w:r>
        <w:r w:rsidR="00543D47">
          <w:rPr>
            <w:noProof/>
            <w:webHidden/>
          </w:rPr>
          <w:fldChar w:fldCharType="separate"/>
        </w:r>
        <w:r w:rsidR="00543D47">
          <w:rPr>
            <w:noProof/>
            <w:webHidden/>
          </w:rPr>
          <w:t>62</w:t>
        </w:r>
        <w:r w:rsidR="00543D47">
          <w:rPr>
            <w:noProof/>
            <w:webHidden/>
          </w:rPr>
          <w:fldChar w:fldCharType="end"/>
        </w:r>
      </w:hyperlink>
    </w:p>
    <w:p w14:paraId="706A5D6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1" w:history="1">
        <w:r w:rsidR="00543D47" w:rsidRPr="00210832">
          <w:rPr>
            <w:rStyle w:val="Hyperlink"/>
            <w:noProof/>
          </w:rPr>
          <w:t>Figure 9. State utilisation of item 66665 services per 100,000 people</w:t>
        </w:r>
        <w:r w:rsidR="00543D47">
          <w:rPr>
            <w:noProof/>
            <w:webHidden/>
          </w:rPr>
          <w:tab/>
        </w:r>
        <w:r w:rsidR="00543D47">
          <w:rPr>
            <w:noProof/>
            <w:webHidden/>
          </w:rPr>
          <w:fldChar w:fldCharType="begin"/>
        </w:r>
        <w:r w:rsidR="00543D47">
          <w:rPr>
            <w:noProof/>
            <w:webHidden/>
          </w:rPr>
          <w:instrText xml:space="preserve"> PAGEREF _Toc534374951 \h </w:instrText>
        </w:r>
        <w:r w:rsidR="00543D47">
          <w:rPr>
            <w:noProof/>
            <w:webHidden/>
          </w:rPr>
        </w:r>
        <w:r w:rsidR="00543D47">
          <w:rPr>
            <w:noProof/>
            <w:webHidden/>
          </w:rPr>
          <w:fldChar w:fldCharType="separate"/>
        </w:r>
        <w:r w:rsidR="00543D47">
          <w:rPr>
            <w:noProof/>
            <w:webHidden/>
          </w:rPr>
          <w:t>62</w:t>
        </w:r>
        <w:r w:rsidR="00543D47">
          <w:rPr>
            <w:noProof/>
            <w:webHidden/>
          </w:rPr>
          <w:fldChar w:fldCharType="end"/>
        </w:r>
      </w:hyperlink>
    </w:p>
    <w:p w14:paraId="3B8EE016"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2" w:history="1">
        <w:r w:rsidR="00543D47" w:rsidRPr="00210832">
          <w:rPr>
            <w:rStyle w:val="Hyperlink"/>
            <w:noProof/>
          </w:rPr>
          <w:t>Table 44. Item introduction table for item 66667, 66671, 66825, 66826, 66827, 66828, 66831, 66832</w:t>
        </w:r>
        <w:r w:rsidR="00543D47">
          <w:rPr>
            <w:noProof/>
            <w:webHidden/>
          </w:rPr>
          <w:tab/>
        </w:r>
        <w:r w:rsidR="00543D47">
          <w:rPr>
            <w:noProof/>
            <w:webHidden/>
          </w:rPr>
          <w:fldChar w:fldCharType="begin"/>
        </w:r>
        <w:r w:rsidR="00543D47">
          <w:rPr>
            <w:noProof/>
            <w:webHidden/>
          </w:rPr>
          <w:instrText xml:space="preserve"> PAGEREF _Toc534374952 \h </w:instrText>
        </w:r>
        <w:r w:rsidR="00543D47">
          <w:rPr>
            <w:noProof/>
            <w:webHidden/>
          </w:rPr>
        </w:r>
        <w:r w:rsidR="00543D47">
          <w:rPr>
            <w:noProof/>
            <w:webHidden/>
          </w:rPr>
          <w:fldChar w:fldCharType="separate"/>
        </w:r>
        <w:r w:rsidR="00543D47">
          <w:rPr>
            <w:noProof/>
            <w:webHidden/>
          </w:rPr>
          <w:t>63</w:t>
        </w:r>
        <w:r w:rsidR="00543D47">
          <w:rPr>
            <w:noProof/>
            <w:webHidden/>
          </w:rPr>
          <w:fldChar w:fldCharType="end"/>
        </w:r>
      </w:hyperlink>
    </w:p>
    <w:p w14:paraId="73377C8A"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3" w:history="1">
        <w:r w:rsidR="00543D47" w:rsidRPr="00210832">
          <w:rPr>
            <w:rStyle w:val="Hyperlink"/>
            <w:noProof/>
          </w:rPr>
          <w:t>Figure 10. State utilisation for item services per 100,000 people</w:t>
        </w:r>
        <w:r w:rsidR="00543D47">
          <w:rPr>
            <w:noProof/>
            <w:webHidden/>
          </w:rPr>
          <w:tab/>
        </w:r>
        <w:r w:rsidR="00543D47">
          <w:rPr>
            <w:noProof/>
            <w:webHidden/>
          </w:rPr>
          <w:fldChar w:fldCharType="begin"/>
        </w:r>
        <w:r w:rsidR="00543D47">
          <w:rPr>
            <w:noProof/>
            <w:webHidden/>
          </w:rPr>
          <w:instrText xml:space="preserve"> PAGEREF _Toc534374953 \h </w:instrText>
        </w:r>
        <w:r w:rsidR="00543D47">
          <w:rPr>
            <w:noProof/>
            <w:webHidden/>
          </w:rPr>
        </w:r>
        <w:r w:rsidR="00543D47">
          <w:rPr>
            <w:noProof/>
            <w:webHidden/>
          </w:rPr>
          <w:fldChar w:fldCharType="separate"/>
        </w:r>
        <w:r w:rsidR="00543D47">
          <w:rPr>
            <w:noProof/>
            <w:webHidden/>
          </w:rPr>
          <w:t>65</w:t>
        </w:r>
        <w:r w:rsidR="00543D47">
          <w:rPr>
            <w:noProof/>
            <w:webHidden/>
          </w:rPr>
          <w:fldChar w:fldCharType="end"/>
        </w:r>
      </w:hyperlink>
    </w:p>
    <w:p w14:paraId="32B19E1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4" w:history="1">
        <w:r w:rsidR="00543D47" w:rsidRPr="00210832">
          <w:rPr>
            <w:rStyle w:val="Hyperlink"/>
            <w:noProof/>
          </w:rPr>
          <w:t>Figure 11. State utilisation of item 66671 services per 100,000 people</w:t>
        </w:r>
        <w:r w:rsidR="00543D47">
          <w:rPr>
            <w:noProof/>
            <w:webHidden/>
          </w:rPr>
          <w:tab/>
        </w:r>
        <w:r w:rsidR="00543D47">
          <w:rPr>
            <w:noProof/>
            <w:webHidden/>
          </w:rPr>
          <w:fldChar w:fldCharType="begin"/>
        </w:r>
        <w:r w:rsidR="00543D47">
          <w:rPr>
            <w:noProof/>
            <w:webHidden/>
          </w:rPr>
          <w:instrText xml:space="preserve"> PAGEREF _Toc534374954 \h </w:instrText>
        </w:r>
        <w:r w:rsidR="00543D47">
          <w:rPr>
            <w:noProof/>
            <w:webHidden/>
          </w:rPr>
        </w:r>
        <w:r w:rsidR="00543D47">
          <w:rPr>
            <w:noProof/>
            <w:webHidden/>
          </w:rPr>
          <w:fldChar w:fldCharType="separate"/>
        </w:r>
        <w:r w:rsidR="00543D47">
          <w:rPr>
            <w:noProof/>
            <w:webHidden/>
          </w:rPr>
          <w:t>65</w:t>
        </w:r>
        <w:r w:rsidR="00543D47">
          <w:rPr>
            <w:noProof/>
            <w:webHidden/>
          </w:rPr>
          <w:fldChar w:fldCharType="end"/>
        </w:r>
      </w:hyperlink>
    </w:p>
    <w:p w14:paraId="630A97D1"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5" w:history="1">
        <w:r w:rsidR="00543D47" w:rsidRPr="00210832">
          <w:rPr>
            <w:rStyle w:val="Hyperlink"/>
            <w:noProof/>
          </w:rPr>
          <w:t>Table 45. Item introduction table for items 66819, 66820, 66821, 66822</w:t>
        </w:r>
        <w:r w:rsidR="00543D47">
          <w:rPr>
            <w:noProof/>
            <w:webHidden/>
          </w:rPr>
          <w:tab/>
        </w:r>
        <w:r w:rsidR="00543D47">
          <w:rPr>
            <w:noProof/>
            <w:webHidden/>
          </w:rPr>
          <w:fldChar w:fldCharType="begin"/>
        </w:r>
        <w:r w:rsidR="00543D47">
          <w:rPr>
            <w:noProof/>
            <w:webHidden/>
          </w:rPr>
          <w:instrText xml:space="preserve"> PAGEREF _Toc534374955 \h </w:instrText>
        </w:r>
        <w:r w:rsidR="00543D47">
          <w:rPr>
            <w:noProof/>
            <w:webHidden/>
          </w:rPr>
        </w:r>
        <w:r w:rsidR="00543D47">
          <w:rPr>
            <w:noProof/>
            <w:webHidden/>
          </w:rPr>
          <w:fldChar w:fldCharType="separate"/>
        </w:r>
        <w:r w:rsidR="00543D47">
          <w:rPr>
            <w:noProof/>
            <w:webHidden/>
          </w:rPr>
          <w:t>66</w:t>
        </w:r>
        <w:r w:rsidR="00543D47">
          <w:rPr>
            <w:noProof/>
            <w:webHidden/>
          </w:rPr>
          <w:fldChar w:fldCharType="end"/>
        </w:r>
      </w:hyperlink>
    </w:p>
    <w:p w14:paraId="286F275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6" w:history="1">
        <w:r w:rsidR="00543D47" w:rsidRPr="00210832">
          <w:rPr>
            <w:rStyle w:val="Hyperlink"/>
            <w:noProof/>
          </w:rPr>
          <w:t>Table 46. Current and proposed item descriptor 66819 - 66822</w:t>
        </w:r>
        <w:r w:rsidR="00543D47">
          <w:rPr>
            <w:noProof/>
            <w:webHidden/>
          </w:rPr>
          <w:tab/>
        </w:r>
        <w:r w:rsidR="00543D47">
          <w:rPr>
            <w:noProof/>
            <w:webHidden/>
          </w:rPr>
          <w:fldChar w:fldCharType="begin"/>
        </w:r>
        <w:r w:rsidR="00543D47">
          <w:rPr>
            <w:noProof/>
            <w:webHidden/>
          </w:rPr>
          <w:instrText xml:space="preserve"> PAGEREF _Toc534374956 \h </w:instrText>
        </w:r>
        <w:r w:rsidR="00543D47">
          <w:rPr>
            <w:noProof/>
            <w:webHidden/>
          </w:rPr>
        </w:r>
        <w:r w:rsidR="00543D47">
          <w:rPr>
            <w:noProof/>
            <w:webHidden/>
          </w:rPr>
          <w:fldChar w:fldCharType="separate"/>
        </w:r>
        <w:r w:rsidR="00543D47">
          <w:rPr>
            <w:noProof/>
            <w:webHidden/>
          </w:rPr>
          <w:t>67</w:t>
        </w:r>
        <w:r w:rsidR="00543D47">
          <w:rPr>
            <w:noProof/>
            <w:webHidden/>
          </w:rPr>
          <w:fldChar w:fldCharType="end"/>
        </w:r>
      </w:hyperlink>
    </w:p>
    <w:p w14:paraId="4B45C69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7" w:history="1">
        <w:r w:rsidR="00543D47" w:rsidRPr="00210832">
          <w:rPr>
            <w:rStyle w:val="Hyperlink"/>
            <w:noProof/>
          </w:rPr>
          <w:t>Table 47. Item introduction table for items 66782-66792</w:t>
        </w:r>
        <w:r w:rsidR="00543D47">
          <w:rPr>
            <w:noProof/>
            <w:webHidden/>
          </w:rPr>
          <w:tab/>
        </w:r>
        <w:r w:rsidR="00543D47">
          <w:rPr>
            <w:noProof/>
            <w:webHidden/>
          </w:rPr>
          <w:fldChar w:fldCharType="begin"/>
        </w:r>
        <w:r w:rsidR="00543D47">
          <w:rPr>
            <w:noProof/>
            <w:webHidden/>
          </w:rPr>
          <w:instrText xml:space="preserve"> PAGEREF _Toc534374957 \h </w:instrText>
        </w:r>
        <w:r w:rsidR="00543D47">
          <w:rPr>
            <w:noProof/>
            <w:webHidden/>
          </w:rPr>
        </w:r>
        <w:r w:rsidR="00543D47">
          <w:rPr>
            <w:noProof/>
            <w:webHidden/>
          </w:rPr>
          <w:fldChar w:fldCharType="separate"/>
        </w:r>
        <w:r w:rsidR="00543D47">
          <w:rPr>
            <w:noProof/>
            <w:webHidden/>
          </w:rPr>
          <w:t>68</w:t>
        </w:r>
        <w:r w:rsidR="00543D47">
          <w:rPr>
            <w:noProof/>
            <w:webHidden/>
          </w:rPr>
          <w:fldChar w:fldCharType="end"/>
        </w:r>
      </w:hyperlink>
    </w:p>
    <w:p w14:paraId="4EE17F3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8" w:history="1">
        <w:r w:rsidR="00543D47" w:rsidRPr="00210832">
          <w:rPr>
            <w:rStyle w:val="Hyperlink"/>
            <w:noProof/>
          </w:rPr>
          <w:t>Table 48. Item introduction table for items 66756 and 66757</w:t>
        </w:r>
        <w:r w:rsidR="00543D47">
          <w:rPr>
            <w:noProof/>
            <w:webHidden/>
          </w:rPr>
          <w:tab/>
        </w:r>
        <w:r w:rsidR="00543D47">
          <w:rPr>
            <w:noProof/>
            <w:webHidden/>
          </w:rPr>
          <w:fldChar w:fldCharType="begin"/>
        </w:r>
        <w:r w:rsidR="00543D47">
          <w:rPr>
            <w:noProof/>
            <w:webHidden/>
          </w:rPr>
          <w:instrText xml:space="preserve"> PAGEREF _Toc534374958 \h </w:instrText>
        </w:r>
        <w:r w:rsidR="00543D47">
          <w:rPr>
            <w:noProof/>
            <w:webHidden/>
          </w:rPr>
        </w:r>
        <w:r w:rsidR="00543D47">
          <w:rPr>
            <w:noProof/>
            <w:webHidden/>
          </w:rPr>
          <w:fldChar w:fldCharType="separate"/>
        </w:r>
        <w:r w:rsidR="00543D47">
          <w:rPr>
            <w:noProof/>
            <w:webHidden/>
          </w:rPr>
          <w:t>70</w:t>
        </w:r>
        <w:r w:rsidR="00543D47">
          <w:rPr>
            <w:noProof/>
            <w:webHidden/>
          </w:rPr>
          <w:fldChar w:fldCharType="end"/>
        </w:r>
      </w:hyperlink>
    </w:p>
    <w:p w14:paraId="3BD9C5A2"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59" w:history="1">
        <w:r w:rsidR="00543D47" w:rsidRPr="00210832">
          <w:rPr>
            <w:rStyle w:val="Hyperlink"/>
            <w:noProof/>
          </w:rPr>
          <w:t>Table 49.</w:t>
        </w:r>
        <w:r w:rsidR="00543D47" w:rsidRPr="00210832">
          <w:rPr>
            <w:rStyle w:val="Hyperlink"/>
            <w:b/>
            <w:noProof/>
          </w:rPr>
          <w:t xml:space="preserve"> </w:t>
        </w:r>
        <w:r w:rsidR="00543D47" w:rsidRPr="00210832">
          <w:rPr>
            <w:rStyle w:val="Hyperlink"/>
            <w:noProof/>
          </w:rPr>
          <w:t>Current and proposed new item descriptor for item 66756/66757</w:t>
        </w:r>
        <w:r w:rsidR="00543D47">
          <w:rPr>
            <w:noProof/>
            <w:webHidden/>
          </w:rPr>
          <w:tab/>
        </w:r>
        <w:r w:rsidR="00543D47">
          <w:rPr>
            <w:noProof/>
            <w:webHidden/>
          </w:rPr>
          <w:fldChar w:fldCharType="begin"/>
        </w:r>
        <w:r w:rsidR="00543D47">
          <w:rPr>
            <w:noProof/>
            <w:webHidden/>
          </w:rPr>
          <w:instrText xml:space="preserve"> PAGEREF _Toc534374959 \h </w:instrText>
        </w:r>
        <w:r w:rsidR="00543D47">
          <w:rPr>
            <w:noProof/>
            <w:webHidden/>
          </w:rPr>
        </w:r>
        <w:r w:rsidR="00543D47">
          <w:rPr>
            <w:noProof/>
            <w:webHidden/>
          </w:rPr>
          <w:fldChar w:fldCharType="separate"/>
        </w:r>
        <w:r w:rsidR="00543D47">
          <w:rPr>
            <w:noProof/>
            <w:webHidden/>
          </w:rPr>
          <w:t>71</w:t>
        </w:r>
        <w:r w:rsidR="00543D47">
          <w:rPr>
            <w:noProof/>
            <w:webHidden/>
          </w:rPr>
          <w:fldChar w:fldCharType="end"/>
        </w:r>
      </w:hyperlink>
    </w:p>
    <w:p w14:paraId="2C7FA63A"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0" w:history="1">
        <w:r w:rsidR="00543D47" w:rsidRPr="00210832">
          <w:rPr>
            <w:rStyle w:val="Hyperlink"/>
            <w:noProof/>
          </w:rPr>
          <w:t>Table 50. Item introduction table for items 66752 and 66755</w:t>
        </w:r>
        <w:r w:rsidR="00543D47">
          <w:rPr>
            <w:noProof/>
            <w:webHidden/>
          </w:rPr>
          <w:tab/>
        </w:r>
        <w:r w:rsidR="00543D47">
          <w:rPr>
            <w:noProof/>
            <w:webHidden/>
          </w:rPr>
          <w:fldChar w:fldCharType="begin"/>
        </w:r>
        <w:r w:rsidR="00543D47">
          <w:rPr>
            <w:noProof/>
            <w:webHidden/>
          </w:rPr>
          <w:instrText xml:space="preserve"> PAGEREF _Toc534374960 \h </w:instrText>
        </w:r>
        <w:r w:rsidR="00543D47">
          <w:rPr>
            <w:noProof/>
            <w:webHidden/>
          </w:rPr>
        </w:r>
        <w:r w:rsidR="00543D47">
          <w:rPr>
            <w:noProof/>
            <w:webHidden/>
          </w:rPr>
          <w:fldChar w:fldCharType="separate"/>
        </w:r>
        <w:r w:rsidR="00543D47">
          <w:rPr>
            <w:noProof/>
            <w:webHidden/>
          </w:rPr>
          <w:t>71</w:t>
        </w:r>
        <w:r w:rsidR="00543D47">
          <w:rPr>
            <w:noProof/>
            <w:webHidden/>
          </w:rPr>
          <w:fldChar w:fldCharType="end"/>
        </w:r>
      </w:hyperlink>
    </w:p>
    <w:p w14:paraId="3818D8C3"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1" w:history="1">
        <w:r w:rsidR="00543D47" w:rsidRPr="00210832">
          <w:rPr>
            <w:rStyle w:val="Hyperlink"/>
            <w:noProof/>
          </w:rPr>
          <w:t>Table 51. Current and proposed item descriptor for item 66752</w:t>
        </w:r>
        <w:r w:rsidR="00543D47">
          <w:rPr>
            <w:noProof/>
            <w:webHidden/>
          </w:rPr>
          <w:tab/>
        </w:r>
        <w:r w:rsidR="00543D47">
          <w:rPr>
            <w:noProof/>
            <w:webHidden/>
          </w:rPr>
          <w:fldChar w:fldCharType="begin"/>
        </w:r>
        <w:r w:rsidR="00543D47">
          <w:rPr>
            <w:noProof/>
            <w:webHidden/>
          </w:rPr>
          <w:instrText xml:space="preserve"> PAGEREF _Toc534374961 \h </w:instrText>
        </w:r>
        <w:r w:rsidR="00543D47">
          <w:rPr>
            <w:noProof/>
            <w:webHidden/>
          </w:rPr>
        </w:r>
        <w:r w:rsidR="00543D47">
          <w:rPr>
            <w:noProof/>
            <w:webHidden/>
          </w:rPr>
          <w:fldChar w:fldCharType="separate"/>
        </w:r>
        <w:r w:rsidR="00543D47">
          <w:rPr>
            <w:noProof/>
            <w:webHidden/>
          </w:rPr>
          <w:t>72</w:t>
        </w:r>
        <w:r w:rsidR="00543D47">
          <w:rPr>
            <w:noProof/>
            <w:webHidden/>
          </w:rPr>
          <w:fldChar w:fldCharType="end"/>
        </w:r>
      </w:hyperlink>
    </w:p>
    <w:p w14:paraId="2C40749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2" w:history="1">
        <w:r w:rsidR="00543D47" w:rsidRPr="00210832">
          <w:rPr>
            <w:rStyle w:val="Hyperlink"/>
            <w:noProof/>
          </w:rPr>
          <w:t>Table 52. Item introduction table for items 66773, 66776</w:t>
        </w:r>
        <w:r w:rsidR="00543D47">
          <w:rPr>
            <w:noProof/>
            <w:webHidden/>
          </w:rPr>
          <w:tab/>
        </w:r>
        <w:r w:rsidR="00543D47">
          <w:rPr>
            <w:noProof/>
            <w:webHidden/>
          </w:rPr>
          <w:fldChar w:fldCharType="begin"/>
        </w:r>
        <w:r w:rsidR="00543D47">
          <w:rPr>
            <w:noProof/>
            <w:webHidden/>
          </w:rPr>
          <w:instrText xml:space="preserve"> PAGEREF _Toc534374962 \h </w:instrText>
        </w:r>
        <w:r w:rsidR="00543D47">
          <w:rPr>
            <w:noProof/>
            <w:webHidden/>
          </w:rPr>
        </w:r>
        <w:r w:rsidR="00543D47">
          <w:rPr>
            <w:noProof/>
            <w:webHidden/>
          </w:rPr>
          <w:fldChar w:fldCharType="separate"/>
        </w:r>
        <w:r w:rsidR="00543D47">
          <w:rPr>
            <w:noProof/>
            <w:webHidden/>
          </w:rPr>
          <w:t>73</w:t>
        </w:r>
        <w:r w:rsidR="00543D47">
          <w:rPr>
            <w:noProof/>
            <w:webHidden/>
          </w:rPr>
          <w:fldChar w:fldCharType="end"/>
        </w:r>
      </w:hyperlink>
    </w:p>
    <w:p w14:paraId="3FC50D0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3" w:history="1">
        <w:r w:rsidR="00543D47" w:rsidRPr="00210832">
          <w:rPr>
            <w:rStyle w:val="Hyperlink"/>
            <w:noProof/>
          </w:rPr>
          <w:t>Table 53. Item introduction table for items 66779, 66780</w:t>
        </w:r>
        <w:r w:rsidR="00543D47">
          <w:rPr>
            <w:noProof/>
            <w:webHidden/>
          </w:rPr>
          <w:tab/>
        </w:r>
        <w:r w:rsidR="00543D47">
          <w:rPr>
            <w:noProof/>
            <w:webHidden/>
          </w:rPr>
          <w:fldChar w:fldCharType="begin"/>
        </w:r>
        <w:r w:rsidR="00543D47">
          <w:rPr>
            <w:noProof/>
            <w:webHidden/>
          </w:rPr>
          <w:instrText xml:space="preserve"> PAGEREF _Toc534374963 \h </w:instrText>
        </w:r>
        <w:r w:rsidR="00543D47">
          <w:rPr>
            <w:noProof/>
            <w:webHidden/>
          </w:rPr>
        </w:r>
        <w:r w:rsidR="00543D47">
          <w:rPr>
            <w:noProof/>
            <w:webHidden/>
          </w:rPr>
          <w:fldChar w:fldCharType="separate"/>
        </w:r>
        <w:r w:rsidR="00543D47">
          <w:rPr>
            <w:noProof/>
            <w:webHidden/>
          </w:rPr>
          <w:t>74</w:t>
        </w:r>
        <w:r w:rsidR="00543D47">
          <w:rPr>
            <w:noProof/>
            <w:webHidden/>
          </w:rPr>
          <w:fldChar w:fldCharType="end"/>
        </w:r>
      </w:hyperlink>
    </w:p>
    <w:p w14:paraId="0591DFC0"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4" w:history="1">
        <w:r w:rsidR="00543D47" w:rsidRPr="00210832">
          <w:rPr>
            <w:rStyle w:val="Hyperlink"/>
            <w:noProof/>
          </w:rPr>
          <w:t>Table 54. Current and proposed item descriptor for item 66779</w:t>
        </w:r>
        <w:r w:rsidR="00543D47">
          <w:rPr>
            <w:noProof/>
            <w:webHidden/>
          </w:rPr>
          <w:tab/>
        </w:r>
        <w:r w:rsidR="00543D47">
          <w:rPr>
            <w:noProof/>
            <w:webHidden/>
          </w:rPr>
          <w:fldChar w:fldCharType="begin"/>
        </w:r>
        <w:r w:rsidR="00543D47">
          <w:rPr>
            <w:noProof/>
            <w:webHidden/>
          </w:rPr>
          <w:instrText xml:space="preserve"> PAGEREF _Toc534374964 \h </w:instrText>
        </w:r>
        <w:r w:rsidR="00543D47">
          <w:rPr>
            <w:noProof/>
            <w:webHidden/>
          </w:rPr>
        </w:r>
        <w:r w:rsidR="00543D47">
          <w:rPr>
            <w:noProof/>
            <w:webHidden/>
          </w:rPr>
          <w:fldChar w:fldCharType="separate"/>
        </w:r>
        <w:r w:rsidR="00543D47">
          <w:rPr>
            <w:noProof/>
            <w:webHidden/>
          </w:rPr>
          <w:t>76</w:t>
        </w:r>
        <w:r w:rsidR="00543D47">
          <w:rPr>
            <w:noProof/>
            <w:webHidden/>
          </w:rPr>
          <w:fldChar w:fldCharType="end"/>
        </w:r>
      </w:hyperlink>
    </w:p>
    <w:p w14:paraId="4841752F"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5" w:history="1">
        <w:r w:rsidR="00543D47" w:rsidRPr="00210832">
          <w:rPr>
            <w:rStyle w:val="Hyperlink"/>
            <w:noProof/>
          </w:rPr>
          <w:t>Table 55. Item introduction table for item 66683</w:t>
        </w:r>
        <w:r w:rsidR="00543D47">
          <w:rPr>
            <w:noProof/>
            <w:webHidden/>
          </w:rPr>
          <w:tab/>
        </w:r>
        <w:r w:rsidR="00543D47">
          <w:rPr>
            <w:noProof/>
            <w:webHidden/>
          </w:rPr>
          <w:fldChar w:fldCharType="begin"/>
        </w:r>
        <w:r w:rsidR="00543D47">
          <w:rPr>
            <w:noProof/>
            <w:webHidden/>
          </w:rPr>
          <w:instrText xml:space="preserve"> PAGEREF _Toc534374965 \h </w:instrText>
        </w:r>
        <w:r w:rsidR="00543D47">
          <w:rPr>
            <w:noProof/>
            <w:webHidden/>
          </w:rPr>
        </w:r>
        <w:r w:rsidR="00543D47">
          <w:rPr>
            <w:noProof/>
            <w:webHidden/>
          </w:rPr>
          <w:fldChar w:fldCharType="separate"/>
        </w:r>
        <w:r w:rsidR="00543D47">
          <w:rPr>
            <w:noProof/>
            <w:webHidden/>
          </w:rPr>
          <w:t>77</w:t>
        </w:r>
        <w:r w:rsidR="00543D47">
          <w:rPr>
            <w:noProof/>
            <w:webHidden/>
          </w:rPr>
          <w:fldChar w:fldCharType="end"/>
        </w:r>
      </w:hyperlink>
    </w:p>
    <w:p w14:paraId="12395AE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6" w:history="1">
        <w:r w:rsidR="00543D47" w:rsidRPr="00210832">
          <w:rPr>
            <w:rStyle w:val="Hyperlink"/>
            <w:noProof/>
          </w:rPr>
          <w:t>Table 56. Item introduction table for items 66650, 66651, 66652, 66653 and 66629</w:t>
        </w:r>
        <w:r w:rsidR="00543D47">
          <w:rPr>
            <w:noProof/>
            <w:webHidden/>
          </w:rPr>
          <w:tab/>
        </w:r>
        <w:r w:rsidR="00543D47">
          <w:rPr>
            <w:noProof/>
            <w:webHidden/>
          </w:rPr>
          <w:fldChar w:fldCharType="begin"/>
        </w:r>
        <w:r w:rsidR="00543D47">
          <w:rPr>
            <w:noProof/>
            <w:webHidden/>
          </w:rPr>
          <w:instrText xml:space="preserve"> PAGEREF _Toc534374966 \h </w:instrText>
        </w:r>
        <w:r w:rsidR="00543D47">
          <w:rPr>
            <w:noProof/>
            <w:webHidden/>
          </w:rPr>
        </w:r>
        <w:r w:rsidR="00543D47">
          <w:rPr>
            <w:noProof/>
            <w:webHidden/>
          </w:rPr>
          <w:fldChar w:fldCharType="separate"/>
        </w:r>
        <w:r w:rsidR="00543D47">
          <w:rPr>
            <w:noProof/>
            <w:webHidden/>
          </w:rPr>
          <w:t>78</w:t>
        </w:r>
        <w:r w:rsidR="00543D47">
          <w:rPr>
            <w:noProof/>
            <w:webHidden/>
          </w:rPr>
          <w:fldChar w:fldCharType="end"/>
        </w:r>
      </w:hyperlink>
    </w:p>
    <w:p w14:paraId="3D6106B1"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7" w:history="1">
        <w:r w:rsidR="00543D47" w:rsidRPr="00210832">
          <w:rPr>
            <w:rStyle w:val="Hyperlink"/>
            <w:noProof/>
            <w:lang w:val="en-US"/>
          </w:rPr>
          <w:t>Table 57. Current and proposed item descriptor for items 66650 – 66653 and 66629*</w:t>
        </w:r>
        <w:r w:rsidR="00543D47">
          <w:rPr>
            <w:noProof/>
            <w:webHidden/>
          </w:rPr>
          <w:tab/>
        </w:r>
        <w:r w:rsidR="00543D47">
          <w:rPr>
            <w:noProof/>
            <w:webHidden/>
          </w:rPr>
          <w:fldChar w:fldCharType="begin"/>
        </w:r>
        <w:r w:rsidR="00543D47">
          <w:rPr>
            <w:noProof/>
            <w:webHidden/>
          </w:rPr>
          <w:instrText xml:space="preserve"> PAGEREF _Toc534374967 \h </w:instrText>
        </w:r>
        <w:r w:rsidR="00543D47">
          <w:rPr>
            <w:noProof/>
            <w:webHidden/>
          </w:rPr>
        </w:r>
        <w:r w:rsidR="00543D47">
          <w:rPr>
            <w:noProof/>
            <w:webHidden/>
          </w:rPr>
          <w:fldChar w:fldCharType="separate"/>
        </w:r>
        <w:r w:rsidR="00543D47">
          <w:rPr>
            <w:noProof/>
            <w:webHidden/>
          </w:rPr>
          <w:t>81</w:t>
        </w:r>
        <w:r w:rsidR="00543D47">
          <w:rPr>
            <w:noProof/>
            <w:webHidden/>
          </w:rPr>
          <w:fldChar w:fldCharType="end"/>
        </w:r>
      </w:hyperlink>
    </w:p>
    <w:p w14:paraId="4E4A85A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8" w:history="1">
        <w:r w:rsidR="00543D47" w:rsidRPr="00210832">
          <w:rPr>
            <w:rStyle w:val="Hyperlink"/>
            <w:noProof/>
          </w:rPr>
          <w:t>Figure 12. State utilisation for items 66629, 66650 and 66653</w:t>
        </w:r>
        <w:r w:rsidR="00543D47">
          <w:rPr>
            <w:noProof/>
            <w:webHidden/>
          </w:rPr>
          <w:tab/>
        </w:r>
        <w:r w:rsidR="00543D47">
          <w:rPr>
            <w:noProof/>
            <w:webHidden/>
          </w:rPr>
          <w:fldChar w:fldCharType="begin"/>
        </w:r>
        <w:r w:rsidR="00543D47">
          <w:rPr>
            <w:noProof/>
            <w:webHidden/>
          </w:rPr>
          <w:instrText xml:space="preserve"> PAGEREF _Toc534374968 \h </w:instrText>
        </w:r>
        <w:r w:rsidR="00543D47">
          <w:rPr>
            <w:noProof/>
            <w:webHidden/>
          </w:rPr>
        </w:r>
        <w:r w:rsidR="00543D47">
          <w:rPr>
            <w:noProof/>
            <w:webHidden/>
          </w:rPr>
          <w:fldChar w:fldCharType="separate"/>
        </w:r>
        <w:r w:rsidR="00543D47">
          <w:rPr>
            <w:noProof/>
            <w:webHidden/>
          </w:rPr>
          <w:t>85</w:t>
        </w:r>
        <w:r w:rsidR="00543D47">
          <w:rPr>
            <w:noProof/>
            <w:webHidden/>
          </w:rPr>
          <w:fldChar w:fldCharType="end"/>
        </w:r>
      </w:hyperlink>
    </w:p>
    <w:p w14:paraId="1BF6FB5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69" w:history="1">
        <w:r w:rsidR="00543D47" w:rsidRPr="00210832">
          <w:rPr>
            <w:rStyle w:val="Hyperlink"/>
            <w:noProof/>
          </w:rPr>
          <w:t>Table 58. Repeat testing for items 66650, 66651, 66652 and 66653</w:t>
        </w:r>
        <w:r w:rsidR="00543D47">
          <w:rPr>
            <w:noProof/>
            <w:webHidden/>
          </w:rPr>
          <w:tab/>
        </w:r>
        <w:r w:rsidR="00543D47">
          <w:rPr>
            <w:noProof/>
            <w:webHidden/>
          </w:rPr>
          <w:fldChar w:fldCharType="begin"/>
        </w:r>
        <w:r w:rsidR="00543D47">
          <w:rPr>
            <w:noProof/>
            <w:webHidden/>
          </w:rPr>
          <w:instrText xml:space="preserve"> PAGEREF _Toc534374969 \h </w:instrText>
        </w:r>
        <w:r w:rsidR="00543D47">
          <w:rPr>
            <w:noProof/>
            <w:webHidden/>
          </w:rPr>
        </w:r>
        <w:r w:rsidR="00543D47">
          <w:rPr>
            <w:noProof/>
            <w:webHidden/>
          </w:rPr>
          <w:fldChar w:fldCharType="separate"/>
        </w:r>
        <w:r w:rsidR="00543D47">
          <w:rPr>
            <w:noProof/>
            <w:webHidden/>
          </w:rPr>
          <w:t>86</w:t>
        </w:r>
        <w:r w:rsidR="00543D47">
          <w:rPr>
            <w:noProof/>
            <w:webHidden/>
          </w:rPr>
          <w:fldChar w:fldCharType="end"/>
        </w:r>
      </w:hyperlink>
    </w:p>
    <w:p w14:paraId="6D15FD7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0" w:history="1">
        <w:r w:rsidR="00543D47" w:rsidRPr="00210832">
          <w:rPr>
            <w:rStyle w:val="Hyperlink"/>
            <w:noProof/>
          </w:rPr>
          <w:t>Table 59. Laboratory data from a large metropolitan laboratory</w:t>
        </w:r>
        <w:r w:rsidR="00543D47">
          <w:rPr>
            <w:noProof/>
            <w:webHidden/>
          </w:rPr>
          <w:tab/>
        </w:r>
        <w:r w:rsidR="00543D47">
          <w:rPr>
            <w:noProof/>
            <w:webHidden/>
          </w:rPr>
          <w:fldChar w:fldCharType="begin"/>
        </w:r>
        <w:r w:rsidR="00543D47">
          <w:rPr>
            <w:noProof/>
            <w:webHidden/>
          </w:rPr>
          <w:instrText xml:space="preserve"> PAGEREF _Toc534374970 \h </w:instrText>
        </w:r>
        <w:r w:rsidR="00543D47">
          <w:rPr>
            <w:noProof/>
            <w:webHidden/>
          </w:rPr>
        </w:r>
        <w:r w:rsidR="00543D47">
          <w:rPr>
            <w:noProof/>
            <w:webHidden/>
          </w:rPr>
          <w:fldChar w:fldCharType="separate"/>
        </w:r>
        <w:r w:rsidR="00543D47">
          <w:rPr>
            <w:noProof/>
            <w:webHidden/>
          </w:rPr>
          <w:t>86</w:t>
        </w:r>
        <w:r w:rsidR="00543D47">
          <w:rPr>
            <w:noProof/>
            <w:webHidden/>
          </w:rPr>
          <w:fldChar w:fldCharType="end"/>
        </w:r>
      </w:hyperlink>
    </w:p>
    <w:p w14:paraId="7FAABB63"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1" w:history="1">
        <w:r w:rsidR="00543D47" w:rsidRPr="00210832">
          <w:rPr>
            <w:rStyle w:val="Hyperlink"/>
            <w:noProof/>
          </w:rPr>
          <w:t>Figure 13. Item 66650 requested by speciality</w:t>
        </w:r>
        <w:r w:rsidR="00543D47">
          <w:rPr>
            <w:noProof/>
            <w:webHidden/>
          </w:rPr>
          <w:tab/>
        </w:r>
        <w:r w:rsidR="00543D47">
          <w:rPr>
            <w:noProof/>
            <w:webHidden/>
          </w:rPr>
          <w:fldChar w:fldCharType="begin"/>
        </w:r>
        <w:r w:rsidR="00543D47">
          <w:rPr>
            <w:noProof/>
            <w:webHidden/>
          </w:rPr>
          <w:instrText xml:space="preserve"> PAGEREF _Toc534374971 \h </w:instrText>
        </w:r>
        <w:r w:rsidR="00543D47">
          <w:rPr>
            <w:noProof/>
            <w:webHidden/>
          </w:rPr>
        </w:r>
        <w:r w:rsidR="00543D47">
          <w:rPr>
            <w:noProof/>
            <w:webHidden/>
          </w:rPr>
          <w:fldChar w:fldCharType="separate"/>
        </w:r>
        <w:r w:rsidR="00543D47">
          <w:rPr>
            <w:noProof/>
            <w:webHidden/>
          </w:rPr>
          <w:t>86</w:t>
        </w:r>
        <w:r w:rsidR="00543D47">
          <w:rPr>
            <w:noProof/>
            <w:webHidden/>
          </w:rPr>
          <w:fldChar w:fldCharType="end"/>
        </w:r>
      </w:hyperlink>
    </w:p>
    <w:p w14:paraId="53E3C57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2" w:history="1">
        <w:r w:rsidR="00543D47" w:rsidRPr="00210832">
          <w:rPr>
            <w:rStyle w:val="Hyperlink"/>
            <w:noProof/>
          </w:rPr>
          <w:t>Figure 14. Item 66653 requested by speciality</w:t>
        </w:r>
        <w:r w:rsidR="00543D47">
          <w:rPr>
            <w:noProof/>
            <w:webHidden/>
          </w:rPr>
          <w:tab/>
        </w:r>
        <w:r w:rsidR="00543D47">
          <w:rPr>
            <w:noProof/>
            <w:webHidden/>
          </w:rPr>
          <w:fldChar w:fldCharType="begin"/>
        </w:r>
        <w:r w:rsidR="00543D47">
          <w:rPr>
            <w:noProof/>
            <w:webHidden/>
          </w:rPr>
          <w:instrText xml:space="preserve"> PAGEREF _Toc534374972 \h </w:instrText>
        </w:r>
        <w:r w:rsidR="00543D47">
          <w:rPr>
            <w:noProof/>
            <w:webHidden/>
          </w:rPr>
        </w:r>
        <w:r w:rsidR="00543D47">
          <w:rPr>
            <w:noProof/>
            <w:webHidden/>
          </w:rPr>
          <w:fldChar w:fldCharType="separate"/>
        </w:r>
        <w:r w:rsidR="00543D47">
          <w:rPr>
            <w:noProof/>
            <w:webHidden/>
          </w:rPr>
          <w:t>87</w:t>
        </w:r>
        <w:r w:rsidR="00543D47">
          <w:rPr>
            <w:noProof/>
            <w:webHidden/>
          </w:rPr>
          <w:fldChar w:fldCharType="end"/>
        </w:r>
      </w:hyperlink>
    </w:p>
    <w:p w14:paraId="641B53D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3" w:history="1">
        <w:r w:rsidR="00543D47" w:rsidRPr="00210832">
          <w:rPr>
            <w:rStyle w:val="Hyperlink"/>
            <w:noProof/>
          </w:rPr>
          <w:t>Table 60. Item introduction table for 66838, 66839</w:t>
        </w:r>
        <w:r w:rsidR="00543D47">
          <w:rPr>
            <w:noProof/>
            <w:webHidden/>
          </w:rPr>
          <w:tab/>
        </w:r>
        <w:r w:rsidR="00543D47">
          <w:rPr>
            <w:noProof/>
            <w:webHidden/>
          </w:rPr>
          <w:fldChar w:fldCharType="begin"/>
        </w:r>
        <w:r w:rsidR="00543D47">
          <w:rPr>
            <w:noProof/>
            <w:webHidden/>
          </w:rPr>
          <w:instrText xml:space="preserve"> PAGEREF _Toc534374973 \h </w:instrText>
        </w:r>
        <w:r w:rsidR="00543D47">
          <w:rPr>
            <w:noProof/>
            <w:webHidden/>
          </w:rPr>
        </w:r>
        <w:r w:rsidR="00543D47">
          <w:rPr>
            <w:noProof/>
            <w:webHidden/>
          </w:rPr>
          <w:fldChar w:fldCharType="separate"/>
        </w:r>
        <w:r w:rsidR="00543D47">
          <w:rPr>
            <w:noProof/>
            <w:webHidden/>
          </w:rPr>
          <w:t>88</w:t>
        </w:r>
        <w:r w:rsidR="00543D47">
          <w:rPr>
            <w:noProof/>
            <w:webHidden/>
          </w:rPr>
          <w:fldChar w:fldCharType="end"/>
        </w:r>
      </w:hyperlink>
    </w:p>
    <w:p w14:paraId="076CA213"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4" w:history="1">
        <w:r w:rsidR="00543D47" w:rsidRPr="00210832">
          <w:rPr>
            <w:rStyle w:val="Hyperlink"/>
            <w:noProof/>
          </w:rPr>
          <w:t>Table 61. Item introduction table for item 66840</w:t>
        </w:r>
        <w:r w:rsidR="00543D47">
          <w:rPr>
            <w:noProof/>
            <w:webHidden/>
          </w:rPr>
          <w:tab/>
        </w:r>
        <w:r w:rsidR="00543D47">
          <w:rPr>
            <w:noProof/>
            <w:webHidden/>
          </w:rPr>
          <w:fldChar w:fldCharType="begin"/>
        </w:r>
        <w:r w:rsidR="00543D47">
          <w:rPr>
            <w:noProof/>
            <w:webHidden/>
          </w:rPr>
          <w:instrText xml:space="preserve"> PAGEREF _Toc534374974 \h </w:instrText>
        </w:r>
        <w:r w:rsidR="00543D47">
          <w:rPr>
            <w:noProof/>
            <w:webHidden/>
          </w:rPr>
        </w:r>
        <w:r w:rsidR="00543D47">
          <w:rPr>
            <w:noProof/>
            <w:webHidden/>
          </w:rPr>
          <w:fldChar w:fldCharType="separate"/>
        </w:r>
        <w:r w:rsidR="00543D47">
          <w:rPr>
            <w:noProof/>
            <w:webHidden/>
          </w:rPr>
          <w:t>91</w:t>
        </w:r>
        <w:r w:rsidR="00543D47">
          <w:rPr>
            <w:noProof/>
            <w:webHidden/>
          </w:rPr>
          <w:fldChar w:fldCharType="end"/>
        </w:r>
      </w:hyperlink>
    </w:p>
    <w:p w14:paraId="6D92582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5" w:history="1">
        <w:r w:rsidR="00543D47" w:rsidRPr="00210832">
          <w:rPr>
            <w:rStyle w:val="Hyperlink"/>
            <w:noProof/>
          </w:rPr>
          <w:t xml:space="preserve">Table </w:t>
        </w:r>
        <w:r w:rsidR="00543D47" w:rsidRPr="00210832">
          <w:rPr>
            <w:rStyle w:val="Hyperlink"/>
            <w:bCs/>
            <w:noProof/>
          </w:rPr>
          <w:t>62</w:t>
        </w:r>
        <w:r w:rsidR="00543D47" w:rsidRPr="00210832">
          <w:rPr>
            <w:rStyle w:val="Hyperlink"/>
            <w:noProof/>
          </w:rPr>
          <w:t>: MBS items that do not require amendment</w:t>
        </w:r>
        <w:r w:rsidR="00543D47">
          <w:rPr>
            <w:noProof/>
            <w:webHidden/>
          </w:rPr>
          <w:tab/>
        </w:r>
        <w:r w:rsidR="00543D47">
          <w:rPr>
            <w:noProof/>
            <w:webHidden/>
          </w:rPr>
          <w:fldChar w:fldCharType="begin"/>
        </w:r>
        <w:r w:rsidR="00543D47">
          <w:rPr>
            <w:noProof/>
            <w:webHidden/>
          </w:rPr>
          <w:instrText xml:space="preserve"> PAGEREF _Toc534374975 \h </w:instrText>
        </w:r>
        <w:r w:rsidR="00543D47">
          <w:rPr>
            <w:noProof/>
            <w:webHidden/>
          </w:rPr>
        </w:r>
        <w:r w:rsidR="00543D47">
          <w:rPr>
            <w:noProof/>
            <w:webHidden/>
          </w:rPr>
          <w:fldChar w:fldCharType="separate"/>
        </w:r>
        <w:r w:rsidR="00543D47">
          <w:rPr>
            <w:noProof/>
            <w:webHidden/>
          </w:rPr>
          <w:t>94</w:t>
        </w:r>
        <w:r w:rsidR="00543D47">
          <w:rPr>
            <w:noProof/>
            <w:webHidden/>
          </w:rPr>
          <w:fldChar w:fldCharType="end"/>
        </w:r>
      </w:hyperlink>
    </w:p>
    <w:p w14:paraId="224C417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6" w:history="1">
        <w:r w:rsidR="00543D47" w:rsidRPr="00210832">
          <w:rPr>
            <w:rStyle w:val="Hyperlink"/>
            <w:noProof/>
          </w:rPr>
          <w:t>Table 63. MBS items recommended for deletion.</w:t>
        </w:r>
        <w:r w:rsidR="00543D47">
          <w:rPr>
            <w:noProof/>
            <w:webHidden/>
          </w:rPr>
          <w:tab/>
        </w:r>
        <w:r w:rsidR="00543D47">
          <w:rPr>
            <w:noProof/>
            <w:webHidden/>
          </w:rPr>
          <w:fldChar w:fldCharType="begin"/>
        </w:r>
        <w:r w:rsidR="00543D47">
          <w:rPr>
            <w:noProof/>
            <w:webHidden/>
          </w:rPr>
          <w:instrText xml:space="preserve"> PAGEREF _Toc534374976 \h </w:instrText>
        </w:r>
        <w:r w:rsidR="00543D47">
          <w:rPr>
            <w:noProof/>
            <w:webHidden/>
          </w:rPr>
        </w:r>
        <w:r w:rsidR="00543D47">
          <w:rPr>
            <w:noProof/>
            <w:webHidden/>
          </w:rPr>
          <w:fldChar w:fldCharType="separate"/>
        </w:r>
        <w:r w:rsidR="00543D47">
          <w:rPr>
            <w:noProof/>
            <w:webHidden/>
          </w:rPr>
          <w:t>99</w:t>
        </w:r>
        <w:r w:rsidR="00543D47">
          <w:rPr>
            <w:noProof/>
            <w:webHidden/>
          </w:rPr>
          <w:fldChar w:fldCharType="end"/>
        </w:r>
      </w:hyperlink>
    </w:p>
    <w:p w14:paraId="6278F4C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7" w:history="1">
        <w:r w:rsidR="00543D47" w:rsidRPr="00210832">
          <w:rPr>
            <w:rStyle w:val="Hyperlink"/>
            <w:noProof/>
          </w:rPr>
          <w:t>Table A1: Pathology Clinical Committee recommendations</w:t>
        </w:r>
        <w:r w:rsidR="00543D47">
          <w:rPr>
            <w:noProof/>
            <w:webHidden/>
          </w:rPr>
          <w:tab/>
        </w:r>
        <w:r w:rsidR="00543D47">
          <w:rPr>
            <w:noProof/>
            <w:webHidden/>
          </w:rPr>
          <w:fldChar w:fldCharType="begin"/>
        </w:r>
        <w:r w:rsidR="00543D47">
          <w:rPr>
            <w:noProof/>
            <w:webHidden/>
          </w:rPr>
          <w:instrText xml:space="preserve"> PAGEREF _Toc534374977 \h </w:instrText>
        </w:r>
        <w:r w:rsidR="00543D47">
          <w:rPr>
            <w:noProof/>
            <w:webHidden/>
          </w:rPr>
        </w:r>
        <w:r w:rsidR="00543D47">
          <w:rPr>
            <w:noProof/>
            <w:webHidden/>
          </w:rPr>
          <w:fldChar w:fldCharType="separate"/>
        </w:r>
        <w:r w:rsidR="00543D47">
          <w:rPr>
            <w:noProof/>
            <w:webHidden/>
          </w:rPr>
          <w:t>105</w:t>
        </w:r>
        <w:r w:rsidR="00543D47">
          <w:rPr>
            <w:noProof/>
            <w:webHidden/>
          </w:rPr>
          <w:fldChar w:fldCharType="end"/>
        </w:r>
      </w:hyperlink>
    </w:p>
    <w:p w14:paraId="55547CF8"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8" w:history="1">
        <w:r w:rsidR="00543D47" w:rsidRPr="00210832">
          <w:rPr>
            <w:rStyle w:val="Hyperlink"/>
            <w:b/>
            <w:noProof/>
          </w:rPr>
          <w:t>Recommendation 1: Regrouping common tests</w:t>
        </w:r>
        <w:r w:rsidR="00543D47">
          <w:rPr>
            <w:noProof/>
            <w:webHidden/>
          </w:rPr>
          <w:tab/>
        </w:r>
        <w:r w:rsidR="00543D47">
          <w:rPr>
            <w:noProof/>
            <w:webHidden/>
          </w:rPr>
          <w:fldChar w:fldCharType="begin"/>
        </w:r>
        <w:r w:rsidR="00543D47">
          <w:rPr>
            <w:noProof/>
            <w:webHidden/>
          </w:rPr>
          <w:instrText xml:space="preserve"> PAGEREF _Toc534374978 \h </w:instrText>
        </w:r>
        <w:r w:rsidR="00543D47">
          <w:rPr>
            <w:noProof/>
            <w:webHidden/>
          </w:rPr>
        </w:r>
        <w:r w:rsidR="00543D47">
          <w:rPr>
            <w:noProof/>
            <w:webHidden/>
          </w:rPr>
          <w:fldChar w:fldCharType="separate"/>
        </w:r>
        <w:r w:rsidR="00543D47">
          <w:rPr>
            <w:noProof/>
            <w:webHidden/>
          </w:rPr>
          <w:t>105</w:t>
        </w:r>
        <w:r w:rsidR="00543D47">
          <w:rPr>
            <w:noProof/>
            <w:webHidden/>
          </w:rPr>
          <w:fldChar w:fldCharType="end"/>
        </w:r>
      </w:hyperlink>
    </w:p>
    <w:p w14:paraId="254B12C8"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79" w:history="1">
        <w:r w:rsidR="00543D47" w:rsidRPr="00210832">
          <w:rPr>
            <w:rStyle w:val="Hyperlink"/>
            <w:b/>
            <w:noProof/>
          </w:rPr>
          <w:t>Proposed new items</w:t>
        </w:r>
        <w:r w:rsidR="00543D47">
          <w:rPr>
            <w:noProof/>
            <w:webHidden/>
          </w:rPr>
          <w:tab/>
        </w:r>
        <w:r w:rsidR="00543D47">
          <w:rPr>
            <w:noProof/>
            <w:webHidden/>
          </w:rPr>
          <w:fldChar w:fldCharType="begin"/>
        </w:r>
        <w:r w:rsidR="00543D47">
          <w:rPr>
            <w:noProof/>
            <w:webHidden/>
          </w:rPr>
          <w:instrText xml:space="preserve"> PAGEREF _Toc534374979 \h </w:instrText>
        </w:r>
        <w:r w:rsidR="00543D47">
          <w:rPr>
            <w:noProof/>
            <w:webHidden/>
          </w:rPr>
        </w:r>
        <w:r w:rsidR="00543D47">
          <w:rPr>
            <w:noProof/>
            <w:webHidden/>
          </w:rPr>
          <w:fldChar w:fldCharType="separate"/>
        </w:r>
        <w:r w:rsidR="00543D47">
          <w:rPr>
            <w:noProof/>
            <w:webHidden/>
          </w:rPr>
          <w:t>105</w:t>
        </w:r>
        <w:r w:rsidR="00543D47">
          <w:rPr>
            <w:noProof/>
            <w:webHidden/>
          </w:rPr>
          <w:fldChar w:fldCharType="end"/>
        </w:r>
      </w:hyperlink>
    </w:p>
    <w:p w14:paraId="4C1C5095"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0" w:history="1">
        <w:r w:rsidR="00543D47" w:rsidRPr="00210832">
          <w:rPr>
            <w:rStyle w:val="Hyperlink"/>
            <w:b/>
            <w:noProof/>
          </w:rPr>
          <w:t xml:space="preserve">Recommendation 2: </w:t>
        </w:r>
        <w:r w:rsidR="00543D47" w:rsidRPr="00210832">
          <w:rPr>
            <w:rStyle w:val="Hyperlink"/>
            <w:b/>
            <w:bCs/>
            <w:iCs/>
            <w:noProof/>
          </w:rPr>
          <w:t>Amniotic fluid: item 66749</w:t>
        </w:r>
        <w:r w:rsidR="00543D47">
          <w:rPr>
            <w:noProof/>
            <w:webHidden/>
          </w:rPr>
          <w:tab/>
        </w:r>
        <w:r w:rsidR="00543D47">
          <w:rPr>
            <w:noProof/>
            <w:webHidden/>
          </w:rPr>
          <w:fldChar w:fldCharType="begin"/>
        </w:r>
        <w:r w:rsidR="00543D47">
          <w:rPr>
            <w:noProof/>
            <w:webHidden/>
          </w:rPr>
          <w:instrText xml:space="preserve"> PAGEREF _Toc534374980 \h </w:instrText>
        </w:r>
        <w:r w:rsidR="00543D47">
          <w:rPr>
            <w:noProof/>
            <w:webHidden/>
          </w:rPr>
        </w:r>
        <w:r w:rsidR="00543D47">
          <w:rPr>
            <w:noProof/>
            <w:webHidden/>
          </w:rPr>
          <w:fldChar w:fldCharType="separate"/>
        </w:r>
        <w:r w:rsidR="00543D47">
          <w:rPr>
            <w:noProof/>
            <w:webHidden/>
          </w:rPr>
          <w:t>107</w:t>
        </w:r>
        <w:r w:rsidR="00543D47">
          <w:rPr>
            <w:noProof/>
            <w:webHidden/>
          </w:rPr>
          <w:fldChar w:fldCharType="end"/>
        </w:r>
      </w:hyperlink>
    </w:p>
    <w:p w14:paraId="754C3A5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1" w:history="1">
        <w:r w:rsidR="00543D47" w:rsidRPr="00210832">
          <w:rPr>
            <w:rStyle w:val="Hyperlink"/>
            <w:b/>
            <w:noProof/>
          </w:rPr>
          <w:t>Recommendation 3: Antenatal testing for chromosomal abnormalities in pregnancy: items 66750 and 66751</w:t>
        </w:r>
        <w:r w:rsidR="00543D47">
          <w:rPr>
            <w:noProof/>
            <w:webHidden/>
          </w:rPr>
          <w:tab/>
        </w:r>
        <w:r w:rsidR="00543D47">
          <w:rPr>
            <w:noProof/>
            <w:webHidden/>
          </w:rPr>
          <w:fldChar w:fldCharType="begin"/>
        </w:r>
        <w:r w:rsidR="00543D47">
          <w:rPr>
            <w:noProof/>
            <w:webHidden/>
          </w:rPr>
          <w:instrText xml:space="preserve"> PAGEREF _Toc534374981 \h </w:instrText>
        </w:r>
        <w:r w:rsidR="00543D47">
          <w:rPr>
            <w:noProof/>
            <w:webHidden/>
          </w:rPr>
        </w:r>
        <w:r w:rsidR="00543D47">
          <w:rPr>
            <w:noProof/>
            <w:webHidden/>
          </w:rPr>
          <w:fldChar w:fldCharType="separate"/>
        </w:r>
        <w:r w:rsidR="00543D47">
          <w:rPr>
            <w:noProof/>
            <w:webHidden/>
          </w:rPr>
          <w:t>107</w:t>
        </w:r>
        <w:r w:rsidR="00543D47">
          <w:rPr>
            <w:noProof/>
            <w:webHidden/>
          </w:rPr>
          <w:fldChar w:fldCharType="end"/>
        </w:r>
      </w:hyperlink>
    </w:p>
    <w:p w14:paraId="08682AFA"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2" w:history="1">
        <w:r w:rsidR="00543D47" w:rsidRPr="00210832">
          <w:rPr>
            <w:rStyle w:val="Hyperlink"/>
            <w:b/>
            <w:noProof/>
          </w:rPr>
          <w:t>Recommendation 4: Cardiac or skeletal muscle damage: items 66518 and 66519</w:t>
        </w:r>
        <w:r w:rsidR="00543D47">
          <w:rPr>
            <w:noProof/>
            <w:webHidden/>
          </w:rPr>
          <w:tab/>
        </w:r>
        <w:r w:rsidR="00543D47">
          <w:rPr>
            <w:noProof/>
            <w:webHidden/>
          </w:rPr>
          <w:fldChar w:fldCharType="begin"/>
        </w:r>
        <w:r w:rsidR="00543D47">
          <w:rPr>
            <w:noProof/>
            <w:webHidden/>
          </w:rPr>
          <w:instrText xml:space="preserve"> PAGEREF _Toc534374982 \h </w:instrText>
        </w:r>
        <w:r w:rsidR="00543D47">
          <w:rPr>
            <w:noProof/>
            <w:webHidden/>
          </w:rPr>
        </w:r>
        <w:r w:rsidR="00543D47">
          <w:rPr>
            <w:noProof/>
            <w:webHidden/>
          </w:rPr>
          <w:fldChar w:fldCharType="separate"/>
        </w:r>
        <w:r w:rsidR="00543D47">
          <w:rPr>
            <w:noProof/>
            <w:webHidden/>
          </w:rPr>
          <w:t>107</w:t>
        </w:r>
        <w:r w:rsidR="00543D47">
          <w:rPr>
            <w:noProof/>
            <w:webHidden/>
          </w:rPr>
          <w:fldChar w:fldCharType="end"/>
        </w:r>
      </w:hyperlink>
    </w:p>
    <w:p w14:paraId="1F4571F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3" w:history="1">
        <w:r w:rsidR="00543D47" w:rsidRPr="00210832">
          <w:rPr>
            <w:rStyle w:val="Hyperlink"/>
            <w:b/>
            <w:noProof/>
          </w:rPr>
          <w:t>Recommendation 5: Quantitation of HDL-cholesterol: item 66536</w:t>
        </w:r>
        <w:r w:rsidR="00543D47">
          <w:rPr>
            <w:noProof/>
            <w:webHidden/>
          </w:rPr>
          <w:tab/>
        </w:r>
        <w:r w:rsidR="00543D47">
          <w:rPr>
            <w:noProof/>
            <w:webHidden/>
          </w:rPr>
          <w:fldChar w:fldCharType="begin"/>
        </w:r>
        <w:r w:rsidR="00543D47">
          <w:rPr>
            <w:noProof/>
            <w:webHidden/>
          </w:rPr>
          <w:instrText xml:space="preserve"> PAGEREF _Toc534374983 \h </w:instrText>
        </w:r>
        <w:r w:rsidR="00543D47">
          <w:rPr>
            <w:noProof/>
            <w:webHidden/>
          </w:rPr>
        </w:r>
        <w:r w:rsidR="00543D47">
          <w:rPr>
            <w:noProof/>
            <w:webHidden/>
          </w:rPr>
          <w:fldChar w:fldCharType="separate"/>
        </w:r>
        <w:r w:rsidR="00543D47">
          <w:rPr>
            <w:noProof/>
            <w:webHidden/>
          </w:rPr>
          <w:t>107</w:t>
        </w:r>
        <w:r w:rsidR="00543D47">
          <w:rPr>
            <w:noProof/>
            <w:webHidden/>
          </w:rPr>
          <w:fldChar w:fldCharType="end"/>
        </w:r>
      </w:hyperlink>
    </w:p>
    <w:p w14:paraId="4632E77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4" w:history="1">
        <w:r w:rsidR="00543D47" w:rsidRPr="00210832">
          <w:rPr>
            <w:rStyle w:val="Hyperlink"/>
            <w:b/>
            <w:noProof/>
          </w:rPr>
          <w:t>Recommendation 6: Quantitation of disaccharides: item 66680</w:t>
        </w:r>
        <w:r w:rsidR="00543D47">
          <w:rPr>
            <w:noProof/>
            <w:webHidden/>
          </w:rPr>
          <w:tab/>
        </w:r>
        <w:r w:rsidR="00543D47">
          <w:rPr>
            <w:noProof/>
            <w:webHidden/>
          </w:rPr>
          <w:fldChar w:fldCharType="begin"/>
        </w:r>
        <w:r w:rsidR="00543D47">
          <w:rPr>
            <w:noProof/>
            <w:webHidden/>
          </w:rPr>
          <w:instrText xml:space="preserve"> PAGEREF _Toc534374984 \h </w:instrText>
        </w:r>
        <w:r w:rsidR="00543D47">
          <w:rPr>
            <w:noProof/>
            <w:webHidden/>
          </w:rPr>
        </w:r>
        <w:r w:rsidR="00543D47">
          <w:rPr>
            <w:noProof/>
            <w:webHidden/>
          </w:rPr>
          <w:fldChar w:fldCharType="separate"/>
        </w:r>
        <w:r w:rsidR="00543D47">
          <w:rPr>
            <w:noProof/>
            <w:webHidden/>
          </w:rPr>
          <w:t>108</w:t>
        </w:r>
        <w:r w:rsidR="00543D47">
          <w:rPr>
            <w:noProof/>
            <w:webHidden/>
          </w:rPr>
          <w:fldChar w:fldCharType="end"/>
        </w:r>
      </w:hyperlink>
    </w:p>
    <w:p w14:paraId="29E6203D"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5" w:history="1">
        <w:r w:rsidR="00543D47" w:rsidRPr="00210832">
          <w:rPr>
            <w:rStyle w:val="Hyperlink"/>
            <w:b/>
            <w:noProof/>
          </w:rPr>
          <w:t>Recommendation 7: Quantitation of faecal fat: item 66674</w:t>
        </w:r>
        <w:r w:rsidR="00543D47">
          <w:rPr>
            <w:noProof/>
            <w:webHidden/>
          </w:rPr>
          <w:tab/>
        </w:r>
        <w:r w:rsidR="00543D47">
          <w:rPr>
            <w:noProof/>
            <w:webHidden/>
          </w:rPr>
          <w:fldChar w:fldCharType="begin"/>
        </w:r>
        <w:r w:rsidR="00543D47">
          <w:rPr>
            <w:noProof/>
            <w:webHidden/>
          </w:rPr>
          <w:instrText xml:space="preserve"> PAGEREF _Toc534374985 \h </w:instrText>
        </w:r>
        <w:r w:rsidR="00543D47">
          <w:rPr>
            <w:noProof/>
            <w:webHidden/>
          </w:rPr>
        </w:r>
        <w:r w:rsidR="00543D47">
          <w:rPr>
            <w:noProof/>
            <w:webHidden/>
          </w:rPr>
          <w:fldChar w:fldCharType="separate"/>
        </w:r>
        <w:r w:rsidR="00543D47">
          <w:rPr>
            <w:noProof/>
            <w:webHidden/>
          </w:rPr>
          <w:t>108</w:t>
        </w:r>
        <w:r w:rsidR="00543D47">
          <w:rPr>
            <w:noProof/>
            <w:webHidden/>
          </w:rPr>
          <w:fldChar w:fldCharType="end"/>
        </w:r>
      </w:hyperlink>
    </w:p>
    <w:p w14:paraId="7C6F887E"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6" w:history="1">
        <w:r w:rsidR="00543D47" w:rsidRPr="00210832">
          <w:rPr>
            <w:rStyle w:val="Hyperlink"/>
            <w:b/>
            <w:noProof/>
          </w:rPr>
          <w:t>Recommendation 8: Vitamins B1, B3, B6 or C</w:t>
        </w:r>
        <w:r w:rsidR="00543D47">
          <w:rPr>
            <w:noProof/>
            <w:webHidden/>
          </w:rPr>
          <w:tab/>
        </w:r>
        <w:r w:rsidR="00543D47">
          <w:rPr>
            <w:noProof/>
            <w:webHidden/>
          </w:rPr>
          <w:fldChar w:fldCharType="begin"/>
        </w:r>
        <w:r w:rsidR="00543D47">
          <w:rPr>
            <w:noProof/>
            <w:webHidden/>
          </w:rPr>
          <w:instrText xml:space="preserve"> PAGEREF _Toc534374986 \h </w:instrText>
        </w:r>
        <w:r w:rsidR="00543D47">
          <w:rPr>
            <w:noProof/>
            <w:webHidden/>
          </w:rPr>
        </w:r>
        <w:r w:rsidR="00543D47">
          <w:rPr>
            <w:noProof/>
            <w:webHidden/>
          </w:rPr>
          <w:fldChar w:fldCharType="separate"/>
        </w:r>
        <w:r w:rsidR="00543D47">
          <w:rPr>
            <w:noProof/>
            <w:webHidden/>
          </w:rPr>
          <w:t>109</w:t>
        </w:r>
        <w:r w:rsidR="00543D47">
          <w:rPr>
            <w:noProof/>
            <w:webHidden/>
          </w:rPr>
          <w:fldChar w:fldCharType="end"/>
        </w:r>
      </w:hyperlink>
    </w:p>
    <w:p w14:paraId="5DD43CC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7" w:history="1">
        <w:r w:rsidR="00543D47" w:rsidRPr="00210832">
          <w:rPr>
            <w:rStyle w:val="Hyperlink"/>
            <w:b/>
            <w:noProof/>
          </w:rPr>
          <w:t>Recommendation 9: Drugs of abuse: items 66623, 66626</w:t>
        </w:r>
        <w:r w:rsidR="00543D47">
          <w:rPr>
            <w:noProof/>
            <w:webHidden/>
          </w:rPr>
          <w:tab/>
        </w:r>
        <w:r w:rsidR="00543D47">
          <w:rPr>
            <w:noProof/>
            <w:webHidden/>
          </w:rPr>
          <w:fldChar w:fldCharType="begin"/>
        </w:r>
        <w:r w:rsidR="00543D47">
          <w:rPr>
            <w:noProof/>
            <w:webHidden/>
          </w:rPr>
          <w:instrText xml:space="preserve"> PAGEREF _Toc534374987 \h </w:instrText>
        </w:r>
        <w:r w:rsidR="00543D47">
          <w:rPr>
            <w:noProof/>
            <w:webHidden/>
          </w:rPr>
        </w:r>
        <w:r w:rsidR="00543D47">
          <w:rPr>
            <w:noProof/>
            <w:webHidden/>
          </w:rPr>
          <w:fldChar w:fldCharType="separate"/>
        </w:r>
        <w:r w:rsidR="00543D47">
          <w:rPr>
            <w:noProof/>
            <w:webHidden/>
          </w:rPr>
          <w:t>109</w:t>
        </w:r>
        <w:r w:rsidR="00543D47">
          <w:rPr>
            <w:noProof/>
            <w:webHidden/>
          </w:rPr>
          <w:fldChar w:fldCharType="end"/>
        </w:r>
      </w:hyperlink>
    </w:p>
    <w:p w14:paraId="322CE454"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8" w:history="1">
        <w:r w:rsidR="00543D47" w:rsidRPr="00210832">
          <w:rPr>
            <w:rStyle w:val="Hyperlink"/>
            <w:b/>
            <w:noProof/>
          </w:rPr>
          <w:t>Recommendation 10: Therapeutic drug monitoring: items 66800, 66803, 66804, 66805, 66806</w:t>
        </w:r>
        <w:r w:rsidR="00543D47">
          <w:rPr>
            <w:noProof/>
            <w:webHidden/>
          </w:rPr>
          <w:tab/>
        </w:r>
        <w:r w:rsidR="00543D47">
          <w:rPr>
            <w:noProof/>
            <w:webHidden/>
          </w:rPr>
          <w:fldChar w:fldCharType="begin"/>
        </w:r>
        <w:r w:rsidR="00543D47">
          <w:rPr>
            <w:noProof/>
            <w:webHidden/>
          </w:rPr>
          <w:instrText xml:space="preserve"> PAGEREF _Toc534374988 \h </w:instrText>
        </w:r>
        <w:r w:rsidR="00543D47">
          <w:rPr>
            <w:noProof/>
            <w:webHidden/>
          </w:rPr>
        </w:r>
        <w:r w:rsidR="00543D47">
          <w:rPr>
            <w:noProof/>
            <w:webHidden/>
          </w:rPr>
          <w:fldChar w:fldCharType="separate"/>
        </w:r>
        <w:r w:rsidR="00543D47">
          <w:rPr>
            <w:noProof/>
            <w:webHidden/>
          </w:rPr>
          <w:t>109</w:t>
        </w:r>
        <w:r w:rsidR="00543D47">
          <w:rPr>
            <w:noProof/>
            <w:webHidden/>
          </w:rPr>
          <w:fldChar w:fldCharType="end"/>
        </w:r>
      </w:hyperlink>
    </w:p>
    <w:p w14:paraId="7F404746"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89" w:history="1">
        <w:r w:rsidR="00543D47" w:rsidRPr="00210832">
          <w:rPr>
            <w:rStyle w:val="Hyperlink"/>
            <w:b/>
            <w:noProof/>
          </w:rPr>
          <w:t>Recommendation 11: Special therapeutic drug monitoring: items 66812, 66815, 66816, 66817</w:t>
        </w:r>
        <w:r w:rsidR="00543D47">
          <w:rPr>
            <w:noProof/>
            <w:webHidden/>
          </w:rPr>
          <w:tab/>
        </w:r>
        <w:r w:rsidR="00543D47">
          <w:rPr>
            <w:noProof/>
            <w:webHidden/>
          </w:rPr>
          <w:fldChar w:fldCharType="begin"/>
        </w:r>
        <w:r w:rsidR="00543D47">
          <w:rPr>
            <w:noProof/>
            <w:webHidden/>
          </w:rPr>
          <w:instrText xml:space="preserve"> PAGEREF _Toc534374989 \h </w:instrText>
        </w:r>
        <w:r w:rsidR="00543D47">
          <w:rPr>
            <w:noProof/>
            <w:webHidden/>
          </w:rPr>
        </w:r>
        <w:r w:rsidR="00543D47">
          <w:rPr>
            <w:noProof/>
            <w:webHidden/>
          </w:rPr>
          <w:fldChar w:fldCharType="separate"/>
        </w:r>
        <w:r w:rsidR="00543D47">
          <w:rPr>
            <w:noProof/>
            <w:webHidden/>
          </w:rPr>
          <w:t>110</w:t>
        </w:r>
        <w:r w:rsidR="00543D47">
          <w:rPr>
            <w:noProof/>
            <w:webHidden/>
          </w:rPr>
          <w:fldChar w:fldCharType="end"/>
        </w:r>
      </w:hyperlink>
    </w:p>
    <w:p w14:paraId="5FFB43AF"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0" w:history="1">
        <w:r w:rsidR="00543D47" w:rsidRPr="00210832">
          <w:rPr>
            <w:rStyle w:val="Hyperlink"/>
            <w:b/>
            <w:noProof/>
          </w:rPr>
          <w:t>Recommendation 12: Caeruloplasmin, haptoglobins, or prealbumin: Item 66632</w:t>
        </w:r>
        <w:r w:rsidR="00543D47">
          <w:rPr>
            <w:noProof/>
            <w:webHidden/>
          </w:rPr>
          <w:tab/>
        </w:r>
        <w:r w:rsidR="00543D47">
          <w:rPr>
            <w:noProof/>
            <w:webHidden/>
          </w:rPr>
          <w:fldChar w:fldCharType="begin"/>
        </w:r>
        <w:r w:rsidR="00543D47">
          <w:rPr>
            <w:noProof/>
            <w:webHidden/>
          </w:rPr>
          <w:instrText xml:space="preserve"> PAGEREF _Toc534374990 \h </w:instrText>
        </w:r>
        <w:r w:rsidR="00543D47">
          <w:rPr>
            <w:noProof/>
            <w:webHidden/>
          </w:rPr>
        </w:r>
        <w:r w:rsidR="00543D47">
          <w:rPr>
            <w:noProof/>
            <w:webHidden/>
          </w:rPr>
          <w:fldChar w:fldCharType="separate"/>
        </w:r>
        <w:r w:rsidR="00543D47">
          <w:rPr>
            <w:noProof/>
            <w:webHidden/>
          </w:rPr>
          <w:t>111</w:t>
        </w:r>
        <w:r w:rsidR="00543D47">
          <w:rPr>
            <w:noProof/>
            <w:webHidden/>
          </w:rPr>
          <w:fldChar w:fldCharType="end"/>
        </w:r>
      </w:hyperlink>
    </w:p>
    <w:p w14:paraId="45608922"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1" w:history="1">
        <w:r w:rsidR="00543D47" w:rsidRPr="00210832">
          <w:rPr>
            <w:rStyle w:val="Hyperlink"/>
            <w:b/>
            <w:noProof/>
          </w:rPr>
          <w:t>Recommendation 13: Alpha-1-antitrypsin: items 66635, 66638, and 66639</w:t>
        </w:r>
        <w:r w:rsidR="00543D47">
          <w:rPr>
            <w:noProof/>
            <w:webHidden/>
          </w:rPr>
          <w:tab/>
        </w:r>
        <w:r w:rsidR="00543D47">
          <w:rPr>
            <w:noProof/>
            <w:webHidden/>
          </w:rPr>
          <w:fldChar w:fldCharType="begin"/>
        </w:r>
        <w:r w:rsidR="00543D47">
          <w:rPr>
            <w:noProof/>
            <w:webHidden/>
          </w:rPr>
          <w:instrText xml:space="preserve"> PAGEREF _Toc534374991 \h </w:instrText>
        </w:r>
        <w:r w:rsidR="00543D47">
          <w:rPr>
            <w:noProof/>
            <w:webHidden/>
          </w:rPr>
        </w:r>
        <w:r w:rsidR="00543D47">
          <w:rPr>
            <w:noProof/>
            <w:webHidden/>
          </w:rPr>
          <w:fldChar w:fldCharType="separate"/>
        </w:r>
        <w:r w:rsidR="00543D47">
          <w:rPr>
            <w:noProof/>
            <w:webHidden/>
          </w:rPr>
          <w:t>111</w:t>
        </w:r>
        <w:r w:rsidR="00543D47">
          <w:rPr>
            <w:noProof/>
            <w:webHidden/>
          </w:rPr>
          <w:fldChar w:fldCharType="end"/>
        </w:r>
      </w:hyperlink>
    </w:p>
    <w:p w14:paraId="2379C128"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2" w:history="1">
        <w:r w:rsidR="00543D47" w:rsidRPr="00210832">
          <w:rPr>
            <w:rStyle w:val="Hyperlink"/>
            <w:b/>
            <w:noProof/>
          </w:rPr>
          <w:t>Recommendation 14: Electrophoresis of serum isoenzymes: items 66641 and 66642</w:t>
        </w:r>
        <w:r w:rsidR="00543D47">
          <w:rPr>
            <w:noProof/>
            <w:webHidden/>
          </w:rPr>
          <w:tab/>
        </w:r>
        <w:r w:rsidR="00543D47">
          <w:rPr>
            <w:noProof/>
            <w:webHidden/>
          </w:rPr>
          <w:fldChar w:fldCharType="begin"/>
        </w:r>
        <w:r w:rsidR="00543D47">
          <w:rPr>
            <w:noProof/>
            <w:webHidden/>
          </w:rPr>
          <w:instrText xml:space="preserve"> PAGEREF _Toc534374992 \h </w:instrText>
        </w:r>
        <w:r w:rsidR="00543D47">
          <w:rPr>
            <w:noProof/>
            <w:webHidden/>
          </w:rPr>
        </w:r>
        <w:r w:rsidR="00543D47">
          <w:rPr>
            <w:noProof/>
            <w:webHidden/>
          </w:rPr>
          <w:fldChar w:fldCharType="separate"/>
        </w:r>
        <w:r w:rsidR="00543D47">
          <w:rPr>
            <w:noProof/>
            <w:webHidden/>
          </w:rPr>
          <w:t>111</w:t>
        </w:r>
        <w:r w:rsidR="00543D47">
          <w:rPr>
            <w:noProof/>
            <w:webHidden/>
          </w:rPr>
          <w:fldChar w:fldCharType="end"/>
        </w:r>
      </w:hyperlink>
    </w:p>
    <w:p w14:paraId="10F3F34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3" w:history="1">
        <w:r w:rsidR="00543D47" w:rsidRPr="00210832">
          <w:rPr>
            <w:rStyle w:val="Hyperlink"/>
            <w:b/>
            <w:noProof/>
          </w:rPr>
          <w:t>Recommendation 15: C1 inhibitor levels: items 66644, 66647</w:t>
        </w:r>
        <w:r w:rsidR="00543D47">
          <w:rPr>
            <w:noProof/>
            <w:webHidden/>
          </w:rPr>
          <w:tab/>
        </w:r>
        <w:r w:rsidR="00543D47">
          <w:rPr>
            <w:noProof/>
            <w:webHidden/>
          </w:rPr>
          <w:fldChar w:fldCharType="begin"/>
        </w:r>
        <w:r w:rsidR="00543D47">
          <w:rPr>
            <w:noProof/>
            <w:webHidden/>
          </w:rPr>
          <w:instrText xml:space="preserve"> PAGEREF _Toc534374993 \h </w:instrText>
        </w:r>
        <w:r w:rsidR="00543D47">
          <w:rPr>
            <w:noProof/>
            <w:webHidden/>
          </w:rPr>
        </w:r>
        <w:r w:rsidR="00543D47">
          <w:rPr>
            <w:noProof/>
            <w:webHidden/>
          </w:rPr>
          <w:fldChar w:fldCharType="separate"/>
        </w:r>
        <w:r w:rsidR="00543D47">
          <w:rPr>
            <w:noProof/>
            <w:webHidden/>
          </w:rPr>
          <w:t>112</w:t>
        </w:r>
        <w:r w:rsidR="00543D47">
          <w:rPr>
            <w:noProof/>
            <w:webHidden/>
          </w:rPr>
          <w:fldChar w:fldCharType="end"/>
        </w:r>
      </w:hyperlink>
    </w:p>
    <w:p w14:paraId="79C892CD"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4" w:history="1">
        <w:r w:rsidR="00543D47" w:rsidRPr="00210832">
          <w:rPr>
            <w:rStyle w:val="Hyperlink"/>
            <w:b/>
            <w:noProof/>
          </w:rPr>
          <w:t>Recommendation 16: Angiotensin converting enzyme: item 66758</w:t>
        </w:r>
        <w:r w:rsidR="00543D47">
          <w:rPr>
            <w:noProof/>
            <w:webHidden/>
          </w:rPr>
          <w:tab/>
        </w:r>
        <w:r w:rsidR="00543D47">
          <w:rPr>
            <w:noProof/>
            <w:webHidden/>
          </w:rPr>
          <w:fldChar w:fldCharType="begin"/>
        </w:r>
        <w:r w:rsidR="00543D47">
          <w:rPr>
            <w:noProof/>
            <w:webHidden/>
          </w:rPr>
          <w:instrText xml:space="preserve"> PAGEREF _Toc534374994 \h </w:instrText>
        </w:r>
        <w:r w:rsidR="00543D47">
          <w:rPr>
            <w:noProof/>
            <w:webHidden/>
          </w:rPr>
        </w:r>
        <w:r w:rsidR="00543D47">
          <w:rPr>
            <w:noProof/>
            <w:webHidden/>
          </w:rPr>
          <w:fldChar w:fldCharType="separate"/>
        </w:r>
        <w:r w:rsidR="00543D47">
          <w:rPr>
            <w:noProof/>
            <w:webHidden/>
          </w:rPr>
          <w:t>112</w:t>
        </w:r>
        <w:r w:rsidR="00543D47">
          <w:rPr>
            <w:noProof/>
            <w:webHidden/>
          </w:rPr>
          <w:fldChar w:fldCharType="end"/>
        </w:r>
      </w:hyperlink>
    </w:p>
    <w:p w14:paraId="1EB4C28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5" w:history="1">
        <w:r w:rsidR="00543D47" w:rsidRPr="00210832">
          <w:rPr>
            <w:rStyle w:val="Hyperlink"/>
            <w:b/>
            <w:noProof/>
          </w:rPr>
          <w:t>Recommendation 17: Immunology items: 71057, 71058, 71059, 71060, 71062, 71064, 71066, 71068, 71069, 71071, 71072, 71073, 71074, 71075, 71076, 71077, 71200</w:t>
        </w:r>
        <w:r w:rsidR="00543D47">
          <w:rPr>
            <w:noProof/>
            <w:webHidden/>
          </w:rPr>
          <w:tab/>
        </w:r>
        <w:r w:rsidR="00543D47">
          <w:rPr>
            <w:noProof/>
            <w:webHidden/>
          </w:rPr>
          <w:fldChar w:fldCharType="begin"/>
        </w:r>
        <w:r w:rsidR="00543D47">
          <w:rPr>
            <w:noProof/>
            <w:webHidden/>
          </w:rPr>
          <w:instrText xml:space="preserve"> PAGEREF _Toc534374995 \h </w:instrText>
        </w:r>
        <w:r w:rsidR="00543D47">
          <w:rPr>
            <w:noProof/>
            <w:webHidden/>
          </w:rPr>
        </w:r>
        <w:r w:rsidR="00543D47">
          <w:rPr>
            <w:noProof/>
            <w:webHidden/>
          </w:rPr>
          <w:fldChar w:fldCharType="separate"/>
        </w:r>
        <w:r w:rsidR="00543D47">
          <w:rPr>
            <w:noProof/>
            <w:webHidden/>
          </w:rPr>
          <w:t>112</w:t>
        </w:r>
        <w:r w:rsidR="00543D47">
          <w:rPr>
            <w:noProof/>
            <w:webHidden/>
          </w:rPr>
          <w:fldChar w:fldCharType="end"/>
        </w:r>
      </w:hyperlink>
    </w:p>
    <w:p w14:paraId="179778DB"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6" w:history="1">
        <w:r w:rsidR="00543D47" w:rsidRPr="00210832">
          <w:rPr>
            <w:rStyle w:val="Hyperlink"/>
            <w:b/>
            <w:noProof/>
          </w:rPr>
          <w:t>Recommendation 18: Thyroid antibodies</w:t>
        </w:r>
        <w:r w:rsidR="00543D47">
          <w:rPr>
            <w:noProof/>
            <w:webHidden/>
          </w:rPr>
          <w:tab/>
        </w:r>
        <w:r w:rsidR="00543D47">
          <w:rPr>
            <w:noProof/>
            <w:webHidden/>
          </w:rPr>
          <w:fldChar w:fldCharType="begin"/>
        </w:r>
        <w:r w:rsidR="00543D47">
          <w:rPr>
            <w:noProof/>
            <w:webHidden/>
          </w:rPr>
          <w:instrText xml:space="preserve"> PAGEREF _Toc534374996 \h </w:instrText>
        </w:r>
        <w:r w:rsidR="00543D47">
          <w:rPr>
            <w:noProof/>
            <w:webHidden/>
          </w:rPr>
        </w:r>
        <w:r w:rsidR="00543D47">
          <w:rPr>
            <w:noProof/>
            <w:webHidden/>
          </w:rPr>
          <w:fldChar w:fldCharType="separate"/>
        </w:r>
        <w:r w:rsidR="00543D47">
          <w:rPr>
            <w:noProof/>
            <w:webHidden/>
          </w:rPr>
          <w:t>114</w:t>
        </w:r>
        <w:r w:rsidR="00543D47">
          <w:rPr>
            <w:noProof/>
            <w:webHidden/>
          </w:rPr>
          <w:fldChar w:fldCharType="end"/>
        </w:r>
      </w:hyperlink>
    </w:p>
    <w:p w14:paraId="29042BC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7" w:history="1">
        <w:r w:rsidR="00543D47" w:rsidRPr="00210832">
          <w:rPr>
            <w:rStyle w:val="Hyperlink"/>
            <w:b/>
            <w:noProof/>
          </w:rPr>
          <w:t>Recommendation 19: Lead: items 66665, 66666</w:t>
        </w:r>
        <w:r w:rsidR="00543D47">
          <w:rPr>
            <w:noProof/>
            <w:webHidden/>
          </w:rPr>
          <w:tab/>
        </w:r>
        <w:r w:rsidR="00543D47">
          <w:rPr>
            <w:noProof/>
            <w:webHidden/>
          </w:rPr>
          <w:fldChar w:fldCharType="begin"/>
        </w:r>
        <w:r w:rsidR="00543D47">
          <w:rPr>
            <w:noProof/>
            <w:webHidden/>
          </w:rPr>
          <w:instrText xml:space="preserve"> PAGEREF _Toc534374997 \h </w:instrText>
        </w:r>
        <w:r w:rsidR="00543D47">
          <w:rPr>
            <w:noProof/>
            <w:webHidden/>
          </w:rPr>
        </w:r>
        <w:r w:rsidR="00543D47">
          <w:rPr>
            <w:noProof/>
            <w:webHidden/>
          </w:rPr>
          <w:fldChar w:fldCharType="separate"/>
        </w:r>
        <w:r w:rsidR="00543D47">
          <w:rPr>
            <w:noProof/>
            <w:webHidden/>
          </w:rPr>
          <w:t>115</w:t>
        </w:r>
        <w:r w:rsidR="00543D47">
          <w:rPr>
            <w:noProof/>
            <w:webHidden/>
          </w:rPr>
          <w:fldChar w:fldCharType="end"/>
        </w:r>
      </w:hyperlink>
    </w:p>
    <w:p w14:paraId="2010FA7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8" w:history="1">
        <w:r w:rsidR="00543D47" w:rsidRPr="00210832">
          <w:rPr>
            <w:rStyle w:val="Hyperlink"/>
            <w:b/>
            <w:noProof/>
          </w:rPr>
          <w:t>Recommendation 20: Zinc, aluminium, arsenic, beryllium, cadmium, chromium, gold, mercury, nickel, strontium, copper and iron: items 66667, 66671, 66825, 66826, 66827, 66828, 66831, 66832</w:t>
        </w:r>
        <w:r w:rsidR="00543D47">
          <w:rPr>
            <w:noProof/>
            <w:webHidden/>
          </w:rPr>
          <w:tab/>
        </w:r>
        <w:r w:rsidR="00543D47">
          <w:rPr>
            <w:noProof/>
            <w:webHidden/>
          </w:rPr>
          <w:fldChar w:fldCharType="begin"/>
        </w:r>
        <w:r w:rsidR="00543D47">
          <w:rPr>
            <w:noProof/>
            <w:webHidden/>
          </w:rPr>
          <w:instrText xml:space="preserve"> PAGEREF _Toc534374998 \h </w:instrText>
        </w:r>
        <w:r w:rsidR="00543D47">
          <w:rPr>
            <w:noProof/>
            <w:webHidden/>
          </w:rPr>
        </w:r>
        <w:r w:rsidR="00543D47">
          <w:rPr>
            <w:noProof/>
            <w:webHidden/>
          </w:rPr>
          <w:fldChar w:fldCharType="separate"/>
        </w:r>
        <w:r w:rsidR="00543D47">
          <w:rPr>
            <w:noProof/>
            <w:webHidden/>
          </w:rPr>
          <w:t>116</w:t>
        </w:r>
        <w:r w:rsidR="00543D47">
          <w:rPr>
            <w:noProof/>
            <w:webHidden/>
          </w:rPr>
          <w:fldChar w:fldCharType="end"/>
        </w:r>
      </w:hyperlink>
    </w:p>
    <w:p w14:paraId="46657A67" w14:textId="77777777" w:rsidR="00543D47" w:rsidRDefault="00427907" w:rsidP="00543D47">
      <w:pPr>
        <w:pStyle w:val="TableofFigures"/>
        <w:tabs>
          <w:tab w:val="right" w:leader="dot" w:pos="9016"/>
        </w:tabs>
        <w:rPr>
          <w:rFonts w:eastAsiaTheme="minorEastAsia" w:cstheme="minorBidi"/>
          <w:noProof/>
          <w:sz w:val="22"/>
          <w:szCs w:val="22"/>
        </w:rPr>
      </w:pPr>
      <w:hyperlink w:anchor="_Toc534374999" w:history="1">
        <w:r w:rsidR="00543D47" w:rsidRPr="00210832">
          <w:rPr>
            <w:rStyle w:val="Hyperlink"/>
            <w:b/>
            <w:noProof/>
          </w:rPr>
          <w:t>Recommendation 21: Copper, manganese, selenium or zinc: items 66819, 66820, 66821, 66822</w:t>
        </w:r>
        <w:r w:rsidR="00543D47">
          <w:rPr>
            <w:noProof/>
            <w:webHidden/>
          </w:rPr>
          <w:tab/>
        </w:r>
        <w:r w:rsidR="00543D47">
          <w:rPr>
            <w:noProof/>
            <w:webHidden/>
          </w:rPr>
          <w:fldChar w:fldCharType="begin"/>
        </w:r>
        <w:r w:rsidR="00543D47">
          <w:rPr>
            <w:noProof/>
            <w:webHidden/>
          </w:rPr>
          <w:instrText xml:space="preserve"> PAGEREF _Toc534374999 \h </w:instrText>
        </w:r>
        <w:r w:rsidR="00543D47">
          <w:rPr>
            <w:noProof/>
            <w:webHidden/>
          </w:rPr>
        </w:r>
        <w:r w:rsidR="00543D47">
          <w:rPr>
            <w:noProof/>
            <w:webHidden/>
          </w:rPr>
          <w:fldChar w:fldCharType="separate"/>
        </w:r>
        <w:r w:rsidR="00543D47">
          <w:rPr>
            <w:noProof/>
            <w:webHidden/>
          </w:rPr>
          <w:t>117</w:t>
        </w:r>
        <w:r w:rsidR="00543D47">
          <w:rPr>
            <w:noProof/>
            <w:webHidden/>
          </w:rPr>
          <w:fldChar w:fldCharType="end"/>
        </w:r>
      </w:hyperlink>
    </w:p>
    <w:p w14:paraId="3E158CB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5000" w:history="1">
        <w:r w:rsidR="00543D47" w:rsidRPr="00210832">
          <w:rPr>
            <w:rStyle w:val="Hyperlink"/>
            <w:b/>
            <w:noProof/>
          </w:rPr>
          <w:t>Recommendation 22: Salivary hormones: items 66711, 66712, 66714, 66715</w:t>
        </w:r>
        <w:r w:rsidR="00543D47">
          <w:rPr>
            <w:noProof/>
            <w:webHidden/>
          </w:rPr>
          <w:tab/>
        </w:r>
        <w:r w:rsidR="00543D47">
          <w:rPr>
            <w:noProof/>
            <w:webHidden/>
          </w:rPr>
          <w:fldChar w:fldCharType="begin"/>
        </w:r>
        <w:r w:rsidR="00543D47">
          <w:rPr>
            <w:noProof/>
            <w:webHidden/>
          </w:rPr>
          <w:instrText xml:space="preserve"> PAGEREF _Toc534375000 \h </w:instrText>
        </w:r>
        <w:r w:rsidR="00543D47">
          <w:rPr>
            <w:noProof/>
            <w:webHidden/>
          </w:rPr>
        </w:r>
        <w:r w:rsidR="00543D47">
          <w:rPr>
            <w:noProof/>
            <w:webHidden/>
          </w:rPr>
          <w:fldChar w:fldCharType="separate"/>
        </w:r>
        <w:r w:rsidR="00543D47">
          <w:rPr>
            <w:noProof/>
            <w:webHidden/>
          </w:rPr>
          <w:t>118</w:t>
        </w:r>
        <w:r w:rsidR="00543D47">
          <w:rPr>
            <w:noProof/>
            <w:webHidden/>
          </w:rPr>
          <w:fldChar w:fldCharType="end"/>
        </w:r>
      </w:hyperlink>
    </w:p>
    <w:p w14:paraId="5BC45DBC" w14:textId="77777777" w:rsidR="00543D47" w:rsidRDefault="00427907" w:rsidP="00543D47">
      <w:pPr>
        <w:pStyle w:val="TableofFigures"/>
        <w:tabs>
          <w:tab w:val="right" w:leader="dot" w:pos="9016"/>
        </w:tabs>
        <w:rPr>
          <w:rFonts w:eastAsiaTheme="minorEastAsia" w:cstheme="minorBidi"/>
          <w:noProof/>
          <w:sz w:val="22"/>
          <w:szCs w:val="22"/>
        </w:rPr>
      </w:pPr>
      <w:hyperlink w:anchor="_Toc534375001" w:history="1">
        <w:r w:rsidR="00543D47" w:rsidRPr="00210832">
          <w:rPr>
            <w:rStyle w:val="Hyperlink"/>
            <w:b/>
            <w:noProof/>
          </w:rPr>
          <w:t>Recommendation 23: Porphyrin testing: items 66782–66792</w:t>
        </w:r>
        <w:r w:rsidR="00543D47">
          <w:rPr>
            <w:noProof/>
            <w:webHidden/>
          </w:rPr>
          <w:tab/>
        </w:r>
        <w:r w:rsidR="00543D47">
          <w:rPr>
            <w:noProof/>
            <w:webHidden/>
          </w:rPr>
          <w:fldChar w:fldCharType="begin"/>
        </w:r>
        <w:r w:rsidR="00543D47">
          <w:rPr>
            <w:noProof/>
            <w:webHidden/>
          </w:rPr>
          <w:instrText xml:space="preserve"> PAGEREF _Toc534375001 \h </w:instrText>
        </w:r>
        <w:r w:rsidR="00543D47">
          <w:rPr>
            <w:noProof/>
            <w:webHidden/>
          </w:rPr>
        </w:r>
        <w:r w:rsidR="00543D47">
          <w:rPr>
            <w:noProof/>
            <w:webHidden/>
          </w:rPr>
          <w:fldChar w:fldCharType="separate"/>
        </w:r>
        <w:r w:rsidR="00543D47">
          <w:rPr>
            <w:noProof/>
            <w:webHidden/>
          </w:rPr>
          <w:t>118</w:t>
        </w:r>
        <w:r w:rsidR="00543D47">
          <w:rPr>
            <w:noProof/>
            <w:webHidden/>
          </w:rPr>
          <w:fldChar w:fldCharType="end"/>
        </w:r>
      </w:hyperlink>
    </w:p>
    <w:p w14:paraId="174CEEE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5002" w:history="1">
        <w:r w:rsidR="00543D47" w:rsidRPr="00210832">
          <w:rPr>
            <w:rStyle w:val="Hyperlink"/>
            <w:b/>
            <w:noProof/>
          </w:rPr>
          <w:t>Recommendation 24: Amino acid quantitation: items 66756, 66757</w:t>
        </w:r>
        <w:r w:rsidR="00543D47">
          <w:rPr>
            <w:noProof/>
            <w:webHidden/>
          </w:rPr>
          <w:tab/>
        </w:r>
        <w:r w:rsidR="00543D47">
          <w:rPr>
            <w:noProof/>
            <w:webHidden/>
          </w:rPr>
          <w:fldChar w:fldCharType="begin"/>
        </w:r>
        <w:r w:rsidR="00543D47">
          <w:rPr>
            <w:noProof/>
            <w:webHidden/>
          </w:rPr>
          <w:instrText xml:space="preserve"> PAGEREF _Toc534375002 \h </w:instrText>
        </w:r>
        <w:r w:rsidR="00543D47">
          <w:rPr>
            <w:noProof/>
            <w:webHidden/>
          </w:rPr>
        </w:r>
        <w:r w:rsidR="00543D47">
          <w:rPr>
            <w:noProof/>
            <w:webHidden/>
          </w:rPr>
          <w:fldChar w:fldCharType="separate"/>
        </w:r>
        <w:r w:rsidR="00543D47">
          <w:rPr>
            <w:noProof/>
            <w:webHidden/>
          </w:rPr>
          <w:t>119</w:t>
        </w:r>
        <w:r w:rsidR="00543D47">
          <w:rPr>
            <w:noProof/>
            <w:webHidden/>
          </w:rPr>
          <w:fldChar w:fldCharType="end"/>
        </w:r>
      </w:hyperlink>
    </w:p>
    <w:p w14:paraId="7D760C8D" w14:textId="77777777" w:rsidR="00543D47" w:rsidRDefault="00427907" w:rsidP="00543D47">
      <w:pPr>
        <w:pStyle w:val="TableofFigures"/>
        <w:tabs>
          <w:tab w:val="right" w:leader="dot" w:pos="9016"/>
        </w:tabs>
        <w:rPr>
          <w:rFonts w:eastAsiaTheme="minorEastAsia" w:cstheme="minorBidi"/>
          <w:noProof/>
          <w:sz w:val="22"/>
          <w:szCs w:val="22"/>
        </w:rPr>
      </w:pPr>
      <w:hyperlink w:anchor="_Toc534375003" w:history="1">
        <w:r w:rsidR="00543D47" w:rsidRPr="00210832">
          <w:rPr>
            <w:rStyle w:val="Hyperlink"/>
            <w:b/>
            <w:noProof/>
          </w:rPr>
          <w:t>Recommendation 25: Collagen breakdown products: items 66773, 66776</w:t>
        </w:r>
        <w:r w:rsidR="00543D47">
          <w:rPr>
            <w:noProof/>
            <w:webHidden/>
          </w:rPr>
          <w:tab/>
        </w:r>
        <w:r w:rsidR="00543D47">
          <w:rPr>
            <w:noProof/>
            <w:webHidden/>
          </w:rPr>
          <w:fldChar w:fldCharType="begin"/>
        </w:r>
        <w:r w:rsidR="00543D47">
          <w:rPr>
            <w:noProof/>
            <w:webHidden/>
          </w:rPr>
          <w:instrText xml:space="preserve"> PAGEREF _Toc534375003 \h </w:instrText>
        </w:r>
        <w:r w:rsidR="00543D47">
          <w:rPr>
            <w:noProof/>
            <w:webHidden/>
          </w:rPr>
        </w:r>
        <w:r w:rsidR="00543D47">
          <w:rPr>
            <w:noProof/>
            <w:webHidden/>
          </w:rPr>
          <w:fldChar w:fldCharType="separate"/>
        </w:r>
        <w:r w:rsidR="00543D47">
          <w:rPr>
            <w:noProof/>
            <w:webHidden/>
          </w:rPr>
          <w:t>119</w:t>
        </w:r>
        <w:r w:rsidR="00543D47">
          <w:rPr>
            <w:noProof/>
            <w:webHidden/>
          </w:rPr>
          <w:fldChar w:fldCharType="end"/>
        </w:r>
      </w:hyperlink>
    </w:p>
    <w:p w14:paraId="34CC67FF" w14:textId="77777777" w:rsidR="00543D47" w:rsidRDefault="00427907" w:rsidP="00543D47">
      <w:pPr>
        <w:pStyle w:val="TableofFigures"/>
        <w:tabs>
          <w:tab w:val="right" w:leader="dot" w:pos="9016"/>
        </w:tabs>
        <w:rPr>
          <w:rFonts w:eastAsiaTheme="minorEastAsia" w:cstheme="minorBidi"/>
          <w:noProof/>
          <w:sz w:val="22"/>
          <w:szCs w:val="22"/>
        </w:rPr>
      </w:pPr>
      <w:hyperlink w:anchor="_Toc534375004" w:history="1">
        <w:r w:rsidR="00543D47" w:rsidRPr="00210832">
          <w:rPr>
            <w:rStyle w:val="Hyperlink"/>
            <w:b/>
            <w:noProof/>
          </w:rPr>
          <w:t>Recommendation 26: Adrenaline, 5HIAA, metanephrins: items 66779, 66780</w:t>
        </w:r>
        <w:r w:rsidR="00543D47">
          <w:rPr>
            <w:noProof/>
            <w:webHidden/>
          </w:rPr>
          <w:tab/>
        </w:r>
        <w:r w:rsidR="00543D47">
          <w:rPr>
            <w:noProof/>
            <w:webHidden/>
          </w:rPr>
          <w:fldChar w:fldCharType="begin"/>
        </w:r>
        <w:r w:rsidR="00543D47">
          <w:rPr>
            <w:noProof/>
            <w:webHidden/>
          </w:rPr>
          <w:instrText xml:space="preserve"> PAGEREF _Toc534375004 \h </w:instrText>
        </w:r>
        <w:r w:rsidR="00543D47">
          <w:rPr>
            <w:noProof/>
            <w:webHidden/>
          </w:rPr>
        </w:r>
        <w:r w:rsidR="00543D47">
          <w:rPr>
            <w:noProof/>
            <w:webHidden/>
          </w:rPr>
          <w:fldChar w:fldCharType="separate"/>
        </w:r>
        <w:r w:rsidR="00543D47">
          <w:rPr>
            <w:noProof/>
            <w:webHidden/>
          </w:rPr>
          <w:t>120</w:t>
        </w:r>
        <w:r w:rsidR="00543D47">
          <w:rPr>
            <w:noProof/>
            <w:webHidden/>
          </w:rPr>
          <w:fldChar w:fldCharType="end"/>
        </w:r>
      </w:hyperlink>
    </w:p>
    <w:p w14:paraId="20BE7555" w14:textId="77777777" w:rsidR="00543D47" w:rsidRDefault="00427907" w:rsidP="00543D47">
      <w:pPr>
        <w:pStyle w:val="TableofFigures"/>
        <w:tabs>
          <w:tab w:val="right" w:leader="dot" w:pos="9016"/>
        </w:tabs>
        <w:rPr>
          <w:rFonts w:eastAsiaTheme="minorEastAsia" w:cstheme="minorBidi"/>
          <w:noProof/>
          <w:sz w:val="22"/>
          <w:szCs w:val="22"/>
        </w:rPr>
      </w:pPr>
      <w:hyperlink w:anchor="_Toc534375005" w:history="1">
        <w:r w:rsidR="00543D47" w:rsidRPr="00210832">
          <w:rPr>
            <w:rStyle w:val="Hyperlink"/>
            <w:b/>
            <w:noProof/>
          </w:rPr>
          <w:t>Recommendation 27: Enzymes in solid tissue: item 66683</w:t>
        </w:r>
        <w:r w:rsidR="00543D47">
          <w:rPr>
            <w:noProof/>
            <w:webHidden/>
          </w:rPr>
          <w:tab/>
        </w:r>
        <w:r w:rsidR="00543D47">
          <w:rPr>
            <w:noProof/>
            <w:webHidden/>
          </w:rPr>
          <w:fldChar w:fldCharType="begin"/>
        </w:r>
        <w:r w:rsidR="00543D47">
          <w:rPr>
            <w:noProof/>
            <w:webHidden/>
          </w:rPr>
          <w:instrText xml:space="preserve"> PAGEREF _Toc534375005 \h </w:instrText>
        </w:r>
        <w:r w:rsidR="00543D47">
          <w:rPr>
            <w:noProof/>
            <w:webHidden/>
          </w:rPr>
        </w:r>
        <w:r w:rsidR="00543D47">
          <w:rPr>
            <w:noProof/>
            <w:webHidden/>
          </w:rPr>
          <w:fldChar w:fldCharType="separate"/>
        </w:r>
        <w:r w:rsidR="00543D47">
          <w:rPr>
            <w:noProof/>
            <w:webHidden/>
          </w:rPr>
          <w:t>121</w:t>
        </w:r>
        <w:r w:rsidR="00543D47">
          <w:rPr>
            <w:noProof/>
            <w:webHidden/>
          </w:rPr>
          <w:fldChar w:fldCharType="end"/>
        </w:r>
      </w:hyperlink>
    </w:p>
    <w:p w14:paraId="45A81399" w14:textId="77777777" w:rsidR="00543D47" w:rsidRDefault="00427907" w:rsidP="00543D47">
      <w:pPr>
        <w:pStyle w:val="TableofFigures"/>
        <w:tabs>
          <w:tab w:val="right" w:leader="dot" w:pos="9016"/>
        </w:tabs>
        <w:rPr>
          <w:rFonts w:eastAsiaTheme="minorEastAsia" w:cstheme="minorBidi"/>
          <w:noProof/>
          <w:sz w:val="22"/>
          <w:szCs w:val="22"/>
        </w:rPr>
      </w:pPr>
      <w:hyperlink w:anchor="_Toc534375006" w:history="1">
        <w:r w:rsidR="00543D47" w:rsidRPr="00210832">
          <w:rPr>
            <w:rStyle w:val="Hyperlink"/>
            <w:b/>
            <w:noProof/>
          </w:rPr>
          <w:t>Recommendation 28: Tumour marker items: item 66650, 66651, 66652, 66653, 66629</w:t>
        </w:r>
        <w:r w:rsidR="00543D47">
          <w:rPr>
            <w:noProof/>
            <w:webHidden/>
          </w:rPr>
          <w:tab/>
        </w:r>
        <w:r w:rsidR="00543D47">
          <w:rPr>
            <w:noProof/>
            <w:webHidden/>
          </w:rPr>
          <w:fldChar w:fldCharType="begin"/>
        </w:r>
        <w:r w:rsidR="00543D47">
          <w:rPr>
            <w:noProof/>
            <w:webHidden/>
          </w:rPr>
          <w:instrText xml:space="preserve"> PAGEREF _Toc534375006 \h </w:instrText>
        </w:r>
        <w:r w:rsidR="00543D47">
          <w:rPr>
            <w:noProof/>
            <w:webHidden/>
          </w:rPr>
        </w:r>
        <w:r w:rsidR="00543D47">
          <w:rPr>
            <w:noProof/>
            <w:webHidden/>
          </w:rPr>
          <w:fldChar w:fldCharType="separate"/>
        </w:r>
        <w:r w:rsidR="00543D47">
          <w:rPr>
            <w:noProof/>
            <w:webHidden/>
          </w:rPr>
          <w:t>121</w:t>
        </w:r>
        <w:r w:rsidR="00543D47">
          <w:rPr>
            <w:noProof/>
            <w:webHidden/>
          </w:rPr>
          <w:fldChar w:fldCharType="end"/>
        </w:r>
      </w:hyperlink>
    </w:p>
    <w:p w14:paraId="5C04A6A1" w14:textId="77777777" w:rsidR="00543D47" w:rsidRDefault="00543D47" w:rsidP="00543D47">
      <w:pPr>
        <w:pStyle w:val="TableofFigures"/>
        <w:tabs>
          <w:tab w:val="left" w:pos="1100"/>
          <w:tab w:val="right" w:leader="dot" w:pos="9016"/>
        </w:tabs>
        <w:rPr>
          <w:rFonts w:eastAsiaTheme="minorEastAsia" w:cstheme="minorBidi"/>
          <w:noProof/>
          <w:sz w:val="22"/>
          <w:szCs w:val="22"/>
        </w:rPr>
      </w:pPr>
      <w:r w:rsidRPr="00370DFD">
        <w:rPr>
          <w:rStyle w:val="Hyperlink"/>
        </w:rPr>
        <w:fldChar w:fldCharType="end"/>
      </w:r>
      <w:r w:rsidRPr="00370DFD">
        <w:fldChar w:fldCharType="begin"/>
      </w:r>
      <w:r w:rsidRPr="00370DFD">
        <w:instrText xml:space="preserve"> TOC \h \z \c "Table" </w:instrText>
      </w:r>
      <w:r w:rsidRPr="00370DFD">
        <w:fldChar w:fldCharType="separate"/>
      </w:r>
    </w:p>
    <w:p w14:paraId="3979445B" w14:textId="77777777" w:rsidR="00543D47" w:rsidRPr="00370DFD" w:rsidRDefault="00543D47" w:rsidP="00543D47">
      <w:pPr>
        <w:pStyle w:val="TableofFigures"/>
        <w:tabs>
          <w:tab w:val="left" w:pos="1100"/>
          <w:tab w:val="right" w:leader="dot" w:pos="9016"/>
        </w:tabs>
      </w:pPr>
      <w:r w:rsidRPr="00370DFD">
        <w:fldChar w:fldCharType="end"/>
      </w:r>
      <w:r w:rsidRPr="00370DFD">
        <w:br w:type="page"/>
      </w:r>
    </w:p>
    <w:p w14:paraId="7C40370A" w14:textId="77777777" w:rsidR="00543D47" w:rsidRPr="00370DFD" w:rsidRDefault="00543D47" w:rsidP="00543D47">
      <w:pPr>
        <w:pStyle w:val="Heading1"/>
        <w:rPr>
          <w:lang w:val="en-AU"/>
        </w:rPr>
      </w:pPr>
      <w:bookmarkStart w:id="2" w:name="_Toc514247601"/>
      <w:bookmarkEnd w:id="0"/>
      <w:r>
        <w:rPr>
          <w:lang w:val="en-AU"/>
        </w:rPr>
        <w:lastRenderedPageBreak/>
        <w:t>Executive s</w:t>
      </w:r>
      <w:r w:rsidRPr="00370DFD">
        <w:rPr>
          <w:lang w:val="en-AU"/>
        </w:rPr>
        <w:t>ummary</w:t>
      </w:r>
      <w:bookmarkEnd w:id="2"/>
    </w:p>
    <w:p w14:paraId="468C6E9F" w14:textId="77777777" w:rsidR="00543D47" w:rsidRPr="0021330F" w:rsidRDefault="00543D47" w:rsidP="00543D47">
      <w:r w:rsidRPr="0021330F">
        <w:t>The Medicare Benefits Schedule (MBS) Review Taskforce (the Taskforce) is undertaking a program of work</w:t>
      </w:r>
      <w:r>
        <w:t xml:space="preserve"> that considers how more than 5</w:t>
      </w:r>
      <w:r w:rsidRPr="0021330F">
        <w:t>700 items on the MBS can be aligned with contemporary clinical eviden</w:t>
      </w:r>
      <w:r>
        <w:t>ce and practice and improve</w:t>
      </w:r>
      <w:r w:rsidRPr="0021330F">
        <w:t xml:space="preserve"> health outcomes for patients. The Taskforce will also seek to identify any services that may be unnecessary, outdated or potentially unsafe. </w:t>
      </w:r>
    </w:p>
    <w:p w14:paraId="147CAA7F" w14:textId="77777777" w:rsidR="00543D47" w:rsidRPr="0021330F" w:rsidRDefault="00543D47" w:rsidP="00543D47">
      <w:r w:rsidRPr="0021330F">
        <w:t>The Taskforce is committed to providing recommendations to the Minister for Health that will allow the MBS to deliver on each of these four key goals:</w:t>
      </w:r>
    </w:p>
    <w:p w14:paraId="0DA590B9" w14:textId="77777777" w:rsidR="00543D47" w:rsidRPr="0021330F" w:rsidRDefault="00543D47" w:rsidP="00543D47">
      <w:pPr>
        <w:numPr>
          <w:ilvl w:val="0"/>
          <w:numId w:val="15"/>
        </w:numPr>
        <w:spacing w:before="120" w:line="240" w:lineRule="auto"/>
        <w:ind w:right="142"/>
        <w:rPr>
          <w:szCs w:val="20"/>
        </w:rPr>
      </w:pPr>
      <w:r w:rsidRPr="0021330F">
        <w:rPr>
          <w:szCs w:val="20"/>
        </w:rPr>
        <w:t>Affordable and universal access.</w:t>
      </w:r>
    </w:p>
    <w:p w14:paraId="23ADC0BB" w14:textId="77777777" w:rsidR="00543D47" w:rsidRPr="0021330F" w:rsidRDefault="00543D47" w:rsidP="00543D47">
      <w:pPr>
        <w:numPr>
          <w:ilvl w:val="0"/>
          <w:numId w:val="15"/>
        </w:numPr>
        <w:spacing w:before="120" w:line="240" w:lineRule="auto"/>
        <w:ind w:right="142"/>
        <w:rPr>
          <w:szCs w:val="20"/>
        </w:rPr>
      </w:pPr>
      <w:r w:rsidRPr="0021330F">
        <w:rPr>
          <w:szCs w:val="20"/>
        </w:rPr>
        <w:t>Best-practice health services.</w:t>
      </w:r>
    </w:p>
    <w:p w14:paraId="5BC79043" w14:textId="77777777" w:rsidR="00543D47" w:rsidRPr="0021330F" w:rsidRDefault="00543D47" w:rsidP="00543D47">
      <w:pPr>
        <w:numPr>
          <w:ilvl w:val="0"/>
          <w:numId w:val="15"/>
        </w:numPr>
        <w:spacing w:before="120" w:line="240" w:lineRule="auto"/>
        <w:ind w:right="142"/>
        <w:rPr>
          <w:szCs w:val="20"/>
        </w:rPr>
      </w:pPr>
      <w:r w:rsidRPr="0021330F">
        <w:rPr>
          <w:szCs w:val="20"/>
        </w:rPr>
        <w:t>Value for the individual patient.</w:t>
      </w:r>
    </w:p>
    <w:p w14:paraId="11F63B60" w14:textId="77777777" w:rsidR="00543D47" w:rsidRPr="0021330F" w:rsidRDefault="00543D47" w:rsidP="00543D47">
      <w:pPr>
        <w:numPr>
          <w:ilvl w:val="0"/>
          <w:numId w:val="15"/>
        </w:numPr>
        <w:spacing w:before="120" w:line="240" w:lineRule="auto"/>
        <w:ind w:right="142"/>
        <w:rPr>
          <w:szCs w:val="20"/>
        </w:rPr>
      </w:pPr>
      <w:r w:rsidRPr="0021330F">
        <w:rPr>
          <w:szCs w:val="20"/>
        </w:rPr>
        <w:t>Value for the health system.</w:t>
      </w:r>
    </w:p>
    <w:p w14:paraId="2E508DF8" w14:textId="77777777" w:rsidR="00543D47" w:rsidRPr="0021330F" w:rsidRDefault="00543D47" w:rsidP="00543D47">
      <w:r w:rsidRPr="0021330F">
        <w:t>The Taskforce has endorsed a methodology whereby the necessary clinical review of MBS items is undertaken by Clinical Committees and Working Groups. The Taskforce has asked the Clinical Committees to undertake the following tasks:</w:t>
      </w:r>
    </w:p>
    <w:p w14:paraId="6363307E" w14:textId="77777777" w:rsidR="00543D47" w:rsidRPr="0021330F" w:rsidRDefault="00543D47" w:rsidP="00543D47">
      <w:pPr>
        <w:numPr>
          <w:ilvl w:val="0"/>
          <w:numId w:val="16"/>
        </w:numPr>
        <w:spacing w:line="240" w:lineRule="auto"/>
        <w:contextualSpacing/>
        <w:rPr>
          <w:rFonts w:cs="Arial"/>
        </w:rPr>
      </w:pPr>
      <w:r w:rsidRPr="0021330F">
        <w:rPr>
          <w:rFonts w:cs="Arial"/>
        </w:rPr>
        <w:t>Consider whether there are MBS items that are obsolete and should be removed from the MBS.</w:t>
      </w:r>
    </w:p>
    <w:p w14:paraId="6F4843F6" w14:textId="77777777" w:rsidR="00543D47" w:rsidRPr="0021330F" w:rsidRDefault="00543D47" w:rsidP="00543D47">
      <w:pPr>
        <w:numPr>
          <w:ilvl w:val="0"/>
          <w:numId w:val="16"/>
        </w:numPr>
        <w:spacing w:line="240" w:lineRule="auto"/>
        <w:contextualSpacing/>
        <w:rPr>
          <w:rFonts w:cs="Arial"/>
        </w:rPr>
      </w:pPr>
      <w:r w:rsidRPr="0021330F">
        <w:rPr>
          <w:rFonts w:cs="Arial"/>
        </w:rPr>
        <w:t>Consider identified priority reviews of selected MBS services.</w:t>
      </w:r>
    </w:p>
    <w:p w14:paraId="42642DAD" w14:textId="77777777" w:rsidR="00543D47" w:rsidRPr="0021330F" w:rsidRDefault="00543D47" w:rsidP="00543D47">
      <w:pPr>
        <w:numPr>
          <w:ilvl w:val="0"/>
          <w:numId w:val="16"/>
        </w:numPr>
        <w:spacing w:line="240" w:lineRule="auto"/>
        <w:contextualSpacing/>
        <w:rPr>
          <w:rFonts w:cs="Arial"/>
        </w:rPr>
      </w:pPr>
      <w:r w:rsidRPr="0021330F">
        <w:rPr>
          <w:rFonts w:cs="Arial"/>
        </w:rPr>
        <w:t>Develop a program of work to consider the balance of MBS services within its remit and items assigned to the Committee.</w:t>
      </w:r>
    </w:p>
    <w:p w14:paraId="183922B0" w14:textId="77777777" w:rsidR="00543D47" w:rsidRPr="0021330F" w:rsidRDefault="00543D47" w:rsidP="00543D47">
      <w:pPr>
        <w:numPr>
          <w:ilvl w:val="0"/>
          <w:numId w:val="16"/>
        </w:numPr>
        <w:spacing w:line="240" w:lineRule="auto"/>
        <w:contextualSpacing/>
        <w:rPr>
          <w:rFonts w:cs="Arial"/>
        </w:rPr>
      </w:pPr>
      <w:r w:rsidRPr="0021330F">
        <w:rPr>
          <w:rFonts w:cs="Arial"/>
        </w:rPr>
        <w:t xml:space="preserve">Advise the Taskforce on relevant general MBS issues identified by the Committee </w:t>
      </w:r>
      <w:proofErr w:type="gramStart"/>
      <w:r w:rsidRPr="0021330F">
        <w:rPr>
          <w:rFonts w:cs="Arial"/>
        </w:rPr>
        <w:t>in the course of</w:t>
      </w:r>
      <w:proofErr w:type="gramEnd"/>
      <w:r w:rsidRPr="0021330F">
        <w:rPr>
          <w:rFonts w:cs="Arial"/>
        </w:rPr>
        <w:t xml:space="preserve"> its deliberations.</w:t>
      </w:r>
    </w:p>
    <w:p w14:paraId="62F46F6F" w14:textId="77777777" w:rsidR="00543D47" w:rsidRPr="0021330F" w:rsidRDefault="00543D47" w:rsidP="00543D47">
      <w:r w:rsidRPr="0021330F">
        <w:t>The recommendations from the Clinical Committees are released for stakeholder consultation. The Clinical Committees will consider feedback from stakeholders</w:t>
      </w:r>
      <w:r>
        <w:t>,</w:t>
      </w:r>
      <w:r w:rsidRPr="0021330F">
        <w:t xml:space="preserve"> then provide recommendations to the Taskforce in a Review Report. The Taskforce will consider the Review Report from Clinical Committees and stakeholder feedback before making recommendations to the Minister for Health, for consideration by Government.</w:t>
      </w:r>
    </w:p>
    <w:p w14:paraId="5663E9B0" w14:textId="77777777" w:rsidR="00543D47" w:rsidRDefault="00543D47" w:rsidP="00543D47">
      <w:pPr>
        <w:pStyle w:val="Heading2"/>
        <w:spacing w:before="320" w:after="60" w:line="240" w:lineRule="auto"/>
        <w:ind w:left="576" w:hanging="576"/>
      </w:pPr>
      <w:bookmarkStart w:id="3" w:name="_Toc481593980"/>
      <w:bookmarkStart w:id="4" w:name="_Toc514247602"/>
      <w:r w:rsidRPr="00FC1976">
        <w:t>MBS Review process</w:t>
      </w:r>
      <w:bookmarkEnd w:id="3"/>
      <w:bookmarkEnd w:id="4"/>
    </w:p>
    <w:p w14:paraId="5208E226" w14:textId="77777777" w:rsidR="00543D47" w:rsidRDefault="00543D47" w:rsidP="00543D47">
      <w:pPr>
        <w:rPr>
          <w:lang w:val="en-US"/>
        </w:rPr>
      </w:pPr>
      <w:r w:rsidRPr="0021330F">
        <w:rPr>
          <w:lang w:val="en-US"/>
        </w:rPr>
        <w:t>The Taskforce has endorsed a process whereby the necessary clinical review of MBS items is undertaken by Clinical Committees and Working Groups. The Taskforce asked all committees in the second tranche of the Review process to review MBS items using a framework based on Appropriate Use Criteria accepted by the Taskforce</w:t>
      </w:r>
      <w:r>
        <w:rPr>
          <w:lang w:val="en-US"/>
        </w:rPr>
        <w:t xml:space="preserve"> (</w:t>
      </w:r>
      <w:proofErr w:type="spellStart"/>
      <w:r>
        <w:rPr>
          <w:lang w:val="en-US"/>
        </w:rPr>
        <w:t>Elshaug</w:t>
      </w:r>
      <w:proofErr w:type="spellEnd"/>
      <w:r w:rsidRPr="0021330F">
        <w:rPr>
          <w:lang w:val="en-US"/>
        </w:rPr>
        <w:t>). This framework includes the following steps:</w:t>
      </w:r>
    </w:p>
    <w:p w14:paraId="39D8A425" w14:textId="77777777" w:rsidR="00543D47" w:rsidRDefault="00543D47" w:rsidP="00543D47">
      <w:pPr>
        <w:numPr>
          <w:ilvl w:val="0"/>
          <w:numId w:val="15"/>
        </w:numPr>
        <w:spacing w:before="120" w:line="240" w:lineRule="auto"/>
        <w:ind w:right="142"/>
        <w:rPr>
          <w:szCs w:val="20"/>
        </w:rPr>
      </w:pPr>
      <w:r>
        <w:rPr>
          <w:szCs w:val="20"/>
        </w:rPr>
        <w:t>R</w:t>
      </w:r>
      <w:r w:rsidRPr="00FA78B4">
        <w:rPr>
          <w:szCs w:val="20"/>
        </w:rPr>
        <w:t>eview data and literature relevant to the items under consideration</w:t>
      </w:r>
      <w:r>
        <w:rPr>
          <w:szCs w:val="20"/>
        </w:rPr>
        <w:t>.</w:t>
      </w:r>
    </w:p>
    <w:p w14:paraId="471DFF33" w14:textId="77777777" w:rsidR="00543D47" w:rsidRDefault="00543D47" w:rsidP="00543D47">
      <w:pPr>
        <w:numPr>
          <w:ilvl w:val="0"/>
          <w:numId w:val="15"/>
        </w:numPr>
        <w:spacing w:before="120" w:line="240" w:lineRule="auto"/>
        <w:ind w:right="142"/>
        <w:rPr>
          <w:szCs w:val="20"/>
        </w:rPr>
      </w:pPr>
      <w:r>
        <w:rPr>
          <w:szCs w:val="20"/>
        </w:rPr>
        <w:t>I</w:t>
      </w:r>
      <w:r w:rsidRPr="00FA78B4">
        <w:rPr>
          <w:szCs w:val="20"/>
        </w:rPr>
        <w:t>dentify MBS items that are potentially obsolete, are of questionable clinical value, are misused and/or pose a risk to patient safety</w:t>
      </w:r>
      <w:r>
        <w:rPr>
          <w:szCs w:val="20"/>
        </w:rPr>
        <w:t>.</w:t>
      </w:r>
    </w:p>
    <w:p w14:paraId="64D4269C" w14:textId="77777777" w:rsidR="00543D47" w:rsidRPr="00FA78B4" w:rsidRDefault="00543D47" w:rsidP="00543D47">
      <w:pPr>
        <w:numPr>
          <w:ilvl w:val="0"/>
          <w:numId w:val="15"/>
        </w:numPr>
        <w:spacing w:before="120" w:line="240" w:lineRule="auto"/>
        <w:ind w:right="142"/>
        <w:rPr>
          <w:szCs w:val="20"/>
        </w:rPr>
      </w:pPr>
      <w:r>
        <w:rPr>
          <w:szCs w:val="20"/>
        </w:rPr>
        <w:t>D</w:t>
      </w:r>
      <w:r w:rsidRPr="00FA78B4">
        <w:rPr>
          <w:szCs w:val="20"/>
        </w:rPr>
        <w:t>evelop and refine recommendations for these items, based on the literature and relevant data, in consultation with relevant stakeholders.</w:t>
      </w:r>
    </w:p>
    <w:p w14:paraId="39DA1BC5" w14:textId="77777777" w:rsidR="00543D47" w:rsidRPr="0021330F" w:rsidRDefault="00543D47" w:rsidP="00543D47">
      <w:pPr>
        <w:rPr>
          <w:lang w:val="en-US"/>
        </w:rPr>
      </w:pPr>
      <w:r w:rsidRPr="0021330F">
        <w:rPr>
          <w:lang w:val="en-US"/>
        </w:rPr>
        <w:lastRenderedPageBreak/>
        <w:t>In complex cases, full appropriate use criteria were developed for an item’s descriptor and explanatory notes. All second-tranche committees involved in this Review adopted this framework, which is outlined in more detail in Section 2.3.</w:t>
      </w:r>
    </w:p>
    <w:p w14:paraId="7F681A05" w14:textId="77777777" w:rsidR="00543D47" w:rsidRPr="0021330F" w:rsidRDefault="00543D47" w:rsidP="00543D47">
      <w:pPr>
        <w:rPr>
          <w:lang w:val="en-US"/>
        </w:rPr>
      </w:pPr>
      <w:r w:rsidRPr="0021330F">
        <w:rPr>
          <w:lang w:val="en-US"/>
        </w:rPr>
        <w:t>The recommendations from the Clinical Committees will be released for stakeholder consultation. The Clinical Committees will consider feedback from stakeholders and then provide recommendations to the Taskforce in Review reports. The Taskforce will consider the Review reports from Clinical Committees, along with stakeholder feedback, before making recommendations to the Minister for Health for consideration by the Government.</w:t>
      </w:r>
    </w:p>
    <w:p w14:paraId="57BB40A1" w14:textId="77777777" w:rsidR="00543D47" w:rsidRDefault="00543D47" w:rsidP="00543D47">
      <w:pPr>
        <w:pStyle w:val="Heading2"/>
        <w:spacing w:before="320" w:after="60" w:line="240" w:lineRule="auto"/>
        <w:ind w:left="576" w:hanging="576"/>
      </w:pPr>
      <w:bookmarkStart w:id="5" w:name="_Toc481593981"/>
      <w:bookmarkStart w:id="6" w:name="_Toc514247603"/>
      <w:r w:rsidRPr="00FC1976">
        <w:t xml:space="preserve">The </w:t>
      </w:r>
      <w:r>
        <w:t>Pathology</w:t>
      </w:r>
      <w:r w:rsidRPr="007B3FE5">
        <w:t xml:space="preserve"> Clinical Committee</w:t>
      </w:r>
      <w:bookmarkEnd w:id="5"/>
      <w:bookmarkEnd w:id="6"/>
    </w:p>
    <w:p w14:paraId="45AB426B" w14:textId="77777777" w:rsidR="00543D47" w:rsidRDefault="00543D47" w:rsidP="00543D47">
      <w:pPr>
        <w:rPr>
          <w:lang w:val="en-US"/>
        </w:rPr>
      </w:pPr>
      <w:r w:rsidRPr="00684817">
        <w:rPr>
          <w:lang w:val="en-US"/>
        </w:rPr>
        <w:t xml:space="preserve">The </w:t>
      </w:r>
      <w:r>
        <w:rPr>
          <w:lang w:val="en-US"/>
        </w:rPr>
        <w:t>Pathology</w:t>
      </w:r>
      <w:r w:rsidRPr="00684817">
        <w:rPr>
          <w:lang w:val="en-US"/>
        </w:rPr>
        <w:t xml:space="preserve"> Clinical Committee (the Committee) was established in </w:t>
      </w:r>
      <w:r>
        <w:rPr>
          <w:lang w:val="en-US"/>
        </w:rPr>
        <w:t>2016</w:t>
      </w:r>
      <w:r w:rsidRPr="00684817">
        <w:rPr>
          <w:lang w:val="en-US"/>
        </w:rPr>
        <w:t xml:space="preserve"> to make recommendations to the MBS Review Taskforce on the review of MBS items within its remit, based on rapid evidence review and clinical expertise.</w:t>
      </w:r>
    </w:p>
    <w:p w14:paraId="561FEC38" w14:textId="77777777" w:rsidR="00543D47" w:rsidRPr="00FC1976" w:rsidRDefault="00543D47" w:rsidP="00543D47">
      <w:proofErr w:type="gramStart"/>
      <w:r>
        <w:t>The majority of</w:t>
      </w:r>
      <w:proofErr w:type="gramEnd"/>
      <w:r w:rsidRPr="007B3FE5">
        <w:t xml:space="preserve"> recommendations relating to these items are included in this report for consultation.</w:t>
      </w:r>
      <w:r>
        <w:t xml:space="preserve"> This the second report on Chemical Pathology items.</w:t>
      </w:r>
      <w:r w:rsidRPr="007B3FE5">
        <w:t xml:space="preserve"> </w:t>
      </w:r>
      <w:r w:rsidRPr="00DB0828">
        <w:rPr>
          <w:lang w:val="en-US"/>
        </w:rPr>
        <w:t>In the 2014</w:t>
      </w:r>
      <w:r>
        <w:rPr>
          <w:lang w:val="en-US"/>
        </w:rPr>
        <w:t>–</w:t>
      </w:r>
      <w:r w:rsidRPr="00DB0828">
        <w:rPr>
          <w:lang w:val="en-US"/>
        </w:rPr>
        <w:t>15 financial year chemical items accounted for 47 million services and $1 billion in benefits. Over the four years to 2016 chemical testing has grown by nearly 20%.</w:t>
      </w:r>
      <w:r>
        <w:rPr>
          <w:lang w:val="en-US"/>
        </w:rPr>
        <w:t xml:space="preserve"> </w:t>
      </w:r>
      <w:r w:rsidRPr="007B3FE5">
        <w:t xml:space="preserve">The Committee also provided </w:t>
      </w:r>
      <w:r>
        <w:t xml:space="preserve">recommendations </w:t>
      </w:r>
      <w:r w:rsidRPr="007B3FE5">
        <w:t xml:space="preserve">on items that will be referred </w:t>
      </w:r>
      <w:r>
        <w:t>to other committees</w:t>
      </w:r>
      <w:r w:rsidRPr="007B3FE5">
        <w:t xml:space="preserve"> for consultation.</w:t>
      </w:r>
      <w:r w:rsidRPr="00FC1976">
        <w:t xml:space="preserve"> </w:t>
      </w:r>
    </w:p>
    <w:p w14:paraId="21B60905" w14:textId="77777777" w:rsidR="00543D47" w:rsidRPr="00451BFB" w:rsidRDefault="00543D47" w:rsidP="00543D47">
      <w:r w:rsidRPr="00FC1976">
        <w:t xml:space="preserve">An inclusive set of stakeholders is now engaged in consultation on the recommendations outlined in this report. Following this period of consultation, the recommendations will be finalised and presented to the Taskforce. The Taskforce will consider the report and stakeholder feedback before making recommendations to the </w:t>
      </w:r>
      <w:r>
        <w:t xml:space="preserve">Minister for Health </w:t>
      </w:r>
      <w:r w:rsidRPr="00FC1976">
        <w:t>for co</w:t>
      </w:r>
      <w:r>
        <w:t xml:space="preserve">nsideration by the Government. </w:t>
      </w:r>
    </w:p>
    <w:p w14:paraId="5F84D523" w14:textId="77777777" w:rsidR="00543D47" w:rsidRPr="00FC1976" w:rsidRDefault="00543D47" w:rsidP="00543D47">
      <w:pPr>
        <w:pStyle w:val="Heading2"/>
        <w:spacing w:before="320" w:after="60" w:line="240" w:lineRule="auto"/>
        <w:ind w:left="576" w:hanging="576"/>
      </w:pPr>
      <w:bookmarkStart w:id="7" w:name="_Toc481593982"/>
      <w:bookmarkStart w:id="8" w:name="_Toc514247604"/>
      <w:r w:rsidRPr="00FC1976">
        <w:t>Recommendati</w:t>
      </w:r>
      <w:r w:rsidRPr="003131D1">
        <w:t>o</w:t>
      </w:r>
      <w:r w:rsidRPr="00FC1976">
        <w:t>ns</w:t>
      </w:r>
      <w:bookmarkEnd w:id="7"/>
      <w:bookmarkEnd w:id="8"/>
    </w:p>
    <w:p w14:paraId="05F19522" w14:textId="77777777" w:rsidR="00543D47" w:rsidRPr="00F46F00" w:rsidRDefault="00543D47" w:rsidP="00543D47">
      <w:r w:rsidRPr="00F63F53">
        <w:t xml:space="preserve">The Committee has highlighted its most important recommendations below. The complete recommendations (and the accompanying rationales) for all items can be found in Section 4. </w:t>
      </w:r>
    </w:p>
    <w:p w14:paraId="1FF2DEAB" w14:textId="77777777" w:rsidR="00543D47" w:rsidRPr="00713B0C" w:rsidRDefault="00543D47" w:rsidP="00543D47">
      <w:pPr>
        <w:pStyle w:val="Heading3"/>
        <w:ind w:left="720"/>
      </w:pPr>
      <w:bookmarkStart w:id="9" w:name="_Toc481593983"/>
      <w:r w:rsidRPr="00713B0C">
        <w:t>Recommendations for consultation</w:t>
      </w:r>
      <w:bookmarkEnd w:id="9"/>
    </w:p>
    <w:p w14:paraId="43550B21" w14:textId="77777777" w:rsidR="00543D47" w:rsidRPr="00275189" w:rsidRDefault="00543D47" w:rsidP="00543D47">
      <w:r>
        <w:t xml:space="preserve">The </w:t>
      </w:r>
      <w:r w:rsidRPr="00275189">
        <w:t>Committee’s recommendations for stakeholder consultation are:</w:t>
      </w:r>
    </w:p>
    <w:p w14:paraId="3098D5FE" w14:textId="77777777" w:rsidR="00543D47" w:rsidRPr="00275189" w:rsidRDefault="00543D47" w:rsidP="00543D47">
      <w:pPr>
        <w:pStyle w:val="ListParagraph"/>
        <w:numPr>
          <w:ilvl w:val="0"/>
          <w:numId w:val="17"/>
        </w:numPr>
        <w:spacing w:before="200" w:line="240" w:lineRule="auto"/>
      </w:pPr>
      <w:r w:rsidRPr="00275189">
        <w:t xml:space="preserve"> that 14 items should be deleted from the </w:t>
      </w:r>
      <w:proofErr w:type="gramStart"/>
      <w:r w:rsidRPr="00275189">
        <w:t>MBS;</w:t>
      </w:r>
      <w:proofErr w:type="gramEnd"/>
      <w:r w:rsidRPr="00275189">
        <w:t xml:space="preserve"> </w:t>
      </w:r>
    </w:p>
    <w:p w14:paraId="7256456A" w14:textId="77777777" w:rsidR="00543D47" w:rsidRPr="00275189" w:rsidRDefault="00543D47" w:rsidP="00543D47">
      <w:pPr>
        <w:pStyle w:val="ListParagraph"/>
        <w:numPr>
          <w:ilvl w:val="0"/>
          <w:numId w:val="17"/>
        </w:numPr>
        <w:spacing w:before="200" w:line="240" w:lineRule="auto"/>
      </w:pPr>
      <w:r w:rsidRPr="00275189">
        <w:t xml:space="preserve">22 items should be </w:t>
      </w:r>
      <w:proofErr w:type="gramStart"/>
      <w:r w:rsidRPr="00275189">
        <w:t>changed;</w:t>
      </w:r>
      <w:proofErr w:type="gramEnd"/>
      <w:r w:rsidRPr="00275189">
        <w:t xml:space="preserve"> and </w:t>
      </w:r>
    </w:p>
    <w:p w14:paraId="72B1F308" w14:textId="77777777" w:rsidR="00543D47" w:rsidRPr="00275189" w:rsidRDefault="00543D47" w:rsidP="00543D47">
      <w:pPr>
        <w:pStyle w:val="ListParagraph"/>
        <w:numPr>
          <w:ilvl w:val="0"/>
          <w:numId w:val="17"/>
        </w:numPr>
        <w:spacing w:before="200" w:line="240" w:lineRule="auto"/>
      </w:pPr>
      <w:r w:rsidRPr="00275189">
        <w:t xml:space="preserve">51 items should remain unchanged. </w:t>
      </w:r>
    </w:p>
    <w:p w14:paraId="2FC5801B" w14:textId="77777777" w:rsidR="00543D47" w:rsidRPr="00D92EFF" w:rsidRDefault="00543D47" w:rsidP="00543D47">
      <w:r w:rsidRPr="00DE1992">
        <w:t xml:space="preserve">The Committee has proposed </w:t>
      </w:r>
      <w:r>
        <w:t>4</w:t>
      </w:r>
      <w:r w:rsidRPr="00DE1992">
        <w:t xml:space="preserve"> new items</w:t>
      </w:r>
      <w:r>
        <w:t xml:space="preserve"> expected to be referred to the Medicare Services Advisory Committee (MSAC). Forty-three</w:t>
      </w:r>
      <w:r w:rsidRPr="00DB0828">
        <w:t xml:space="preserve"> tests were reviewed in the first chemical report</w:t>
      </w:r>
      <w:r>
        <w:t>.</w:t>
      </w:r>
    </w:p>
    <w:p w14:paraId="46D04B93" w14:textId="77777777" w:rsidR="00543D47" w:rsidRPr="007C74D2" w:rsidRDefault="00543D47" w:rsidP="00543D47">
      <w:r>
        <w:t xml:space="preserve">These changes focus on encouraging best practice, modernising the MBS to reflect contemporary practice, and ensuring that MBS services provide value for the patient and the healthcare system. </w:t>
      </w:r>
    </w:p>
    <w:p w14:paraId="3FF00FFB" w14:textId="77777777" w:rsidR="00543D47" w:rsidRPr="007D7930" w:rsidRDefault="00543D47" w:rsidP="00543D47">
      <w:r w:rsidRPr="007D7930">
        <w:lastRenderedPageBreak/>
        <w:t xml:space="preserve">Significant recommendations are summarised below. </w:t>
      </w:r>
    </w:p>
    <w:p w14:paraId="77A1F842" w14:textId="77777777" w:rsidR="00543D47" w:rsidRPr="007D7930" w:rsidRDefault="00543D47" w:rsidP="00543D47">
      <w:pPr>
        <w:pStyle w:val="ListParagraph"/>
        <w:numPr>
          <w:ilvl w:val="0"/>
          <w:numId w:val="14"/>
        </w:numPr>
        <w:spacing w:before="0" w:after="160" w:line="259" w:lineRule="auto"/>
        <w:rPr>
          <w:b w:val="0"/>
        </w:rPr>
      </w:pPr>
      <w:r w:rsidRPr="007D7930">
        <w:t>Frequent and common clinical chemistry test</w:t>
      </w:r>
      <w:r>
        <w:t>s</w:t>
      </w:r>
      <w:r w:rsidRPr="007D7930">
        <w:t xml:space="preserve"> – </w:t>
      </w:r>
      <w:r w:rsidRPr="007D7930">
        <w:rPr>
          <w:b w:val="0"/>
        </w:rPr>
        <w:t xml:space="preserve">introduce three new items that would group some of the tests covered under 66500 into three commonly requested panels. </w:t>
      </w:r>
    </w:p>
    <w:p w14:paraId="1BBDE148" w14:textId="77777777" w:rsidR="00543D47" w:rsidRPr="007D7930" w:rsidRDefault="00543D47" w:rsidP="00543D47">
      <w:pPr>
        <w:pStyle w:val="NormalBulleted"/>
        <w:rPr>
          <w:lang w:eastAsia="en-US"/>
        </w:rPr>
      </w:pPr>
      <w:r w:rsidRPr="007D7930">
        <w:rPr>
          <w:b/>
        </w:rPr>
        <w:t xml:space="preserve">Antenatal testing for chromosomal abnormalities in pregnancy – </w:t>
      </w:r>
      <w:r w:rsidRPr="007D7930">
        <w:rPr>
          <w:lang w:eastAsia="en-US"/>
        </w:rPr>
        <w:t>Change the item descriptors of items 66750 and 66751 to stipulate first trimester screening and second trimester screening tests.</w:t>
      </w:r>
    </w:p>
    <w:p w14:paraId="5E7850CF" w14:textId="77777777" w:rsidR="00543D47" w:rsidRPr="007D7930" w:rsidRDefault="00543D47" w:rsidP="00543D47">
      <w:pPr>
        <w:pStyle w:val="NormalBulleted"/>
        <w:rPr>
          <w:lang w:eastAsia="en-US"/>
        </w:rPr>
      </w:pPr>
      <w:r w:rsidRPr="007D7930">
        <w:rPr>
          <w:b/>
          <w:lang w:eastAsia="en-US"/>
        </w:rPr>
        <w:t>Quantitation of HDL-cholesterol</w:t>
      </w:r>
      <w:r w:rsidRPr="00C16502">
        <w:rPr>
          <w:b/>
          <w:lang w:eastAsia="en-US"/>
        </w:rPr>
        <w:t xml:space="preserve"> – </w:t>
      </w:r>
      <w:r w:rsidRPr="007D7930">
        <w:rPr>
          <w:lang w:eastAsia="en-US"/>
        </w:rPr>
        <w:t>Create a new item for lipids that includes moving cholesterol and triglycerides from item 66500 into this new item.</w:t>
      </w:r>
    </w:p>
    <w:p w14:paraId="48C1043E" w14:textId="77777777" w:rsidR="00543D47" w:rsidRPr="00347B62" w:rsidRDefault="00543D47" w:rsidP="00543D47">
      <w:pPr>
        <w:pStyle w:val="NormalBulleted"/>
        <w:rPr>
          <w:lang w:eastAsia="en-US"/>
        </w:rPr>
      </w:pPr>
      <w:r w:rsidRPr="007D7930">
        <w:rPr>
          <w:b/>
          <w:lang w:eastAsia="en-US"/>
        </w:rPr>
        <w:t>Tumour markers –</w:t>
      </w:r>
      <w:r w:rsidRPr="00C16502">
        <w:rPr>
          <w:b/>
          <w:lang w:eastAsia="en-US"/>
        </w:rPr>
        <w:t xml:space="preserve"> </w:t>
      </w:r>
      <w:r w:rsidRPr="007D7930">
        <w:rPr>
          <w:lang w:eastAsia="en-US"/>
        </w:rPr>
        <w:t>Change the item descriptors to specify which cancer and stage of disease a tumour marker is indicated for and remove cancer</w:t>
      </w:r>
      <w:r>
        <w:rPr>
          <w:lang w:eastAsia="en-US"/>
        </w:rPr>
        <w:t>-</w:t>
      </w:r>
      <w:r w:rsidRPr="007D7930">
        <w:rPr>
          <w:lang w:eastAsia="en-US"/>
        </w:rPr>
        <w:t>associated serum antigen (CASA) and thyroglobulin from the list of TMs in item 66650.</w:t>
      </w:r>
    </w:p>
    <w:p w14:paraId="2FCC9FB5" w14:textId="77777777" w:rsidR="00543D47" w:rsidRPr="007D7930" w:rsidRDefault="00543D47" w:rsidP="00543D47">
      <w:pPr>
        <w:pStyle w:val="Heading3"/>
        <w:ind w:left="720"/>
      </w:pPr>
      <w:bookmarkStart w:id="10" w:name="_Toc481593984"/>
      <w:r w:rsidRPr="007D7930">
        <w:t>Recommendations for referral to other committees</w:t>
      </w:r>
      <w:bookmarkEnd w:id="10"/>
    </w:p>
    <w:p w14:paraId="5817ACC8" w14:textId="77777777" w:rsidR="00543D47" w:rsidRPr="007D7930" w:rsidRDefault="00543D47" w:rsidP="00543D47">
      <w:r w:rsidRPr="007D7930">
        <w:t>The Committee’s recommendations to be referred to MSAC for their consideration:</w:t>
      </w:r>
    </w:p>
    <w:p w14:paraId="1F4C602E" w14:textId="77777777" w:rsidR="00543D47" w:rsidRPr="007D7930" w:rsidRDefault="00543D47" w:rsidP="00543D47">
      <w:pPr>
        <w:pStyle w:val="01squarebullet"/>
        <w:numPr>
          <w:ilvl w:val="0"/>
          <w:numId w:val="14"/>
        </w:numPr>
        <w:spacing w:line="240" w:lineRule="auto"/>
      </w:pPr>
      <w:proofErr w:type="spellStart"/>
      <w:r w:rsidRPr="007D7930">
        <w:rPr>
          <w:b/>
          <w:lang w:val="en-AU"/>
        </w:rPr>
        <w:t>ApoB</w:t>
      </w:r>
      <w:proofErr w:type="spellEnd"/>
      <w:r w:rsidRPr="007D7930">
        <w:rPr>
          <w:b/>
          <w:lang w:val="en-AU"/>
        </w:rPr>
        <w:t xml:space="preserve"> and Lipoprotein</w:t>
      </w:r>
      <w:r>
        <w:rPr>
          <w:b/>
          <w:lang w:val="en-AU"/>
        </w:rPr>
        <w:t xml:space="preserve"> (a)</w:t>
      </w:r>
      <w:r w:rsidRPr="007D7930">
        <w:rPr>
          <w:b/>
          <w:lang w:val="en-AU"/>
        </w:rPr>
        <w:t xml:space="preserve"> testing</w:t>
      </w:r>
    </w:p>
    <w:p w14:paraId="50129149" w14:textId="77777777" w:rsidR="00543D47" w:rsidRPr="007D7930" w:rsidRDefault="00543D47" w:rsidP="00543D47">
      <w:pPr>
        <w:pStyle w:val="01squarebullet"/>
        <w:numPr>
          <w:ilvl w:val="0"/>
          <w:numId w:val="14"/>
        </w:numPr>
        <w:spacing w:line="240" w:lineRule="auto"/>
        <w:rPr>
          <w:b/>
        </w:rPr>
      </w:pPr>
      <w:r w:rsidRPr="007D7930">
        <w:rPr>
          <w:b/>
        </w:rPr>
        <w:t>Brain natriuretic peptide</w:t>
      </w:r>
    </w:p>
    <w:p w14:paraId="735C8FC8" w14:textId="77777777" w:rsidR="00543D47" w:rsidRPr="007D7930" w:rsidRDefault="00543D47" w:rsidP="00543D47">
      <w:pPr>
        <w:pStyle w:val="01squarebullet"/>
        <w:numPr>
          <w:ilvl w:val="0"/>
          <w:numId w:val="14"/>
        </w:numPr>
        <w:spacing w:line="240" w:lineRule="auto"/>
        <w:rPr>
          <w:b/>
        </w:rPr>
      </w:pPr>
      <w:r w:rsidRPr="007D7930">
        <w:rPr>
          <w:b/>
        </w:rPr>
        <w:t xml:space="preserve">Chromogranin A – </w:t>
      </w:r>
      <w:r w:rsidRPr="007D7930">
        <w:t xml:space="preserve">for inclusion in the list of </w:t>
      </w:r>
      <w:proofErr w:type="spellStart"/>
      <w:r w:rsidRPr="007D7930">
        <w:t>tumour</w:t>
      </w:r>
      <w:proofErr w:type="spellEnd"/>
      <w:r w:rsidRPr="007D7930">
        <w:t xml:space="preserve"> markers in item 66650</w:t>
      </w:r>
      <w:r>
        <w:t>;</w:t>
      </w:r>
      <w:r w:rsidRPr="007D7930">
        <w:t xml:space="preserve"> very clear descriptors will be required to ensure appropriate use in the most suitable patient populations</w:t>
      </w:r>
    </w:p>
    <w:p w14:paraId="4104EBEF" w14:textId="77777777" w:rsidR="00543D47" w:rsidRPr="007D7930" w:rsidRDefault="00543D47" w:rsidP="00543D47">
      <w:pPr>
        <w:pStyle w:val="01squarebullet"/>
        <w:numPr>
          <w:ilvl w:val="0"/>
          <w:numId w:val="14"/>
        </w:numPr>
        <w:spacing w:line="240" w:lineRule="auto"/>
        <w:rPr>
          <w:b/>
        </w:rPr>
      </w:pPr>
      <w:r w:rsidRPr="007D7930">
        <w:rPr>
          <w:b/>
        </w:rPr>
        <w:t xml:space="preserve">Human epididymis protein 4 – </w:t>
      </w:r>
      <w:r w:rsidRPr="007D7930">
        <w:t>for inclusion in</w:t>
      </w:r>
      <w:r>
        <w:t xml:space="preserve"> </w:t>
      </w:r>
      <w:r w:rsidRPr="007D7930">
        <w:t xml:space="preserve">the list of </w:t>
      </w:r>
      <w:proofErr w:type="spellStart"/>
      <w:r w:rsidRPr="007D7930">
        <w:t>tumour</w:t>
      </w:r>
      <w:proofErr w:type="spellEnd"/>
      <w:r w:rsidRPr="007D7930">
        <w:t xml:space="preserve"> markers in item 66650</w:t>
      </w:r>
      <w:r>
        <w:t>;</w:t>
      </w:r>
      <w:r w:rsidRPr="007D7930">
        <w:t xml:space="preserve"> very clear descriptors will be required to ensure appropriate use in the most suitable patient populations</w:t>
      </w:r>
      <w:r>
        <w:t>.</w:t>
      </w:r>
    </w:p>
    <w:p w14:paraId="74DC0876" w14:textId="77777777" w:rsidR="00543D47" w:rsidRDefault="00543D47" w:rsidP="00543D47">
      <w:pPr>
        <w:pStyle w:val="Heading2"/>
        <w:spacing w:before="280" w:line="240" w:lineRule="auto"/>
        <w:ind w:left="576" w:hanging="576"/>
        <w:rPr>
          <w:rFonts w:eastAsia="Times New Roman"/>
        </w:rPr>
      </w:pPr>
      <w:bookmarkStart w:id="11" w:name="_Toc498516939"/>
      <w:r>
        <w:rPr>
          <w:rFonts w:eastAsia="Times New Roman"/>
        </w:rPr>
        <w:t>Consumer engagement and impact</w:t>
      </w:r>
      <w:bookmarkEnd w:id="11"/>
    </w:p>
    <w:p w14:paraId="383D9280" w14:textId="77777777" w:rsidR="00543D47" w:rsidRPr="00FB4E95" w:rsidRDefault="00543D47" w:rsidP="00543D47">
      <w:r w:rsidRPr="00FB4E95">
        <w:t xml:space="preserve">The Committee includes experienced and committed health practitioners and consumer representatives. This section summarises the report’s key recommendations from a consumer perspective. It aims to make it easier for health consumers and members of the general public to understand the report’s recommendations. </w:t>
      </w:r>
    </w:p>
    <w:p w14:paraId="2D2A0740" w14:textId="77777777" w:rsidR="00543D47" w:rsidRPr="00FB4E95" w:rsidRDefault="00543D47" w:rsidP="00543D47">
      <w:r w:rsidRPr="00FB4E95">
        <w:t>A complete list of the recommenda</w:t>
      </w:r>
      <w:r>
        <w:t>tions can be found in Appendix A</w:t>
      </w:r>
      <w:r w:rsidRPr="00FB4E95">
        <w:t xml:space="preserve">, including a description in plain English of the medical service and the Committee’s recommendation, as well as an explanation of why the recommendation has been made. </w:t>
      </w:r>
    </w:p>
    <w:p w14:paraId="4064F86B" w14:textId="77777777" w:rsidR="00543D47" w:rsidRPr="00FB4E95" w:rsidRDefault="00543D47" w:rsidP="00543D47">
      <w:r w:rsidRPr="00FB4E95">
        <w:t xml:space="preserve">Consumers rarely engage with MBS item numbers unless they are following up on out-of-pocket expenses. Nevertheless, item descriptions and restrictions are an important part of healthcare accountability. The Committee’s recommendations encourage agreed best practice and reflect current clinical evidence. </w:t>
      </w:r>
    </w:p>
    <w:p w14:paraId="7C9AF65C" w14:textId="77777777" w:rsidR="00543D47" w:rsidRPr="00FB4E95" w:rsidRDefault="00543D47" w:rsidP="00543D47">
      <w:r w:rsidRPr="00FB4E95">
        <w:t xml:space="preserve">Both consumers and clinicians are expected to benefit from these recommendations because they address concerns regarding consumer safety and quality of </w:t>
      </w:r>
      <w:proofErr w:type="gramStart"/>
      <w:r w:rsidRPr="00FB4E95">
        <w:t>care, and</w:t>
      </w:r>
      <w:proofErr w:type="gramEnd"/>
      <w:r w:rsidRPr="00FB4E95">
        <w:t xml:space="preserve"> take steps to simplify the MBS and make it easier to use and understand. Consumer access to services was considered for each recommendation. The Committee also considered the impact of each recommendation on requestor </w:t>
      </w:r>
      <w:r w:rsidRPr="00FB4E95">
        <w:lastRenderedPageBreak/>
        <w:t xml:space="preserve">and provider groups to ensure that changes were reasonable and fair. However, if the Committee identified evidence of potential item misuse or safety concerns, recommendations were made to encourage best practice, in line with the overarching purpose of the MBS Review. </w:t>
      </w:r>
    </w:p>
    <w:p w14:paraId="5FEA314A" w14:textId="77777777" w:rsidR="00543D47" w:rsidRPr="00FB4E95" w:rsidRDefault="00543D47" w:rsidP="00543D47">
      <w:r w:rsidRPr="00FB4E95">
        <w:t xml:space="preserve">The Committee expects these recommendations to support better requesting, with the aim of ensuring that patients are provided with clinically indicated, high-quality care that reflects modern best practice. </w:t>
      </w:r>
    </w:p>
    <w:p w14:paraId="3671C61D" w14:textId="77777777" w:rsidR="00543D47" w:rsidRPr="00FB4E95" w:rsidRDefault="00543D47" w:rsidP="00543D47">
      <w:r w:rsidRPr="00FB4E95">
        <w:t>The consumer representatives used the following framework to assess recommendations:</w:t>
      </w:r>
    </w:p>
    <w:p w14:paraId="45CA2565" w14:textId="77777777" w:rsidR="00543D47" w:rsidRDefault="00543D47" w:rsidP="00543D47">
      <w:pPr>
        <w:pStyle w:val="02dash"/>
        <w:numPr>
          <w:ilvl w:val="0"/>
          <w:numId w:val="0"/>
        </w:numPr>
        <w:tabs>
          <w:tab w:val="left" w:pos="720"/>
        </w:tabs>
        <w:ind w:left="567"/>
      </w:pPr>
      <w:r>
        <w:rPr>
          <w:b/>
          <w:bCs/>
        </w:rPr>
        <w:t>Safety</w:t>
      </w:r>
      <w:r>
        <w:t>: None of the recommendations negatively affects the safety of pathology services.</w:t>
      </w:r>
    </w:p>
    <w:p w14:paraId="77096BE1" w14:textId="77777777" w:rsidR="00543D47" w:rsidRDefault="00543D47" w:rsidP="00543D47">
      <w:pPr>
        <w:pStyle w:val="02dash"/>
        <w:numPr>
          <w:ilvl w:val="0"/>
          <w:numId w:val="0"/>
        </w:numPr>
        <w:tabs>
          <w:tab w:val="left" w:pos="720"/>
        </w:tabs>
        <w:ind w:left="567"/>
      </w:pPr>
      <w:r>
        <w:rPr>
          <w:b/>
          <w:bCs/>
        </w:rPr>
        <w:t>Quality</w:t>
      </w:r>
      <w:r>
        <w:t xml:space="preserve">: Many of the recommended changes are intended to improve quality, primarily by aligning the reimbursement system with evidence-based practice. </w:t>
      </w:r>
    </w:p>
    <w:p w14:paraId="3F7C8EEC" w14:textId="77777777" w:rsidR="00543D47" w:rsidRDefault="00543D47" w:rsidP="00543D47">
      <w:pPr>
        <w:pStyle w:val="02dash"/>
        <w:numPr>
          <w:ilvl w:val="0"/>
          <w:numId w:val="0"/>
        </w:numPr>
        <w:tabs>
          <w:tab w:val="left" w:pos="720"/>
        </w:tabs>
        <w:ind w:left="567"/>
      </w:pPr>
      <w:r>
        <w:rPr>
          <w:b/>
          <w:bCs/>
        </w:rPr>
        <w:t>Access</w:t>
      </w:r>
      <w:r>
        <w:t>: The recommendations do not negatively affect appropriate access. However, some patient groups have been receiving services they do not need, which can result in either negative health impacts or unnecessary cost. Inappropriate access was restricted where possible.</w:t>
      </w:r>
    </w:p>
    <w:p w14:paraId="2883DB10" w14:textId="77777777" w:rsidR="00543D47" w:rsidRDefault="00543D47" w:rsidP="00543D47">
      <w:pPr>
        <w:pStyle w:val="02dash"/>
        <w:numPr>
          <w:ilvl w:val="0"/>
          <w:numId w:val="0"/>
        </w:numPr>
        <w:tabs>
          <w:tab w:val="left" w:pos="720"/>
        </w:tabs>
        <w:ind w:left="567"/>
      </w:pPr>
      <w:r>
        <w:rPr>
          <w:b/>
          <w:bCs/>
        </w:rPr>
        <w:t>Effectiveness</w:t>
      </w:r>
      <w:r>
        <w:t xml:space="preserve">: None of the recommendations reduces the effectiveness of pathology services. </w:t>
      </w:r>
    </w:p>
    <w:p w14:paraId="6577BACB" w14:textId="77777777" w:rsidR="00543D47" w:rsidRDefault="00543D47" w:rsidP="00543D47">
      <w:pPr>
        <w:pStyle w:val="02dash"/>
        <w:numPr>
          <w:ilvl w:val="0"/>
          <w:numId w:val="0"/>
        </w:numPr>
        <w:tabs>
          <w:tab w:val="left" w:pos="720"/>
        </w:tabs>
        <w:ind w:left="567"/>
      </w:pPr>
      <w:r>
        <w:rPr>
          <w:b/>
          <w:bCs/>
        </w:rPr>
        <w:t>Cost-effectiveness</w:t>
      </w:r>
      <w:r>
        <w:t xml:space="preserve">: The recommendations will have a positive effect on cost-effectiveness because they make it easier to determine which patient groups should have access to specific tests and treatments. </w:t>
      </w:r>
    </w:p>
    <w:p w14:paraId="3D45F09D" w14:textId="77777777" w:rsidR="00543D47" w:rsidRDefault="00543D47" w:rsidP="00543D47">
      <w:pPr>
        <w:pStyle w:val="02dash"/>
        <w:numPr>
          <w:ilvl w:val="0"/>
          <w:numId w:val="0"/>
        </w:numPr>
        <w:tabs>
          <w:tab w:val="left" w:pos="720"/>
        </w:tabs>
        <w:ind w:left="567"/>
      </w:pPr>
      <w:r>
        <w:rPr>
          <w:b/>
          <w:bCs/>
        </w:rPr>
        <w:t>Accountability</w:t>
      </w:r>
      <w:r>
        <w:t>: Many of the changes include wording that facilitates future auditing for quality purposes.</w:t>
      </w:r>
    </w:p>
    <w:p w14:paraId="3F2C7BF8" w14:textId="77777777" w:rsidR="00543D47" w:rsidRDefault="00543D47" w:rsidP="00543D47">
      <w:pPr>
        <w:pStyle w:val="02dash"/>
        <w:numPr>
          <w:ilvl w:val="0"/>
          <w:numId w:val="0"/>
        </w:numPr>
        <w:tabs>
          <w:tab w:val="left" w:pos="720"/>
        </w:tabs>
        <w:ind w:left="567"/>
      </w:pPr>
      <w:r>
        <w:rPr>
          <w:b/>
          <w:bCs/>
        </w:rPr>
        <w:t>Data collection</w:t>
      </w:r>
      <w:r>
        <w:t>: Data collection for research, monitoring and auditing presents a huge opportunity for a revised MBS, and the recommendations should improve the opportunities to use this data for targeted research in the future.</w:t>
      </w:r>
    </w:p>
    <w:p w14:paraId="289CB721" w14:textId="77777777" w:rsidR="00543D47" w:rsidRPr="009E0DCE" w:rsidRDefault="00543D47" w:rsidP="00543D47">
      <w:pPr>
        <w:pStyle w:val="02dash"/>
        <w:numPr>
          <w:ilvl w:val="1"/>
          <w:numId w:val="20"/>
        </w:numPr>
        <w:tabs>
          <w:tab w:val="num" w:pos="646"/>
        </w:tabs>
        <w:spacing w:line="240" w:lineRule="auto"/>
        <w:ind w:left="644"/>
      </w:pPr>
      <w:r w:rsidRPr="00370DFD">
        <w:br w:type="page"/>
      </w:r>
    </w:p>
    <w:p w14:paraId="1F2A4542" w14:textId="77777777" w:rsidR="00543D47" w:rsidRPr="00370DFD" w:rsidRDefault="00543D47" w:rsidP="00543D47">
      <w:pPr>
        <w:pStyle w:val="Heading1"/>
        <w:rPr>
          <w:lang w:val="en-AU"/>
        </w:rPr>
      </w:pPr>
      <w:bookmarkStart w:id="12" w:name="_Toc514247606"/>
      <w:r w:rsidRPr="00370DFD">
        <w:rPr>
          <w:lang w:val="en-AU"/>
        </w:rPr>
        <w:lastRenderedPageBreak/>
        <w:t>About the Medicare Benefits Schedule (MBS) Review</w:t>
      </w:r>
      <w:bookmarkEnd w:id="12"/>
      <w:r w:rsidRPr="00370DFD">
        <w:rPr>
          <w:lang w:val="en-AU"/>
        </w:rPr>
        <w:t xml:space="preserve"> </w:t>
      </w:r>
    </w:p>
    <w:p w14:paraId="33AFA768" w14:textId="77777777" w:rsidR="00543D47" w:rsidRPr="00FC1976" w:rsidRDefault="00543D47" w:rsidP="00543D47">
      <w:pPr>
        <w:pStyle w:val="Heading2"/>
        <w:spacing w:before="320" w:after="60" w:line="240" w:lineRule="auto"/>
        <w:ind w:left="576" w:hanging="576"/>
        <w:rPr>
          <w:lang w:val="en-AU"/>
        </w:rPr>
      </w:pPr>
      <w:bookmarkStart w:id="13" w:name="_Toc456045425"/>
      <w:bookmarkStart w:id="14" w:name="_Toc457463614"/>
      <w:bookmarkStart w:id="15" w:name="_Toc459996805"/>
      <w:bookmarkStart w:id="16" w:name="_Toc458166993"/>
      <w:bookmarkStart w:id="17" w:name="_Toc481593987"/>
      <w:bookmarkStart w:id="18" w:name="_Toc514247607"/>
      <w:bookmarkStart w:id="19" w:name="_Toc456045427"/>
      <w:r w:rsidRPr="00FC1976">
        <w:rPr>
          <w:lang w:val="en-AU"/>
        </w:rPr>
        <w:t>Medicare and the MBS</w:t>
      </w:r>
      <w:bookmarkEnd w:id="13"/>
      <w:bookmarkEnd w:id="14"/>
      <w:bookmarkEnd w:id="15"/>
      <w:bookmarkEnd w:id="16"/>
      <w:bookmarkEnd w:id="17"/>
      <w:bookmarkEnd w:id="18"/>
    </w:p>
    <w:p w14:paraId="74B5FD9F" w14:textId="77777777" w:rsidR="00543D47" w:rsidRPr="00FC1976" w:rsidRDefault="00543D47" w:rsidP="00543D47">
      <w:pPr>
        <w:pStyle w:val="Heading3"/>
        <w:ind w:left="720"/>
      </w:pPr>
      <w:bookmarkStart w:id="20" w:name="_Toc481593988"/>
      <w:r w:rsidRPr="00FC1976">
        <w:t>What is Medicare?</w:t>
      </w:r>
      <w:bookmarkEnd w:id="20"/>
    </w:p>
    <w:p w14:paraId="04CFA97D" w14:textId="77777777" w:rsidR="00543D47" w:rsidRPr="00FC1976" w:rsidRDefault="00543D47" w:rsidP="00543D47">
      <w:pPr>
        <w:rPr>
          <w:b/>
        </w:rPr>
      </w:pPr>
      <w:r w:rsidRPr="00FC1976">
        <w:t>Medicare is Australia’s universal health scheme, which enables all Australian residents (and some overseas visitors) to have access to a wide range of health services and medicines at little or no cost. Introduced in 1984, Medicare has three components: free public hospital services for public patients; subsidised drugs covered by the Pharmaceutical Benefits Scheme (PBS); and subsidised health professional services listed on the Medicare Benefits Schedule (MBS).</w:t>
      </w:r>
    </w:p>
    <w:p w14:paraId="2DA5C31A" w14:textId="77777777" w:rsidR="00543D47" w:rsidRPr="00FC1976" w:rsidRDefault="00543D47" w:rsidP="00543D47">
      <w:pPr>
        <w:pStyle w:val="Heading3"/>
        <w:ind w:left="720"/>
      </w:pPr>
      <w:bookmarkStart w:id="21" w:name="_Toc481593989"/>
      <w:r w:rsidRPr="00FC1976">
        <w:t>What is the MBS?</w:t>
      </w:r>
      <w:bookmarkEnd w:id="21"/>
    </w:p>
    <w:p w14:paraId="4B3A9A1B" w14:textId="77777777" w:rsidR="00543D47" w:rsidRPr="00FC1976" w:rsidRDefault="00543D47" w:rsidP="00543D47">
      <w:r w:rsidRPr="00FC1976">
        <w:t xml:space="preserve">The MBS is a listing of the health professional services subsidised by the Australian Government. There are </w:t>
      </w:r>
      <w:r>
        <w:t>more than</w:t>
      </w:r>
      <w:r w:rsidRPr="00FC1976">
        <w:t xml:space="preserve"> 5700 MBS items, which provide benefits to patients for a comprehensive range of services including consultations, diagnostic tests and operations. </w:t>
      </w:r>
    </w:p>
    <w:p w14:paraId="2236D999" w14:textId="77777777" w:rsidR="00543D47" w:rsidRPr="00FC1976" w:rsidRDefault="00543D47" w:rsidP="00543D47">
      <w:pPr>
        <w:pStyle w:val="Heading2"/>
        <w:spacing w:before="320" w:after="60" w:line="240" w:lineRule="auto"/>
        <w:ind w:left="576" w:hanging="576"/>
        <w:rPr>
          <w:lang w:val="en-AU"/>
        </w:rPr>
      </w:pPr>
      <w:bookmarkStart w:id="22" w:name="_Toc456045426"/>
      <w:bookmarkStart w:id="23" w:name="_Toc457463615"/>
      <w:bookmarkStart w:id="24" w:name="_Toc459996806"/>
      <w:bookmarkStart w:id="25" w:name="_Toc458166994"/>
      <w:bookmarkStart w:id="26" w:name="_Toc481593990"/>
      <w:bookmarkStart w:id="27" w:name="_Toc514247608"/>
      <w:r w:rsidRPr="00FC1976">
        <w:rPr>
          <w:lang w:val="en-AU"/>
        </w:rPr>
        <w:t>The MBS Review Taskforce</w:t>
      </w:r>
      <w:bookmarkEnd w:id="22"/>
      <w:bookmarkEnd w:id="23"/>
      <w:bookmarkEnd w:id="24"/>
      <w:bookmarkEnd w:id="25"/>
      <w:bookmarkEnd w:id="26"/>
      <w:bookmarkEnd w:id="27"/>
    </w:p>
    <w:p w14:paraId="2D46899E" w14:textId="77777777" w:rsidR="00543D47" w:rsidRPr="00FC1976" w:rsidRDefault="00543D47" w:rsidP="00543D47">
      <w:pPr>
        <w:pStyle w:val="Heading3"/>
        <w:ind w:left="720"/>
      </w:pPr>
      <w:bookmarkStart w:id="28" w:name="_Toc481593991"/>
      <w:r w:rsidRPr="00FC1976">
        <w:t>What is the MBS Review Taskforce?</w:t>
      </w:r>
      <w:bookmarkEnd w:id="28"/>
    </w:p>
    <w:p w14:paraId="061A2D5F" w14:textId="77777777" w:rsidR="00543D47" w:rsidRPr="00FC1976" w:rsidRDefault="00543D47" w:rsidP="00543D47">
      <w:r w:rsidRPr="00FC1976">
        <w:t>The Government established a</w:t>
      </w:r>
      <w:r>
        <w:t xml:space="preserve">n </w:t>
      </w:r>
      <w:r w:rsidRPr="00FC1976">
        <w:t xml:space="preserve">MBS Review Taskforce (the Taskforce) to review all 5700 MBS items to ensure </w:t>
      </w:r>
      <w:r>
        <w:t xml:space="preserve">that </w:t>
      </w:r>
      <w:r w:rsidRPr="00FC1976">
        <w:t xml:space="preserve">they align with contemporary clinical evidence and practice, and to improve health outcomes for patients. The </w:t>
      </w:r>
      <w:r>
        <w:t>Review</w:t>
      </w:r>
      <w:r w:rsidRPr="00FC1976">
        <w:t xml:space="preserve"> is clinician-led, and there are no targets for savings attached to the </w:t>
      </w:r>
      <w:r>
        <w:t>Review</w:t>
      </w:r>
      <w:r w:rsidRPr="00FC1976">
        <w:t xml:space="preserve">. Following stakeholder </w:t>
      </w:r>
      <w:r>
        <w:t>feedback</w:t>
      </w:r>
      <w:r w:rsidRPr="00FC1976">
        <w:t xml:space="preserve">, the Taskforce will present its recommendations to the </w:t>
      </w:r>
      <w:r>
        <w:t xml:space="preserve">Minister for Health </w:t>
      </w:r>
      <w:r w:rsidRPr="00FC1976">
        <w:t xml:space="preserve">for consideration by the Government. </w:t>
      </w:r>
    </w:p>
    <w:p w14:paraId="354B471D" w14:textId="77777777" w:rsidR="00543D47" w:rsidRPr="00FC1976" w:rsidRDefault="00543D47" w:rsidP="00543D47">
      <w:pPr>
        <w:pStyle w:val="Heading3"/>
        <w:ind w:left="720"/>
      </w:pPr>
      <w:bookmarkStart w:id="29" w:name="_Toc481593992"/>
      <w:r w:rsidRPr="00FC1976">
        <w:t>What are the goals of the Taskforce?</w:t>
      </w:r>
      <w:bookmarkEnd w:id="29"/>
    </w:p>
    <w:p w14:paraId="23F406D1" w14:textId="77777777" w:rsidR="00543D47" w:rsidRPr="00FC1976" w:rsidRDefault="00543D47" w:rsidP="00543D47">
      <w:r w:rsidRPr="00FC1976">
        <w:t xml:space="preserve">The Taskforce is committed to providing recommendations to the </w:t>
      </w:r>
      <w:r>
        <w:t xml:space="preserve">Minister for Health </w:t>
      </w:r>
      <w:r w:rsidRPr="00FC1976">
        <w:t>that will allow the MBS to deliver on each of these four goals:</w:t>
      </w:r>
    </w:p>
    <w:p w14:paraId="63B64D40" w14:textId="77777777" w:rsidR="00543D47" w:rsidRPr="00FC1976" w:rsidRDefault="00543D47" w:rsidP="00543D47">
      <w:pPr>
        <w:pStyle w:val="01squarebullet"/>
        <w:numPr>
          <w:ilvl w:val="0"/>
          <w:numId w:val="14"/>
        </w:numPr>
        <w:spacing w:line="240" w:lineRule="auto"/>
        <w:rPr>
          <w:lang w:val="en-AU"/>
        </w:rPr>
      </w:pPr>
      <w:r w:rsidRPr="00FC1976">
        <w:rPr>
          <w:b/>
          <w:lang w:val="en-AU"/>
        </w:rPr>
        <w:t>Affordable and universal access.</w:t>
      </w:r>
      <w:r w:rsidRPr="00FC1976">
        <w:rPr>
          <w:lang w:val="en-AU"/>
        </w:rPr>
        <w:t xml:space="preserve"> 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63BE7B78" w14:textId="77777777" w:rsidR="00543D47" w:rsidRPr="00FC1976" w:rsidRDefault="00543D47" w:rsidP="00543D47">
      <w:pPr>
        <w:pStyle w:val="01squarebullet"/>
        <w:numPr>
          <w:ilvl w:val="0"/>
          <w:numId w:val="14"/>
        </w:numPr>
        <w:spacing w:line="240" w:lineRule="auto"/>
        <w:rPr>
          <w:lang w:val="en-AU"/>
        </w:rPr>
      </w:pPr>
      <w:r w:rsidRPr="00FC1976">
        <w:rPr>
          <w:b/>
          <w:lang w:val="en-AU"/>
        </w:rPr>
        <w:t>Best-practice health services.</w:t>
      </w:r>
      <w:r w:rsidRPr="00FC1976">
        <w:rPr>
          <w:lang w:val="en-AU"/>
        </w:rPr>
        <w:t xml:space="preserve"> One of the core objectives of the </w:t>
      </w:r>
      <w:r>
        <w:rPr>
          <w:lang w:val="en-AU"/>
        </w:rPr>
        <w:t>Review</w:t>
      </w:r>
      <w:r w:rsidRPr="00FC1976">
        <w:rPr>
          <w:lang w:val="en-AU"/>
        </w:rPr>
        <w:t xml:space="preserve">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 reviewed.</w:t>
      </w:r>
    </w:p>
    <w:p w14:paraId="1D93A807" w14:textId="77777777" w:rsidR="00543D47" w:rsidRPr="00FC1976" w:rsidRDefault="00543D47" w:rsidP="00543D47">
      <w:pPr>
        <w:pStyle w:val="01squarebullet"/>
        <w:numPr>
          <w:ilvl w:val="0"/>
          <w:numId w:val="14"/>
        </w:numPr>
        <w:spacing w:line="240" w:lineRule="auto"/>
        <w:rPr>
          <w:lang w:val="en-AU"/>
        </w:rPr>
      </w:pPr>
      <w:r w:rsidRPr="00FC1976">
        <w:rPr>
          <w:b/>
          <w:lang w:val="en-AU"/>
        </w:rPr>
        <w:t xml:space="preserve">Value for the individual patient. </w:t>
      </w:r>
      <w:r w:rsidRPr="00FC1976">
        <w:rPr>
          <w:lang w:val="en-AU"/>
        </w:rPr>
        <w:t xml:space="preserve">Another core objective of the </w:t>
      </w:r>
      <w:r>
        <w:rPr>
          <w:lang w:val="en-AU"/>
        </w:rPr>
        <w:t>Review</w:t>
      </w:r>
      <w:r w:rsidRPr="00FC1976">
        <w:rPr>
          <w:lang w:val="en-AU"/>
        </w:rPr>
        <w:t xml:space="preserve"> is to maintain an MBS that supports the delivery of services that are appropriate to the patient’s needs, provide real clinical value and do not expose the patient to unnecessary risk or expense.</w:t>
      </w:r>
    </w:p>
    <w:p w14:paraId="44A1CA91" w14:textId="77777777" w:rsidR="00543D47" w:rsidRPr="00FC1976" w:rsidRDefault="00543D47" w:rsidP="00543D47">
      <w:pPr>
        <w:pStyle w:val="01squarebullet"/>
        <w:numPr>
          <w:ilvl w:val="0"/>
          <w:numId w:val="14"/>
        </w:numPr>
        <w:spacing w:line="240" w:lineRule="auto"/>
        <w:rPr>
          <w:lang w:val="en-AU"/>
        </w:rPr>
      </w:pPr>
      <w:r w:rsidRPr="00FC1976">
        <w:rPr>
          <w:b/>
          <w:lang w:val="en-AU"/>
        </w:rPr>
        <w:lastRenderedPageBreak/>
        <w:t xml:space="preserve">Value for the health system. </w:t>
      </w:r>
      <w:r w:rsidRPr="00FC1976">
        <w:rPr>
          <w:lang w:val="en-AU"/>
        </w:rPr>
        <w:t xml:space="preserve">Achieving the above elements will go a long way towards achieving improved value for the health system overall. Reducing the volume of services that provide little or no clinical benefit will enable resources to be redirected to new and existing services that have proven benefits but are underused, particularly for patients who cannot readily access </w:t>
      </w:r>
      <w:r>
        <w:rPr>
          <w:lang w:val="en-AU"/>
        </w:rPr>
        <w:t>these</w:t>
      </w:r>
      <w:r w:rsidRPr="00FC1976">
        <w:rPr>
          <w:lang w:val="en-AU"/>
        </w:rPr>
        <w:t xml:space="preserve"> services.</w:t>
      </w:r>
    </w:p>
    <w:p w14:paraId="0DE4F518" w14:textId="77777777" w:rsidR="00543D47" w:rsidRPr="00FC1976" w:rsidRDefault="00543D47" w:rsidP="00543D47">
      <w:pPr>
        <w:pStyle w:val="Heading2"/>
        <w:spacing w:before="320" w:after="60" w:line="240" w:lineRule="auto"/>
        <w:ind w:left="576" w:hanging="576"/>
        <w:rPr>
          <w:lang w:val="en-AU"/>
        </w:rPr>
      </w:pPr>
      <w:bookmarkStart w:id="30" w:name="_Toc457463616"/>
      <w:bookmarkStart w:id="31" w:name="_Toc459996807"/>
      <w:bookmarkStart w:id="32" w:name="_Toc458166995"/>
      <w:bookmarkStart w:id="33" w:name="_Toc481593993"/>
      <w:bookmarkStart w:id="34" w:name="_Toc514247609"/>
      <w:bookmarkStart w:id="35" w:name="_Toc456045428"/>
      <w:bookmarkEnd w:id="19"/>
      <w:r w:rsidRPr="00FC1976">
        <w:rPr>
          <w:lang w:val="en-AU"/>
        </w:rPr>
        <w:t>The Taskforce’s approach</w:t>
      </w:r>
      <w:bookmarkEnd w:id="30"/>
      <w:bookmarkEnd w:id="31"/>
      <w:bookmarkEnd w:id="32"/>
      <w:bookmarkEnd w:id="33"/>
      <w:bookmarkEnd w:id="34"/>
    </w:p>
    <w:p w14:paraId="239B5A16" w14:textId="77777777" w:rsidR="00543D47" w:rsidRPr="00FC1976" w:rsidRDefault="00543D47" w:rsidP="00543D47">
      <w:r w:rsidRPr="00FC1976">
        <w:t xml:space="preserve">The Taskforce is reviewing existing MBS items, with a primary focus on ensuring that individual items and usage meet the definition of best practice. Within the Taskforce’s brief, there is considerable scope to review and provide advice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w:t>
      </w:r>
      <w:r>
        <w:t>Review</w:t>
      </w:r>
      <w:r w:rsidRPr="00FC1976">
        <w:t xml:space="preserve"> has concluded.</w:t>
      </w:r>
    </w:p>
    <w:p w14:paraId="19DBB298" w14:textId="77777777" w:rsidR="00543D47" w:rsidRPr="00FC1976" w:rsidRDefault="00543D47" w:rsidP="00543D47">
      <w:r w:rsidRPr="00FC1976">
        <w:t xml:space="preserve">As the MBS Review is to be clinician-led, the Taskforce decided that </w:t>
      </w:r>
      <w:r>
        <w:t xml:space="preserve">Clinical Committees should conduct </w:t>
      </w:r>
      <w:r w:rsidRPr="00FC1976">
        <w:t xml:space="preserve">the detailed review of MBS items. The committees are broad-based in their membership, and members have been appointed in </w:t>
      </w:r>
      <w:r>
        <w:t>an</w:t>
      </w:r>
      <w:r w:rsidRPr="00FC1976">
        <w:t xml:space="preserve"> individual capacity, rather than as representatives of any organisation. </w:t>
      </w:r>
    </w:p>
    <w:p w14:paraId="1C5F3854" w14:textId="77777777" w:rsidR="00543D47" w:rsidRPr="00FC1976" w:rsidRDefault="00543D47" w:rsidP="00543D47">
      <w:r w:rsidRPr="00FC1976">
        <w:t xml:space="preserve">The Taskforce asked all committees to review MBS items using a framework based on </w:t>
      </w:r>
      <w:r>
        <w:t>A</w:t>
      </w:r>
      <w:r w:rsidRPr="00FC1976">
        <w:t xml:space="preserve">ppropriate </w:t>
      </w:r>
      <w:r>
        <w:t>U</w:t>
      </w:r>
      <w:r w:rsidRPr="00FC1976">
        <w:t xml:space="preserve">se </w:t>
      </w:r>
      <w:r>
        <w:t>C</w:t>
      </w:r>
      <w:r w:rsidRPr="00FC1976">
        <w:t>riteria</w:t>
      </w:r>
      <w:r>
        <w:t xml:space="preserve"> accepted by the Taskforce (</w:t>
      </w:r>
      <w:proofErr w:type="spellStart"/>
      <w:r>
        <w:t>Elshaug</w:t>
      </w:r>
      <w:proofErr w:type="spellEnd"/>
      <w:r>
        <w:t>).</w:t>
      </w:r>
      <w:r>
        <w:fldChar w:fldCharType="begin"/>
      </w:r>
      <w:r>
        <w:instrText xml:space="preserve"> ADDIN EN.CITE &lt;EndNote&gt;&lt;Cite&gt;&lt;Author&gt;Elshaug&lt;/Author&gt;&lt;Year&gt;2012&lt;/Year&gt;&lt;RecNum&gt;29&lt;/RecNum&gt;&lt;DisplayText&gt;&lt;style face="superscript"&gt;1&lt;/style&gt;&lt;/DisplayText&gt;&lt;record&gt;&lt;rec-number&gt;29&lt;/rec-number&gt;&lt;foreign-keys&gt;&lt;key app="EN" db-id="dfs5xeapdpddpyexds6ppreypt5sp9spp2a5" timestamp="1497404037"&gt;29&lt;/key&gt;&lt;/foreign-keys&gt;&lt;ref-type name="Journal Article"&gt;17&lt;/ref-type&gt;&lt;contributors&gt;&lt;authors&gt;&lt;author&gt;Elshaug, A. G.&lt;/author&gt;&lt;author&gt;Watt, A. M.&lt;/author&gt;&lt;author&gt;Mundy, L.&lt;/author&gt;&lt;author&gt;Willis, C. D.&lt;/author&gt;&lt;/authors&gt;&lt;/contributors&gt;&lt;auth-address&gt;Department of Health Care Policy, Harvard Medical School, Boston, MA, USA. elshaug@hcp.med.harvard.edu&lt;/auth-address&gt;&lt;titles&gt;&lt;title&gt;Over 150 potentially low-value health care practices: an Australian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Australia&lt;/abbr-1&gt;&lt;/alt-periodical&gt;&lt;pages&gt;556-60&lt;/pages&gt;&lt;volume&gt;197&lt;/volume&gt;&lt;number&gt;10&lt;/number&gt;&lt;edition&gt;2012/11/21&lt;/edition&gt;&lt;keywords&gt;&lt;keyword&gt;Australia&lt;/keyword&gt;&lt;keyword&gt;Health Services/*standards&lt;/keyword&gt;&lt;keyword&gt;Humans&lt;/keyword&gt;&lt;keyword&gt;Insurance Benefits&lt;/keyword&gt;&lt;keyword&gt;National Health Programs&lt;/keyword&gt;&lt;keyword&gt;Patient Safety&lt;/keyword&gt;&lt;keyword&gt;*Quality of Health Care&lt;/keyword&gt;&lt;keyword&gt;*Unnecessary Procedures&lt;/keyword&gt;&lt;/keywords&gt;&lt;dates&gt;&lt;year&gt;2012&lt;/year&gt;&lt;pub-dates&gt;&lt;date&gt;Nov 19&lt;/date&gt;&lt;/pub-dates&gt;&lt;/dates&gt;&lt;isbn&gt;1326-5377 (Electronic)&amp;#xD;0025-729X (Linking)&lt;/isbn&gt;&lt;accession-num&gt;23163685&lt;/accession-num&gt;&lt;work-type&gt;Research Support, Non-U.S. Gov&amp;apos;t&lt;/work-type&gt;&lt;urls&gt;&lt;related-urls&gt;&lt;url&gt;https://www.ncbi.nlm.nih.gov/pubmed/23163685&lt;/url&gt;&lt;/related-urls&gt;&lt;/urls&gt;&lt;language&gt;eng&lt;/language&gt;&lt;/record&gt;&lt;/Cite&gt;&lt;/EndNote&gt;</w:instrText>
      </w:r>
      <w:r>
        <w:fldChar w:fldCharType="separate"/>
      </w:r>
      <w:r w:rsidRPr="00B66EBA">
        <w:rPr>
          <w:noProof/>
          <w:vertAlign w:val="superscript"/>
        </w:rPr>
        <w:t>1</w:t>
      </w:r>
      <w:r>
        <w:fldChar w:fldCharType="end"/>
      </w:r>
      <w:r w:rsidRPr="00FC1976">
        <w:t xml:space="preserve"> The framework consists of seven steps:</w:t>
      </w:r>
    </w:p>
    <w:p w14:paraId="0C00B075" w14:textId="77777777" w:rsidR="00543D47" w:rsidRPr="00FC1976" w:rsidRDefault="00543D47" w:rsidP="00543D47">
      <w:pPr>
        <w:pStyle w:val="01squarebullet"/>
        <w:numPr>
          <w:ilvl w:val="0"/>
          <w:numId w:val="22"/>
        </w:numPr>
        <w:spacing w:line="240" w:lineRule="auto"/>
        <w:rPr>
          <w:lang w:val="en-AU"/>
        </w:rPr>
      </w:pPr>
      <w:r w:rsidRPr="00FC1976">
        <w:rPr>
          <w:lang w:val="en-AU"/>
        </w:rPr>
        <w:t xml:space="preserve">Develop an initial fact base for all items under consideration, drawing on the relevant data and literature. </w:t>
      </w:r>
    </w:p>
    <w:p w14:paraId="117E25FD" w14:textId="77777777" w:rsidR="00543D47" w:rsidRPr="00FC1976" w:rsidRDefault="00543D47" w:rsidP="00543D47">
      <w:pPr>
        <w:pStyle w:val="01squarebullet"/>
        <w:numPr>
          <w:ilvl w:val="0"/>
          <w:numId w:val="22"/>
        </w:numPr>
        <w:spacing w:line="240" w:lineRule="auto"/>
        <w:rPr>
          <w:lang w:val="en-AU"/>
        </w:rPr>
      </w:pPr>
      <w:r w:rsidRPr="00FC1976">
        <w:rPr>
          <w:lang w:val="en-AU"/>
        </w:rPr>
        <w:t xml:space="preserve">Identify items that are obsolete, are of questionable clinical value, are misused and/or pose a risk to patient safety. This step includes prioritising items as </w:t>
      </w:r>
      <w:r>
        <w:rPr>
          <w:lang w:val="en-AU"/>
        </w:rPr>
        <w:t>‘</w:t>
      </w:r>
      <w:r w:rsidRPr="00FC1976">
        <w:rPr>
          <w:lang w:val="en-AU"/>
        </w:rPr>
        <w:t>priority 1</w:t>
      </w:r>
      <w:r>
        <w:rPr>
          <w:lang w:val="en-AU"/>
        </w:rPr>
        <w:t>,’</w:t>
      </w:r>
      <w:r w:rsidRPr="00FC1976">
        <w:rPr>
          <w:lang w:val="en-AU"/>
        </w:rPr>
        <w:t xml:space="preserve"> </w:t>
      </w:r>
      <w:r>
        <w:rPr>
          <w:lang w:val="en-AU"/>
        </w:rPr>
        <w:t>‘</w:t>
      </w:r>
      <w:r w:rsidRPr="00FC1976">
        <w:rPr>
          <w:lang w:val="en-AU"/>
        </w:rPr>
        <w:t>priority 2</w:t>
      </w:r>
      <w:r>
        <w:rPr>
          <w:lang w:val="en-AU"/>
        </w:rPr>
        <w:t>’</w:t>
      </w:r>
      <w:r w:rsidRPr="00FC1976">
        <w:rPr>
          <w:lang w:val="en-AU"/>
        </w:rPr>
        <w:t xml:space="preserve"> or </w:t>
      </w:r>
      <w:r>
        <w:rPr>
          <w:lang w:val="en-AU"/>
        </w:rPr>
        <w:t>‘</w:t>
      </w:r>
      <w:r w:rsidRPr="00FC1976">
        <w:rPr>
          <w:lang w:val="en-AU"/>
        </w:rPr>
        <w:t>priority 3,</w:t>
      </w:r>
      <w:r>
        <w:rPr>
          <w:lang w:val="en-AU"/>
        </w:rPr>
        <w:t>’</w:t>
      </w:r>
      <w:r w:rsidRPr="00FC1976">
        <w:rPr>
          <w:lang w:val="en-AU"/>
        </w:rPr>
        <w:t xml:space="preserve"> using a prioritisation methodology (described in more detail below).</w:t>
      </w:r>
    </w:p>
    <w:p w14:paraId="2F841834" w14:textId="77777777" w:rsidR="00543D47" w:rsidRPr="00FC1976" w:rsidRDefault="00543D47" w:rsidP="00543D47">
      <w:pPr>
        <w:pStyle w:val="01squarebullet"/>
        <w:numPr>
          <w:ilvl w:val="0"/>
          <w:numId w:val="22"/>
        </w:numPr>
        <w:spacing w:line="240" w:lineRule="auto"/>
        <w:rPr>
          <w:lang w:val="en-AU"/>
        </w:rPr>
      </w:pPr>
      <w:r w:rsidRPr="00FC1976">
        <w:rPr>
          <w:lang w:val="en-AU"/>
        </w:rPr>
        <w:t xml:space="preserve">Identify any issues, develop hypotheses for recommendations and create a work plan (including establishing </w:t>
      </w:r>
      <w:r>
        <w:rPr>
          <w:lang w:val="en-AU"/>
        </w:rPr>
        <w:t>Working Group</w:t>
      </w:r>
      <w:r w:rsidRPr="00FC1976">
        <w:rPr>
          <w:lang w:val="en-AU"/>
        </w:rPr>
        <w:t>s, when required) to arrive at recommendations for each item.</w:t>
      </w:r>
    </w:p>
    <w:p w14:paraId="79A14CB1" w14:textId="77777777" w:rsidR="00543D47" w:rsidRPr="00FC1976" w:rsidRDefault="00543D47" w:rsidP="00543D47">
      <w:pPr>
        <w:pStyle w:val="01squarebullet"/>
        <w:numPr>
          <w:ilvl w:val="0"/>
          <w:numId w:val="22"/>
        </w:numPr>
        <w:spacing w:line="240" w:lineRule="auto"/>
        <w:rPr>
          <w:lang w:val="en-AU"/>
        </w:rPr>
      </w:pPr>
      <w:r w:rsidRPr="00FC1976">
        <w:rPr>
          <w:lang w:val="en-AU"/>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t>
      </w:r>
      <w:r>
        <w:rPr>
          <w:lang w:val="en-AU"/>
        </w:rPr>
        <w:t>Working Group</w:t>
      </w:r>
      <w:r w:rsidRPr="00FC1976">
        <w:rPr>
          <w:lang w:val="en-AU"/>
        </w:rPr>
        <w:t>s, and relevant colleagues or colleges. For complex cases, full appropriate use criteria were developed for the item’s explanatory notes.</w:t>
      </w:r>
    </w:p>
    <w:p w14:paraId="3C081F48" w14:textId="77777777" w:rsidR="00543D47" w:rsidRPr="00FC1976" w:rsidRDefault="00543D47" w:rsidP="00543D47">
      <w:pPr>
        <w:pStyle w:val="01squarebullet"/>
        <w:numPr>
          <w:ilvl w:val="0"/>
          <w:numId w:val="22"/>
        </w:numPr>
        <w:spacing w:line="240" w:lineRule="auto"/>
        <w:rPr>
          <w:lang w:val="en-AU"/>
        </w:rPr>
      </w:pPr>
      <w:r w:rsidRPr="00FC1976">
        <w:rPr>
          <w:lang w:val="en-AU"/>
        </w:rPr>
        <w:t xml:space="preserve">Review </w:t>
      </w:r>
      <w:r>
        <w:rPr>
          <w:lang w:val="en-AU"/>
        </w:rPr>
        <w:t xml:space="preserve">the </w:t>
      </w:r>
      <w:r w:rsidRPr="00FC1976">
        <w:rPr>
          <w:lang w:val="en-AU"/>
        </w:rPr>
        <w:t>provisional recommendations and the accompanying rationales, and gather further evidence as required.</w:t>
      </w:r>
    </w:p>
    <w:p w14:paraId="1EA4E619" w14:textId="77777777" w:rsidR="00543D47" w:rsidRPr="00FC1976" w:rsidRDefault="00543D47" w:rsidP="00543D47">
      <w:pPr>
        <w:pStyle w:val="01squarebullet"/>
        <w:numPr>
          <w:ilvl w:val="0"/>
          <w:numId w:val="22"/>
        </w:numPr>
        <w:spacing w:line="240" w:lineRule="auto"/>
        <w:rPr>
          <w:lang w:val="en-AU"/>
        </w:rPr>
      </w:pPr>
      <w:r w:rsidRPr="00FC1976">
        <w:rPr>
          <w:lang w:val="en-AU"/>
        </w:rPr>
        <w:t xml:space="preserve">Finalise </w:t>
      </w:r>
      <w:r>
        <w:rPr>
          <w:lang w:val="en-AU"/>
        </w:rPr>
        <w:t xml:space="preserve">the </w:t>
      </w:r>
      <w:r w:rsidRPr="00FC1976">
        <w:rPr>
          <w:lang w:val="en-AU"/>
        </w:rPr>
        <w:t>recommendations in preparation for broader stakeholder consultation.</w:t>
      </w:r>
    </w:p>
    <w:p w14:paraId="371C17DD" w14:textId="77777777" w:rsidR="00543D47" w:rsidRPr="00FC1976" w:rsidRDefault="00543D47" w:rsidP="00543D47">
      <w:pPr>
        <w:pStyle w:val="01squarebullet"/>
        <w:numPr>
          <w:ilvl w:val="0"/>
          <w:numId w:val="22"/>
        </w:numPr>
        <w:spacing w:line="240" w:lineRule="auto"/>
        <w:rPr>
          <w:lang w:val="en-AU"/>
        </w:rPr>
      </w:pPr>
      <w:r w:rsidRPr="00FC1976">
        <w:rPr>
          <w:lang w:val="en-AU"/>
        </w:rPr>
        <w:lastRenderedPageBreak/>
        <w:t xml:space="preserve">Incorporate feedback gathered during stakeholder consultation and finalise the </w:t>
      </w:r>
      <w:r>
        <w:rPr>
          <w:lang w:val="en-AU"/>
        </w:rPr>
        <w:t>Review</w:t>
      </w:r>
      <w:r w:rsidRPr="00FC1976">
        <w:rPr>
          <w:lang w:val="en-AU"/>
        </w:rPr>
        <w:t xml:space="preserve"> report, which provides recommendations for the Taskforce. </w:t>
      </w:r>
    </w:p>
    <w:p w14:paraId="4BCC3766" w14:textId="77777777" w:rsidR="00543D47" w:rsidRPr="00FC1976" w:rsidRDefault="00543D47" w:rsidP="00543D47">
      <w:r w:rsidRPr="00FC1976">
        <w:t xml:space="preserve">All MBS items </w:t>
      </w:r>
      <w:r w:rsidRPr="00FC1976">
        <w:rPr>
          <w:rFonts w:cs="Arial"/>
        </w:rPr>
        <w:t>will be</w:t>
      </w:r>
      <w:r w:rsidRPr="00FC1976">
        <w:t xml:space="preserve"> reviewed </w:t>
      </w:r>
      <w:proofErr w:type="gramStart"/>
      <w:r w:rsidRPr="00FC1976">
        <w:t>during the course of</w:t>
      </w:r>
      <w:proofErr w:type="gramEnd"/>
      <w:r w:rsidRPr="00FC1976">
        <w:t xml:space="preserve"> the MBS Review. However, given the breadth of and timeframe for the </w:t>
      </w:r>
      <w:r>
        <w:t>Review</w:t>
      </w:r>
      <w:r w:rsidRPr="00FC1976">
        <w:t xml:space="preserve">, each </w:t>
      </w:r>
      <w:r>
        <w:t>Clinical Committee</w:t>
      </w:r>
      <w:r w:rsidRPr="00FC1976">
        <w:t xml:space="preserve"> had to develop a work plan and assign priorities, keeping in mind the objectives of the </w:t>
      </w:r>
      <w:r>
        <w:t>Review</w:t>
      </w:r>
      <w:r w:rsidRPr="00FC1976">
        <w:t xml:space="preserve">. Committees used a robust prioritisation methodology to focus their attention and resources on the most important items requiring review. This was determined based on a combination of two standard metrics, derived from the </w:t>
      </w:r>
      <w:r>
        <w:t>A</w:t>
      </w:r>
      <w:r w:rsidRPr="00FC1976">
        <w:t xml:space="preserve">ppropriate </w:t>
      </w:r>
      <w:r>
        <w:t>U</w:t>
      </w:r>
      <w:r w:rsidRPr="00FC1976">
        <w:t xml:space="preserve">se </w:t>
      </w:r>
      <w:r>
        <w:t>C</w:t>
      </w:r>
      <w:r w:rsidRPr="00FC1976">
        <w:t>riteria</w:t>
      </w:r>
      <w:r>
        <w:t xml:space="preserve"> (</w:t>
      </w:r>
      <w:proofErr w:type="spellStart"/>
      <w:r>
        <w:t>Elshaug</w:t>
      </w:r>
      <w:proofErr w:type="spellEnd"/>
      <w:r>
        <w:t>):</w:t>
      </w:r>
    </w:p>
    <w:p w14:paraId="74763425" w14:textId="77777777" w:rsidR="00543D47" w:rsidRPr="00FC1976" w:rsidRDefault="00543D47" w:rsidP="00543D47">
      <w:pPr>
        <w:pStyle w:val="NormalBulleted"/>
      </w:pPr>
      <w:r w:rsidRPr="00FC1976">
        <w:t>Service volume</w:t>
      </w:r>
      <w:r>
        <w:t>.</w:t>
      </w:r>
    </w:p>
    <w:p w14:paraId="75BB6573" w14:textId="77777777" w:rsidR="00543D47" w:rsidRPr="00EF500C" w:rsidRDefault="00543D47" w:rsidP="00543D47">
      <w:pPr>
        <w:pStyle w:val="NormalBulleted"/>
      </w:pPr>
      <w:r w:rsidRPr="00EF500C">
        <w:t>The likelihood that the item needed to be revised, determined by indicators such as identified safety concerns, geographic or temporal variation, delivery irregularity, the potential misuse of indications or other concerns raised by the Committee (such as inappropriate co-claiming).</w:t>
      </w:r>
    </w:p>
    <w:p w14:paraId="312FF047" w14:textId="77777777" w:rsidR="00543D47" w:rsidRPr="00FC1976" w:rsidRDefault="00543D47" w:rsidP="00543D47">
      <w:r w:rsidRPr="00FC1976">
        <w:t xml:space="preserve">For each item, these two metrics were ranked high, medium or low. These rankings were then combined to generate a priority ranking ranging from </w:t>
      </w:r>
      <w:r>
        <w:t>1</w:t>
      </w:r>
      <w:r w:rsidRPr="00FC1976">
        <w:t xml:space="preserve"> to </w:t>
      </w:r>
      <w:r>
        <w:t>3</w:t>
      </w:r>
      <w:r w:rsidRPr="00FC1976">
        <w:t xml:space="preserve"> (where priority 1 items are the highest priority and priority 3 items are the lowest priority for review), using a prioritisation matrix</w:t>
      </w:r>
      <w:r>
        <w:t>.</w:t>
      </w:r>
      <w:r w:rsidRPr="00FC1976">
        <w:t xml:space="preserve"> (</w:t>
      </w:r>
      <w:r w:rsidRPr="00FC1976">
        <w:rPr>
          <w:rFonts w:cs="Arial"/>
        </w:rPr>
        <w:fldChar w:fldCharType="begin"/>
      </w:r>
      <w:r w:rsidRPr="00FC1976">
        <w:instrText xml:space="preserve"> REF _Ref459985112 \h </w:instrText>
      </w:r>
      <w:r w:rsidRPr="00FC1976">
        <w:rPr>
          <w:rFonts w:cs="Arial"/>
        </w:rPr>
      </w:r>
      <w:r w:rsidRPr="00FC1976">
        <w:rPr>
          <w:rFonts w:cs="Arial"/>
        </w:rPr>
        <w:fldChar w:fldCharType="separate"/>
      </w:r>
      <w:r w:rsidRPr="0050434D">
        <w:t xml:space="preserve">Figure </w:t>
      </w:r>
      <w:r>
        <w:t>1.</w:t>
      </w:r>
      <w:r w:rsidRPr="00FC1976">
        <w:rPr>
          <w:rFonts w:cs="Arial"/>
        </w:rPr>
        <w:fldChar w:fldCharType="end"/>
      </w:r>
      <w:r w:rsidRPr="00FC1976">
        <w:rPr>
          <w:rFonts w:cs="Arial"/>
        </w:rPr>
        <w:t>)</w:t>
      </w:r>
      <w:r w:rsidRPr="00FC1976">
        <w:t xml:space="preserve"> The Committee used this priority ranking to organise its review of item numbers and apportion the amount of time spent on each item. </w:t>
      </w:r>
    </w:p>
    <w:p w14:paraId="1721A53E" w14:textId="77777777" w:rsidR="00543D47" w:rsidRPr="0050434D" w:rsidRDefault="00543D47" w:rsidP="00543D47">
      <w:pPr>
        <w:pStyle w:val="Caption"/>
      </w:pPr>
      <w:bookmarkStart w:id="36" w:name="_Toc459891304"/>
      <w:bookmarkStart w:id="37" w:name="_Toc458167034"/>
      <w:bookmarkStart w:id="38" w:name="_Ref459985112"/>
      <w:bookmarkStart w:id="39" w:name="_Toc459996843"/>
      <w:bookmarkStart w:id="40" w:name="_Toc459985370"/>
      <w:bookmarkStart w:id="41" w:name="_Toc477785343"/>
      <w:bookmarkStart w:id="42" w:name="_Toc481140373"/>
      <w:bookmarkStart w:id="43" w:name="_Toc485647616"/>
      <w:bookmarkStart w:id="44" w:name="_Toc534374900"/>
      <w:r w:rsidRPr="0050434D">
        <w:t xml:space="preserve">Figure </w:t>
      </w:r>
      <w:r w:rsidRPr="0050434D">
        <w:fldChar w:fldCharType="begin"/>
      </w:r>
      <w:r w:rsidRPr="0050434D">
        <w:instrText xml:space="preserve"> AUTONUM  \* Arabic </w:instrText>
      </w:r>
      <w:r w:rsidRPr="0050434D">
        <w:fldChar w:fldCharType="end"/>
      </w:r>
      <w:bookmarkEnd w:id="36"/>
      <w:bookmarkEnd w:id="37"/>
      <w:bookmarkEnd w:id="38"/>
      <w:r w:rsidRPr="0050434D">
        <w:t xml:space="preserve"> </w:t>
      </w:r>
      <w:r w:rsidRPr="00FF5C35">
        <w:t>Prioritisation</w:t>
      </w:r>
      <w:r w:rsidRPr="0050434D">
        <w:t xml:space="preserve"> matrix</w:t>
      </w:r>
      <w:bookmarkEnd w:id="39"/>
      <w:bookmarkEnd w:id="40"/>
      <w:bookmarkEnd w:id="41"/>
      <w:r w:rsidRPr="0050434D">
        <w:t>.</w:t>
      </w:r>
      <w:bookmarkEnd w:id="42"/>
      <w:bookmarkEnd w:id="43"/>
      <w:bookmarkEnd w:id="44"/>
    </w:p>
    <w:p w14:paraId="00CD0003" w14:textId="77777777" w:rsidR="00543D47" w:rsidRPr="00FC1976" w:rsidRDefault="00543D47" w:rsidP="00543D47">
      <w:r>
        <w:t xml:space="preserve"> </w:t>
      </w:r>
      <w:bookmarkStart w:id="45" w:name="_Toc477786657"/>
      <w:bookmarkStart w:id="46" w:name="_Toc478249927"/>
      <w:r w:rsidRPr="00337817">
        <w:rPr>
          <w:noProof/>
        </w:rPr>
        <w:drawing>
          <wp:inline distT="0" distB="0" distL="0" distR="0" wp14:anchorId="456779C9" wp14:editId="2DB7FD98">
            <wp:extent cx="4475480" cy="3368675"/>
            <wp:effectExtent l="0" t="0" r="1270" b="3175"/>
            <wp:docPr id="8" name="Picture 8" descr="Figure 1 shows the prioritisation matrix ranking item priority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1: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bookmarkEnd w:id="45"/>
      <w:bookmarkEnd w:id="46"/>
    </w:p>
    <w:p w14:paraId="53862750" w14:textId="77777777" w:rsidR="00543D47" w:rsidRPr="00FC1976" w:rsidRDefault="00543D47" w:rsidP="00543D47">
      <w:pPr>
        <w:pStyle w:val="Heading1"/>
        <w:spacing w:before="320" w:after="160" w:line="240" w:lineRule="auto"/>
        <w:ind w:left="432" w:hanging="432"/>
        <w:rPr>
          <w:lang w:val="en-AU"/>
        </w:rPr>
      </w:pPr>
      <w:bookmarkStart w:id="47" w:name="_Toc457463617"/>
      <w:bookmarkStart w:id="48" w:name="_Toc459996808"/>
      <w:bookmarkStart w:id="49" w:name="_Toc458166996"/>
      <w:bookmarkStart w:id="50" w:name="_Toc481593994"/>
      <w:bookmarkStart w:id="51" w:name="_Toc514247610"/>
      <w:bookmarkEnd w:id="35"/>
      <w:r w:rsidRPr="00FC1976">
        <w:rPr>
          <w:lang w:val="en-AU"/>
        </w:rPr>
        <w:lastRenderedPageBreak/>
        <w:t xml:space="preserve">About the </w:t>
      </w:r>
      <w:r>
        <w:rPr>
          <w:lang w:val="en-AU"/>
        </w:rPr>
        <w:t xml:space="preserve">Pathology Clinical </w:t>
      </w:r>
      <w:r w:rsidRPr="00FC1976">
        <w:rPr>
          <w:lang w:val="en-AU"/>
        </w:rPr>
        <w:t>Committee</w:t>
      </w:r>
      <w:bookmarkEnd w:id="47"/>
      <w:bookmarkEnd w:id="48"/>
      <w:bookmarkEnd w:id="49"/>
      <w:bookmarkEnd w:id="50"/>
      <w:bookmarkEnd w:id="51"/>
    </w:p>
    <w:p w14:paraId="5C9F190E" w14:textId="77777777" w:rsidR="00543D47" w:rsidRPr="00FC1976" w:rsidRDefault="00543D47" w:rsidP="00543D47">
      <w:r w:rsidRPr="00FC1976">
        <w:t xml:space="preserve">The </w:t>
      </w:r>
      <w:r>
        <w:t>Pathology</w:t>
      </w:r>
      <w:r w:rsidRPr="00FC1976">
        <w:t xml:space="preserve"> Clinical Committee (the Committee) was established in April 2016 to make recommendations to the Taskforce on MBS items within its remit, based on rapid evidence review and clinical expertise. </w:t>
      </w:r>
    </w:p>
    <w:p w14:paraId="5E911017" w14:textId="77777777" w:rsidR="00543D47" w:rsidRPr="00FC1976" w:rsidRDefault="00543D47" w:rsidP="00543D47">
      <w:r w:rsidRPr="00FC1976">
        <w:t xml:space="preserve">The Committee consists of </w:t>
      </w:r>
      <w:r>
        <w:t>17</w:t>
      </w:r>
      <w:r w:rsidRPr="00FC1976">
        <w:t xml:space="preserve"> members, whose names, positions/organisations </w:t>
      </w:r>
      <w:r>
        <w:t xml:space="preserve">and </w:t>
      </w:r>
      <w:r w:rsidRPr="00FC1976">
        <w:t>declared conflicts of interest are listed in Section</w:t>
      </w:r>
      <w:r>
        <w:t xml:space="preserve"> 3.1</w:t>
      </w:r>
      <w:r w:rsidRPr="00FC1976">
        <w:t xml:space="preserve">. All members of the Taskforce, </w:t>
      </w:r>
      <w:r>
        <w:t>Clinical Committee</w:t>
      </w:r>
      <w:r w:rsidRPr="00FC1976">
        <w:t xml:space="preserve">s and </w:t>
      </w:r>
      <w:r>
        <w:t>Working Group</w:t>
      </w:r>
      <w:r w:rsidRPr="00FC1976">
        <w:t xml:space="preserve">s </w:t>
      </w:r>
      <w:r>
        <w:t>were</w:t>
      </w:r>
      <w:r w:rsidRPr="00FC1976">
        <w:t xml:space="preserve"> asked to declare any conflicts of interest at the start of their involvement and</w:t>
      </w:r>
      <w:r>
        <w:t xml:space="preserve"> are</w:t>
      </w:r>
      <w:r w:rsidRPr="00FC1976">
        <w:t xml:space="preserve"> reminded to update their declarations periodically.</w:t>
      </w:r>
    </w:p>
    <w:p w14:paraId="7E2332AB" w14:textId="77777777" w:rsidR="00543D47" w:rsidRPr="00370DFD" w:rsidRDefault="00543D47" w:rsidP="00543D47">
      <w:pPr>
        <w:pStyle w:val="Heading2"/>
        <w:rPr>
          <w:lang w:val="en-AU"/>
        </w:rPr>
      </w:pPr>
      <w:bookmarkStart w:id="52" w:name="_Toc455669872"/>
      <w:bookmarkStart w:id="53" w:name="_Toc514247611"/>
      <w:r w:rsidRPr="00370DFD">
        <w:rPr>
          <w:lang w:val="en-AU"/>
        </w:rPr>
        <w:t>Pathology Clinical Committee members</w:t>
      </w:r>
      <w:bookmarkEnd w:id="52"/>
      <w:bookmarkEnd w:id="53"/>
    </w:p>
    <w:p w14:paraId="275BD50A" w14:textId="77777777" w:rsidR="00543D47" w:rsidRPr="00370DFD" w:rsidRDefault="00543D47" w:rsidP="00543D47">
      <w:pPr>
        <w:pStyle w:val="Caption"/>
        <w:tabs>
          <w:tab w:val="left" w:pos="851"/>
        </w:tabs>
      </w:pPr>
      <w:bookmarkStart w:id="54" w:name="_Ref457116071"/>
      <w:bookmarkStart w:id="55" w:name="_Toc458355135"/>
      <w:bookmarkStart w:id="56" w:name="_Toc490646893"/>
      <w:bookmarkStart w:id="57" w:name="_Toc534374901"/>
      <w:r w:rsidRPr="00370DFD">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54"/>
      <w:r w:rsidRPr="00370DFD">
        <w:t>: Pathology Clinical Committee Members</w:t>
      </w:r>
      <w:bookmarkEnd w:id="55"/>
      <w:bookmarkEnd w:id="56"/>
      <w:bookmarkEnd w:id="57"/>
      <w:r w:rsidRPr="00370DFD">
        <w:t xml:space="preserve"> </w:t>
      </w:r>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tblBorders>
        <w:tblLook w:val="04A0" w:firstRow="1" w:lastRow="0" w:firstColumn="1" w:lastColumn="0" w:noHBand="0" w:noVBand="1"/>
        <w:tblCaption w:val="Table 1"/>
        <w:tblDescription w:val="Table 1 lists the panel members for the Pathology Clinical Committee and their positions. The table also shows that they have no declared conflicts of interest."/>
      </w:tblPr>
      <w:tblGrid>
        <w:gridCol w:w="3008"/>
        <w:gridCol w:w="3009"/>
        <w:gridCol w:w="3009"/>
      </w:tblGrid>
      <w:tr w:rsidR="00543D47" w:rsidRPr="00370DFD" w14:paraId="26FCCFA2" w14:textId="77777777" w:rsidTr="00D9610A">
        <w:trPr>
          <w:tblHeader/>
        </w:trPr>
        <w:tc>
          <w:tcPr>
            <w:tcW w:w="1666" w:type="pct"/>
          </w:tcPr>
          <w:p w14:paraId="0908B17C" w14:textId="77777777" w:rsidR="00543D47" w:rsidRPr="00370DFD" w:rsidRDefault="00543D47" w:rsidP="00D9610A">
            <w:pPr>
              <w:rPr>
                <w:b/>
              </w:rPr>
            </w:pPr>
            <w:r w:rsidRPr="00370DFD">
              <w:rPr>
                <w:b/>
              </w:rPr>
              <w:t>Name</w:t>
            </w:r>
          </w:p>
        </w:tc>
        <w:tc>
          <w:tcPr>
            <w:tcW w:w="1667" w:type="pct"/>
          </w:tcPr>
          <w:p w14:paraId="2D8D9526" w14:textId="77777777" w:rsidR="00543D47" w:rsidRPr="00370DFD" w:rsidRDefault="00543D47" w:rsidP="00D9610A">
            <w:pPr>
              <w:rPr>
                <w:b/>
              </w:rPr>
            </w:pPr>
            <w:r w:rsidRPr="00370DFD">
              <w:rPr>
                <w:b/>
              </w:rPr>
              <w:t>Position/Organisation</w:t>
            </w:r>
          </w:p>
        </w:tc>
        <w:tc>
          <w:tcPr>
            <w:tcW w:w="1667" w:type="pct"/>
          </w:tcPr>
          <w:p w14:paraId="2B9FA800" w14:textId="77777777" w:rsidR="00543D47" w:rsidRPr="00370DFD" w:rsidRDefault="00543D47" w:rsidP="00D9610A">
            <w:pPr>
              <w:rPr>
                <w:b/>
              </w:rPr>
            </w:pPr>
            <w:r w:rsidRPr="00370DFD">
              <w:rPr>
                <w:b/>
              </w:rPr>
              <w:t>Declared conflict of interest</w:t>
            </w:r>
          </w:p>
        </w:tc>
      </w:tr>
      <w:tr w:rsidR="00543D47" w:rsidRPr="00370DFD" w14:paraId="3759C18F" w14:textId="77777777" w:rsidTr="00D9610A">
        <w:trPr>
          <w:trHeight w:val="549"/>
        </w:trPr>
        <w:tc>
          <w:tcPr>
            <w:tcW w:w="1666" w:type="pct"/>
            <w:hideMark/>
          </w:tcPr>
          <w:p w14:paraId="4BB64634" w14:textId="77777777" w:rsidR="00543D47" w:rsidRPr="00370DFD" w:rsidRDefault="00543D47" w:rsidP="00D9610A">
            <w:pPr>
              <w:spacing w:before="40"/>
            </w:pPr>
            <w:r w:rsidRPr="00370DFD">
              <w:t>Associate Professor Peter Stewart (Chair)</w:t>
            </w:r>
          </w:p>
        </w:tc>
        <w:tc>
          <w:tcPr>
            <w:tcW w:w="1667" w:type="pct"/>
          </w:tcPr>
          <w:p w14:paraId="2AB01641" w14:textId="77777777" w:rsidR="00543D47" w:rsidRPr="00370DFD" w:rsidRDefault="00543D47" w:rsidP="00D9610A">
            <w:pPr>
              <w:autoSpaceDE w:val="0"/>
              <w:autoSpaceDN w:val="0"/>
              <w:adjustRightInd w:val="0"/>
              <w:spacing w:before="60" w:line="276" w:lineRule="auto"/>
            </w:pPr>
            <w:r w:rsidRPr="00370DFD">
              <w:t>Royal Prince Alfred Hospital (Public)</w:t>
            </w:r>
          </w:p>
        </w:tc>
        <w:tc>
          <w:tcPr>
            <w:tcW w:w="1667" w:type="pct"/>
          </w:tcPr>
          <w:p w14:paraId="40527B87" w14:textId="77777777" w:rsidR="00543D47" w:rsidRPr="00370DFD" w:rsidRDefault="00543D47" w:rsidP="00D9610A">
            <w:pPr>
              <w:spacing w:before="40"/>
            </w:pPr>
            <w:r w:rsidRPr="00370DFD">
              <w:t>None</w:t>
            </w:r>
          </w:p>
        </w:tc>
      </w:tr>
      <w:tr w:rsidR="00543D47" w:rsidRPr="00370DFD" w14:paraId="3E3313C4" w14:textId="77777777" w:rsidTr="00D9610A">
        <w:trPr>
          <w:trHeight w:val="842"/>
        </w:trPr>
        <w:tc>
          <w:tcPr>
            <w:tcW w:w="1666" w:type="pct"/>
            <w:hideMark/>
          </w:tcPr>
          <w:p w14:paraId="09636AC9" w14:textId="77777777" w:rsidR="00543D47" w:rsidRPr="00370DFD" w:rsidRDefault="00543D47" w:rsidP="00D9610A">
            <w:pPr>
              <w:spacing w:before="40"/>
            </w:pPr>
            <w:r w:rsidRPr="00370DFD">
              <w:t xml:space="preserve">Professor Rita Horvath </w:t>
            </w:r>
          </w:p>
        </w:tc>
        <w:tc>
          <w:tcPr>
            <w:tcW w:w="1667" w:type="pct"/>
          </w:tcPr>
          <w:p w14:paraId="460460B5" w14:textId="77777777" w:rsidR="00543D47" w:rsidRPr="00370DFD" w:rsidRDefault="00543D47" w:rsidP="00D9610A">
            <w:pPr>
              <w:autoSpaceDE w:val="0"/>
              <w:autoSpaceDN w:val="0"/>
              <w:adjustRightInd w:val="0"/>
              <w:spacing w:before="60" w:line="276" w:lineRule="auto"/>
            </w:pPr>
            <w:r w:rsidRPr="00370DFD">
              <w:t>South Eastern Area Laboratory Services (Public)</w:t>
            </w:r>
          </w:p>
        </w:tc>
        <w:tc>
          <w:tcPr>
            <w:tcW w:w="1667" w:type="pct"/>
          </w:tcPr>
          <w:p w14:paraId="30FEE8BB" w14:textId="77777777" w:rsidR="00543D47" w:rsidRPr="00370DFD" w:rsidRDefault="00543D47" w:rsidP="00D9610A">
            <w:pPr>
              <w:spacing w:before="40"/>
            </w:pPr>
            <w:r w:rsidRPr="00370DFD">
              <w:t>None</w:t>
            </w:r>
          </w:p>
        </w:tc>
      </w:tr>
      <w:tr w:rsidR="00543D47" w:rsidRPr="00370DFD" w14:paraId="7F17D1E5" w14:textId="77777777" w:rsidTr="00D9610A">
        <w:trPr>
          <w:trHeight w:val="945"/>
        </w:trPr>
        <w:tc>
          <w:tcPr>
            <w:tcW w:w="1666" w:type="pct"/>
            <w:hideMark/>
          </w:tcPr>
          <w:p w14:paraId="488A2B22" w14:textId="77777777" w:rsidR="00543D47" w:rsidRPr="00370DFD" w:rsidRDefault="00543D47" w:rsidP="00D9610A">
            <w:pPr>
              <w:spacing w:before="40"/>
            </w:pPr>
            <w:r w:rsidRPr="00370DFD">
              <w:t xml:space="preserve">Dr Debra Norris </w:t>
            </w:r>
          </w:p>
        </w:tc>
        <w:tc>
          <w:tcPr>
            <w:tcW w:w="1667" w:type="pct"/>
          </w:tcPr>
          <w:p w14:paraId="77A58486" w14:textId="77777777" w:rsidR="00543D47" w:rsidRPr="00370DFD" w:rsidRDefault="00543D47" w:rsidP="00D9610A">
            <w:pPr>
              <w:autoSpaceDE w:val="0"/>
              <w:autoSpaceDN w:val="0"/>
              <w:adjustRightInd w:val="0"/>
              <w:spacing w:before="60" w:line="276" w:lineRule="auto"/>
            </w:pPr>
            <w:r w:rsidRPr="00370DFD">
              <w:t>QML Pathology (Primary)</w:t>
            </w:r>
          </w:p>
        </w:tc>
        <w:tc>
          <w:tcPr>
            <w:tcW w:w="1667" w:type="pct"/>
          </w:tcPr>
          <w:p w14:paraId="23DA0C55" w14:textId="77777777" w:rsidR="00543D47" w:rsidRPr="00370DFD" w:rsidRDefault="00543D47" w:rsidP="00D9610A">
            <w:pPr>
              <w:spacing w:before="40"/>
            </w:pPr>
            <w:r w:rsidRPr="00370DFD">
              <w:t>None</w:t>
            </w:r>
          </w:p>
        </w:tc>
      </w:tr>
      <w:tr w:rsidR="00543D47" w:rsidRPr="00370DFD" w14:paraId="2159034C" w14:textId="77777777" w:rsidTr="00D9610A">
        <w:trPr>
          <w:trHeight w:val="450"/>
        </w:trPr>
        <w:tc>
          <w:tcPr>
            <w:tcW w:w="1666" w:type="pct"/>
            <w:hideMark/>
          </w:tcPr>
          <w:p w14:paraId="4FDC4729" w14:textId="77777777" w:rsidR="00543D47" w:rsidRPr="00370DFD" w:rsidRDefault="00543D47" w:rsidP="00D9610A">
            <w:pPr>
              <w:spacing w:before="40"/>
            </w:pPr>
            <w:r w:rsidRPr="00370DFD">
              <w:t xml:space="preserve">Dr Michael Harrison </w:t>
            </w:r>
          </w:p>
        </w:tc>
        <w:tc>
          <w:tcPr>
            <w:tcW w:w="1667" w:type="pct"/>
          </w:tcPr>
          <w:p w14:paraId="50A2CB3B" w14:textId="77777777" w:rsidR="00543D47" w:rsidRPr="00370DFD" w:rsidRDefault="00543D47" w:rsidP="00D9610A">
            <w:pPr>
              <w:spacing w:before="60"/>
            </w:pPr>
            <w:r w:rsidRPr="00370DFD">
              <w:t>Sullivan Nicolaides Pathology (Sonic)</w:t>
            </w:r>
          </w:p>
        </w:tc>
        <w:tc>
          <w:tcPr>
            <w:tcW w:w="1667" w:type="pct"/>
          </w:tcPr>
          <w:p w14:paraId="105B8063" w14:textId="77777777" w:rsidR="00543D47" w:rsidRPr="00370DFD" w:rsidRDefault="00543D47" w:rsidP="00D9610A">
            <w:pPr>
              <w:spacing w:before="40"/>
            </w:pPr>
            <w:r w:rsidRPr="00370DFD">
              <w:t>None</w:t>
            </w:r>
          </w:p>
        </w:tc>
      </w:tr>
      <w:tr w:rsidR="00543D47" w:rsidRPr="00370DFD" w14:paraId="0BEF5E91" w14:textId="77777777" w:rsidTr="00D9610A">
        <w:trPr>
          <w:trHeight w:val="633"/>
        </w:trPr>
        <w:tc>
          <w:tcPr>
            <w:tcW w:w="1666" w:type="pct"/>
            <w:hideMark/>
          </w:tcPr>
          <w:p w14:paraId="6EE05053" w14:textId="77777777" w:rsidR="00543D47" w:rsidRPr="00370DFD" w:rsidRDefault="00543D47" w:rsidP="00D9610A">
            <w:pPr>
              <w:spacing w:before="40"/>
            </w:pPr>
            <w:r w:rsidRPr="00370DFD">
              <w:t xml:space="preserve">Associate Professor Ken </w:t>
            </w:r>
            <w:proofErr w:type="spellStart"/>
            <w:r w:rsidRPr="00370DFD">
              <w:t>Sikaris</w:t>
            </w:r>
            <w:proofErr w:type="spellEnd"/>
            <w:r w:rsidRPr="00370DFD">
              <w:t xml:space="preserve"> </w:t>
            </w:r>
          </w:p>
        </w:tc>
        <w:tc>
          <w:tcPr>
            <w:tcW w:w="1667" w:type="pct"/>
          </w:tcPr>
          <w:p w14:paraId="2E767890" w14:textId="77777777" w:rsidR="00543D47" w:rsidRPr="00370DFD" w:rsidRDefault="00543D47" w:rsidP="00D9610A">
            <w:pPr>
              <w:autoSpaceDE w:val="0"/>
              <w:autoSpaceDN w:val="0"/>
              <w:adjustRightInd w:val="0"/>
              <w:spacing w:before="60" w:line="276" w:lineRule="auto"/>
            </w:pPr>
            <w:r w:rsidRPr="00370DFD">
              <w:t>Melbourne Pathology (Sonic)</w:t>
            </w:r>
          </w:p>
        </w:tc>
        <w:tc>
          <w:tcPr>
            <w:tcW w:w="1667" w:type="pct"/>
          </w:tcPr>
          <w:p w14:paraId="11FC0242" w14:textId="77777777" w:rsidR="00543D47" w:rsidRPr="00370DFD" w:rsidRDefault="00543D47" w:rsidP="00D9610A">
            <w:pPr>
              <w:spacing w:before="40"/>
            </w:pPr>
            <w:r w:rsidRPr="00370DFD">
              <w:t>None</w:t>
            </w:r>
          </w:p>
        </w:tc>
      </w:tr>
      <w:tr w:rsidR="00543D47" w:rsidRPr="00370DFD" w14:paraId="78EEB3F9" w14:textId="77777777" w:rsidTr="00D9610A">
        <w:trPr>
          <w:trHeight w:val="633"/>
        </w:trPr>
        <w:tc>
          <w:tcPr>
            <w:tcW w:w="1666" w:type="pct"/>
          </w:tcPr>
          <w:p w14:paraId="790BAA2D" w14:textId="77777777" w:rsidR="00543D47" w:rsidRPr="00370DFD" w:rsidRDefault="00543D47" w:rsidP="00D9610A">
            <w:pPr>
              <w:spacing w:before="40"/>
            </w:pPr>
            <w:r w:rsidRPr="006A3A98">
              <w:t xml:space="preserve">Professor Hans Schneider </w:t>
            </w:r>
          </w:p>
        </w:tc>
        <w:tc>
          <w:tcPr>
            <w:tcW w:w="1667" w:type="pct"/>
          </w:tcPr>
          <w:p w14:paraId="4F8C87D1" w14:textId="77777777" w:rsidR="00543D47" w:rsidRPr="00370DFD" w:rsidRDefault="00543D47" w:rsidP="00D9610A">
            <w:pPr>
              <w:autoSpaceDE w:val="0"/>
              <w:autoSpaceDN w:val="0"/>
              <w:adjustRightInd w:val="0"/>
              <w:spacing w:before="60" w:line="276" w:lineRule="auto"/>
            </w:pPr>
            <w:r w:rsidRPr="006A3A98">
              <w:t>Director of Patho</w:t>
            </w:r>
            <w:r>
              <w:t>logy, Alfred Hospital Melbourne (Public)</w:t>
            </w:r>
          </w:p>
        </w:tc>
        <w:tc>
          <w:tcPr>
            <w:tcW w:w="1667" w:type="pct"/>
          </w:tcPr>
          <w:p w14:paraId="5D434659" w14:textId="77777777" w:rsidR="00543D47" w:rsidRPr="00370DFD" w:rsidRDefault="00543D47" w:rsidP="00D9610A">
            <w:pPr>
              <w:spacing w:before="40"/>
            </w:pPr>
            <w:r>
              <w:t>None</w:t>
            </w:r>
          </w:p>
        </w:tc>
      </w:tr>
      <w:tr w:rsidR="00543D47" w:rsidRPr="00370DFD" w14:paraId="4F653EC2" w14:textId="77777777" w:rsidTr="00D9610A">
        <w:trPr>
          <w:trHeight w:val="716"/>
        </w:trPr>
        <w:tc>
          <w:tcPr>
            <w:tcW w:w="1666" w:type="pct"/>
            <w:hideMark/>
          </w:tcPr>
          <w:p w14:paraId="787B4A05" w14:textId="77777777" w:rsidR="00543D47" w:rsidRPr="00370DFD" w:rsidRDefault="00543D47" w:rsidP="00D9610A">
            <w:pPr>
              <w:spacing w:before="40"/>
            </w:pPr>
            <w:r w:rsidRPr="00370DFD">
              <w:t xml:space="preserve">Dr Melody </w:t>
            </w:r>
            <w:proofErr w:type="spellStart"/>
            <w:r w:rsidRPr="00370DFD">
              <w:t>Caramins</w:t>
            </w:r>
            <w:proofErr w:type="spellEnd"/>
            <w:r w:rsidRPr="00370DFD">
              <w:t xml:space="preserve"> </w:t>
            </w:r>
          </w:p>
        </w:tc>
        <w:tc>
          <w:tcPr>
            <w:tcW w:w="1667" w:type="pct"/>
          </w:tcPr>
          <w:p w14:paraId="2CD397AE" w14:textId="77777777" w:rsidR="00543D47" w:rsidRPr="00370DFD" w:rsidRDefault="00543D47" w:rsidP="00D9610A">
            <w:pPr>
              <w:spacing w:before="60"/>
            </w:pPr>
            <w:r w:rsidRPr="00370DFD">
              <w:t>Specialist Diagnostic Services (Primary)</w:t>
            </w:r>
          </w:p>
        </w:tc>
        <w:tc>
          <w:tcPr>
            <w:tcW w:w="1667" w:type="pct"/>
          </w:tcPr>
          <w:p w14:paraId="4C6EBD69" w14:textId="77777777" w:rsidR="00543D47" w:rsidRPr="00370DFD" w:rsidRDefault="00543D47" w:rsidP="00D9610A">
            <w:pPr>
              <w:spacing w:before="40"/>
            </w:pPr>
            <w:r w:rsidRPr="00370DFD">
              <w:t>None</w:t>
            </w:r>
          </w:p>
        </w:tc>
      </w:tr>
      <w:tr w:rsidR="00543D47" w:rsidRPr="00370DFD" w14:paraId="17F75812" w14:textId="77777777" w:rsidTr="00D9610A">
        <w:trPr>
          <w:trHeight w:val="1052"/>
        </w:trPr>
        <w:tc>
          <w:tcPr>
            <w:tcW w:w="1666" w:type="pct"/>
            <w:hideMark/>
          </w:tcPr>
          <w:p w14:paraId="7A257B9A" w14:textId="77777777" w:rsidR="00543D47" w:rsidRPr="00370DFD" w:rsidRDefault="00543D47" w:rsidP="00D9610A">
            <w:pPr>
              <w:spacing w:before="40"/>
            </w:pPr>
            <w:r w:rsidRPr="00370DFD">
              <w:t xml:space="preserve">Dr John Rowell </w:t>
            </w:r>
          </w:p>
        </w:tc>
        <w:tc>
          <w:tcPr>
            <w:tcW w:w="1667" w:type="pct"/>
          </w:tcPr>
          <w:p w14:paraId="0B03CF11" w14:textId="77777777" w:rsidR="00543D47" w:rsidRPr="00370DFD" w:rsidRDefault="00543D47" w:rsidP="00D9610A">
            <w:pPr>
              <w:autoSpaceDE w:val="0"/>
              <w:autoSpaceDN w:val="0"/>
              <w:adjustRightInd w:val="0"/>
              <w:spacing w:before="60" w:line="276" w:lineRule="auto"/>
            </w:pPr>
            <w:r w:rsidRPr="00370DFD">
              <w:t>Royal Brisbane &amp; Women's Hospital</w:t>
            </w:r>
            <w:r>
              <w:t xml:space="preserve"> (Public)</w:t>
            </w:r>
          </w:p>
        </w:tc>
        <w:tc>
          <w:tcPr>
            <w:tcW w:w="1667" w:type="pct"/>
          </w:tcPr>
          <w:p w14:paraId="2C2B6611" w14:textId="77777777" w:rsidR="00543D47" w:rsidRPr="00370DFD" w:rsidRDefault="00543D47" w:rsidP="00D9610A">
            <w:pPr>
              <w:spacing w:before="40"/>
            </w:pPr>
            <w:r w:rsidRPr="00370DFD">
              <w:t>None</w:t>
            </w:r>
          </w:p>
        </w:tc>
      </w:tr>
      <w:tr w:rsidR="00543D47" w:rsidRPr="00370DFD" w14:paraId="7B2DD553" w14:textId="77777777" w:rsidTr="00D9610A">
        <w:trPr>
          <w:trHeight w:val="315"/>
        </w:trPr>
        <w:tc>
          <w:tcPr>
            <w:tcW w:w="1666" w:type="pct"/>
            <w:hideMark/>
          </w:tcPr>
          <w:p w14:paraId="06FA5F5E" w14:textId="77777777" w:rsidR="00543D47" w:rsidRPr="00370DFD" w:rsidRDefault="00543D47" w:rsidP="00D9610A">
            <w:pPr>
              <w:spacing w:before="40"/>
            </w:pPr>
            <w:r w:rsidRPr="00370DFD">
              <w:t>Professor Dominic Mallon</w:t>
            </w:r>
          </w:p>
        </w:tc>
        <w:tc>
          <w:tcPr>
            <w:tcW w:w="1667" w:type="pct"/>
          </w:tcPr>
          <w:p w14:paraId="4E294ECC" w14:textId="77777777" w:rsidR="00543D47" w:rsidRPr="00370DFD" w:rsidRDefault="00543D47" w:rsidP="00D9610A">
            <w:pPr>
              <w:autoSpaceDE w:val="0"/>
              <w:autoSpaceDN w:val="0"/>
              <w:adjustRightInd w:val="0"/>
              <w:spacing w:before="60" w:line="276" w:lineRule="auto"/>
            </w:pPr>
            <w:proofErr w:type="spellStart"/>
            <w:r w:rsidRPr="00370DFD">
              <w:t>PathWest</w:t>
            </w:r>
            <w:proofErr w:type="spellEnd"/>
          </w:p>
        </w:tc>
        <w:tc>
          <w:tcPr>
            <w:tcW w:w="1667" w:type="pct"/>
          </w:tcPr>
          <w:p w14:paraId="21C0C40C" w14:textId="77777777" w:rsidR="00543D47" w:rsidRPr="00370DFD" w:rsidRDefault="00543D47" w:rsidP="00D9610A">
            <w:pPr>
              <w:spacing w:before="40"/>
            </w:pPr>
            <w:r w:rsidRPr="00370DFD">
              <w:t>None</w:t>
            </w:r>
          </w:p>
        </w:tc>
      </w:tr>
      <w:tr w:rsidR="00543D47" w:rsidRPr="00370DFD" w14:paraId="0ADDB23E" w14:textId="77777777" w:rsidTr="00D9610A">
        <w:trPr>
          <w:trHeight w:val="630"/>
        </w:trPr>
        <w:tc>
          <w:tcPr>
            <w:tcW w:w="1666" w:type="pct"/>
            <w:hideMark/>
          </w:tcPr>
          <w:p w14:paraId="285DD09B" w14:textId="77777777" w:rsidR="00543D47" w:rsidRPr="00370DFD" w:rsidRDefault="00543D47" w:rsidP="00D9610A">
            <w:pPr>
              <w:spacing w:before="40"/>
            </w:pPr>
            <w:r w:rsidRPr="00370DFD">
              <w:t>Dr Peter Roberts</w:t>
            </w:r>
          </w:p>
        </w:tc>
        <w:tc>
          <w:tcPr>
            <w:tcW w:w="1667" w:type="pct"/>
          </w:tcPr>
          <w:p w14:paraId="3218A31A" w14:textId="77777777" w:rsidR="00543D47" w:rsidRPr="00370DFD" w:rsidRDefault="00543D47" w:rsidP="00D9610A">
            <w:pPr>
              <w:autoSpaceDE w:val="0"/>
              <w:autoSpaceDN w:val="0"/>
              <w:adjustRightInd w:val="0"/>
              <w:spacing w:before="60" w:line="276" w:lineRule="auto"/>
            </w:pPr>
            <w:r w:rsidRPr="00370DFD">
              <w:t>Ryde Hospital (AESM)</w:t>
            </w:r>
          </w:p>
        </w:tc>
        <w:tc>
          <w:tcPr>
            <w:tcW w:w="1667" w:type="pct"/>
          </w:tcPr>
          <w:p w14:paraId="7635D949" w14:textId="77777777" w:rsidR="00543D47" w:rsidRPr="00370DFD" w:rsidRDefault="00543D47" w:rsidP="00D9610A">
            <w:pPr>
              <w:spacing w:before="40"/>
            </w:pPr>
            <w:r w:rsidRPr="00370DFD">
              <w:t>None</w:t>
            </w:r>
          </w:p>
        </w:tc>
      </w:tr>
      <w:tr w:rsidR="00543D47" w:rsidRPr="00370DFD" w14:paraId="6D877DBC" w14:textId="77777777" w:rsidTr="00D9610A">
        <w:trPr>
          <w:trHeight w:val="437"/>
        </w:trPr>
        <w:tc>
          <w:tcPr>
            <w:tcW w:w="1666" w:type="pct"/>
            <w:hideMark/>
          </w:tcPr>
          <w:p w14:paraId="760BBD93" w14:textId="77777777" w:rsidR="00543D47" w:rsidRPr="00370DFD" w:rsidRDefault="00543D47" w:rsidP="00D9610A">
            <w:pPr>
              <w:spacing w:before="40"/>
            </w:pPr>
            <w:r w:rsidRPr="00370DFD">
              <w:t>Associate Professor Anthony Landgren</w:t>
            </w:r>
          </w:p>
        </w:tc>
        <w:tc>
          <w:tcPr>
            <w:tcW w:w="1667" w:type="pct"/>
          </w:tcPr>
          <w:p w14:paraId="3B74B46D" w14:textId="77777777" w:rsidR="00543D47" w:rsidRPr="00370DFD" w:rsidRDefault="00543D47" w:rsidP="00D9610A">
            <w:pPr>
              <w:autoSpaceDE w:val="0"/>
              <w:autoSpaceDN w:val="0"/>
              <w:adjustRightInd w:val="0"/>
              <w:spacing w:before="60" w:line="276" w:lineRule="auto"/>
            </w:pPr>
            <w:r w:rsidRPr="00370DFD">
              <w:t>Australian Clinical Labs</w:t>
            </w:r>
          </w:p>
        </w:tc>
        <w:tc>
          <w:tcPr>
            <w:tcW w:w="1667" w:type="pct"/>
          </w:tcPr>
          <w:p w14:paraId="073A958A" w14:textId="77777777" w:rsidR="00543D47" w:rsidRPr="00370DFD" w:rsidRDefault="00543D47" w:rsidP="00D9610A">
            <w:pPr>
              <w:spacing w:before="40"/>
            </w:pPr>
            <w:r w:rsidRPr="00370DFD">
              <w:t>None</w:t>
            </w:r>
          </w:p>
        </w:tc>
      </w:tr>
      <w:tr w:rsidR="00543D47" w:rsidRPr="00370DFD" w14:paraId="127285F8" w14:textId="77777777" w:rsidTr="00D9610A">
        <w:trPr>
          <w:trHeight w:val="630"/>
        </w:trPr>
        <w:tc>
          <w:tcPr>
            <w:tcW w:w="1666" w:type="pct"/>
            <w:hideMark/>
          </w:tcPr>
          <w:p w14:paraId="01EF94C1" w14:textId="77777777" w:rsidR="00543D47" w:rsidRPr="00370DFD" w:rsidRDefault="00543D47" w:rsidP="00D9610A">
            <w:pPr>
              <w:spacing w:before="40"/>
            </w:pPr>
            <w:r w:rsidRPr="00370DFD">
              <w:lastRenderedPageBreak/>
              <w:t xml:space="preserve">Associate Professor Mary-Jo Waters </w:t>
            </w:r>
          </w:p>
        </w:tc>
        <w:tc>
          <w:tcPr>
            <w:tcW w:w="1667" w:type="pct"/>
          </w:tcPr>
          <w:p w14:paraId="5F2A628A" w14:textId="77777777" w:rsidR="00543D47" w:rsidRPr="00370DFD" w:rsidRDefault="00543D47" w:rsidP="00D9610A">
            <w:pPr>
              <w:autoSpaceDE w:val="0"/>
              <w:autoSpaceDN w:val="0"/>
              <w:adjustRightInd w:val="0"/>
              <w:spacing w:before="60" w:line="276" w:lineRule="auto"/>
            </w:pPr>
            <w:r w:rsidRPr="00370DFD">
              <w:t>St Vincent’s Pathology (CHA)</w:t>
            </w:r>
          </w:p>
        </w:tc>
        <w:tc>
          <w:tcPr>
            <w:tcW w:w="1667" w:type="pct"/>
          </w:tcPr>
          <w:p w14:paraId="78132B56" w14:textId="77777777" w:rsidR="00543D47" w:rsidRPr="00370DFD" w:rsidRDefault="00543D47" w:rsidP="00D9610A">
            <w:pPr>
              <w:spacing w:before="40"/>
            </w:pPr>
            <w:r w:rsidRPr="00370DFD">
              <w:t>None</w:t>
            </w:r>
          </w:p>
        </w:tc>
      </w:tr>
      <w:tr w:rsidR="00543D47" w:rsidRPr="00370DFD" w14:paraId="37ACD684" w14:textId="77777777" w:rsidTr="00D9610A">
        <w:trPr>
          <w:trHeight w:val="630"/>
        </w:trPr>
        <w:tc>
          <w:tcPr>
            <w:tcW w:w="1666" w:type="pct"/>
          </w:tcPr>
          <w:p w14:paraId="4E8A3B28" w14:textId="77777777" w:rsidR="00543D47" w:rsidRPr="00370DFD" w:rsidRDefault="00543D47" w:rsidP="00D9610A">
            <w:pPr>
              <w:spacing w:before="40"/>
            </w:pPr>
            <w:r w:rsidRPr="00370DFD">
              <w:t xml:space="preserve">Professor Richard </w:t>
            </w:r>
            <w:proofErr w:type="spellStart"/>
            <w:r w:rsidRPr="00370DFD">
              <w:t>Maclsaac</w:t>
            </w:r>
            <w:proofErr w:type="spellEnd"/>
          </w:p>
        </w:tc>
        <w:tc>
          <w:tcPr>
            <w:tcW w:w="1667" w:type="pct"/>
          </w:tcPr>
          <w:p w14:paraId="280C52FC" w14:textId="77777777" w:rsidR="00543D47" w:rsidRPr="00370DFD" w:rsidRDefault="00543D47" w:rsidP="00D9610A">
            <w:pPr>
              <w:autoSpaceDE w:val="0"/>
              <w:autoSpaceDN w:val="0"/>
              <w:adjustRightInd w:val="0"/>
              <w:spacing w:before="60" w:line="276" w:lineRule="auto"/>
            </w:pPr>
            <w:r w:rsidRPr="00370DFD">
              <w:t>St Vincent's Hospital</w:t>
            </w:r>
          </w:p>
        </w:tc>
        <w:tc>
          <w:tcPr>
            <w:tcW w:w="1667" w:type="pct"/>
          </w:tcPr>
          <w:p w14:paraId="7BD86522" w14:textId="77777777" w:rsidR="00543D47" w:rsidRPr="00370DFD" w:rsidRDefault="00543D47" w:rsidP="00D9610A">
            <w:pPr>
              <w:spacing w:before="40"/>
            </w:pPr>
            <w:r w:rsidRPr="00370DFD">
              <w:t>None</w:t>
            </w:r>
          </w:p>
        </w:tc>
      </w:tr>
      <w:tr w:rsidR="00543D47" w:rsidRPr="00370DFD" w14:paraId="5CF44834" w14:textId="77777777" w:rsidTr="00D9610A">
        <w:trPr>
          <w:trHeight w:val="630"/>
        </w:trPr>
        <w:tc>
          <w:tcPr>
            <w:tcW w:w="1666" w:type="pct"/>
          </w:tcPr>
          <w:p w14:paraId="7CAE67E2" w14:textId="77777777" w:rsidR="00543D47" w:rsidRPr="00370DFD" w:rsidRDefault="00543D47" w:rsidP="00D9610A">
            <w:pPr>
              <w:spacing w:before="40"/>
            </w:pPr>
            <w:r w:rsidRPr="00370DFD">
              <w:t xml:space="preserve">Dr Emil </w:t>
            </w:r>
            <w:proofErr w:type="spellStart"/>
            <w:r w:rsidRPr="00370DFD">
              <w:t>Djakic</w:t>
            </w:r>
            <w:proofErr w:type="spellEnd"/>
          </w:p>
        </w:tc>
        <w:tc>
          <w:tcPr>
            <w:tcW w:w="1667" w:type="pct"/>
          </w:tcPr>
          <w:p w14:paraId="49D43273" w14:textId="77777777" w:rsidR="00543D47" w:rsidRPr="00370DFD" w:rsidRDefault="00543D47" w:rsidP="00D9610A">
            <w:pPr>
              <w:autoSpaceDE w:val="0"/>
              <w:autoSpaceDN w:val="0"/>
              <w:adjustRightInd w:val="0"/>
              <w:spacing w:before="60" w:line="276" w:lineRule="auto"/>
            </w:pPr>
            <w:r w:rsidRPr="00370DFD">
              <w:t>General practitioner</w:t>
            </w:r>
          </w:p>
        </w:tc>
        <w:tc>
          <w:tcPr>
            <w:tcW w:w="1667" w:type="pct"/>
          </w:tcPr>
          <w:p w14:paraId="6CA04E9A" w14:textId="77777777" w:rsidR="00543D47" w:rsidRPr="00370DFD" w:rsidRDefault="00543D47" w:rsidP="00D9610A">
            <w:pPr>
              <w:spacing w:before="40"/>
            </w:pPr>
            <w:r w:rsidRPr="00370DFD">
              <w:t>None</w:t>
            </w:r>
          </w:p>
        </w:tc>
      </w:tr>
      <w:tr w:rsidR="00543D47" w:rsidRPr="00370DFD" w14:paraId="0E4FC7FA" w14:textId="77777777" w:rsidTr="00D9610A">
        <w:trPr>
          <w:trHeight w:val="630"/>
        </w:trPr>
        <w:tc>
          <w:tcPr>
            <w:tcW w:w="1666" w:type="pct"/>
          </w:tcPr>
          <w:p w14:paraId="2282E037" w14:textId="77777777" w:rsidR="00543D47" w:rsidRPr="00370DFD" w:rsidRDefault="00543D47" w:rsidP="00D9610A">
            <w:pPr>
              <w:spacing w:before="40"/>
            </w:pPr>
            <w:r w:rsidRPr="00370DFD">
              <w:t xml:space="preserve">Dr Bev </w:t>
            </w:r>
            <w:proofErr w:type="spellStart"/>
            <w:r w:rsidRPr="00370DFD">
              <w:t>Rowbotham</w:t>
            </w:r>
            <w:proofErr w:type="spellEnd"/>
          </w:p>
        </w:tc>
        <w:tc>
          <w:tcPr>
            <w:tcW w:w="1667" w:type="pct"/>
          </w:tcPr>
          <w:p w14:paraId="11E051FC" w14:textId="77777777" w:rsidR="00543D47" w:rsidRPr="00370DFD" w:rsidRDefault="00543D47" w:rsidP="00D9610A">
            <w:pPr>
              <w:autoSpaceDE w:val="0"/>
              <w:autoSpaceDN w:val="0"/>
              <w:adjustRightInd w:val="0"/>
              <w:spacing w:before="60" w:line="276" w:lineRule="auto"/>
            </w:pPr>
            <w:r w:rsidRPr="00370DFD">
              <w:t>MBS Taskforce</w:t>
            </w:r>
          </w:p>
        </w:tc>
        <w:tc>
          <w:tcPr>
            <w:tcW w:w="1667" w:type="pct"/>
          </w:tcPr>
          <w:p w14:paraId="65B5E645" w14:textId="77777777" w:rsidR="00543D47" w:rsidRPr="00370DFD" w:rsidRDefault="00543D47" w:rsidP="00D9610A">
            <w:pPr>
              <w:spacing w:before="40"/>
            </w:pPr>
            <w:r w:rsidRPr="00370DFD">
              <w:t>None</w:t>
            </w:r>
          </w:p>
        </w:tc>
      </w:tr>
      <w:tr w:rsidR="00543D47" w:rsidRPr="00370DFD" w14:paraId="18444DC1" w14:textId="77777777" w:rsidTr="00D9610A">
        <w:trPr>
          <w:trHeight w:val="630"/>
        </w:trPr>
        <w:tc>
          <w:tcPr>
            <w:tcW w:w="1666" w:type="pct"/>
          </w:tcPr>
          <w:p w14:paraId="25B76C4E" w14:textId="77777777" w:rsidR="00543D47" w:rsidRPr="00370DFD" w:rsidRDefault="00543D47" w:rsidP="00D9610A">
            <w:pPr>
              <w:spacing w:before="40"/>
            </w:pPr>
            <w:r w:rsidRPr="00370DFD">
              <w:t xml:space="preserve">Dr Jill </w:t>
            </w:r>
            <w:proofErr w:type="spellStart"/>
            <w:r w:rsidRPr="00370DFD">
              <w:t>Thistlethwaite</w:t>
            </w:r>
            <w:proofErr w:type="spellEnd"/>
          </w:p>
        </w:tc>
        <w:tc>
          <w:tcPr>
            <w:tcW w:w="1667" w:type="pct"/>
          </w:tcPr>
          <w:p w14:paraId="08C2C5CE" w14:textId="77777777" w:rsidR="00543D47" w:rsidRPr="00370DFD" w:rsidRDefault="00543D47" w:rsidP="00D9610A">
            <w:pPr>
              <w:autoSpaceDE w:val="0"/>
              <w:autoSpaceDN w:val="0"/>
              <w:adjustRightInd w:val="0"/>
              <w:spacing w:before="60" w:line="276" w:lineRule="auto"/>
            </w:pPr>
            <w:r w:rsidRPr="00370DFD">
              <w:t>General practitioner</w:t>
            </w:r>
          </w:p>
        </w:tc>
        <w:tc>
          <w:tcPr>
            <w:tcW w:w="1667" w:type="pct"/>
          </w:tcPr>
          <w:p w14:paraId="332B1EAB" w14:textId="77777777" w:rsidR="00543D47" w:rsidRPr="00370DFD" w:rsidRDefault="00543D47" w:rsidP="00D9610A">
            <w:pPr>
              <w:spacing w:before="40"/>
            </w:pPr>
            <w:r w:rsidRPr="00370DFD">
              <w:t>None</w:t>
            </w:r>
          </w:p>
        </w:tc>
      </w:tr>
      <w:tr w:rsidR="00543D47" w:rsidRPr="00370DFD" w14:paraId="31D631DE" w14:textId="77777777" w:rsidTr="00D9610A">
        <w:trPr>
          <w:trHeight w:val="630"/>
        </w:trPr>
        <w:tc>
          <w:tcPr>
            <w:tcW w:w="1666" w:type="pct"/>
          </w:tcPr>
          <w:p w14:paraId="0F67B178" w14:textId="77777777" w:rsidR="00543D47" w:rsidRPr="00370DFD" w:rsidRDefault="00543D47" w:rsidP="00D9610A">
            <w:pPr>
              <w:spacing w:before="40"/>
            </w:pPr>
            <w:r w:rsidRPr="00370DFD">
              <w:t>Ms Valerie Hanrahan</w:t>
            </w:r>
          </w:p>
        </w:tc>
        <w:tc>
          <w:tcPr>
            <w:tcW w:w="1667" w:type="pct"/>
          </w:tcPr>
          <w:p w14:paraId="180FFF98" w14:textId="77777777" w:rsidR="00543D47" w:rsidRPr="00370DFD" w:rsidRDefault="00543D47" w:rsidP="00D9610A">
            <w:pPr>
              <w:autoSpaceDE w:val="0"/>
              <w:autoSpaceDN w:val="0"/>
              <w:adjustRightInd w:val="0"/>
              <w:spacing w:before="60" w:line="276" w:lineRule="auto"/>
            </w:pPr>
            <w:r w:rsidRPr="00370DFD">
              <w:t>Consumers Health Forum</w:t>
            </w:r>
          </w:p>
        </w:tc>
        <w:tc>
          <w:tcPr>
            <w:tcW w:w="1667" w:type="pct"/>
          </w:tcPr>
          <w:p w14:paraId="38CD2A22" w14:textId="77777777" w:rsidR="00543D47" w:rsidRPr="00370DFD" w:rsidRDefault="00543D47" w:rsidP="00D9610A">
            <w:pPr>
              <w:spacing w:before="40"/>
            </w:pPr>
            <w:r w:rsidRPr="00370DFD">
              <w:t>None</w:t>
            </w:r>
          </w:p>
        </w:tc>
      </w:tr>
      <w:tr w:rsidR="00543D47" w:rsidRPr="00370DFD" w14:paraId="685A98C3" w14:textId="77777777" w:rsidTr="00D9610A">
        <w:trPr>
          <w:trHeight w:val="630"/>
        </w:trPr>
        <w:tc>
          <w:tcPr>
            <w:tcW w:w="1666" w:type="pct"/>
          </w:tcPr>
          <w:p w14:paraId="0143F17C" w14:textId="77777777" w:rsidR="00543D47" w:rsidRPr="00370DFD" w:rsidRDefault="00543D47" w:rsidP="00D9610A">
            <w:pPr>
              <w:spacing w:before="40"/>
            </w:pPr>
            <w:r w:rsidRPr="00370DFD">
              <w:t>Dr Robyn Lind</w:t>
            </w:r>
            <w:r>
              <w:t>n</w:t>
            </w:r>
            <w:r w:rsidRPr="00370DFD">
              <w:t>er</w:t>
            </w:r>
          </w:p>
        </w:tc>
        <w:tc>
          <w:tcPr>
            <w:tcW w:w="1667" w:type="pct"/>
          </w:tcPr>
          <w:p w14:paraId="2693E1BD" w14:textId="77777777" w:rsidR="00543D47" w:rsidRPr="00370DFD" w:rsidRDefault="00543D47" w:rsidP="00D9610A">
            <w:pPr>
              <w:autoSpaceDE w:val="0"/>
              <w:autoSpaceDN w:val="0"/>
              <w:adjustRightInd w:val="0"/>
              <w:spacing w:before="60" w:line="276" w:lineRule="auto"/>
            </w:pPr>
            <w:r>
              <w:t>NPS MedicineWise</w:t>
            </w:r>
          </w:p>
        </w:tc>
        <w:tc>
          <w:tcPr>
            <w:tcW w:w="1667" w:type="pct"/>
          </w:tcPr>
          <w:p w14:paraId="1247D247" w14:textId="77777777" w:rsidR="00543D47" w:rsidRPr="00370DFD" w:rsidRDefault="00543D47" w:rsidP="00D9610A">
            <w:pPr>
              <w:spacing w:before="40"/>
            </w:pPr>
            <w:r w:rsidRPr="00370DFD">
              <w:t>None</w:t>
            </w:r>
          </w:p>
        </w:tc>
      </w:tr>
      <w:tr w:rsidR="00543D47" w:rsidRPr="00370DFD" w14:paraId="532873AB" w14:textId="77777777" w:rsidTr="00D9610A">
        <w:trPr>
          <w:trHeight w:val="70"/>
        </w:trPr>
        <w:tc>
          <w:tcPr>
            <w:tcW w:w="1666" w:type="pct"/>
          </w:tcPr>
          <w:p w14:paraId="76A3646A" w14:textId="77777777" w:rsidR="00543D47" w:rsidRPr="00370DFD" w:rsidRDefault="00543D47" w:rsidP="00D9610A">
            <w:pPr>
              <w:spacing w:before="40"/>
            </w:pPr>
            <w:r w:rsidRPr="007C468C">
              <w:t>Associate Professor Adrienne Morey</w:t>
            </w:r>
          </w:p>
        </w:tc>
        <w:tc>
          <w:tcPr>
            <w:tcW w:w="1667" w:type="pct"/>
          </w:tcPr>
          <w:p w14:paraId="75502A7E" w14:textId="77777777" w:rsidR="00543D47" w:rsidRPr="00370DFD" w:rsidRDefault="00543D47" w:rsidP="00D9610A">
            <w:pPr>
              <w:autoSpaceDE w:val="0"/>
              <w:autoSpaceDN w:val="0"/>
              <w:adjustRightInd w:val="0"/>
              <w:spacing w:before="60" w:line="276" w:lineRule="auto"/>
            </w:pPr>
            <w:r w:rsidRPr="007C468C">
              <w:t xml:space="preserve">ACT Pathology (Public): formerly </w:t>
            </w:r>
            <w:proofErr w:type="spellStart"/>
            <w:r w:rsidRPr="007C468C">
              <w:t>SydPath</w:t>
            </w:r>
            <w:proofErr w:type="spellEnd"/>
            <w:r w:rsidRPr="007C468C">
              <w:t>, St Vincent’s (Catholic)</w:t>
            </w:r>
          </w:p>
        </w:tc>
        <w:tc>
          <w:tcPr>
            <w:tcW w:w="1667" w:type="pct"/>
          </w:tcPr>
          <w:p w14:paraId="1F7B2ADF" w14:textId="77777777" w:rsidR="00543D47" w:rsidRPr="00370DFD" w:rsidRDefault="00543D47" w:rsidP="00D9610A">
            <w:pPr>
              <w:spacing w:before="40"/>
            </w:pPr>
            <w:r>
              <w:t>None</w:t>
            </w:r>
          </w:p>
        </w:tc>
      </w:tr>
    </w:tbl>
    <w:p w14:paraId="51EA4BF9" w14:textId="77777777" w:rsidR="00543D47" w:rsidRPr="00370DFD" w:rsidRDefault="00543D47" w:rsidP="00543D47">
      <w:pPr>
        <w:pStyle w:val="BodyText"/>
      </w:pPr>
      <w:r w:rsidRPr="00370DFD">
        <w:t xml:space="preserve">It is noted that </w:t>
      </w:r>
      <w:proofErr w:type="gramStart"/>
      <w:r w:rsidRPr="00370DFD">
        <w:t>the majority of</w:t>
      </w:r>
      <w:proofErr w:type="gramEnd"/>
      <w:r w:rsidRPr="00370DFD">
        <w:t xml:space="preserve"> the Committee members share a common conflict of interest in reviewing items that are a source of revenue for them (</w:t>
      </w:r>
      <w:proofErr w:type="spellStart"/>
      <w:r>
        <w:t>ie</w:t>
      </w:r>
      <w:proofErr w:type="spellEnd"/>
      <w:r>
        <w:t>,</w:t>
      </w:r>
      <w:r w:rsidRPr="00370DFD">
        <w:t xml:space="preserve"> Committee members claim the items under review). This conflict is inherent in a clinician-led </w:t>
      </w:r>
      <w:proofErr w:type="gramStart"/>
      <w:r w:rsidRPr="00370DFD">
        <w:t>process, and</w:t>
      </w:r>
      <w:proofErr w:type="gramEnd"/>
      <w:r w:rsidRPr="00370DFD">
        <w:t xml:space="preserve"> having been acknowledged by the Committee and the Taskforce, it was agreed that this should not prevent a clinician from participating in the review.</w:t>
      </w:r>
    </w:p>
    <w:p w14:paraId="24717C08" w14:textId="77777777" w:rsidR="00543D47" w:rsidRPr="00370DFD" w:rsidRDefault="00543D47" w:rsidP="00543D47">
      <w:pPr>
        <w:pStyle w:val="Heading2"/>
        <w:rPr>
          <w:lang w:val="en-AU"/>
        </w:rPr>
      </w:pPr>
      <w:bookmarkStart w:id="58" w:name="_Toc514247612"/>
      <w:r w:rsidRPr="00370DFD">
        <w:rPr>
          <w:lang w:val="en-AU"/>
        </w:rPr>
        <w:t>Chemical Working Group</w:t>
      </w:r>
      <w:bookmarkEnd w:id="58"/>
    </w:p>
    <w:p w14:paraId="30AFF9F3" w14:textId="77777777" w:rsidR="00543D47" w:rsidRPr="00370DFD" w:rsidRDefault="00543D47" w:rsidP="00543D47">
      <w:pPr>
        <w:rPr>
          <w:lang w:eastAsia="en-US"/>
        </w:rPr>
      </w:pPr>
      <w:r w:rsidRPr="00370DFD">
        <w:rPr>
          <w:lang w:eastAsia="en-US"/>
        </w:rPr>
        <w:t xml:space="preserve">The Chemical Working Group is one of six clinical working groups that have been established to support the work of the Pathology Clinical Committee. It was established to review chemical pathology </w:t>
      </w:r>
      <w:proofErr w:type="gramStart"/>
      <w:r w:rsidRPr="00370DFD">
        <w:rPr>
          <w:lang w:eastAsia="en-US"/>
        </w:rPr>
        <w:t>items, and</w:t>
      </w:r>
      <w:proofErr w:type="gramEnd"/>
      <w:r w:rsidRPr="00370DFD">
        <w:rPr>
          <w:lang w:eastAsia="en-US"/>
        </w:rPr>
        <w:t xml:space="preserve"> make recommendations to the Pathology Clinical Committee based on rapid evidence review and clinical expertise. This report has been endorsed by the Pathology Cl</w:t>
      </w:r>
      <w:r>
        <w:rPr>
          <w:lang w:eastAsia="en-US"/>
        </w:rPr>
        <w:t>inical Committee to go out for consultation</w:t>
      </w:r>
      <w:r w:rsidRPr="00370DFD">
        <w:rPr>
          <w:lang w:eastAsia="en-US"/>
        </w:rPr>
        <w:t xml:space="preserve"> before MBS Taskforce consideration. </w:t>
      </w:r>
    </w:p>
    <w:p w14:paraId="6A14BE36" w14:textId="77777777" w:rsidR="00543D47" w:rsidRPr="00370DFD" w:rsidRDefault="00543D47" w:rsidP="00543D47">
      <w:pPr>
        <w:rPr>
          <w:lang w:eastAsia="en-US"/>
        </w:rPr>
      </w:pPr>
      <w:r w:rsidRPr="00370DFD">
        <w:rPr>
          <w:lang w:eastAsia="en-US"/>
        </w:rPr>
        <w:t>The Chemical Working Group consists of</w:t>
      </w:r>
      <w:r>
        <w:rPr>
          <w:lang w:eastAsia="en-US"/>
        </w:rPr>
        <w:t xml:space="preserve"> eight </w:t>
      </w:r>
      <w:r w:rsidRPr="00370DFD">
        <w:rPr>
          <w:lang w:eastAsia="en-US"/>
        </w:rPr>
        <w:t xml:space="preserve">members, whose names, positions/organisations and declared conflicts of interest are listed in Table 2 below. The following members were involved in the Chemical Working Group and have since resigned from the working group. Dr </w:t>
      </w:r>
      <w:proofErr w:type="spellStart"/>
      <w:r w:rsidRPr="00370DFD">
        <w:rPr>
          <w:lang w:eastAsia="en-US"/>
        </w:rPr>
        <w:t>Nimalie</w:t>
      </w:r>
      <w:proofErr w:type="spellEnd"/>
      <w:r w:rsidRPr="00370DFD">
        <w:rPr>
          <w:lang w:eastAsia="en-US"/>
        </w:rPr>
        <w:t xml:space="preserve"> </w:t>
      </w:r>
      <w:proofErr w:type="spellStart"/>
      <w:r w:rsidRPr="00370DFD">
        <w:rPr>
          <w:lang w:eastAsia="en-US"/>
        </w:rPr>
        <w:t>Perera</w:t>
      </w:r>
      <w:proofErr w:type="spellEnd"/>
      <w:r w:rsidRPr="00370DFD">
        <w:rPr>
          <w:lang w:eastAsia="en-US"/>
        </w:rPr>
        <w:t xml:space="preserve"> was involved from June to August 2016, Dr Glenn Edwards was involved from June to November 2016 and Dr Simon Morgan from October to November 2016. These members resigned before finalisation of the report.</w:t>
      </w:r>
    </w:p>
    <w:p w14:paraId="38D1FCC7" w14:textId="77777777" w:rsidR="00543D47" w:rsidRPr="00370DFD" w:rsidRDefault="00543D47" w:rsidP="00543D47">
      <w:pPr>
        <w:pStyle w:val="Caption"/>
      </w:pPr>
      <w:bookmarkStart w:id="59" w:name="_Toc534374902"/>
      <w:r w:rsidRPr="00370DFD">
        <w:lastRenderedPageBreak/>
        <w:t>Table 2:</w:t>
      </w:r>
      <w:r w:rsidRPr="00370DFD">
        <w:tab/>
        <w:t>Chemical Working Group Members</w:t>
      </w:r>
      <w:bookmarkEnd w:id="59"/>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tblBorders>
        <w:tblLook w:val="04A0" w:firstRow="1" w:lastRow="0" w:firstColumn="1" w:lastColumn="0" w:noHBand="0" w:noVBand="1"/>
        <w:tblCaption w:val="Chemical Working Group Members"/>
        <w:tblDescription w:val="This is a list of the Chemical Working Group members. It also lists their positions and conflict of interest."/>
      </w:tblPr>
      <w:tblGrid>
        <w:gridCol w:w="2354"/>
        <w:gridCol w:w="3982"/>
        <w:gridCol w:w="2690"/>
      </w:tblGrid>
      <w:tr w:rsidR="00543D47" w:rsidRPr="00370DFD" w14:paraId="760B237D" w14:textId="77777777" w:rsidTr="00D9610A">
        <w:trPr>
          <w:tblHeader/>
        </w:trPr>
        <w:tc>
          <w:tcPr>
            <w:tcW w:w="1304" w:type="pct"/>
          </w:tcPr>
          <w:p w14:paraId="6ADB2BFE" w14:textId="77777777" w:rsidR="00543D47" w:rsidRPr="00370DFD" w:rsidRDefault="00543D47" w:rsidP="00D9610A">
            <w:pPr>
              <w:rPr>
                <w:b/>
              </w:rPr>
            </w:pPr>
            <w:r w:rsidRPr="00370DFD">
              <w:rPr>
                <w:b/>
              </w:rPr>
              <w:t>Name</w:t>
            </w:r>
          </w:p>
        </w:tc>
        <w:tc>
          <w:tcPr>
            <w:tcW w:w="2206" w:type="pct"/>
          </w:tcPr>
          <w:p w14:paraId="753396F9" w14:textId="77777777" w:rsidR="00543D47" w:rsidRPr="00370DFD" w:rsidRDefault="00543D47" w:rsidP="00D9610A">
            <w:pPr>
              <w:rPr>
                <w:b/>
              </w:rPr>
            </w:pPr>
            <w:r w:rsidRPr="00370DFD">
              <w:rPr>
                <w:b/>
              </w:rPr>
              <w:t>Position/organisation</w:t>
            </w:r>
          </w:p>
        </w:tc>
        <w:tc>
          <w:tcPr>
            <w:tcW w:w="1490" w:type="pct"/>
          </w:tcPr>
          <w:p w14:paraId="5733B748" w14:textId="77777777" w:rsidR="00543D47" w:rsidRPr="00370DFD" w:rsidRDefault="00543D47" w:rsidP="00D9610A">
            <w:pPr>
              <w:rPr>
                <w:b/>
              </w:rPr>
            </w:pPr>
            <w:r w:rsidRPr="00370DFD">
              <w:rPr>
                <w:b/>
              </w:rPr>
              <w:t>Declared conflict of interest</w:t>
            </w:r>
          </w:p>
        </w:tc>
      </w:tr>
      <w:tr w:rsidR="00543D47" w:rsidRPr="00370DFD" w14:paraId="70B1F727" w14:textId="77777777" w:rsidTr="00D9610A">
        <w:trPr>
          <w:trHeight w:val="549"/>
        </w:trPr>
        <w:tc>
          <w:tcPr>
            <w:tcW w:w="1304" w:type="pct"/>
            <w:hideMark/>
          </w:tcPr>
          <w:p w14:paraId="245D668D" w14:textId="77777777" w:rsidR="00543D47" w:rsidRPr="00370DFD" w:rsidRDefault="00543D47" w:rsidP="00D9610A">
            <w:pPr>
              <w:spacing w:before="40"/>
            </w:pPr>
            <w:r w:rsidRPr="00370DFD">
              <w:rPr>
                <w:rFonts w:cs="Arial"/>
                <w:szCs w:val="20"/>
              </w:rPr>
              <w:t>Professor Hans Schneider (Chair)</w:t>
            </w:r>
          </w:p>
        </w:tc>
        <w:tc>
          <w:tcPr>
            <w:tcW w:w="2206" w:type="pct"/>
          </w:tcPr>
          <w:p w14:paraId="2E33F7AE" w14:textId="77777777" w:rsidR="00543D47" w:rsidRPr="00370DFD" w:rsidRDefault="00543D47" w:rsidP="00D9610A">
            <w:pPr>
              <w:pStyle w:val="02Tabletext"/>
              <w:spacing w:after="20"/>
              <w:rPr>
                <w:rFonts w:cs="Arial"/>
                <w:szCs w:val="20"/>
              </w:rPr>
            </w:pPr>
            <w:r w:rsidRPr="00370DFD">
              <w:rPr>
                <w:rFonts w:cs="Arial"/>
                <w:szCs w:val="20"/>
              </w:rPr>
              <w:t>Director of Pathology, Alfred Pathology Service (Melbourne</w:t>
            </w:r>
            <w:proofErr w:type="gramStart"/>
            <w:r w:rsidRPr="00370DFD">
              <w:rPr>
                <w:rFonts w:cs="Arial"/>
                <w:szCs w:val="20"/>
              </w:rPr>
              <w:t>);</w:t>
            </w:r>
            <w:proofErr w:type="gramEnd"/>
          </w:p>
          <w:p w14:paraId="1AB19A7E" w14:textId="77777777" w:rsidR="00543D47" w:rsidRPr="00370DFD" w:rsidRDefault="00543D47" w:rsidP="00D9610A">
            <w:pPr>
              <w:pStyle w:val="02Tabletext"/>
              <w:spacing w:after="20"/>
              <w:rPr>
                <w:rFonts w:cs="Arial"/>
                <w:szCs w:val="20"/>
              </w:rPr>
            </w:pPr>
            <w:r w:rsidRPr="00370DFD">
              <w:rPr>
                <w:rFonts w:cs="Arial"/>
                <w:szCs w:val="20"/>
              </w:rPr>
              <w:t xml:space="preserve">Adjunct Clinical Professor, Central Clinical School, Monash </w:t>
            </w:r>
            <w:proofErr w:type="gramStart"/>
            <w:r w:rsidRPr="00370DFD">
              <w:rPr>
                <w:rFonts w:cs="Arial"/>
                <w:szCs w:val="20"/>
              </w:rPr>
              <w:t>University;</w:t>
            </w:r>
            <w:proofErr w:type="gramEnd"/>
            <w:r w:rsidRPr="00370DFD">
              <w:rPr>
                <w:rFonts w:cs="Arial"/>
                <w:szCs w:val="20"/>
              </w:rPr>
              <w:t xml:space="preserve"> </w:t>
            </w:r>
          </w:p>
          <w:p w14:paraId="2A8083CE" w14:textId="77777777" w:rsidR="00543D47" w:rsidRPr="00370DFD" w:rsidRDefault="00543D47" w:rsidP="00D9610A">
            <w:pPr>
              <w:autoSpaceDE w:val="0"/>
              <w:autoSpaceDN w:val="0"/>
              <w:adjustRightInd w:val="0"/>
              <w:spacing w:before="60" w:line="276" w:lineRule="auto"/>
            </w:pPr>
            <w:r w:rsidRPr="00370DFD">
              <w:rPr>
                <w:rFonts w:cs="Arial"/>
                <w:szCs w:val="20"/>
              </w:rPr>
              <w:t>President, Public Pathology Australia</w:t>
            </w:r>
          </w:p>
        </w:tc>
        <w:tc>
          <w:tcPr>
            <w:tcW w:w="1490" w:type="pct"/>
          </w:tcPr>
          <w:p w14:paraId="1F4D39E0" w14:textId="77777777" w:rsidR="00543D47" w:rsidRPr="00370DFD" w:rsidRDefault="00543D47" w:rsidP="00D9610A">
            <w:pPr>
              <w:spacing w:before="40"/>
            </w:pPr>
            <w:r w:rsidRPr="008958BB">
              <w:t>None</w:t>
            </w:r>
          </w:p>
        </w:tc>
      </w:tr>
      <w:tr w:rsidR="00543D47" w:rsidRPr="00370DFD" w14:paraId="43596A0B" w14:textId="77777777" w:rsidTr="00D9610A">
        <w:trPr>
          <w:trHeight w:val="842"/>
        </w:trPr>
        <w:tc>
          <w:tcPr>
            <w:tcW w:w="1304" w:type="pct"/>
            <w:hideMark/>
          </w:tcPr>
          <w:p w14:paraId="76637685" w14:textId="77777777" w:rsidR="00543D47" w:rsidRPr="00370DFD" w:rsidRDefault="00543D47" w:rsidP="00D9610A">
            <w:pPr>
              <w:spacing w:before="40"/>
            </w:pPr>
            <w:r w:rsidRPr="00370DFD">
              <w:rPr>
                <w:rFonts w:cs="Arial"/>
                <w:szCs w:val="20"/>
              </w:rPr>
              <w:t>Dr Lawrie Bott</w:t>
            </w:r>
          </w:p>
        </w:tc>
        <w:tc>
          <w:tcPr>
            <w:tcW w:w="2206" w:type="pct"/>
          </w:tcPr>
          <w:p w14:paraId="60C6C71F" w14:textId="77777777" w:rsidR="00543D47" w:rsidRPr="00370DFD" w:rsidRDefault="00543D47" w:rsidP="00D9610A">
            <w:pPr>
              <w:autoSpaceDE w:val="0"/>
              <w:autoSpaceDN w:val="0"/>
              <w:adjustRightInd w:val="0"/>
              <w:spacing w:before="60" w:line="276" w:lineRule="auto"/>
            </w:pPr>
            <w:r w:rsidRPr="00370DFD">
              <w:rPr>
                <w:rFonts w:cs="Arial"/>
                <w:szCs w:val="20"/>
              </w:rPr>
              <w:t>Pathologist, Sonic Healthcare</w:t>
            </w:r>
          </w:p>
        </w:tc>
        <w:tc>
          <w:tcPr>
            <w:tcW w:w="1490" w:type="pct"/>
          </w:tcPr>
          <w:p w14:paraId="44D1E560" w14:textId="77777777" w:rsidR="00543D47" w:rsidRPr="00370DFD" w:rsidRDefault="00543D47" w:rsidP="00D9610A">
            <w:pPr>
              <w:spacing w:before="40"/>
            </w:pPr>
            <w:r w:rsidRPr="008958BB">
              <w:t>None</w:t>
            </w:r>
          </w:p>
        </w:tc>
      </w:tr>
      <w:tr w:rsidR="00543D47" w:rsidRPr="00370DFD" w14:paraId="0D124906" w14:textId="77777777" w:rsidTr="00D9610A">
        <w:trPr>
          <w:trHeight w:val="945"/>
        </w:trPr>
        <w:tc>
          <w:tcPr>
            <w:tcW w:w="1304" w:type="pct"/>
            <w:hideMark/>
          </w:tcPr>
          <w:p w14:paraId="5845FD7D" w14:textId="77777777" w:rsidR="00543D47" w:rsidRPr="00370DFD" w:rsidRDefault="00543D47" w:rsidP="00D9610A">
            <w:pPr>
              <w:spacing w:before="40"/>
            </w:pPr>
            <w:r w:rsidRPr="00370DFD">
              <w:rPr>
                <w:rFonts w:cs="Arial"/>
                <w:szCs w:val="20"/>
              </w:rPr>
              <w:t xml:space="preserve">Dr David </w:t>
            </w:r>
            <w:proofErr w:type="spellStart"/>
            <w:r w:rsidRPr="00370DFD">
              <w:rPr>
                <w:rFonts w:cs="Arial"/>
                <w:szCs w:val="20"/>
              </w:rPr>
              <w:t>Deam</w:t>
            </w:r>
            <w:proofErr w:type="spellEnd"/>
          </w:p>
        </w:tc>
        <w:tc>
          <w:tcPr>
            <w:tcW w:w="2206" w:type="pct"/>
          </w:tcPr>
          <w:p w14:paraId="101A87EB" w14:textId="77777777" w:rsidR="00543D47" w:rsidRPr="00370DFD" w:rsidRDefault="00543D47" w:rsidP="00D9610A">
            <w:pPr>
              <w:autoSpaceDE w:val="0"/>
              <w:autoSpaceDN w:val="0"/>
              <w:adjustRightInd w:val="0"/>
              <w:spacing w:before="60" w:line="276" w:lineRule="auto"/>
            </w:pPr>
            <w:r w:rsidRPr="00370DFD">
              <w:t>Chemical Pathologist, Australian Clinical Labs</w:t>
            </w:r>
          </w:p>
        </w:tc>
        <w:tc>
          <w:tcPr>
            <w:tcW w:w="1490" w:type="pct"/>
          </w:tcPr>
          <w:p w14:paraId="64DCFE3D" w14:textId="77777777" w:rsidR="00543D47" w:rsidRPr="00370DFD" w:rsidRDefault="00543D47" w:rsidP="00D9610A">
            <w:pPr>
              <w:spacing w:before="40"/>
            </w:pPr>
            <w:r w:rsidRPr="008958BB">
              <w:t>None</w:t>
            </w:r>
          </w:p>
        </w:tc>
      </w:tr>
      <w:tr w:rsidR="00543D47" w:rsidRPr="00370DFD" w14:paraId="61B2306B" w14:textId="77777777" w:rsidTr="00D9610A">
        <w:trPr>
          <w:trHeight w:val="450"/>
        </w:trPr>
        <w:tc>
          <w:tcPr>
            <w:tcW w:w="1304" w:type="pct"/>
            <w:hideMark/>
          </w:tcPr>
          <w:p w14:paraId="11881D03" w14:textId="77777777" w:rsidR="00543D47" w:rsidRPr="00370DFD" w:rsidRDefault="00543D47" w:rsidP="00D9610A">
            <w:pPr>
              <w:spacing w:before="40"/>
            </w:pPr>
            <w:r w:rsidRPr="00370DFD">
              <w:rPr>
                <w:rFonts w:cs="Arial"/>
                <w:szCs w:val="20"/>
              </w:rPr>
              <w:t>Dr Alan McNeil</w:t>
            </w:r>
          </w:p>
        </w:tc>
        <w:tc>
          <w:tcPr>
            <w:tcW w:w="2206" w:type="pct"/>
          </w:tcPr>
          <w:p w14:paraId="2DCDA78D" w14:textId="77777777" w:rsidR="00543D47" w:rsidRPr="00370DFD" w:rsidRDefault="00543D47" w:rsidP="00D9610A">
            <w:pPr>
              <w:spacing w:before="60"/>
            </w:pPr>
            <w:r w:rsidRPr="00370DFD">
              <w:t xml:space="preserve">Chemical Pathologist, </w:t>
            </w:r>
            <w:proofErr w:type="spellStart"/>
            <w:r w:rsidRPr="00370DFD">
              <w:t>Dorevitch</w:t>
            </w:r>
            <w:proofErr w:type="spellEnd"/>
            <w:r w:rsidRPr="00370DFD">
              <w:t xml:space="preserve"> Pathology, Melbourne</w:t>
            </w:r>
          </w:p>
        </w:tc>
        <w:tc>
          <w:tcPr>
            <w:tcW w:w="1490" w:type="pct"/>
          </w:tcPr>
          <w:p w14:paraId="45A18D2F" w14:textId="77777777" w:rsidR="00543D47" w:rsidRPr="00370DFD" w:rsidRDefault="00543D47" w:rsidP="00D9610A">
            <w:pPr>
              <w:spacing w:before="40"/>
            </w:pPr>
            <w:r w:rsidRPr="004E37D3">
              <w:t>None</w:t>
            </w:r>
          </w:p>
        </w:tc>
      </w:tr>
      <w:tr w:rsidR="00543D47" w:rsidRPr="00370DFD" w14:paraId="1437ACE2" w14:textId="77777777" w:rsidTr="00D9610A">
        <w:trPr>
          <w:trHeight w:val="450"/>
        </w:trPr>
        <w:tc>
          <w:tcPr>
            <w:tcW w:w="1304" w:type="pct"/>
          </w:tcPr>
          <w:p w14:paraId="0BF86BBD" w14:textId="77777777" w:rsidR="00543D47" w:rsidRPr="00370DFD" w:rsidRDefault="00543D47" w:rsidP="00D9610A">
            <w:pPr>
              <w:spacing w:before="40"/>
              <w:rPr>
                <w:rFonts w:cs="Arial"/>
                <w:szCs w:val="20"/>
              </w:rPr>
            </w:pPr>
            <w:r>
              <w:rPr>
                <w:rFonts w:cs="Arial"/>
                <w:szCs w:val="20"/>
              </w:rPr>
              <w:t xml:space="preserve">Associate Professor Ken </w:t>
            </w:r>
            <w:proofErr w:type="spellStart"/>
            <w:r>
              <w:rPr>
                <w:rFonts w:cs="Arial"/>
                <w:szCs w:val="20"/>
              </w:rPr>
              <w:t>Sikaris</w:t>
            </w:r>
            <w:proofErr w:type="spellEnd"/>
            <w:r>
              <w:rPr>
                <w:rFonts w:cs="Arial"/>
                <w:szCs w:val="20"/>
              </w:rPr>
              <w:t xml:space="preserve"> </w:t>
            </w:r>
          </w:p>
        </w:tc>
        <w:tc>
          <w:tcPr>
            <w:tcW w:w="2206" w:type="pct"/>
          </w:tcPr>
          <w:p w14:paraId="5449F698" w14:textId="77777777" w:rsidR="00543D47" w:rsidRPr="00370DFD" w:rsidRDefault="00543D47" w:rsidP="00D9610A">
            <w:pPr>
              <w:spacing w:before="60"/>
            </w:pPr>
            <w:r>
              <w:t>Chemical Pathologist, Sonic</w:t>
            </w:r>
          </w:p>
        </w:tc>
        <w:tc>
          <w:tcPr>
            <w:tcW w:w="1490" w:type="pct"/>
          </w:tcPr>
          <w:p w14:paraId="34860341" w14:textId="77777777" w:rsidR="00543D47" w:rsidRPr="00370DFD" w:rsidRDefault="00543D47" w:rsidP="00D9610A">
            <w:pPr>
              <w:spacing w:before="40"/>
              <w:rPr>
                <w:rFonts w:cs="Arial"/>
                <w:szCs w:val="18"/>
              </w:rPr>
            </w:pPr>
            <w:r w:rsidRPr="004E37D3">
              <w:t>None</w:t>
            </w:r>
          </w:p>
        </w:tc>
      </w:tr>
      <w:tr w:rsidR="00543D47" w:rsidRPr="00370DFD" w14:paraId="0F7A295D" w14:textId="77777777" w:rsidTr="00D9610A">
        <w:trPr>
          <w:trHeight w:val="633"/>
        </w:trPr>
        <w:tc>
          <w:tcPr>
            <w:tcW w:w="1304" w:type="pct"/>
            <w:hideMark/>
          </w:tcPr>
          <w:p w14:paraId="36F00C87" w14:textId="77777777" w:rsidR="00543D47" w:rsidRPr="00370DFD" w:rsidRDefault="00543D47" w:rsidP="00D9610A">
            <w:pPr>
              <w:spacing w:before="40"/>
            </w:pPr>
            <w:r w:rsidRPr="00370DFD">
              <w:rPr>
                <w:rFonts w:cs="Arial"/>
                <w:szCs w:val="20"/>
              </w:rPr>
              <w:t>Dr Trina Gregory</w:t>
            </w:r>
          </w:p>
        </w:tc>
        <w:tc>
          <w:tcPr>
            <w:tcW w:w="2206" w:type="pct"/>
          </w:tcPr>
          <w:p w14:paraId="321D7A40" w14:textId="77777777" w:rsidR="00543D47" w:rsidRDefault="00543D47" w:rsidP="00D9610A">
            <w:pPr>
              <w:autoSpaceDE w:val="0"/>
              <w:autoSpaceDN w:val="0"/>
              <w:adjustRightInd w:val="0"/>
              <w:spacing w:before="60" w:line="276" w:lineRule="auto"/>
              <w:rPr>
                <w:rFonts w:cs="Arial"/>
                <w:szCs w:val="20"/>
              </w:rPr>
            </w:pPr>
            <w:r w:rsidRPr="00370DFD">
              <w:rPr>
                <w:rFonts w:cs="Arial"/>
                <w:szCs w:val="20"/>
              </w:rPr>
              <w:t>Clinical Director, Watson General Practice, ACT</w:t>
            </w:r>
          </w:p>
          <w:p w14:paraId="2FE7AF9C" w14:textId="77777777" w:rsidR="00543D47" w:rsidRPr="00370DFD" w:rsidRDefault="00543D47" w:rsidP="00D9610A">
            <w:pPr>
              <w:autoSpaceDE w:val="0"/>
              <w:autoSpaceDN w:val="0"/>
              <w:adjustRightInd w:val="0"/>
              <w:spacing w:before="60" w:line="276" w:lineRule="auto"/>
            </w:pPr>
            <w:r>
              <w:rPr>
                <w:rFonts w:ascii="Calibri" w:hAnsi="Calibri"/>
              </w:rPr>
              <w:t>Member, Expert C</w:t>
            </w:r>
            <w:r w:rsidRPr="00927330">
              <w:rPr>
                <w:rFonts w:ascii="Calibri" w:hAnsi="Calibri"/>
              </w:rPr>
              <w:t xml:space="preserve">ommittee for </w:t>
            </w:r>
            <w:r>
              <w:rPr>
                <w:rFonts w:ascii="Calibri" w:hAnsi="Calibri"/>
              </w:rPr>
              <w:t>Systems Innovations and eHealth, RACGP</w:t>
            </w:r>
          </w:p>
        </w:tc>
        <w:tc>
          <w:tcPr>
            <w:tcW w:w="1490" w:type="pct"/>
          </w:tcPr>
          <w:p w14:paraId="6648BCA6" w14:textId="77777777" w:rsidR="00543D47" w:rsidRPr="00370DFD" w:rsidRDefault="00543D47" w:rsidP="00D9610A">
            <w:pPr>
              <w:spacing w:before="40"/>
            </w:pPr>
            <w:r w:rsidRPr="004E37D3">
              <w:t>None</w:t>
            </w:r>
          </w:p>
        </w:tc>
      </w:tr>
      <w:tr w:rsidR="00543D47" w:rsidRPr="00370DFD" w14:paraId="790D7A73" w14:textId="77777777" w:rsidTr="00D9610A">
        <w:trPr>
          <w:trHeight w:val="633"/>
        </w:trPr>
        <w:tc>
          <w:tcPr>
            <w:tcW w:w="1304" w:type="pct"/>
          </w:tcPr>
          <w:p w14:paraId="5C918E54" w14:textId="77777777" w:rsidR="00543D47" w:rsidRPr="00370DFD" w:rsidRDefault="00543D47" w:rsidP="00D9610A">
            <w:pPr>
              <w:spacing w:before="40"/>
              <w:rPr>
                <w:rFonts w:cs="Arial"/>
                <w:szCs w:val="20"/>
              </w:rPr>
            </w:pPr>
            <w:r>
              <w:rPr>
                <w:rFonts w:cs="Arial"/>
                <w:szCs w:val="20"/>
              </w:rPr>
              <w:t>Dr Rashmi Sharma</w:t>
            </w:r>
          </w:p>
        </w:tc>
        <w:tc>
          <w:tcPr>
            <w:tcW w:w="2206" w:type="pct"/>
          </w:tcPr>
          <w:p w14:paraId="570E1989" w14:textId="77777777" w:rsidR="00543D47" w:rsidRPr="002770A2" w:rsidRDefault="00543D47" w:rsidP="00D9610A">
            <w:pPr>
              <w:autoSpaceDE w:val="0"/>
              <w:autoSpaceDN w:val="0"/>
              <w:adjustRightInd w:val="0"/>
              <w:spacing w:before="60" w:line="276" w:lineRule="auto"/>
              <w:rPr>
                <w:rFonts w:cs="Arial"/>
                <w:szCs w:val="20"/>
              </w:rPr>
            </w:pPr>
            <w:r w:rsidRPr="002770A2">
              <w:rPr>
                <w:rFonts w:cs="Arial"/>
                <w:szCs w:val="20"/>
              </w:rPr>
              <w:t xml:space="preserve">Adjunct Associate Professor, GP supervisor </w:t>
            </w:r>
            <w:proofErr w:type="gramStart"/>
            <w:r w:rsidRPr="002770A2">
              <w:rPr>
                <w:rFonts w:cs="Arial"/>
                <w:szCs w:val="20"/>
              </w:rPr>
              <w:t>ANU;</w:t>
            </w:r>
            <w:proofErr w:type="gramEnd"/>
          </w:p>
          <w:p w14:paraId="52F6819F" w14:textId="77777777" w:rsidR="00543D47" w:rsidRPr="002770A2" w:rsidRDefault="00543D47" w:rsidP="00D9610A">
            <w:pPr>
              <w:autoSpaceDE w:val="0"/>
              <w:autoSpaceDN w:val="0"/>
              <w:adjustRightInd w:val="0"/>
              <w:spacing w:before="60" w:line="276" w:lineRule="auto"/>
              <w:rPr>
                <w:rFonts w:cs="Arial"/>
                <w:szCs w:val="20"/>
              </w:rPr>
            </w:pPr>
            <w:r w:rsidRPr="002770A2">
              <w:rPr>
                <w:rFonts w:cs="Arial"/>
                <w:szCs w:val="20"/>
              </w:rPr>
              <w:t>Regional of Head of Education, North Coast NSW, GP Synergy.</w:t>
            </w:r>
          </w:p>
          <w:p w14:paraId="55D79D55" w14:textId="77777777" w:rsidR="00543D47" w:rsidRPr="00370DFD" w:rsidRDefault="00543D47" w:rsidP="00D9610A">
            <w:pPr>
              <w:autoSpaceDE w:val="0"/>
              <w:autoSpaceDN w:val="0"/>
              <w:adjustRightInd w:val="0"/>
              <w:spacing w:before="60" w:line="276" w:lineRule="auto"/>
              <w:rPr>
                <w:rFonts w:cs="Arial"/>
                <w:szCs w:val="20"/>
              </w:rPr>
            </w:pPr>
            <w:r w:rsidRPr="002770A2">
              <w:rPr>
                <w:rFonts w:cs="Arial"/>
                <w:szCs w:val="20"/>
              </w:rPr>
              <w:t>Member of PBAC</w:t>
            </w:r>
          </w:p>
        </w:tc>
        <w:tc>
          <w:tcPr>
            <w:tcW w:w="1490" w:type="pct"/>
          </w:tcPr>
          <w:p w14:paraId="4BBBA749" w14:textId="77777777" w:rsidR="00543D47" w:rsidRPr="00370DFD" w:rsidRDefault="00543D47" w:rsidP="00D9610A">
            <w:pPr>
              <w:spacing w:before="40"/>
              <w:rPr>
                <w:rFonts w:cs="Arial"/>
                <w:szCs w:val="18"/>
              </w:rPr>
            </w:pPr>
            <w:r w:rsidRPr="004E37D3">
              <w:t>None</w:t>
            </w:r>
          </w:p>
        </w:tc>
      </w:tr>
      <w:tr w:rsidR="00543D47" w:rsidRPr="00370DFD" w14:paraId="335150F6" w14:textId="77777777" w:rsidTr="00D9610A">
        <w:trPr>
          <w:trHeight w:val="716"/>
        </w:trPr>
        <w:tc>
          <w:tcPr>
            <w:tcW w:w="1304" w:type="pct"/>
            <w:hideMark/>
          </w:tcPr>
          <w:p w14:paraId="151F934D" w14:textId="77777777" w:rsidR="00543D47" w:rsidRPr="00370DFD" w:rsidRDefault="00543D47" w:rsidP="00D9610A">
            <w:pPr>
              <w:spacing w:before="40"/>
            </w:pPr>
            <w:r w:rsidRPr="00370DFD">
              <w:rPr>
                <w:rFonts w:cs="Arial"/>
                <w:szCs w:val="20"/>
              </w:rPr>
              <w:t>Ms Helen Maxwell-Wright</w:t>
            </w:r>
          </w:p>
        </w:tc>
        <w:tc>
          <w:tcPr>
            <w:tcW w:w="2206" w:type="pct"/>
          </w:tcPr>
          <w:p w14:paraId="7762BED2" w14:textId="77777777" w:rsidR="00543D47" w:rsidRDefault="00543D47" w:rsidP="00D9610A">
            <w:pPr>
              <w:spacing w:before="60"/>
              <w:rPr>
                <w:rFonts w:cs="Arial"/>
                <w:szCs w:val="20"/>
              </w:rPr>
            </w:pPr>
            <w:r w:rsidRPr="00370DFD">
              <w:rPr>
                <w:rFonts w:cs="Arial"/>
                <w:szCs w:val="20"/>
              </w:rPr>
              <w:t>Director, Maxwell-Wright Associates</w:t>
            </w:r>
          </w:p>
          <w:p w14:paraId="223F73EE" w14:textId="77777777" w:rsidR="00543D47" w:rsidRPr="00370DFD" w:rsidRDefault="00543D47" w:rsidP="00D9610A">
            <w:pPr>
              <w:spacing w:before="60"/>
            </w:pPr>
            <w:r>
              <w:rPr>
                <w:rFonts w:cs="Arial"/>
                <w:szCs w:val="20"/>
              </w:rPr>
              <w:t>Consumer representative</w:t>
            </w:r>
          </w:p>
        </w:tc>
        <w:tc>
          <w:tcPr>
            <w:tcW w:w="1490" w:type="pct"/>
          </w:tcPr>
          <w:p w14:paraId="774F2BD4" w14:textId="77777777" w:rsidR="00543D47" w:rsidRPr="00370DFD" w:rsidRDefault="00543D47" w:rsidP="00D9610A">
            <w:pPr>
              <w:spacing w:before="40"/>
            </w:pPr>
            <w:r w:rsidRPr="004E37D3">
              <w:t>None</w:t>
            </w:r>
          </w:p>
        </w:tc>
      </w:tr>
    </w:tbl>
    <w:p w14:paraId="519BCB67" w14:textId="77777777" w:rsidR="00543D47" w:rsidRPr="00370DFD" w:rsidRDefault="00543D47" w:rsidP="00543D47">
      <w:pPr>
        <w:rPr>
          <w:lang w:eastAsia="en-US"/>
        </w:rPr>
      </w:pPr>
    </w:p>
    <w:p w14:paraId="60D706AF" w14:textId="77777777" w:rsidR="00543D47" w:rsidRDefault="00543D47" w:rsidP="00543D47">
      <w:pPr>
        <w:pStyle w:val="Heading2"/>
      </w:pPr>
      <w:bookmarkStart w:id="60" w:name="_Toc514247613"/>
      <w:proofErr w:type="spellStart"/>
      <w:r>
        <w:t>Tumour</w:t>
      </w:r>
      <w:proofErr w:type="spellEnd"/>
      <w:r>
        <w:t xml:space="preserve"> Marker Working Group</w:t>
      </w:r>
      <w:bookmarkEnd w:id="60"/>
    </w:p>
    <w:p w14:paraId="3428405E" w14:textId="77777777" w:rsidR="00543D47" w:rsidRDefault="00543D47" w:rsidP="00543D47">
      <w:pPr>
        <w:rPr>
          <w:lang w:eastAsia="en-US"/>
        </w:rPr>
      </w:pPr>
      <w:r w:rsidRPr="00370DFD">
        <w:rPr>
          <w:lang w:eastAsia="en-US"/>
        </w:rPr>
        <w:t xml:space="preserve">The </w:t>
      </w:r>
      <w:r>
        <w:rPr>
          <w:lang w:eastAsia="en-US"/>
        </w:rPr>
        <w:t xml:space="preserve">Tumour Marker Working group (a subset of the </w:t>
      </w:r>
      <w:r w:rsidRPr="00370DFD">
        <w:rPr>
          <w:lang w:eastAsia="en-US"/>
        </w:rPr>
        <w:t>Chemical Working Group</w:t>
      </w:r>
      <w:r>
        <w:rPr>
          <w:lang w:eastAsia="en-US"/>
        </w:rPr>
        <w:t>)</w:t>
      </w:r>
      <w:r w:rsidRPr="00370DFD">
        <w:rPr>
          <w:lang w:eastAsia="en-US"/>
        </w:rPr>
        <w:t xml:space="preserve"> consists of</w:t>
      </w:r>
      <w:r>
        <w:rPr>
          <w:lang w:eastAsia="en-US"/>
        </w:rPr>
        <w:t xml:space="preserve"> seven </w:t>
      </w:r>
      <w:r w:rsidRPr="00370DFD">
        <w:rPr>
          <w:lang w:eastAsia="en-US"/>
        </w:rPr>
        <w:t>members, whose names, positions/organisations and declared conflicts o</w:t>
      </w:r>
      <w:r>
        <w:rPr>
          <w:lang w:eastAsia="en-US"/>
        </w:rPr>
        <w:t>f interest are listed in Table 3</w:t>
      </w:r>
      <w:r w:rsidRPr="00370DFD">
        <w:rPr>
          <w:lang w:eastAsia="en-US"/>
        </w:rPr>
        <w:t xml:space="preserve"> below.</w:t>
      </w:r>
    </w:p>
    <w:p w14:paraId="073A12FE" w14:textId="77777777" w:rsidR="00543D47" w:rsidRDefault="00543D47" w:rsidP="00543D47">
      <w:pPr>
        <w:spacing w:before="0" w:after="0" w:line="240" w:lineRule="auto"/>
        <w:rPr>
          <w:rFonts w:eastAsiaTheme="minorHAnsi" w:cs="Arial"/>
          <w:i/>
          <w:sz w:val="20"/>
          <w:szCs w:val="22"/>
          <w:lang w:eastAsia="en-US"/>
        </w:rPr>
      </w:pPr>
      <w:r>
        <w:br w:type="page"/>
      </w:r>
    </w:p>
    <w:p w14:paraId="59F760A1" w14:textId="77777777" w:rsidR="00543D47" w:rsidRPr="009E0DCE" w:rsidRDefault="00543D47" w:rsidP="00543D47">
      <w:pPr>
        <w:pStyle w:val="Caption"/>
      </w:pPr>
      <w:bookmarkStart w:id="61" w:name="_Toc534374903"/>
      <w:r>
        <w:lastRenderedPageBreak/>
        <w:t>Table 3</w:t>
      </w:r>
      <w:r w:rsidRPr="00370DFD">
        <w:t>:</w:t>
      </w:r>
      <w:r>
        <w:tab/>
        <w:t>Tumour Marker Working Group Members</w:t>
      </w:r>
      <w:bookmarkEnd w:id="61"/>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tblBorders>
        <w:tblLook w:val="04A0" w:firstRow="1" w:lastRow="0" w:firstColumn="1" w:lastColumn="0" w:noHBand="0" w:noVBand="1"/>
        <w:tblCaption w:val="Tumour Marker Working Group Members"/>
        <w:tblDescription w:val="This is a list of the Tumour Marker Working Group members. It also lists their positions and conflict of interest."/>
      </w:tblPr>
      <w:tblGrid>
        <w:gridCol w:w="2354"/>
        <w:gridCol w:w="3982"/>
        <w:gridCol w:w="2690"/>
      </w:tblGrid>
      <w:tr w:rsidR="00543D47" w:rsidRPr="00D24B3B" w14:paraId="31D72070" w14:textId="77777777" w:rsidTr="00D9610A">
        <w:trPr>
          <w:tblHeader/>
        </w:trPr>
        <w:tc>
          <w:tcPr>
            <w:tcW w:w="1304" w:type="pct"/>
          </w:tcPr>
          <w:p w14:paraId="0242EFD6" w14:textId="77777777" w:rsidR="00543D47" w:rsidRPr="00D24B3B" w:rsidRDefault="00543D47" w:rsidP="00D9610A">
            <w:pPr>
              <w:rPr>
                <w:rFonts w:ascii="Calibri" w:hAnsi="Calibri"/>
                <w:b/>
              </w:rPr>
            </w:pPr>
            <w:r w:rsidRPr="00D24B3B">
              <w:rPr>
                <w:rFonts w:ascii="Calibri" w:hAnsi="Calibri"/>
                <w:b/>
              </w:rPr>
              <w:t>Name</w:t>
            </w:r>
          </w:p>
        </w:tc>
        <w:tc>
          <w:tcPr>
            <w:tcW w:w="2206" w:type="pct"/>
          </w:tcPr>
          <w:p w14:paraId="5CF79512" w14:textId="77777777" w:rsidR="00543D47" w:rsidRPr="00D24B3B" w:rsidRDefault="00543D47" w:rsidP="00D9610A">
            <w:pPr>
              <w:rPr>
                <w:rFonts w:ascii="Calibri" w:hAnsi="Calibri"/>
                <w:b/>
              </w:rPr>
            </w:pPr>
            <w:r w:rsidRPr="00D24B3B">
              <w:rPr>
                <w:rFonts w:ascii="Calibri" w:hAnsi="Calibri"/>
                <w:b/>
              </w:rPr>
              <w:t>Position/organisation</w:t>
            </w:r>
          </w:p>
        </w:tc>
        <w:tc>
          <w:tcPr>
            <w:tcW w:w="1490" w:type="pct"/>
          </w:tcPr>
          <w:p w14:paraId="211EB374" w14:textId="77777777" w:rsidR="00543D47" w:rsidRPr="00D24B3B" w:rsidRDefault="00543D47" w:rsidP="00D9610A">
            <w:pPr>
              <w:rPr>
                <w:rFonts w:ascii="Calibri" w:hAnsi="Calibri"/>
                <w:b/>
              </w:rPr>
            </w:pPr>
            <w:r w:rsidRPr="00D24B3B">
              <w:rPr>
                <w:rFonts w:ascii="Calibri" w:hAnsi="Calibri"/>
                <w:b/>
              </w:rPr>
              <w:t>Declared conflict of interest</w:t>
            </w:r>
          </w:p>
        </w:tc>
      </w:tr>
      <w:tr w:rsidR="00543D47" w:rsidRPr="00D24B3B" w14:paraId="1C4D7B8E" w14:textId="77777777" w:rsidTr="00D9610A">
        <w:trPr>
          <w:trHeight w:val="549"/>
        </w:trPr>
        <w:tc>
          <w:tcPr>
            <w:tcW w:w="1304" w:type="pct"/>
            <w:hideMark/>
          </w:tcPr>
          <w:p w14:paraId="2504447A" w14:textId="77777777" w:rsidR="00543D47" w:rsidRPr="00D24B3B" w:rsidRDefault="00543D47" w:rsidP="00D9610A">
            <w:pPr>
              <w:spacing w:before="40"/>
              <w:rPr>
                <w:rFonts w:ascii="Calibri" w:hAnsi="Calibri"/>
              </w:rPr>
            </w:pPr>
            <w:r w:rsidRPr="00D24B3B">
              <w:rPr>
                <w:rFonts w:ascii="Calibri" w:hAnsi="Calibri" w:cs="Arial"/>
                <w:lang w:val="en-GB"/>
              </w:rPr>
              <w:t>Professor Hans Schneider (Chair)</w:t>
            </w:r>
          </w:p>
        </w:tc>
        <w:tc>
          <w:tcPr>
            <w:tcW w:w="2206" w:type="pct"/>
          </w:tcPr>
          <w:p w14:paraId="2FC3C35B" w14:textId="77777777" w:rsidR="00543D47" w:rsidRPr="00D24B3B" w:rsidRDefault="00543D47" w:rsidP="00D9610A">
            <w:pPr>
              <w:spacing w:before="140" w:after="20"/>
              <w:rPr>
                <w:rFonts w:ascii="Calibri" w:hAnsi="Calibri" w:cs="Arial"/>
                <w:lang w:val="en-GB"/>
              </w:rPr>
            </w:pPr>
            <w:r w:rsidRPr="00D24B3B">
              <w:rPr>
                <w:rFonts w:ascii="Calibri" w:hAnsi="Calibri" w:cs="Arial"/>
                <w:lang w:val="en-GB"/>
              </w:rPr>
              <w:t>Director of Pathology, Alfred Pathology Service (Melbourne</w:t>
            </w:r>
            <w:proofErr w:type="gramStart"/>
            <w:r w:rsidRPr="00D24B3B">
              <w:rPr>
                <w:rFonts w:ascii="Calibri" w:hAnsi="Calibri" w:cs="Arial"/>
                <w:lang w:val="en-GB"/>
              </w:rPr>
              <w:t>);</w:t>
            </w:r>
            <w:proofErr w:type="gramEnd"/>
          </w:p>
          <w:p w14:paraId="042A3508" w14:textId="77777777" w:rsidR="00543D47" w:rsidRPr="00D24B3B" w:rsidRDefault="00543D47" w:rsidP="00D9610A">
            <w:pPr>
              <w:spacing w:before="140" w:after="20"/>
              <w:rPr>
                <w:rFonts w:ascii="Calibri" w:hAnsi="Calibri" w:cs="Arial"/>
                <w:lang w:val="en-GB"/>
              </w:rPr>
            </w:pPr>
            <w:r w:rsidRPr="00D24B3B">
              <w:rPr>
                <w:rFonts w:ascii="Calibri" w:hAnsi="Calibri" w:cs="Arial"/>
                <w:lang w:val="en-GB"/>
              </w:rPr>
              <w:t xml:space="preserve">Adjunct Clinical Professor, Central Clinical School, Monash </w:t>
            </w:r>
            <w:proofErr w:type="gramStart"/>
            <w:r w:rsidRPr="00D24B3B">
              <w:rPr>
                <w:rFonts w:ascii="Calibri" w:hAnsi="Calibri" w:cs="Arial"/>
                <w:lang w:val="en-GB"/>
              </w:rPr>
              <w:t>University;</w:t>
            </w:r>
            <w:proofErr w:type="gramEnd"/>
            <w:r w:rsidRPr="00D24B3B">
              <w:rPr>
                <w:rFonts w:ascii="Calibri" w:hAnsi="Calibri" w:cs="Arial"/>
                <w:lang w:val="en-GB"/>
              </w:rPr>
              <w:t xml:space="preserve"> </w:t>
            </w:r>
          </w:p>
          <w:p w14:paraId="62412582" w14:textId="77777777" w:rsidR="00543D47" w:rsidRPr="00D24B3B" w:rsidRDefault="00543D47" w:rsidP="00D9610A">
            <w:pPr>
              <w:autoSpaceDE w:val="0"/>
              <w:autoSpaceDN w:val="0"/>
              <w:adjustRightInd w:val="0"/>
              <w:spacing w:before="60" w:line="276" w:lineRule="auto"/>
              <w:rPr>
                <w:rFonts w:ascii="Calibri" w:hAnsi="Calibri"/>
              </w:rPr>
            </w:pPr>
            <w:r w:rsidRPr="00D24B3B">
              <w:rPr>
                <w:rFonts w:ascii="Calibri" w:hAnsi="Calibri" w:cs="Arial"/>
                <w:lang w:val="en-GB"/>
              </w:rPr>
              <w:t>President, Public Pathology Australia</w:t>
            </w:r>
          </w:p>
        </w:tc>
        <w:tc>
          <w:tcPr>
            <w:tcW w:w="1490" w:type="pct"/>
          </w:tcPr>
          <w:p w14:paraId="7848CF81" w14:textId="77777777" w:rsidR="00543D47" w:rsidRPr="00D24B3B" w:rsidRDefault="00543D47" w:rsidP="00D9610A">
            <w:pPr>
              <w:spacing w:before="40"/>
              <w:rPr>
                <w:rFonts w:ascii="Calibri" w:hAnsi="Calibri"/>
              </w:rPr>
            </w:pPr>
            <w:r w:rsidRPr="00FD3E06">
              <w:t>None</w:t>
            </w:r>
          </w:p>
        </w:tc>
      </w:tr>
      <w:tr w:rsidR="00543D47" w:rsidRPr="00D24B3B" w14:paraId="12E7C35F" w14:textId="77777777" w:rsidTr="00D9610A">
        <w:trPr>
          <w:trHeight w:val="842"/>
        </w:trPr>
        <w:tc>
          <w:tcPr>
            <w:tcW w:w="1304" w:type="pct"/>
          </w:tcPr>
          <w:p w14:paraId="6389BB71" w14:textId="77777777" w:rsidR="00543D47" w:rsidRPr="00D24B3B" w:rsidRDefault="00543D47" w:rsidP="00D9610A">
            <w:pPr>
              <w:spacing w:before="40"/>
              <w:rPr>
                <w:rFonts w:ascii="Calibri" w:hAnsi="Calibri"/>
              </w:rPr>
            </w:pPr>
            <w:r>
              <w:rPr>
                <w:rFonts w:ascii="Calibri" w:hAnsi="Calibri"/>
              </w:rPr>
              <w:t xml:space="preserve">Associate Professor </w:t>
            </w:r>
            <w:r w:rsidRPr="00015D19">
              <w:rPr>
                <w:rFonts w:ascii="Calibri" w:hAnsi="Calibri"/>
              </w:rPr>
              <w:t xml:space="preserve">Mustafa </w:t>
            </w:r>
            <w:proofErr w:type="spellStart"/>
            <w:r w:rsidRPr="00015D19">
              <w:rPr>
                <w:rFonts w:ascii="Calibri" w:hAnsi="Calibri"/>
              </w:rPr>
              <w:t>Khasraw</w:t>
            </w:r>
            <w:proofErr w:type="spellEnd"/>
          </w:p>
        </w:tc>
        <w:tc>
          <w:tcPr>
            <w:tcW w:w="2206" w:type="pct"/>
          </w:tcPr>
          <w:p w14:paraId="35E8DB7B" w14:textId="77777777" w:rsidR="00543D47" w:rsidRDefault="00543D47" w:rsidP="00D9610A">
            <w:pPr>
              <w:autoSpaceDE w:val="0"/>
              <w:autoSpaceDN w:val="0"/>
              <w:adjustRightInd w:val="0"/>
              <w:spacing w:before="60" w:line="276" w:lineRule="auto"/>
              <w:rPr>
                <w:rFonts w:ascii="Calibri" w:hAnsi="Calibri"/>
              </w:rPr>
            </w:pPr>
            <w:r>
              <w:rPr>
                <w:rFonts w:ascii="Calibri" w:hAnsi="Calibri"/>
              </w:rPr>
              <w:t>M</w:t>
            </w:r>
            <w:r w:rsidRPr="00015D19">
              <w:rPr>
                <w:rFonts w:ascii="Calibri" w:hAnsi="Calibri"/>
              </w:rPr>
              <w:t>edical oncologist</w:t>
            </w:r>
            <w:r>
              <w:rPr>
                <w:rFonts w:ascii="Calibri" w:hAnsi="Calibri"/>
              </w:rPr>
              <w:t>,</w:t>
            </w:r>
            <w:r w:rsidRPr="00015D19">
              <w:rPr>
                <w:rFonts w:ascii="Calibri" w:hAnsi="Calibri"/>
              </w:rPr>
              <w:t xml:space="preserve"> Royal North Shore Hospital</w:t>
            </w:r>
            <w:r>
              <w:rPr>
                <w:rFonts w:ascii="Calibri" w:hAnsi="Calibri"/>
              </w:rPr>
              <w:t>,</w:t>
            </w:r>
            <w:r w:rsidRPr="00015D19">
              <w:rPr>
                <w:rFonts w:ascii="Calibri" w:hAnsi="Calibri"/>
              </w:rPr>
              <w:t xml:space="preserve"> </w:t>
            </w:r>
            <w:proofErr w:type="gramStart"/>
            <w:r w:rsidRPr="00015D19">
              <w:rPr>
                <w:rFonts w:ascii="Calibri" w:hAnsi="Calibri"/>
              </w:rPr>
              <w:t>Sydney</w:t>
            </w:r>
            <w:r>
              <w:rPr>
                <w:rFonts w:ascii="Calibri" w:hAnsi="Calibri"/>
              </w:rPr>
              <w:t>;</w:t>
            </w:r>
            <w:proofErr w:type="gramEnd"/>
            <w:r>
              <w:rPr>
                <w:rFonts w:ascii="Calibri" w:hAnsi="Calibri"/>
              </w:rPr>
              <w:t xml:space="preserve"> </w:t>
            </w:r>
          </w:p>
          <w:p w14:paraId="4138DA12" w14:textId="77777777" w:rsidR="00543D47" w:rsidRPr="00D24B3B" w:rsidRDefault="00543D47" w:rsidP="00D9610A">
            <w:pPr>
              <w:autoSpaceDE w:val="0"/>
              <w:autoSpaceDN w:val="0"/>
              <w:adjustRightInd w:val="0"/>
              <w:spacing w:before="60" w:line="276" w:lineRule="auto"/>
              <w:rPr>
                <w:rFonts w:ascii="Calibri" w:hAnsi="Calibri"/>
              </w:rPr>
            </w:pPr>
            <w:r>
              <w:rPr>
                <w:rFonts w:ascii="Calibri" w:hAnsi="Calibri"/>
              </w:rPr>
              <w:t>Senior Research F</w:t>
            </w:r>
            <w:r w:rsidRPr="00015D19">
              <w:rPr>
                <w:rFonts w:ascii="Calibri" w:hAnsi="Calibri"/>
              </w:rPr>
              <w:t>ellow</w:t>
            </w:r>
            <w:r>
              <w:rPr>
                <w:rFonts w:ascii="Calibri" w:hAnsi="Calibri"/>
              </w:rPr>
              <w:t>,</w:t>
            </w:r>
            <w:r w:rsidRPr="00015D19">
              <w:rPr>
                <w:rFonts w:ascii="Calibri" w:hAnsi="Calibri"/>
              </w:rPr>
              <w:t xml:space="preserve"> NHMRC Clinical Trials Centre</w:t>
            </w:r>
            <w:r>
              <w:rPr>
                <w:rFonts w:ascii="Calibri" w:hAnsi="Calibri"/>
              </w:rPr>
              <w:t>,</w:t>
            </w:r>
            <w:r w:rsidRPr="00015D19">
              <w:rPr>
                <w:rFonts w:ascii="Calibri" w:hAnsi="Calibri"/>
              </w:rPr>
              <w:t xml:space="preserve"> University of Sydney</w:t>
            </w:r>
          </w:p>
        </w:tc>
        <w:tc>
          <w:tcPr>
            <w:tcW w:w="1490" w:type="pct"/>
          </w:tcPr>
          <w:p w14:paraId="3D12BCF4" w14:textId="77777777" w:rsidR="00543D47" w:rsidRPr="00D24B3B" w:rsidRDefault="00543D47" w:rsidP="00D9610A">
            <w:pPr>
              <w:spacing w:before="40"/>
              <w:rPr>
                <w:rFonts w:ascii="Calibri" w:hAnsi="Calibri"/>
              </w:rPr>
            </w:pPr>
            <w:r w:rsidRPr="00FD3E06">
              <w:t>None</w:t>
            </w:r>
          </w:p>
        </w:tc>
      </w:tr>
      <w:tr w:rsidR="00543D47" w:rsidRPr="00D24B3B" w14:paraId="52DC7995" w14:textId="77777777" w:rsidTr="00D9610A">
        <w:trPr>
          <w:trHeight w:val="945"/>
        </w:trPr>
        <w:tc>
          <w:tcPr>
            <w:tcW w:w="1304" w:type="pct"/>
            <w:hideMark/>
          </w:tcPr>
          <w:p w14:paraId="603EC81C" w14:textId="77777777" w:rsidR="00543D47" w:rsidRPr="00D24B3B" w:rsidRDefault="00543D47" w:rsidP="00D9610A">
            <w:pPr>
              <w:spacing w:before="40"/>
              <w:rPr>
                <w:rFonts w:ascii="Calibri" w:hAnsi="Calibri"/>
              </w:rPr>
            </w:pPr>
            <w:r w:rsidRPr="00D24B3B">
              <w:rPr>
                <w:rFonts w:ascii="Calibri" w:hAnsi="Calibri" w:cs="Arial"/>
                <w:lang w:val="en-GB"/>
              </w:rPr>
              <w:t xml:space="preserve">Dr David </w:t>
            </w:r>
            <w:proofErr w:type="spellStart"/>
            <w:r w:rsidRPr="00D24B3B">
              <w:rPr>
                <w:rFonts w:ascii="Calibri" w:hAnsi="Calibri" w:cs="Arial"/>
                <w:lang w:val="en-GB"/>
              </w:rPr>
              <w:t>Deam</w:t>
            </w:r>
            <w:proofErr w:type="spellEnd"/>
          </w:p>
        </w:tc>
        <w:tc>
          <w:tcPr>
            <w:tcW w:w="2206" w:type="pct"/>
          </w:tcPr>
          <w:p w14:paraId="638FC7A4" w14:textId="77777777" w:rsidR="00543D47" w:rsidRPr="00D24B3B" w:rsidRDefault="00543D47" w:rsidP="00D9610A">
            <w:pPr>
              <w:autoSpaceDE w:val="0"/>
              <w:autoSpaceDN w:val="0"/>
              <w:adjustRightInd w:val="0"/>
              <w:spacing w:before="60" w:line="276" w:lineRule="auto"/>
              <w:rPr>
                <w:rFonts w:ascii="Calibri" w:hAnsi="Calibri"/>
              </w:rPr>
            </w:pPr>
            <w:r w:rsidRPr="00D24B3B">
              <w:rPr>
                <w:rFonts w:ascii="Calibri" w:hAnsi="Calibri"/>
                <w:lang w:val="en-GB"/>
              </w:rPr>
              <w:t>Chemical Pathologist, Australian Clinical Labs</w:t>
            </w:r>
          </w:p>
        </w:tc>
        <w:tc>
          <w:tcPr>
            <w:tcW w:w="1490" w:type="pct"/>
          </w:tcPr>
          <w:p w14:paraId="1DEAC6E1" w14:textId="77777777" w:rsidR="00543D47" w:rsidRPr="00D24B3B" w:rsidRDefault="00543D47" w:rsidP="00D9610A">
            <w:pPr>
              <w:spacing w:before="40"/>
              <w:rPr>
                <w:rFonts w:ascii="Calibri" w:hAnsi="Calibri"/>
              </w:rPr>
            </w:pPr>
            <w:r w:rsidRPr="00FD3E06">
              <w:t>None</w:t>
            </w:r>
          </w:p>
        </w:tc>
      </w:tr>
      <w:tr w:rsidR="00543D47" w:rsidRPr="00D24B3B" w14:paraId="41201E11" w14:textId="77777777" w:rsidTr="00D9610A">
        <w:trPr>
          <w:trHeight w:val="450"/>
        </w:trPr>
        <w:tc>
          <w:tcPr>
            <w:tcW w:w="1304" w:type="pct"/>
          </w:tcPr>
          <w:p w14:paraId="6F312CC8" w14:textId="77777777" w:rsidR="00543D47" w:rsidRDefault="00543D47" w:rsidP="00D9610A">
            <w:pPr>
              <w:spacing w:before="40"/>
              <w:rPr>
                <w:rFonts w:ascii="Calibri" w:hAnsi="Calibri"/>
              </w:rPr>
            </w:pPr>
            <w:r>
              <w:rPr>
                <w:rFonts w:ascii="Calibri" w:hAnsi="Calibri"/>
              </w:rPr>
              <w:t xml:space="preserve">Associate Professor </w:t>
            </w:r>
          </w:p>
          <w:p w14:paraId="4C8FE4D3" w14:textId="77777777" w:rsidR="00543D47" w:rsidRPr="00D24B3B" w:rsidRDefault="00543D47" w:rsidP="00D9610A">
            <w:pPr>
              <w:spacing w:before="40"/>
              <w:rPr>
                <w:rFonts w:ascii="Calibri" w:hAnsi="Calibri"/>
              </w:rPr>
            </w:pPr>
            <w:r>
              <w:rPr>
                <w:rFonts w:ascii="Calibri" w:hAnsi="Calibri"/>
              </w:rPr>
              <w:t xml:space="preserve">Paul Craft </w:t>
            </w:r>
          </w:p>
        </w:tc>
        <w:tc>
          <w:tcPr>
            <w:tcW w:w="2206" w:type="pct"/>
          </w:tcPr>
          <w:p w14:paraId="474A4958" w14:textId="77777777" w:rsidR="00543D47" w:rsidRDefault="00543D47" w:rsidP="00D9610A">
            <w:pPr>
              <w:spacing w:before="60"/>
              <w:rPr>
                <w:rFonts w:ascii="Calibri" w:hAnsi="Calibri"/>
                <w:lang w:val="en"/>
              </w:rPr>
            </w:pPr>
            <w:r w:rsidRPr="00015D19">
              <w:rPr>
                <w:rFonts w:ascii="Calibri" w:hAnsi="Calibri"/>
                <w:lang w:val="en"/>
              </w:rPr>
              <w:t xml:space="preserve">Clinical Director, Canberra Region Cancer </w:t>
            </w:r>
            <w:proofErr w:type="gramStart"/>
            <w:r w:rsidRPr="00015D19">
              <w:rPr>
                <w:rFonts w:ascii="Calibri" w:hAnsi="Calibri"/>
                <w:lang w:val="en"/>
              </w:rPr>
              <w:t>Centre</w:t>
            </w:r>
            <w:r>
              <w:rPr>
                <w:rFonts w:ascii="Calibri" w:hAnsi="Calibri"/>
                <w:lang w:val="en"/>
              </w:rPr>
              <w:t>;</w:t>
            </w:r>
            <w:proofErr w:type="gramEnd"/>
          </w:p>
          <w:p w14:paraId="07EC94E1" w14:textId="77777777" w:rsidR="00543D47" w:rsidRDefault="00543D47" w:rsidP="00D9610A">
            <w:pPr>
              <w:spacing w:before="60"/>
              <w:rPr>
                <w:rFonts w:ascii="Calibri" w:hAnsi="Calibri"/>
                <w:lang w:val="en"/>
              </w:rPr>
            </w:pPr>
            <w:r w:rsidRPr="00015D19">
              <w:rPr>
                <w:rFonts w:ascii="Calibri" w:hAnsi="Calibri"/>
                <w:lang w:val="en"/>
              </w:rPr>
              <w:t>Senior Staff Specialist in Medical Oncology</w:t>
            </w:r>
            <w:r>
              <w:rPr>
                <w:rFonts w:ascii="Calibri" w:hAnsi="Calibri"/>
                <w:lang w:val="en"/>
              </w:rPr>
              <w:t>,</w:t>
            </w:r>
          </w:p>
          <w:p w14:paraId="1A184266" w14:textId="77777777" w:rsidR="00543D47" w:rsidRPr="00D24B3B" w:rsidRDefault="00543D47" w:rsidP="00D9610A">
            <w:pPr>
              <w:spacing w:before="60"/>
              <w:rPr>
                <w:rFonts w:ascii="Calibri" w:hAnsi="Calibri"/>
              </w:rPr>
            </w:pPr>
            <w:r w:rsidRPr="00015D19">
              <w:rPr>
                <w:rFonts w:ascii="Calibri" w:hAnsi="Calibri"/>
                <w:lang w:val="en"/>
              </w:rPr>
              <w:t>Associate Professor, ANU Medical School</w:t>
            </w:r>
          </w:p>
        </w:tc>
        <w:tc>
          <w:tcPr>
            <w:tcW w:w="1490" w:type="pct"/>
          </w:tcPr>
          <w:p w14:paraId="2FB8018C" w14:textId="77777777" w:rsidR="00543D47" w:rsidRPr="00D24B3B" w:rsidRDefault="00543D47" w:rsidP="00D9610A">
            <w:pPr>
              <w:spacing w:before="40"/>
              <w:rPr>
                <w:rFonts w:ascii="Calibri" w:hAnsi="Calibri"/>
              </w:rPr>
            </w:pPr>
            <w:r w:rsidRPr="00FD3E06">
              <w:t>None</w:t>
            </w:r>
          </w:p>
        </w:tc>
      </w:tr>
      <w:tr w:rsidR="00543D47" w:rsidRPr="00D24B3B" w14:paraId="6EB0B1F9" w14:textId="77777777" w:rsidTr="00D9610A">
        <w:trPr>
          <w:trHeight w:val="633"/>
        </w:trPr>
        <w:tc>
          <w:tcPr>
            <w:tcW w:w="1304" w:type="pct"/>
            <w:hideMark/>
          </w:tcPr>
          <w:p w14:paraId="082E5396" w14:textId="77777777" w:rsidR="00543D47" w:rsidRPr="00D24B3B" w:rsidRDefault="00543D47" w:rsidP="00D9610A">
            <w:pPr>
              <w:spacing w:before="40"/>
              <w:rPr>
                <w:rFonts w:ascii="Calibri" w:hAnsi="Calibri"/>
              </w:rPr>
            </w:pPr>
            <w:r w:rsidRPr="00D24B3B">
              <w:rPr>
                <w:rFonts w:ascii="Calibri" w:hAnsi="Calibri" w:cs="Arial"/>
                <w:lang w:val="en-GB"/>
              </w:rPr>
              <w:t>Dr Trina Gregory</w:t>
            </w:r>
          </w:p>
        </w:tc>
        <w:tc>
          <w:tcPr>
            <w:tcW w:w="2206" w:type="pct"/>
          </w:tcPr>
          <w:p w14:paraId="74495A0F" w14:textId="77777777" w:rsidR="00543D47" w:rsidRDefault="00543D47" w:rsidP="00D9610A">
            <w:pPr>
              <w:autoSpaceDE w:val="0"/>
              <w:autoSpaceDN w:val="0"/>
              <w:adjustRightInd w:val="0"/>
              <w:spacing w:before="60" w:line="276" w:lineRule="auto"/>
              <w:rPr>
                <w:rFonts w:ascii="Calibri" w:hAnsi="Calibri" w:cs="Arial"/>
                <w:lang w:val="en-GB"/>
              </w:rPr>
            </w:pPr>
            <w:r w:rsidRPr="00D24B3B">
              <w:rPr>
                <w:rFonts w:ascii="Calibri" w:hAnsi="Calibri" w:cs="Arial"/>
                <w:lang w:val="en-GB"/>
              </w:rPr>
              <w:t xml:space="preserve">Clinical Director, Watson General Practice, </w:t>
            </w:r>
            <w:proofErr w:type="gramStart"/>
            <w:r w:rsidRPr="00D24B3B">
              <w:rPr>
                <w:rFonts w:ascii="Calibri" w:hAnsi="Calibri" w:cs="Arial"/>
                <w:lang w:val="en-GB"/>
              </w:rPr>
              <w:t>ACT</w:t>
            </w:r>
            <w:r>
              <w:rPr>
                <w:rFonts w:ascii="Calibri" w:hAnsi="Calibri" w:cs="Arial"/>
                <w:lang w:val="en-GB"/>
              </w:rPr>
              <w:t>;</w:t>
            </w:r>
            <w:proofErr w:type="gramEnd"/>
          </w:p>
          <w:p w14:paraId="3D10F6F9" w14:textId="77777777" w:rsidR="00543D47" w:rsidRPr="00D24B3B" w:rsidRDefault="00543D47" w:rsidP="00D9610A">
            <w:pPr>
              <w:autoSpaceDE w:val="0"/>
              <w:autoSpaceDN w:val="0"/>
              <w:adjustRightInd w:val="0"/>
              <w:spacing w:before="60" w:line="276" w:lineRule="auto"/>
              <w:rPr>
                <w:rFonts w:ascii="Calibri" w:hAnsi="Calibri"/>
              </w:rPr>
            </w:pPr>
            <w:r>
              <w:rPr>
                <w:rFonts w:ascii="Calibri" w:hAnsi="Calibri"/>
              </w:rPr>
              <w:t>Member, Expert C</w:t>
            </w:r>
            <w:r w:rsidRPr="00927330">
              <w:rPr>
                <w:rFonts w:ascii="Calibri" w:hAnsi="Calibri"/>
              </w:rPr>
              <w:t xml:space="preserve">ommittee for </w:t>
            </w:r>
            <w:r>
              <w:rPr>
                <w:rFonts w:ascii="Calibri" w:hAnsi="Calibri"/>
              </w:rPr>
              <w:t>Systems Innovations and eHealth, RACGP</w:t>
            </w:r>
          </w:p>
        </w:tc>
        <w:tc>
          <w:tcPr>
            <w:tcW w:w="1490" w:type="pct"/>
          </w:tcPr>
          <w:p w14:paraId="4EDF7C4F" w14:textId="77777777" w:rsidR="00543D47" w:rsidRPr="00D24B3B" w:rsidRDefault="00543D47" w:rsidP="00D9610A">
            <w:pPr>
              <w:spacing w:before="40"/>
              <w:rPr>
                <w:rFonts w:ascii="Calibri" w:hAnsi="Calibri"/>
              </w:rPr>
            </w:pPr>
            <w:r w:rsidRPr="00FD3E06">
              <w:t>None</w:t>
            </w:r>
          </w:p>
        </w:tc>
      </w:tr>
      <w:tr w:rsidR="00543D47" w:rsidRPr="00D24B3B" w14:paraId="3C2A9350" w14:textId="77777777" w:rsidTr="00D9610A">
        <w:trPr>
          <w:trHeight w:val="633"/>
        </w:trPr>
        <w:tc>
          <w:tcPr>
            <w:tcW w:w="1304" w:type="pct"/>
          </w:tcPr>
          <w:p w14:paraId="0BA87E0B" w14:textId="77777777" w:rsidR="00543D47" w:rsidRPr="00D24B3B" w:rsidRDefault="00543D47" w:rsidP="00D9610A">
            <w:pPr>
              <w:spacing w:before="40"/>
              <w:rPr>
                <w:rFonts w:ascii="Calibri" w:hAnsi="Calibri" w:cs="Arial"/>
                <w:lang w:val="en-GB"/>
              </w:rPr>
            </w:pPr>
            <w:r>
              <w:rPr>
                <w:rFonts w:ascii="Calibri" w:hAnsi="Calibri" w:cs="Arial"/>
                <w:lang w:val="en-GB"/>
              </w:rPr>
              <w:t>Dr Rashmi Sharma</w:t>
            </w:r>
          </w:p>
        </w:tc>
        <w:tc>
          <w:tcPr>
            <w:tcW w:w="2206" w:type="pct"/>
          </w:tcPr>
          <w:p w14:paraId="59F824B7" w14:textId="77777777" w:rsidR="00543D47" w:rsidRDefault="00543D47" w:rsidP="00D9610A">
            <w:pPr>
              <w:autoSpaceDE w:val="0"/>
              <w:autoSpaceDN w:val="0"/>
              <w:adjustRightInd w:val="0"/>
              <w:spacing w:before="60" w:line="276" w:lineRule="auto"/>
              <w:rPr>
                <w:rFonts w:ascii="Calibri" w:hAnsi="Calibri" w:cs="Arial"/>
                <w:lang w:val="en-GB"/>
              </w:rPr>
            </w:pPr>
            <w:r w:rsidRPr="00C72B15">
              <w:rPr>
                <w:rFonts w:ascii="Calibri" w:hAnsi="Calibri" w:cs="Arial"/>
                <w:lang w:val="en-GB"/>
              </w:rPr>
              <w:t>Adjunct Associate Professor</w:t>
            </w:r>
            <w:r>
              <w:rPr>
                <w:rFonts w:ascii="Calibri" w:hAnsi="Calibri" w:cs="Arial"/>
                <w:lang w:val="en-GB"/>
              </w:rPr>
              <w:t>,</w:t>
            </w:r>
            <w:r w:rsidRPr="00C72B15">
              <w:rPr>
                <w:rFonts w:ascii="Calibri" w:hAnsi="Calibri" w:cs="Arial"/>
                <w:lang w:val="en-GB"/>
              </w:rPr>
              <w:t xml:space="preserve"> GP supervisor </w:t>
            </w:r>
            <w:proofErr w:type="gramStart"/>
            <w:r>
              <w:rPr>
                <w:rFonts w:ascii="Calibri" w:hAnsi="Calibri" w:cs="Arial"/>
                <w:lang w:val="en-GB"/>
              </w:rPr>
              <w:t>ANU;</w:t>
            </w:r>
            <w:proofErr w:type="gramEnd"/>
          </w:p>
          <w:p w14:paraId="1FA56D94" w14:textId="77777777" w:rsidR="00543D47" w:rsidRDefault="00543D47" w:rsidP="00D9610A">
            <w:pPr>
              <w:autoSpaceDE w:val="0"/>
              <w:autoSpaceDN w:val="0"/>
              <w:adjustRightInd w:val="0"/>
              <w:spacing w:before="60" w:line="276" w:lineRule="auto"/>
              <w:rPr>
                <w:rFonts w:ascii="Calibri" w:hAnsi="Calibri" w:cs="Arial"/>
                <w:lang w:val="en-GB"/>
              </w:rPr>
            </w:pPr>
            <w:r w:rsidRPr="00C72B15">
              <w:rPr>
                <w:rFonts w:ascii="Calibri" w:hAnsi="Calibri" w:cs="Arial"/>
                <w:lang w:val="en-GB"/>
              </w:rPr>
              <w:t>Re</w:t>
            </w:r>
            <w:r>
              <w:rPr>
                <w:rFonts w:ascii="Calibri" w:hAnsi="Calibri" w:cs="Arial"/>
                <w:lang w:val="en-GB"/>
              </w:rPr>
              <w:t xml:space="preserve">gional of Head of Education, </w:t>
            </w:r>
            <w:r w:rsidRPr="00C72B15">
              <w:rPr>
                <w:rFonts w:ascii="Calibri" w:hAnsi="Calibri" w:cs="Arial"/>
                <w:lang w:val="en-GB"/>
              </w:rPr>
              <w:t>North Coast NSW</w:t>
            </w:r>
            <w:r>
              <w:rPr>
                <w:rFonts w:ascii="Calibri" w:hAnsi="Calibri" w:cs="Arial"/>
                <w:lang w:val="en-GB"/>
              </w:rPr>
              <w:t>, GP Synergy</w:t>
            </w:r>
            <w:r w:rsidRPr="00C72B15">
              <w:rPr>
                <w:rFonts w:ascii="Calibri" w:hAnsi="Calibri" w:cs="Arial"/>
                <w:lang w:val="en-GB"/>
              </w:rPr>
              <w:t>.</w:t>
            </w:r>
          </w:p>
          <w:p w14:paraId="28698C3A" w14:textId="77777777" w:rsidR="00543D47" w:rsidRPr="00D24B3B" w:rsidRDefault="00543D47" w:rsidP="00D9610A">
            <w:pPr>
              <w:autoSpaceDE w:val="0"/>
              <w:autoSpaceDN w:val="0"/>
              <w:adjustRightInd w:val="0"/>
              <w:spacing w:before="60" w:line="276" w:lineRule="auto"/>
              <w:rPr>
                <w:rFonts w:ascii="Calibri" w:hAnsi="Calibri" w:cs="Arial"/>
                <w:lang w:val="en-GB"/>
              </w:rPr>
            </w:pPr>
            <w:r>
              <w:rPr>
                <w:rFonts w:ascii="Calibri" w:hAnsi="Calibri" w:cs="Arial"/>
                <w:lang w:val="en-GB"/>
              </w:rPr>
              <w:t>Member of PBAC</w:t>
            </w:r>
          </w:p>
        </w:tc>
        <w:tc>
          <w:tcPr>
            <w:tcW w:w="1490" w:type="pct"/>
          </w:tcPr>
          <w:p w14:paraId="74354F27" w14:textId="77777777" w:rsidR="00543D47" w:rsidRPr="00D24B3B" w:rsidRDefault="00543D47" w:rsidP="00D9610A">
            <w:pPr>
              <w:spacing w:before="40"/>
              <w:rPr>
                <w:rFonts w:ascii="Calibri" w:hAnsi="Calibri" w:cs="Arial"/>
                <w:szCs w:val="18"/>
                <w:lang w:val="en-GB"/>
              </w:rPr>
            </w:pPr>
            <w:r w:rsidRPr="00FD3E06">
              <w:t>None</w:t>
            </w:r>
          </w:p>
        </w:tc>
      </w:tr>
      <w:tr w:rsidR="00543D47" w:rsidRPr="00D24B3B" w14:paraId="29A62B47" w14:textId="77777777" w:rsidTr="00D9610A">
        <w:trPr>
          <w:trHeight w:val="716"/>
        </w:trPr>
        <w:tc>
          <w:tcPr>
            <w:tcW w:w="1304" w:type="pct"/>
            <w:hideMark/>
          </w:tcPr>
          <w:p w14:paraId="48623F8D" w14:textId="77777777" w:rsidR="00543D47" w:rsidRPr="00D24B3B" w:rsidRDefault="00543D47" w:rsidP="00D9610A">
            <w:pPr>
              <w:spacing w:before="40"/>
              <w:rPr>
                <w:rFonts w:ascii="Calibri" w:hAnsi="Calibri"/>
              </w:rPr>
            </w:pPr>
            <w:r w:rsidRPr="00D24B3B">
              <w:rPr>
                <w:rFonts w:ascii="Calibri" w:hAnsi="Calibri" w:cs="Arial"/>
                <w:lang w:val="en-GB"/>
              </w:rPr>
              <w:t>Ms Helen Maxwell-Wright</w:t>
            </w:r>
          </w:p>
        </w:tc>
        <w:tc>
          <w:tcPr>
            <w:tcW w:w="2206" w:type="pct"/>
          </w:tcPr>
          <w:p w14:paraId="7C2CD5BE" w14:textId="77777777" w:rsidR="00543D47" w:rsidRDefault="00543D47" w:rsidP="00D9610A">
            <w:pPr>
              <w:spacing w:before="60"/>
              <w:rPr>
                <w:rFonts w:ascii="Calibri" w:hAnsi="Calibri" w:cs="Arial"/>
                <w:lang w:val="en-GB"/>
              </w:rPr>
            </w:pPr>
            <w:r w:rsidRPr="00D24B3B">
              <w:rPr>
                <w:rFonts w:ascii="Calibri" w:hAnsi="Calibri" w:cs="Arial"/>
                <w:lang w:val="en-GB"/>
              </w:rPr>
              <w:t>Director, Maxwell-Wright Associates</w:t>
            </w:r>
          </w:p>
          <w:p w14:paraId="5F10CBD7" w14:textId="77777777" w:rsidR="00543D47" w:rsidRPr="00D24B3B" w:rsidRDefault="00543D47" w:rsidP="00D9610A">
            <w:pPr>
              <w:spacing w:before="60"/>
              <w:rPr>
                <w:rFonts w:ascii="Calibri" w:hAnsi="Calibri"/>
              </w:rPr>
            </w:pPr>
            <w:r>
              <w:rPr>
                <w:rFonts w:cs="Arial"/>
                <w:szCs w:val="20"/>
              </w:rPr>
              <w:t>Consumer representative</w:t>
            </w:r>
          </w:p>
        </w:tc>
        <w:tc>
          <w:tcPr>
            <w:tcW w:w="1490" w:type="pct"/>
          </w:tcPr>
          <w:p w14:paraId="2268CDA6" w14:textId="77777777" w:rsidR="00543D47" w:rsidRPr="00525A47" w:rsidRDefault="00543D47" w:rsidP="00D9610A">
            <w:pPr>
              <w:spacing w:before="40"/>
              <w:rPr>
                <w:rFonts w:ascii="Calibri" w:hAnsi="Calibri"/>
                <w:sz w:val="20"/>
                <w:szCs w:val="20"/>
              </w:rPr>
            </w:pPr>
            <w:r w:rsidRPr="00FD3E06">
              <w:t>None</w:t>
            </w:r>
          </w:p>
        </w:tc>
      </w:tr>
    </w:tbl>
    <w:p w14:paraId="66D711B1" w14:textId="77777777" w:rsidR="00543D47" w:rsidRPr="00FC1976" w:rsidRDefault="00543D47" w:rsidP="00543D47">
      <w:pPr>
        <w:pStyle w:val="Heading2"/>
        <w:spacing w:before="320" w:after="60" w:line="240" w:lineRule="auto"/>
        <w:ind w:left="576" w:hanging="576"/>
        <w:rPr>
          <w:lang w:val="en-AU"/>
        </w:rPr>
      </w:pPr>
      <w:bookmarkStart w:id="62" w:name="_Toc459996810"/>
      <w:bookmarkStart w:id="63" w:name="_Toc481593997"/>
      <w:bookmarkStart w:id="64" w:name="_Toc514247614"/>
      <w:r w:rsidRPr="00FC1976">
        <w:rPr>
          <w:lang w:val="en-AU"/>
        </w:rPr>
        <w:t>Areas of responsibility of the Committee</w:t>
      </w:r>
      <w:bookmarkEnd w:id="62"/>
      <w:bookmarkEnd w:id="63"/>
      <w:bookmarkEnd w:id="64"/>
    </w:p>
    <w:p w14:paraId="63CE9767" w14:textId="77777777" w:rsidR="00543D47" w:rsidRPr="00FC1976" w:rsidRDefault="00543D47" w:rsidP="00543D47">
      <w:r w:rsidRPr="00FC1976">
        <w:t>The Committee was assigned</w:t>
      </w:r>
      <w:r>
        <w:t xml:space="preserve"> 134</w:t>
      </w:r>
      <w:r w:rsidRPr="00FC1976">
        <w:t xml:space="preserve"> MBS </w:t>
      </w:r>
      <w:r>
        <w:t xml:space="preserve">chemical pathology </w:t>
      </w:r>
      <w:r w:rsidRPr="00FC1976">
        <w:t>items</w:t>
      </w:r>
      <w:r>
        <w:t xml:space="preserve"> (MBS 2014-15)</w:t>
      </w:r>
      <w:r w:rsidRPr="00FC1976">
        <w:t xml:space="preserve">. </w:t>
      </w:r>
    </w:p>
    <w:p w14:paraId="07933E09" w14:textId="77777777" w:rsidR="00543D47" w:rsidRPr="00FC1976" w:rsidRDefault="00543D47" w:rsidP="00543D47">
      <w:pPr>
        <w:pStyle w:val="Heading2"/>
        <w:spacing w:before="320" w:after="60" w:line="240" w:lineRule="auto"/>
        <w:ind w:left="576" w:hanging="576"/>
        <w:rPr>
          <w:lang w:val="en-AU"/>
        </w:rPr>
      </w:pPr>
      <w:bookmarkStart w:id="65" w:name="_Toc457463621"/>
      <w:bookmarkStart w:id="66" w:name="_Toc459996811"/>
      <w:bookmarkStart w:id="67" w:name="_Toc458166999"/>
      <w:bookmarkStart w:id="68" w:name="_Toc481593998"/>
      <w:bookmarkStart w:id="69" w:name="_Toc514247615"/>
      <w:bookmarkStart w:id="70" w:name="_Toc456045432"/>
      <w:r w:rsidRPr="00FC1976">
        <w:rPr>
          <w:lang w:val="en-AU"/>
        </w:rPr>
        <w:lastRenderedPageBreak/>
        <w:t>S</w:t>
      </w:r>
      <w:r>
        <w:rPr>
          <w:lang w:val="en-AU"/>
        </w:rPr>
        <w:t>ummary of the Com</w:t>
      </w:r>
      <w:r w:rsidRPr="00FC1976">
        <w:rPr>
          <w:lang w:val="en-AU"/>
        </w:rPr>
        <w:t>mittee’s review approach</w:t>
      </w:r>
      <w:bookmarkEnd w:id="65"/>
      <w:bookmarkEnd w:id="66"/>
      <w:bookmarkEnd w:id="67"/>
      <w:bookmarkEnd w:id="68"/>
      <w:bookmarkEnd w:id="69"/>
    </w:p>
    <w:p w14:paraId="36BF9D29" w14:textId="77777777" w:rsidR="00543D47" w:rsidRPr="00FC1976" w:rsidRDefault="00543D47" w:rsidP="00543D47">
      <w:r w:rsidRPr="00FC1976">
        <w:t>The Com</w:t>
      </w:r>
      <w:r>
        <w:t>mittee completed a review of</w:t>
      </w:r>
      <w:r w:rsidRPr="00FC1976">
        <w:t xml:space="preserve"> </w:t>
      </w:r>
      <w:r>
        <w:t xml:space="preserve">87 chemical pathology </w:t>
      </w:r>
      <w:r w:rsidRPr="00FC1976">
        <w:t>items</w:t>
      </w:r>
      <w:r>
        <w:t xml:space="preserve"> and four referred items</w:t>
      </w:r>
      <w:r w:rsidRPr="00FC1976">
        <w:t xml:space="preserve"> across </w:t>
      </w:r>
      <w:r>
        <w:t>eight</w:t>
      </w:r>
      <w:r w:rsidRPr="00FC1976">
        <w:t xml:space="preserve"> meetings, during which it developed the recommendations and rationales outlined in Section </w:t>
      </w:r>
      <w:r>
        <w:t>4</w:t>
      </w:r>
      <w:r w:rsidRPr="00FC1976">
        <w:t xml:space="preserve">. Recommendations were also developed for referral to other committees. </w:t>
      </w:r>
    </w:p>
    <w:p w14:paraId="6FFD0914" w14:textId="77777777" w:rsidR="00543D47" w:rsidRDefault="00543D47" w:rsidP="00543D47">
      <w:r w:rsidRPr="00FC1976">
        <w:t xml:space="preserve">The </w:t>
      </w:r>
      <w:r>
        <w:t>Review</w:t>
      </w:r>
      <w:r w:rsidRPr="00FC1976">
        <w:t xml:space="preserve"> drew on various types of MBS data, including data on</w:t>
      </w:r>
      <w:r>
        <w:t>:</w:t>
      </w:r>
      <w:r w:rsidRPr="00FC1976">
        <w:t xml:space="preserve"> </w:t>
      </w:r>
    </w:p>
    <w:p w14:paraId="595246A4" w14:textId="77777777" w:rsidR="00543D47" w:rsidRDefault="00543D47" w:rsidP="00543D47">
      <w:pPr>
        <w:pStyle w:val="NormalBulleted"/>
        <w:spacing w:line="240" w:lineRule="auto"/>
      </w:pPr>
      <w:r w:rsidRPr="00FC1976">
        <w:t>utilisation of items (services, benefits, patients, providers and growth rates)</w:t>
      </w:r>
    </w:p>
    <w:p w14:paraId="446CDD84" w14:textId="77777777" w:rsidR="00543D47" w:rsidRDefault="00543D47" w:rsidP="00543D47">
      <w:pPr>
        <w:pStyle w:val="NormalBulleted"/>
        <w:spacing w:line="240" w:lineRule="auto"/>
      </w:pPr>
      <w:r w:rsidRPr="00FC1976">
        <w:t xml:space="preserve">service provision (type of </w:t>
      </w:r>
      <w:r>
        <w:t>requestor</w:t>
      </w:r>
      <w:r w:rsidRPr="00FC1976">
        <w:t>, geography of service provision)</w:t>
      </w:r>
    </w:p>
    <w:p w14:paraId="1F7AE5ED" w14:textId="77777777" w:rsidR="00543D47" w:rsidRDefault="00543D47" w:rsidP="00543D47">
      <w:pPr>
        <w:pStyle w:val="NormalBulleted"/>
        <w:spacing w:line="240" w:lineRule="auto"/>
      </w:pPr>
      <w:r w:rsidRPr="00FC1976">
        <w:t>patients (demographics and services per patient)</w:t>
      </w:r>
    </w:p>
    <w:p w14:paraId="48D367D3" w14:textId="77777777" w:rsidR="00543D47" w:rsidRDefault="00543D47" w:rsidP="00543D47">
      <w:pPr>
        <w:pStyle w:val="NormalBulleted"/>
        <w:spacing w:line="240" w:lineRule="auto"/>
      </w:pPr>
      <w:r w:rsidRPr="00FC1976">
        <w:t>co-claiming or episodes of services (</w:t>
      </w:r>
      <w:proofErr w:type="gramStart"/>
      <w:r w:rsidRPr="00FC1976">
        <w:t>same-day</w:t>
      </w:r>
      <w:proofErr w:type="gramEnd"/>
      <w:r w:rsidRPr="00FC1976">
        <w:t xml:space="preserve"> claiming and claiming with specific items over time)</w:t>
      </w:r>
    </w:p>
    <w:p w14:paraId="7142E25D" w14:textId="77777777" w:rsidR="00543D47" w:rsidRDefault="00543D47" w:rsidP="00543D47">
      <w:pPr>
        <w:pStyle w:val="NormalBulleted"/>
        <w:spacing w:line="240" w:lineRule="auto"/>
      </w:pPr>
      <w:r w:rsidRPr="00FC1976">
        <w:t xml:space="preserve">additional </w:t>
      </w:r>
      <w:r>
        <w:t xml:space="preserve">requestor </w:t>
      </w:r>
      <w:r w:rsidRPr="00FC1976">
        <w:t>and patient-level data, when required.</w:t>
      </w:r>
    </w:p>
    <w:p w14:paraId="2DF30C63" w14:textId="77777777" w:rsidR="00543D47" w:rsidRPr="00FC1976" w:rsidRDefault="00543D47" w:rsidP="00543D47">
      <w:r w:rsidRPr="00FC1976">
        <w:t xml:space="preserve">The review also drew on data presented in the relevant literature and clinical guidelines, all of which are referenced in the report. </w:t>
      </w:r>
    </w:p>
    <w:p w14:paraId="602EFC84" w14:textId="77777777" w:rsidR="00543D47" w:rsidRPr="00FC1976" w:rsidRDefault="00543D47" w:rsidP="00543D47">
      <w:r>
        <w:t>S</w:t>
      </w:r>
      <w:r w:rsidRPr="00FC1976">
        <w:t xml:space="preserve">takeholders </w:t>
      </w:r>
      <w:r>
        <w:t>are</w:t>
      </w:r>
      <w:r w:rsidRPr="00FC1976">
        <w:t xml:space="preserve"> now engaged in consultation on the recommendations resulting from this process, which are outlined in this report. Following this period of consultation, </w:t>
      </w:r>
      <w:r>
        <w:t xml:space="preserve">the Committee will consider </w:t>
      </w:r>
      <w:r w:rsidRPr="00FC1976">
        <w:t xml:space="preserve">stakeholder feedback </w:t>
      </w:r>
      <w:r>
        <w:t>before finalising</w:t>
      </w:r>
      <w:r w:rsidRPr="00FC1976">
        <w:t xml:space="preserve"> the recommendations and present</w:t>
      </w:r>
      <w:r>
        <w:t>ing</w:t>
      </w:r>
      <w:r w:rsidRPr="00FC1976">
        <w:t xml:space="preserve"> </w:t>
      </w:r>
      <w:r>
        <w:t xml:space="preserve">them </w:t>
      </w:r>
      <w:r w:rsidRPr="00FC1976">
        <w:t xml:space="preserve">to the Taskforce. The Taskforce will consider the report and stakeholder feedback before making recommendations to the </w:t>
      </w:r>
      <w:r>
        <w:t xml:space="preserve">Minister for Health </w:t>
      </w:r>
      <w:r w:rsidRPr="00FC1976">
        <w:t xml:space="preserve">for consideration by the Government. </w:t>
      </w:r>
    </w:p>
    <w:bookmarkEnd w:id="70"/>
    <w:p w14:paraId="059A49E5" w14:textId="77777777" w:rsidR="00543D47" w:rsidRPr="00370DFD" w:rsidRDefault="00543D47" w:rsidP="00543D47">
      <w:r w:rsidRPr="00370DFD">
        <w:br w:type="page"/>
      </w:r>
    </w:p>
    <w:p w14:paraId="0B1185ED" w14:textId="77777777" w:rsidR="00543D47" w:rsidRPr="00370DFD" w:rsidRDefault="00543D47" w:rsidP="00543D47">
      <w:pPr>
        <w:pStyle w:val="Heading1"/>
        <w:rPr>
          <w:lang w:val="en-AU"/>
        </w:rPr>
      </w:pPr>
      <w:bookmarkStart w:id="71" w:name="_Toc514247616"/>
      <w:r w:rsidRPr="00370DFD">
        <w:rPr>
          <w:lang w:val="en-AU"/>
        </w:rPr>
        <w:lastRenderedPageBreak/>
        <w:t>Recommendations</w:t>
      </w:r>
      <w:bookmarkEnd w:id="71"/>
    </w:p>
    <w:p w14:paraId="3A4B7D43" w14:textId="77777777" w:rsidR="00543D47" w:rsidRPr="00370DFD" w:rsidRDefault="00543D47" w:rsidP="00543D47">
      <w:pPr>
        <w:pStyle w:val="Heading2"/>
        <w:rPr>
          <w:lang w:val="en-AU"/>
        </w:rPr>
      </w:pPr>
      <w:bookmarkStart w:id="72" w:name="_Toc514247617"/>
      <w:r w:rsidRPr="00370DFD">
        <w:rPr>
          <w:lang w:val="en-AU"/>
        </w:rPr>
        <w:t>Frequent and common clinical chemistry tests, blood gas and calcium</w:t>
      </w:r>
      <w:bookmarkEnd w:id="72"/>
    </w:p>
    <w:p w14:paraId="7D113499" w14:textId="77777777" w:rsidR="00543D47" w:rsidRPr="00370DFD" w:rsidRDefault="00543D47" w:rsidP="00543D47">
      <w:pPr>
        <w:pStyle w:val="Heading3Numbered"/>
        <w:rPr>
          <w:lang w:val="en-AU"/>
        </w:rPr>
      </w:pPr>
      <w:r w:rsidRPr="00370DFD">
        <w:rPr>
          <w:lang w:val="en-AU"/>
        </w:rPr>
        <w:t>Items 66500, 66503, 66506, 66509, 66512</w:t>
      </w:r>
    </w:p>
    <w:p w14:paraId="181BD9CE" w14:textId="77777777" w:rsidR="00543D47" w:rsidRPr="00370DFD" w:rsidRDefault="00543D47" w:rsidP="00543D47">
      <w:pPr>
        <w:pStyle w:val="Caption"/>
      </w:pPr>
      <w:bookmarkStart w:id="73" w:name="_Toc534374904"/>
      <w:r w:rsidRPr="00370DFD">
        <w:t xml:space="preserve">Table </w:t>
      </w:r>
      <w:r>
        <w:t>4</w:t>
      </w:r>
      <w:r w:rsidRPr="00370DFD">
        <w:t>. Item introduction table for items 66500, 66503, 66506, 66509, 66512</w:t>
      </w:r>
      <w:bookmarkEnd w:id="73"/>
    </w:p>
    <w:tbl>
      <w:tblPr>
        <w:tblStyle w:val="TableGrid4"/>
        <w:tblW w:w="9019"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firstRow="1" w:lastRow="0" w:firstColumn="1" w:lastColumn="0" w:noHBand="0" w:noVBand="1"/>
        <w:tblCaption w:val="Item introduction table for items 66500, 66503, 66506, 66509, 66512"/>
        <w:tblDescription w:val="This is a table that contains Medicare Benefits Schedule data for items 66500, 66503, 66506, 66509, 66512 for the finanical year 2014–2015. The data includes total volume of services, benefits and services and 5 year change in services as a percentage."/>
      </w:tblPr>
      <w:tblGrid>
        <w:gridCol w:w="703"/>
        <w:gridCol w:w="2857"/>
        <w:gridCol w:w="1066"/>
        <w:gridCol w:w="1219"/>
        <w:gridCol w:w="1060"/>
        <w:gridCol w:w="1060"/>
        <w:gridCol w:w="1054"/>
      </w:tblGrid>
      <w:tr w:rsidR="00543D47" w:rsidRPr="00370DFD" w14:paraId="2C2C37DD" w14:textId="77777777" w:rsidTr="00D9610A">
        <w:trPr>
          <w:tblHeader/>
        </w:trPr>
        <w:tc>
          <w:tcPr>
            <w:tcW w:w="703" w:type="dxa"/>
            <w:vAlign w:val="center"/>
          </w:tcPr>
          <w:p w14:paraId="7F7F7000" w14:textId="77777777" w:rsidR="00543D47" w:rsidRPr="00370DFD" w:rsidRDefault="00543D47" w:rsidP="00D9610A">
            <w:pPr>
              <w:rPr>
                <w:rFonts w:cs="Arial"/>
                <w:sz w:val="18"/>
                <w:szCs w:val="18"/>
              </w:rPr>
            </w:pPr>
            <w:r w:rsidRPr="00370DFD">
              <w:rPr>
                <w:rFonts w:cs="Arial"/>
                <w:b/>
                <w:color w:val="000000"/>
                <w:sz w:val="18"/>
                <w:szCs w:val="18"/>
              </w:rPr>
              <w:t>Item</w:t>
            </w:r>
          </w:p>
        </w:tc>
        <w:tc>
          <w:tcPr>
            <w:tcW w:w="2857" w:type="dxa"/>
            <w:vAlign w:val="center"/>
          </w:tcPr>
          <w:p w14:paraId="56F8AABB" w14:textId="77777777" w:rsidR="00543D47" w:rsidRPr="00370DFD" w:rsidRDefault="00543D47" w:rsidP="00D9610A">
            <w:pPr>
              <w:rPr>
                <w:rFonts w:cs="Arial"/>
                <w:sz w:val="18"/>
                <w:szCs w:val="18"/>
              </w:rPr>
            </w:pPr>
            <w:r w:rsidRPr="00370DFD">
              <w:rPr>
                <w:rFonts w:cs="Arial"/>
                <w:b/>
                <w:color w:val="000000"/>
                <w:sz w:val="18"/>
                <w:szCs w:val="18"/>
              </w:rPr>
              <w:t>Long item descriptor</w:t>
            </w:r>
          </w:p>
        </w:tc>
        <w:tc>
          <w:tcPr>
            <w:tcW w:w="1066" w:type="dxa"/>
            <w:vAlign w:val="center"/>
          </w:tcPr>
          <w:p w14:paraId="1CBAB628" w14:textId="77777777" w:rsidR="00543D47" w:rsidRPr="00370DFD" w:rsidRDefault="00543D47" w:rsidP="00D9610A">
            <w:pPr>
              <w:spacing w:after="0" w:line="240" w:lineRule="auto"/>
              <w:rPr>
                <w:rFonts w:cs="Arial"/>
                <w:sz w:val="18"/>
                <w:szCs w:val="18"/>
              </w:rPr>
            </w:pPr>
            <w:r w:rsidRPr="00370DFD">
              <w:rPr>
                <w:rFonts w:cs="Arial"/>
                <w:b/>
                <w:color w:val="000000"/>
                <w:sz w:val="18"/>
                <w:szCs w:val="18"/>
              </w:rPr>
              <w:t>Schedule</w:t>
            </w:r>
            <w:r>
              <w:rPr>
                <w:rFonts w:cs="Arial"/>
                <w:b/>
                <w:color w:val="000000"/>
                <w:sz w:val="18"/>
                <w:szCs w:val="18"/>
              </w:rPr>
              <w:t xml:space="preserve"> f</w:t>
            </w:r>
            <w:r w:rsidRPr="00370DFD">
              <w:rPr>
                <w:rFonts w:cs="Arial"/>
                <w:b/>
                <w:color w:val="000000"/>
                <w:sz w:val="18"/>
                <w:szCs w:val="18"/>
              </w:rPr>
              <w:t>ee</w:t>
            </w:r>
          </w:p>
        </w:tc>
        <w:tc>
          <w:tcPr>
            <w:tcW w:w="1219" w:type="dxa"/>
            <w:vAlign w:val="center"/>
          </w:tcPr>
          <w:p w14:paraId="41EAD76D" w14:textId="77777777" w:rsidR="00543D47" w:rsidRPr="00370DFD" w:rsidRDefault="00543D47" w:rsidP="00D9610A">
            <w:pPr>
              <w:rPr>
                <w:rFonts w:cs="Arial"/>
                <w:sz w:val="18"/>
                <w:szCs w:val="18"/>
              </w:rPr>
            </w:pPr>
            <w:r w:rsidRPr="00370DFD">
              <w:rPr>
                <w:rFonts w:cs="Arial"/>
                <w:b/>
                <w:color w:val="000000"/>
                <w:sz w:val="18"/>
                <w:szCs w:val="18"/>
              </w:rPr>
              <w:t xml:space="preserve">Benefits </w:t>
            </w:r>
            <w:r>
              <w:rPr>
                <w:rFonts w:cs="Arial"/>
                <w:b/>
                <w:color w:val="000000"/>
                <w:sz w:val="18"/>
                <w:szCs w:val="18"/>
              </w:rPr>
              <w:br/>
            </w:r>
            <w:r w:rsidRPr="00370DFD">
              <w:rPr>
                <w:rFonts w:cs="Arial"/>
                <w:b/>
                <w:color w:val="000000"/>
                <w:sz w:val="18"/>
                <w:szCs w:val="18"/>
              </w:rPr>
              <w:t>FY</w:t>
            </w:r>
            <w:r>
              <w:rPr>
                <w:rFonts w:cs="Arial"/>
                <w:b/>
                <w:color w:val="000000"/>
                <w:sz w:val="18"/>
                <w:szCs w:val="18"/>
              </w:rPr>
              <w:t xml:space="preserve"> </w:t>
            </w:r>
            <w:r w:rsidRPr="00370DFD">
              <w:rPr>
                <w:rFonts w:cs="Arial"/>
                <w:b/>
                <w:color w:val="000000"/>
                <w:sz w:val="18"/>
                <w:szCs w:val="18"/>
              </w:rPr>
              <w:t>2014-15</w:t>
            </w:r>
          </w:p>
        </w:tc>
        <w:tc>
          <w:tcPr>
            <w:tcW w:w="1060" w:type="dxa"/>
            <w:vAlign w:val="center"/>
          </w:tcPr>
          <w:p w14:paraId="69574198" w14:textId="77777777" w:rsidR="00543D47" w:rsidRPr="00370DFD" w:rsidRDefault="00543D47" w:rsidP="00D9610A">
            <w:pPr>
              <w:rPr>
                <w:rFonts w:cs="Arial"/>
                <w:sz w:val="18"/>
                <w:szCs w:val="18"/>
              </w:rPr>
            </w:pPr>
            <w:r w:rsidRPr="00370DFD">
              <w:rPr>
                <w:rFonts w:cs="Arial"/>
                <w:b/>
                <w:color w:val="000000"/>
                <w:sz w:val="18"/>
                <w:szCs w:val="18"/>
              </w:rPr>
              <w:t xml:space="preserve">Services </w:t>
            </w:r>
            <w:r>
              <w:rPr>
                <w:rFonts w:cs="Arial"/>
                <w:b/>
                <w:color w:val="000000"/>
                <w:sz w:val="18"/>
                <w:szCs w:val="18"/>
              </w:rPr>
              <w:br/>
            </w:r>
            <w:r w:rsidRPr="00370DFD">
              <w:rPr>
                <w:rFonts w:cs="Arial"/>
                <w:b/>
                <w:color w:val="000000"/>
                <w:sz w:val="18"/>
                <w:szCs w:val="18"/>
              </w:rPr>
              <w:t>FY</w:t>
            </w:r>
            <w:r>
              <w:rPr>
                <w:rFonts w:cs="Arial"/>
                <w:b/>
                <w:color w:val="000000"/>
                <w:sz w:val="18"/>
                <w:szCs w:val="18"/>
              </w:rPr>
              <w:t xml:space="preserve"> </w:t>
            </w:r>
            <w:r w:rsidRPr="00370DFD">
              <w:rPr>
                <w:rFonts w:cs="Arial"/>
                <w:b/>
                <w:color w:val="000000"/>
                <w:sz w:val="18"/>
                <w:szCs w:val="18"/>
              </w:rPr>
              <w:t>2014-15</w:t>
            </w:r>
          </w:p>
        </w:tc>
        <w:tc>
          <w:tcPr>
            <w:tcW w:w="1060" w:type="dxa"/>
            <w:vAlign w:val="center"/>
          </w:tcPr>
          <w:p w14:paraId="537C4B9E" w14:textId="77777777" w:rsidR="00543D47" w:rsidRPr="00370DFD" w:rsidRDefault="00543D47" w:rsidP="00D9610A">
            <w:pPr>
              <w:rPr>
                <w:rFonts w:cs="Arial"/>
                <w:sz w:val="18"/>
                <w:szCs w:val="18"/>
              </w:rPr>
            </w:pPr>
            <w:r w:rsidRPr="00370DFD">
              <w:rPr>
                <w:rFonts w:cs="Arial"/>
                <w:b/>
                <w:color w:val="000000"/>
                <w:sz w:val="18"/>
                <w:szCs w:val="18"/>
              </w:rPr>
              <w:t>Patient count 2014-15</w:t>
            </w:r>
          </w:p>
        </w:tc>
        <w:tc>
          <w:tcPr>
            <w:tcW w:w="1054" w:type="dxa"/>
            <w:vAlign w:val="center"/>
          </w:tcPr>
          <w:p w14:paraId="626DDFB6" w14:textId="77777777" w:rsidR="00543D47" w:rsidRPr="00370DFD" w:rsidRDefault="00543D47" w:rsidP="00D9610A">
            <w:pPr>
              <w:rPr>
                <w:rFonts w:cs="Arial"/>
                <w:sz w:val="18"/>
                <w:szCs w:val="18"/>
              </w:rPr>
            </w:pPr>
            <w:r w:rsidRPr="00370DFD">
              <w:rPr>
                <w:rFonts w:cs="Arial"/>
                <w:b/>
                <w:color w:val="000000"/>
                <w:sz w:val="18"/>
                <w:szCs w:val="18"/>
              </w:rPr>
              <w:t>5</w:t>
            </w:r>
            <w:r>
              <w:rPr>
                <w:rFonts w:cs="Arial"/>
                <w:b/>
                <w:color w:val="000000"/>
                <w:sz w:val="18"/>
                <w:szCs w:val="18"/>
              </w:rPr>
              <w:t>-</w:t>
            </w:r>
            <w:r w:rsidRPr="00370DFD">
              <w:rPr>
                <w:rFonts w:cs="Arial"/>
                <w:b/>
                <w:color w:val="000000"/>
                <w:sz w:val="18"/>
                <w:szCs w:val="18"/>
              </w:rPr>
              <w:t>year service change % (CAGR)</w:t>
            </w:r>
          </w:p>
        </w:tc>
      </w:tr>
      <w:tr w:rsidR="00543D47" w:rsidRPr="00370DFD" w14:paraId="40FD53FE" w14:textId="77777777" w:rsidTr="00D9610A">
        <w:trPr>
          <w:cantSplit/>
        </w:trPr>
        <w:tc>
          <w:tcPr>
            <w:tcW w:w="703" w:type="dxa"/>
            <w:vAlign w:val="center"/>
          </w:tcPr>
          <w:p w14:paraId="3767DE98" w14:textId="77777777" w:rsidR="00543D47" w:rsidRPr="00370DFD" w:rsidRDefault="00543D47" w:rsidP="00D9610A">
            <w:pPr>
              <w:rPr>
                <w:rFonts w:cs="Arial"/>
                <w:sz w:val="18"/>
                <w:szCs w:val="18"/>
              </w:rPr>
            </w:pPr>
            <w:r w:rsidRPr="00370DFD">
              <w:rPr>
                <w:rFonts w:cs="Arial"/>
                <w:sz w:val="18"/>
                <w:szCs w:val="18"/>
              </w:rPr>
              <w:t>66500</w:t>
            </w:r>
          </w:p>
        </w:tc>
        <w:tc>
          <w:tcPr>
            <w:tcW w:w="2857" w:type="dxa"/>
            <w:vAlign w:val="center"/>
          </w:tcPr>
          <w:p w14:paraId="26D347BC" w14:textId="77777777" w:rsidR="00543D47" w:rsidRPr="00370DFD" w:rsidRDefault="00543D47" w:rsidP="00D9610A">
            <w:pPr>
              <w:rPr>
                <w:rFonts w:cs="Arial"/>
                <w:sz w:val="18"/>
                <w:szCs w:val="18"/>
              </w:rPr>
            </w:pPr>
            <w:r w:rsidRPr="00370DFD">
              <w:rPr>
                <w:rFonts w:cs="Arial"/>
                <w:sz w:val="18"/>
                <w:szCs w:val="18"/>
              </w:rPr>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 - 1 test</w:t>
            </w:r>
          </w:p>
        </w:tc>
        <w:tc>
          <w:tcPr>
            <w:tcW w:w="1066" w:type="dxa"/>
            <w:vAlign w:val="center"/>
          </w:tcPr>
          <w:p w14:paraId="1273BAF6" w14:textId="77777777" w:rsidR="00543D47" w:rsidRPr="00370DFD" w:rsidRDefault="00543D47" w:rsidP="00D9610A">
            <w:pPr>
              <w:rPr>
                <w:rFonts w:cs="Arial"/>
                <w:sz w:val="18"/>
                <w:szCs w:val="18"/>
              </w:rPr>
            </w:pPr>
            <w:r w:rsidRPr="00370DFD">
              <w:rPr>
                <w:rFonts w:cs="Arial"/>
                <w:sz w:val="18"/>
                <w:szCs w:val="18"/>
              </w:rPr>
              <w:t>9.70</w:t>
            </w:r>
          </w:p>
        </w:tc>
        <w:tc>
          <w:tcPr>
            <w:tcW w:w="1219" w:type="dxa"/>
            <w:vAlign w:val="center"/>
          </w:tcPr>
          <w:p w14:paraId="7CD823AA" w14:textId="77777777" w:rsidR="00543D47" w:rsidRPr="00370DFD" w:rsidRDefault="00543D47" w:rsidP="00D9610A">
            <w:pPr>
              <w:rPr>
                <w:rFonts w:cs="Arial"/>
                <w:sz w:val="18"/>
                <w:szCs w:val="18"/>
              </w:rPr>
            </w:pPr>
            <w:r w:rsidRPr="00370DFD">
              <w:rPr>
                <w:rFonts w:cs="Arial"/>
                <w:sz w:val="18"/>
                <w:szCs w:val="18"/>
              </w:rPr>
              <w:t>$6,308,575</w:t>
            </w:r>
          </w:p>
        </w:tc>
        <w:tc>
          <w:tcPr>
            <w:tcW w:w="1060" w:type="dxa"/>
            <w:vAlign w:val="center"/>
          </w:tcPr>
          <w:p w14:paraId="0ADD28B9" w14:textId="77777777" w:rsidR="00543D47" w:rsidRPr="00370DFD" w:rsidRDefault="00543D47" w:rsidP="00D9610A">
            <w:pPr>
              <w:rPr>
                <w:rFonts w:cs="Arial"/>
                <w:sz w:val="18"/>
                <w:szCs w:val="18"/>
              </w:rPr>
            </w:pPr>
            <w:r w:rsidRPr="00370DFD">
              <w:rPr>
                <w:rFonts w:cs="Arial"/>
                <w:sz w:val="18"/>
                <w:szCs w:val="18"/>
              </w:rPr>
              <w:t>773,058</w:t>
            </w:r>
          </w:p>
        </w:tc>
        <w:tc>
          <w:tcPr>
            <w:tcW w:w="1060" w:type="dxa"/>
            <w:vAlign w:val="center"/>
          </w:tcPr>
          <w:p w14:paraId="616FED57" w14:textId="77777777" w:rsidR="00543D47" w:rsidRPr="00370DFD" w:rsidRDefault="00543D47" w:rsidP="00D9610A">
            <w:pPr>
              <w:rPr>
                <w:rFonts w:cs="Arial"/>
                <w:sz w:val="18"/>
                <w:szCs w:val="18"/>
              </w:rPr>
            </w:pPr>
            <w:r w:rsidRPr="00370DFD">
              <w:rPr>
                <w:rFonts w:cs="Arial"/>
                <w:sz w:val="18"/>
                <w:szCs w:val="18"/>
              </w:rPr>
              <w:t>615,911</w:t>
            </w:r>
          </w:p>
        </w:tc>
        <w:tc>
          <w:tcPr>
            <w:tcW w:w="1054" w:type="dxa"/>
            <w:vAlign w:val="center"/>
          </w:tcPr>
          <w:p w14:paraId="1DF0FBEC" w14:textId="77777777" w:rsidR="00543D47" w:rsidRPr="00370DFD" w:rsidRDefault="00543D47" w:rsidP="00D9610A">
            <w:pPr>
              <w:rPr>
                <w:rFonts w:cs="Arial"/>
                <w:sz w:val="18"/>
                <w:szCs w:val="18"/>
              </w:rPr>
            </w:pPr>
            <w:r w:rsidRPr="00370DFD">
              <w:rPr>
                <w:rFonts w:cs="Arial"/>
                <w:sz w:val="18"/>
                <w:szCs w:val="18"/>
              </w:rPr>
              <w:t>1.9%</w:t>
            </w:r>
          </w:p>
        </w:tc>
      </w:tr>
      <w:tr w:rsidR="00543D47" w:rsidRPr="00370DFD" w14:paraId="7810B102" w14:textId="77777777" w:rsidTr="00D9610A">
        <w:trPr>
          <w:cantSplit/>
        </w:trPr>
        <w:tc>
          <w:tcPr>
            <w:tcW w:w="703" w:type="dxa"/>
            <w:vAlign w:val="center"/>
          </w:tcPr>
          <w:p w14:paraId="518C0725" w14:textId="77777777" w:rsidR="00543D47" w:rsidRPr="00370DFD" w:rsidRDefault="00543D47" w:rsidP="00D9610A">
            <w:pPr>
              <w:rPr>
                <w:rFonts w:cs="Arial"/>
                <w:sz w:val="18"/>
                <w:szCs w:val="18"/>
              </w:rPr>
            </w:pPr>
            <w:r w:rsidRPr="00370DFD">
              <w:rPr>
                <w:rFonts w:cs="Arial"/>
                <w:sz w:val="18"/>
                <w:szCs w:val="18"/>
              </w:rPr>
              <w:t>66503</w:t>
            </w:r>
          </w:p>
        </w:tc>
        <w:tc>
          <w:tcPr>
            <w:tcW w:w="2857" w:type="dxa"/>
            <w:vAlign w:val="center"/>
          </w:tcPr>
          <w:p w14:paraId="03FB0869" w14:textId="77777777" w:rsidR="00543D47" w:rsidRPr="00370DFD" w:rsidRDefault="00543D47" w:rsidP="00D9610A">
            <w:pPr>
              <w:rPr>
                <w:rFonts w:cs="Arial"/>
                <w:sz w:val="18"/>
                <w:szCs w:val="18"/>
              </w:rPr>
            </w:pPr>
            <w:r w:rsidRPr="00370DFD">
              <w:rPr>
                <w:rFonts w:cs="Arial"/>
                <w:sz w:val="18"/>
                <w:szCs w:val="18"/>
              </w:rPr>
              <w:t>2 tests described in item 66500</w:t>
            </w:r>
          </w:p>
        </w:tc>
        <w:tc>
          <w:tcPr>
            <w:tcW w:w="1066" w:type="dxa"/>
            <w:vAlign w:val="center"/>
          </w:tcPr>
          <w:p w14:paraId="507E622F" w14:textId="77777777" w:rsidR="00543D47" w:rsidRPr="00370DFD" w:rsidRDefault="00543D47" w:rsidP="00D9610A">
            <w:pPr>
              <w:rPr>
                <w:rFonts w:cs="Arial"/>
                <w:sz w:val="18"/>
                <w:szCs w:val="18"/>
              </w:rPr>
            </w:pPr>
            <w:r w:rsidRPr="00370DFD">
              <w:rPr>
                <w:rFonts w:cs="Arial"/>
                <w:sz w:val="18"/>
                <w:szCs w:val="18"/>
              </w:rPr>
              <w:t>11.65</w:t>
            </w:r>
          </w:p>
        </w:tc>
        <w:tc>
          <w:tcPr>
            <w:tcW w:w="1219" w:type="dxa"/>
            <w:vAlign w:val="center"/>
          </w:tcPr>
          <w:p w14:paraId="1B898E33" w14:textId="77777777" w:rsidR="00543D47" w:rsidRPr="00370DFD" w:rsidRDefault="00543D47" w:rsidP="00D9610A">
            <w:pPr>
              <w:rPr>
                <w:rFonts w:cs="Arial"/>
                <w:sz w:val="18"/>
                <w:szCs w:val="18"/>
              </w:rPr>
            </w:pPr>
            <w:r w:rsidRPr="00370DFD">
              <w:rPr>
                <w:rFonts w:cs="Arial"/>
                <w:sz w:val="18"/>
                <w:szCs w:val="18"/>
              </w:rPr>
              <w:t>$4,145,309</w:t>
            </w:r>
          </w:p>
        </w:tc>
        <w:tc>
          <w:tcPr>
            <w:tcW w:w="1060" w:type="dxa"/>
            <w:vAlign w:val="center"/>
          </w:tcPr>
          <w:p w14:paraId="07210E4D" w14:textId="77777777" w:rsidR="00543D47" w:rsidRPr="00370DFD" w:rsidRDefault="00543D47" w:rsidP="00D9610A">
            <w:pPr>
              <w:rPr>
                <w:rFonts w:cs="Arial"/>
                <w:sz w:val="18"/>
                <w:szCs w:val="18"/>
              </w:rPr>
            </w:pPr>
            <w:r w:rsidRPr="00370DFD">
              <w:rPr>
                <w:rFonts w:cs="Arial"/>
                <w:sz w:val="18"/>
                <w:szCs w:val="18"/>
              </w:rPr>
              <w:t>420,472</w:t>
            </w:r>
          </w:p>
        </w:tc>
        <w:tc>
          <w:tcPr>
            <w:tcW w:w="1060" w:type="dxa"/>
            <w:vAlign w:val="center"/>
          </w:tcPr>
          <w:p w14:paraId="1A2E564C" w14:textId="77777777" w:rsidR="00543D47" w:rsidRPr="00370DFD" w:rsidRDefault="00543D47" w:rsidP="00D9610A">
            <w:pPr>
              <w:rPr>
                <w:rFonts w:cs="Arial"/>
                <w:sz w:val="18"/>
                <w:szCs w:val="18"/>
              </w:rPr>
            </w:pPr>
            <w:r w:rsidRPr="00370DFD">
              <w:rPr>
                <w:rFonts w:cs="Arial"/>
                <w:sz w:val="18"/>
                <w:szCs w:val="18"/>
              </w:rPr>
              <w:t>364,532</w:t>
            </w:r>
          </w:p>
        </w:tc>
        <w:tc>
          <w:tcPr>
            <w:tcW w:w="1054" w:type="dxa"/>
            <w:vAlign w:val="center"/>
          </w:tcPr>
          <w:p w14:paraId="7EB16F88" w14:textId="77777777" w:rsidR="00543D47" w:rsidRPr="00370DFD" w:rsidRDefault="00543D47" w:rsidP="00D9610A">
            <w:pPr>
              <w:rPr>
                <w:rFonts w:cs="Arial"/>
                <w:sz w:val="18"/>
                <w:szCs w:val="18"/>
              </w:rPr>
            </w:pPr>
            <w:r w:rsidRPr="00370DFD">
              <w:rPr>
                <w:rFonts w:cs="Arial"/>
                <w:sz w:val="18"/>
                <w:szCs w:val="18"/>
              </w:rPr>
              <w:t>-1.5%</w:t>
            </w:r>
          </w:p>
        </w:tc>
      </w:tr>
      <w:tr w:rsidR="00543D47" w:rsidRPr="00370DFD" w14:paraId="6BE55150" w14:textId="77777777" w:rsidTr="00D9610A">
        <w:trPr>
          <w:cantSplit/>
        </w:trPr>
        <w:tc>
          <w:tcPr>
            <w:tcW w:w="703" w:type="dxa"/>
            <w:vAlign w:val="center"/>
          </w:tcPr>
          <w:p w14:paraId="33639CA1" w14:textId="77777777" w:rsidR="00543D47" w:rsidRPr="00370DFD" w:rsidRDefault="00543D47" w:rsidP="00D9610A">
            <w:pPr>
              <w:rPr>
                <w:rFonts w:cs="Arial"/>
                <w:sz w:val="18"/>
                <w:szCs w:val="18"/>
              </w:rPr>
            </w:pPr>
            <w:r w:rsidRPr="00370DFD">
              <w:rPr>
                <w:rFonts w:cs="Arial"/>
                <w:sz w:val="18"/>
                <w:szCs w:val="18"/>
              </w:rPr>
              <w:t>66506</w:t>
            </w:r>
          </w:p>
        </w:tc>
        <w:tc>
          <w:tcPr>
            <w:tcW w:w="2857" w:type="dxa"/>
            <w:vAlign w:val="center"/>
          </w:tcPr>
          <w:p w14:paraId="0F7C8C8E" w14:textId="77777777" w:rsidR="00543D47" w:rsidRPr="00370DFD" w:rsidRDefault="00543D47" w:rsidP="00D9610A">
            <w:pPr>
              <w:rPr>
                <w:rFonts w:cs="Arial"/>
                <w:sz w:val="18"/>
                <w:szCs w:val="18"/>
              </w:rPr>
            </w:pPr>
            <w:r w:rsidRPr="00370DFD">
              <w:rPr>
                <w:rFonts w:cs="Arial"/>
                <w:sz w:val="18"/>
                <w:szCs w:val="18"/>
              </w:rPr>
              <w:t>3 tests described in item 66500</w:t>
            </w:r>
          </w:p>
        </w:tc>
        <w:tc>
          <w:tcPr>
            <w:tcW w:w="1066" w:type="dxa"/>
            <w:vAlign w:val="center"/>
          </w:tcPr>
          <w:p w14:paraId="3828E2AD" w14:textId="77777777" w:rsidR="00543D47" w:rsidRPr="00370DFD" w:rsidRDefault="00543D47" w:rsidP="00D9610A">
            <w:pPr>
              <w:rPr>
                <w:rFonts w:cs="Arial"/>
                <w:sz w:val="18"/>
                <w:szCs w:val="18"/>
              </w:rPr>
            </w:pPr>
            <w:r w:rsidRPr="00370DFD">
              <w:rPr>
                <w:rFonts w:cs="Arial"/>
                <w:sz w:val="18"/>
                <w:szCs w:val="18"/>
              </w:rPr>
              <w:t>13.65</w:t>
            </w:r>
          </w:p>
        </w:tc>
        <w:tc>
          <w:tcPr>
            <w:tcW w:w="1219" w:type="dxa"/>
            <w:vAlign w:val="center"/>
          </w:tcPr>
          <w:p w14:paraId="138CDE71" w14:textId="77777777" w:rsidR="00543D47" w:rsidRPr="00370DFD" w:rsidRDefault="00543D47" w:rsidP="00D9610A">
            <w:pPr>
              <w:rPr>
                <w:rFonts w:cs="Arial"/>
                <w:sz w:val="18"/>
                <w:szCs w:val="18"/>
              </w:rPr>
            </w:pPr>
            <w:r w:rsidRPr="00370DFD">
              <w:rPr>
                <w:rFonts w:cs="Arial"/>
                <w:sz w:val="18"/>
                <w:szCs w:val="18"/>
              </w:rPr>
              <w:t>$3,024,195</w:t>
            </w:r>
          </w:p>
        </w:tc>
        <w:tc>
          <w:tcPr>
            <w:tcW w:w="1060" w:type="dxa"/>
            <w:vAlign w:val="center"/>
          </w:tcPr>
          <w:p w14:paraId="1E3E557E" w14:textId="77777777" w:rsidR="00543D47" w:rsidRPr="00370DFD" w:rsidRDefault="00543D47" w:rsidP="00D9610A">
            <w:pPr>
              <w:rPr>
                <w:rFonts w:cs="Arial"/>
                <w:sz w:val="18"/>
                <w:szCs w:val="18"/>
              </w:rPr>
            </w:pPr>
            <w:r w:rsidRPr="00370DFD">
              <w:rPr>
                <w:rFonts w:cs="Arial"/>
                <w:sz w:val="18"/>
                <w:szCs w:val="18"/>
              </w:rPr>
              <w:t>261,076</w:t>
            </w:r>
          </w:p>
        </w:tc>
        <w:tc>
          <w:tcPr>
            <w:tcW w:w="1060" w:type="dxa"/>
            <w:vAlign w:val="center"/>
          </w:tcPr>
          <w:p w14:paraId="58627E57" w14:textId="77777777" w:rsidR="00543D47" w:rsidRPr="00370DFD" w:rsidRDefault="00543D47" w:rsidP="00D9610A">
            <w:pPr>
              <w:rPr>
                <w:rFonts w:cs="Arial"/>
                <w:sz w:val="18"/>
                <w:szCs w:val="18"/>
              </w:rPr>
            </w:pPr>
            <w:r w:rsidRPr="00370DFD">
              <w:rPr>
                <w:rFonts w:cs="Arial"/>
                <w:sz w:val="18"/>
                <w:szCs w:val="18"/>
              </w:rPr>
              <w:t>245,291</w:t>
            </w:r>
          </w:p>
        </w:tc>
        <w:tc>
          <w:tcPr>
            <w:tcW w:w="1054" w:type="dxa"/>
            <w:vAlign w:val="center"/>
          </w:tcPr>
          <w:p w14:paraId="5595B8F4" w14:textId="77777777" w:rsidR="00543D47" w:rsidRPr="00370DFD" w:rsidRDefault="00543D47" w:rsidP="00D9610A">
            <w:pPr>
              <w:rPr>
                <w:rFonts w:cs="Arial"/>
                <w:sz w:val="18"/>
                <w:szCs w:val="18"/>
              </w:rPr>
            </w:pPr>
            <w:r w:rsidRPr="00370DFD">
              <w:rPr>
                <w:rFonts w:cs="Arial"/>
                <w:sz w:val="18"/>
                <w:szCs w:val="18"/>
              </w:rPr>
              <w:t>-6.5%</w:t>
            </w:r>
          </w:p>
        </w:tc>
      </w:tr>
      <w:tr w:rsidR="00543D47" w:rsidRPr="00370DFD" w14:paraId="12EE17C1" w14:textId="77777777" w:rsidTr="00D9610A">
        <w:trPr>
          <w:cantSplit/>
        </w:trPr>
        <w:tc>
          <w:tcPr>
            <w:tcW w:w="703" w:type="dxa"/>
            <w:vAlign w:val="center"/>
          </w:tcPr>
          <w:p w14:paraId="576D60BF" w14:textId="77777777" w:rsidR="00543D47" w:rsidRPr="00370DFD" w:rsidRDefault="00543D47" w:rsidP="00D9610A">
            <w:pPr>
              <w:rPr>
                <w:rFonts w:cs="Arial"/>
                <w:sz w:val="18"/>
                <w:szCs w:val="18"/>
              </w:rPr>
            </w:pPr>
            <w:r w:rsidRPr="00370DFD">
              <w:rPr>
                <w:rFonts w:cs="Arial"/>
                <w:sz w:val="18"/>
                <w:szCs w:val="18"/>
              </w:rPr>
              <w:t>66509</w:t>
            </w:r>
          </w:p>
        </w:tc>
        <w:tc>
          <w:tcPr>
            <w:tcW w:w="2857" w:type="dxa"/>
            <w:vAlign w:val="center"/>
          </w:tcPr>
          <w:p w14:paraId="1A2574CD" w14:textId="77777777" w:rsidR="00543D47" w:rsidRPr="00370DFD" w:rsidRDefault="00543D47" w:rsidP="00D9610A">
            <w:pPr>
              <w:rPr>
                <w:rFonts w:cs="Arial"/>
                <w:sz w:val="18"/>
                <w:szCs w:val="18"/>
              </w:rPr>
            </w:pPr>
            <w:r w:rsidRPr="00370DFD">
              <w:rPr>
                <w:rFonts w:cs="Arial"/>
                <w:sz w:val="18"/>
                <w:szCs w:val="18"/>
              </w:rPr>
              <w:t>4 tests described in item 66500</w:t>
            </w:r>
          </w:p>
        </w:tc>
        <w:tc>
          <w:tcPr>
            <w:tcW w:w="1066" w:type="dxa"/>
            <w:vAlign w:val="center"/>
          </w:tcPr>
          <w:p w14:paraId="29FEA827" w14:textId="77777777" w:rsidR="00543D47" w:rsidRPr="00370DFD" w:rsidRDefault="00543D47" w:rsidP="00D9610A">
            <w:pPr>
              <w:rPr>
                <w:rFonts w:cs="Arial"/>
                <w:sz w:val="18"/>
                <w:szCs w:val="18"/>
              </w:rPr>
            </w:pPr>
            <w:r w:rsidRPr="00370DFD">
              <w:rPr>
                <w:rFonts w:cs="Arial"/>
                <w:sz w:val="18"/>
                <w:szCs w:val="18"/>
              </w:rPr>
              <w:t>15.65</w:t>
            </w:r>
          </w:p>
        </w:tc>
        <w:tc>
          <w:tcPr>
            <w:tcW w:w="1219" w:type="dxa"/>
            <w:vAlign w:val="center"/>
          </w:tcPr>
          <w:p w14:paraId="2985A52E" w14:textId="77777777" w:rsidR="00543D47" w:rsidRPr="00370DFD" w:rsidRDefault="00543D47" w:rsidP="00D9610A">
            <w:pPr>
              <w:rPr>
                <w:rFonts w:cs="Arial"/>
                <w:sz w:val="18"/>
                <w:szCs w:val="18"/>
              </w:rPr>
            </w:pPr>
            <w:r w:rsidRPr="00370DFD">
              <w:rPr>
                <w:rFonts w:cs="Arial"/>
                <w:sz w:val="18"/>
                <w:szCs w:val="18"/>
              </w:rPr>
              <w:t>$977,610</w:t>
            </w:r>
          </w:p>
        </w:tc>
        <w:tc>
          <w:tcPr>
            <w:tcW w:w="1060" w:type="dxa"/>
            <w:vAlign w:val="center"/>
          </w:tcPr>
          <w:p w14:paraId="071E945B" w14:textId="77777777" w:rsidR="00543D47" w:rsidRPr="00370DFD" w:rsidRDefault="00543D47" w:rsidP="00D9610A">
            <w:pPr>
              <w:rPr>
                <w:rFonts w:cs="Arial"/>
                <w:sz w:val="18"/>
                <w:szCs w:val="18"/>
              </w:rPr>
            </w:pPr>
            <w:r w:rsidRPr="00370DFD">
              <w:rPr>
                <w:rFonts w:cs="Arial"/>
                <w:sz w:val="18"/>
                <w:szCs w:val="18"/>
              </w:rPr>
              <w:t>74,626</w:t>
            </w:r>
          </w:p>
        </w:tc>
        <w:tc>
          <w:tcPr>
            <w:tcW w:w="1060" w:type="dxa"/>
            <w:vAlign w:val="center"/>
          </w:tcPr>
          <w:p w14:paraId="3B2E14D7" w14:textId="77777777" w:rsidR="00543D47" w:rsidRPr="00370DFD" w:rsidRDefault="00543D47" w:rsidP="00D9610A">
            <w:pPr>
              <w:rPr>
                <w:rFonts w:cs="Arial"/>
                <w:sz w:val="18"/>
                <w:szCs w:val="18"/>
              </w:rPr>
            </w:pPr>
            <w:r w:rsidRPr="00370DFD">
              <w:rPr>
                <w:rFonts w:cs="Arial"/>
                <w:sz w:val="18"/>
                <w:szCs w:val="18"/>
              </w:rPr>
              <w:t>66,029</w:t>
            </w:r>
          </w:p>
        </w:tc>
        <w:tc>
          <w:tcPr>
            <w:tcW w:w="1054" w:type="dxa"/>
            <w:vAlign w:val="center"/>
          </w:tcPr>
          <w:p w14:paraId="71E25544" w14:textId="77777777" w:rsidR="00543D47" w:rsidRPr="00370DFD" w:rsidRDefault="00543D47" w:rsidP="00D9610A">
            <w:pPr>
              <w:rPr>
                <w:rFonts w:cs="Arial"/>
                <w:sz w:val="18"/>
                <w:szCs w:val="18"/>
              </w:rPr>
            </w:pPr>
            <w:r w:rsidRPr="00370DFD">
              <w:rPr>
                <w:rFonts w:cs="Arial"/>
                <w:sz w:val="18"/>
                <w:szCs w:val="18"/>
              </w:rPr>
              <w:t>-0.9%</w:t>
            </w:r>
          </w:p>
        </w:tc>
      </w:tr>
      <w:tr w:rsidR="00543D47" w:rsidRPr="00370DFD" w14:paraId="44864FDA" w14:textId="77777777" w:rsidTr="00D9610A">
        <w:trPr>
          <w:cantSplit/>
        </w:trPr>
        <w:tc>
          <w:tcPr>
            <w:tcW w:w="703" w:type="dxa"/>
            <w:vAlign w:val="center"/>
          </w:tcPr>
          <w:p w14:paraId="5311F8F1" w14:textId="77777777" w:rsidR="00543D47" w:rsidRPr="00370DFD" w:rsidRDefault="00543D47" w:rsidP="00D9610A">
            <w:pPr>
              <w:rPr>
                <w:rFonts w:cs="Arial"/>
                <w:sz w:val="18"/>
                <w:szCs w:val="18"/>
              </w:rPr>
            </w:pPr>
            <w:r w:rsidRPr="00370DFD">
              <w:rPr>
                <w:rFonts w:cs="Arial"/>
                <w:sz w:val="18"/>
                <w:szCs w:val="18"/>
              </w:rPr>
              <w:t>66512</w:t>
            </w:r>
          </w:p>
        </w:tc>
        <w:tc>
          <w:tcPr>
            <w:tcW w:w="2857" w:type="dxa"/>
            <w:vAlign w:val="center"/>
          </w:tcPr>
          <w:p w14:paraId="7388075F" w14:textId="77777777" w:rsidR="00543D47" w:rsidRPr="00370DFD" w:rsidRDefault="00543D47" w:rsidP="00D9610A">
            <w:pPr>
              <w:rPr>
                <w:rFonts w:cs="Arial"/>
                <w:sz w:val="18"/>
                <w:szCs w:val="18"/>
              </w:rPr>
            </w:pPr>
            <w:r w:rsidRPr="00370DFD">
              <w:rPr>
                <w:rFonts w:cs="Arial"/>
                <w:sz w:val="18"/>
                <w:szCs w:val="18"/>
              </w:rPr>
              <w:t>5 or more tests described in item 66500</w:t>
            </w:r>
          </w:p>
        </w:tc>
        <w:tc>
          <w:tcPr>
            <w:tcW w:w="1066" w:type="dxa"/>
            <w:vAlign w:val="center"/>
          </w:tcPr>
          <w:p w14:paraId="448FAED6" w14:textId="77777777" w:rsidR="00543D47" w:rsidRPr="00370DFD" w:rsidRDefault="00543D47" w:rsidP="00D9610A">
            <w:pPr>
              <w:rPr>
                <w:rFonts w:cs="Arial"/>
                <w:sz w:val="18"/>
                <w:szCs w:val="18"/>
              </w:rPr>
            </w:pPr>
            <w:r w:rsidRPr="00370DFD">
              <w:rPr>
                <w:rFonts w:cs="Arial"/>
                <w:sz w:val="18"/>
                <w:szCs w:val="18"/>
              </w:rPr>
              <w:t>17.70</w:t>
            </w:r>
          </w:p>
        </w:tc>
        <w:tc>
          <w:tcPr>
            <w:tcW w:w="1219" w:type="dxa"/>
            <w:vAlign w:val="center"/>
          </w:tcPr>
          <w:p w14:paraId="5733342A" w14:textId="77777777" w:rsidR="00543D47" w:rsidRPr="00370DFD" w:rsidRDefault="00543D47" w:rsidP="00D9610A">
            <w:pPr>
              <w:rPr>
                <w:rFonts w:cs="Arial"/>
                <w:sz w:val="18"/>
                <w:szCs w:val="18"/>
              </w:rPr>
            </w:pPr>
            <w:r w:rsidRPr="00370DFD">
              <w:rPr>
                <w:rFonts w:cs="Arial"/>
                <w:sz w:val="18"/>
                <w:szCs w:val="18"/>
              </w:rPr>
              <w:t>$213,288,912</w:t>
            </w:r>
          </w:p>
        </w:tc>
        <w:tc>
          <w:tcPr>
            <w:tcW w:w="1060" w:type="dxa"/>
            <w:vAlign w:val="center"/>
          </w:tcPr>
          <w:p w14:paraId="626502BA" w14:textId="77777777" w:rsidR="00543D47" w:rsidRPr="00370DFD" w:rsidRDefault="00543D47" w:rsidP="00D9610A">
            <w:pPr>
              <w:rPr>
                <w:rFonts w:cs="Arial"/>
                <w:sz w:val="18"/>
                <w:szCs w:val="18"/>
              </w:rPr>
            </w:pPr>
            <w:r w:rsidRPr="00370DFD">
              <w:rPr>
                <w:rFonts w:cs="Arial"/>
                <w:sz w:val="18"/>
                <w:szCs w:val="18"/>
              </w:rPr>
              <w:t>14,459,663</w:t>
            </w:r>
          </w:p>
        </w:tc>
        <w:tc>
          <w:tcPr>
            <w:tcW w:w="1060" w:type="dxa"/>
            <w:vAlign w:val="center"/>
          </w:tcPr>
          <w:p w14:paraId="582680BF" w14:textId="77777777" w:rsidR="00543D47" w:rsidRPr="00370DFD" w:rsidRDefault="00543D47" w:rsidP="00D9610A">
            <w:pPr>
              <w:rPr>
                <w:rFonts w:cs="Arial"/>
                <w:sz w:val="18"/>
                <w:szCs w:val="18"/>
              </w:rPr>
            </w:pPr>
            <w:r w:rsidRPr="00370DFD">
              <w:rPr>
                <w:rFonts w:cs="Arial"/>
                <w:sz w:val="18"/>
                <w:szCs w:val="18"/>
              </w:rPr>
              <w:t>6,654,498</w:t>
            </w:r>
          </w:p>
        </w:tc>
        <w:tc>
          <w:tcPr>
            <w:tcW w:w="1054" w:type="dxa"/>
            <w:vAlign w:val="center"/>
          </w:tcPr>
          <w:p w14:paraId="5825FDCC" w14:textId="77777777" w:rsidR="00543D47" w:rsidRPr="00370DFD" w:rsidRDefault="00543D47" w:rsidP="00D9610A">
            <w:pPr>
              <w:rPr>
                <w:rFonts w:cs="Arial"/>
                <w:sz w:val="18"/>
                <w:szCs w:val="18"/>
              </w:rPr>
            </w:pPr>
            <w:r w:rsidRPr="00370DFD">
              <w:rPr>
                <w:rFonts w:cs="Arial"/>
                <w:sz w:val="18"/>
                <w:szCs w:val="18"/>
              </w:rPr>
              <w:t>4.0%</w:t>
            </w:r>
          </w:p>
        </w:tc>
      </w:tr>
    </w:tbl>
    <w:p w14:paraId="6FB248BE" w14:textId="77777777" w:rsidR="00543D47" w:rsidRDefault="00543D47" w:rsidP="00543D47"/>
    <w:p w14:paraId="259D861B" w14:textId="77777777" w:rsidR="00543D47" w:rsidRDefault="00543D47" w:rsidP="00543D47">
      <w:pPr>
        <w:spacing w:before="0" w:after="0" w:line="240" w:lineRule="auto"/>
        <w:rPr>
          <w:rFonts w:eastAsiaTheme="minorHAnsi" w:cs="Arial"/>
          <w:bCs/>
          <w:i/>
          <w:color w:val="B56012"/>
          <w:szCs w:val="26"/>
          <w:lang w:eastAsia="en-US"/>
        </w:rPr>
      </w:pPr>
      <w:r>
        <w:br w:type="page"/>
      </w:r>
    </w:p>
    <w:p w14:paraId="272E6EA3" w14:textId="77777777" w:rsidR="00543D47" w:rsidRPr="00370DFD" w:rsidRDefault="00543D47" w:rsidP="00543D47">
      <w:pPr>
        <w:pStyle w:val="Heading4"/>
        <w:rPr>
          <w:lang w:val="en-AU"/>
        </w:rPr>
      </w:pPr>
      <w:r w:rsidRPr="00370DFD">
        <w:rPr>
          <w:lang w:val="en-AU"/>
        </w:rPr>
        <w:lastRenderedPageBreak/>
        <w:t>Recommendation</w:t>
      </w:r>
    </w:p>
    <w:p w14:paraId="3B5718DD" w14:textId="77777777" w:rsidR="00543D47" w:rsidRPr="00370DFD" w:rsidRDefault="00543D47" w:rsidP="00543D47">
      <w:pPr>
        <w:rPr>
          <w:lang w:eastAsia="en-US"/>
        </w:rPr>
      </w:pPr>
      <w:r w:rsidRPr="00370DFD">
        <w:rPr>
          <w:lang w:eastAsia="en-US"/>
        </w:rPr>
        <w:t xml:space="preserve">The </w:t>
      </w:r>
      <w:r>
        <w:rPr>
          <w:lang w:eastAsia="en-US"/>
        </w:rPr>
        <w:t xml:space="preserve">Committee </w:t>
      </w:r>
      <w:r w:rsidRPr="00370DFD">
        <w:rPr>
          <w:lang w:eastAsia="en-US"/>
        </w:rPr>
        <w:t>proposes the following:</w:t>
      </w:r>
    </w:p>
    <w:p w14:paraId="1761B23A" w14:textId="77777777" w:rsidR="00543D47" w:rsidRDefault="00543D47" w:rsidP="00543D47">
      <w:pPr>
        <w:pStyle w:val="NormalBulleted"/>
      </w:pPr>
      <w:r>
        <w:rPr>
          <w:lang w:eastAsia="en-US"/>
        </w:rPr>
        <w:t>Introduce three new items that would group some of the tests covered under 66500 into three commonly requested panels. The three panels would cover: electrolytes, urea and creatinine (EUC), liver function tests (LFTs) and calcium, phosphate with albumin. Lipids tests will be taken out of the group and integrated into the HDL item. The tests that are currently covered under 66500 that would be grouped under the three panels are set out in Table 5 underneath</w:t>
      </w:r>
    </w:p>
    <w:p w14:paraId="19FF09AE" w14:textId="77777777" w:rsidR="00543D47" w:rsidRPr="00693180" w:rsidRDefault="00543D47" w:rsidP="00543D47">
      <w:pPr>
        <w:pStyle w:val="NormalBulleted"/>
      </w:pPr>
      <w:r>
        <w:rPr>
          <w:rFonts w:cs="Arial"/>
        </w:rPr>
        <w:t>F</w:t>
      </w:r>
      <w:r w:rsidRPr="00707C48">
        <w:rPr>
          <w:rFonts w:cs="Arial"/>
        </w:rPr>
        <w:t>or each clinical group</w:t>
      </w:r>
      <w:r>
        <w:rPr>
          <w:rFonts w:cs="Arial"/>
        </w:rPr>
        <w:t>,</w:t>
      </w:r>
      <w:r w:rsidRPr="00707C48">
        <w:rPr>
          <w:rFonts w:cs="Arial"/>
        </w:rPr>
        <w:t xml:space="preserve"> </w:t>
      </w:r>
      <w:r>
        <w:rPr>
          <w:rFonts w:cs="Arial"/>
        </w:rPr>
        <w:t>a minimum panel has been developed with laboratories free to add additional tests to the panel if they wish to. Most of the individual tests will also be retained within 66500 to enable requesting of that specific test if needed</w:t>
      </w:r>
      <w:r w:rsidRPr="00707C48">
        <w:rPr>
          <w:rFonts w:cs="Arial"/>
        </w:rPr>
        <w:t xml:space="preserve">. </w:t>
      </w:r>
    </w:p>
    <w:p w14:paraId="68230AEF" w14:textId="77777777" w:rsidR="00543D47" w:rsidRPr="00370DFD" w:rsidRDefault="00543D47" w:rsidP="00543D47">
      <w:pPr>
        <w:pStyle w:val="NormalBulleted"/>
        <w:rPr>
          <w:lang w:eastAsia="en-US"/>
        </w:rPr>
      </w:pPr>
      <w:r w:rsidRPr="00370DFD">
        <w:rPr>
          <w:lang w:eastAsia="en-US"/>
        </w:rPr>
        <w:t>Remove acid phosphatase from item 66500</w:t>
      </w:r>
      <w:r>
        <w:rPr>
          <w:lang w:eastAsia="en-US"/>
        </w:rPr>
        <w:t xml:space="preserve"> as it is a superseded test</w:t>
      </w:r>
      <w:r w:rsidRPr="00370DFD">
        <w:rPr>
          <w:lang w:eastAsia="en-US"/>
        </w:rPr>
        <w:t>.</w:t>
      </w:r>
    </w:p>
    <w:p w14:paraId="236771E8" w14:textId="77777777" w:rsidR="00543D47" w:rsidRPr="00370DFD" w:rsidRDefault="00543D47" w:rsidP="00543D47">
      <w:pPr>
        <w:pStyle w:val="NormalBulleted"/>
        <w:rPr>
          <w:lang w:eastAsia="en-US"/>
        </w:rPr>
      </w:pPr>
      <w:r w:rsidRPr="00370DFD">
        <w:rPr>
          <w:lang w:eastAsia="en-US"/>
        </w:rPr>
        <w:t>Remove globulin from item 66500</w:t>
      </w:r>
      <w:r>
        <w:rPr>
          <w:lang w:eastAsia="en-US"/>
        </w:rPr>
        <w:t xml:space="preserve"> as it is a calculated test.</w:t>
      </w:r>
    </w:p>
    <w:p w14:paraId="52898727" w14:textId="77777777" w:rsidR="00543D47" w:rsidRPr="00424864" w:rsidRDefault="00543D47" w:rsidP="00543D47">
      <w:pPr>
        <w:pStyle w:val="NormalBulleted"/>
        <w:rPr>
          <w:lang w:eastAsia="en-US"/>
        </w:rPr>
      </w:pPr>
      <w:r w:rsidRPr="00424864">
        <w:rPr>
          <w:lang w:eastAsia="en-US"/>
        </w:rPr>
        <w:t xml:space="preserve">Move cholesterol and triglycerides tests from item 66500 and group these with the HDL item 66536 on the Schedule. </w:t>
      </w:r>
    </w:p>
    <w:p w14:paraId="0112D404" w14:textId="77777777" w:rsidR="00543D47" w:rsidRPr="00424864" w:rsidRDefault="00543D47" w:rsidP="00543D47">
      <w:pPr>
        <w:pStyle w:val="NormalBulleted"/>
        <w:rPr>
          <w:lang w:eastAsia="en-US"/>
        </w:rPr>
      </w:pPr>
      <w:r w:rsidRPr="00424864">
        <w:rPr>
          <w:lang w:eastAsia="en-US"/>
        </w:rPr>
        <w:t xml:space="preserve">Retain glucose in list of single tests and do not include it in </w:t>
      </w:r>
      <w:r>
        <w:rPr>
          <w:lang w:eastAsia="en-US"/>
        </w:rPr>
        <w:t xml:space="preserve">the </w:t>
      </w:r>
      <w:r w:rsidRPr="00424864">
        <w:rPr>
          <w:lang w:eastAsia="en-US"/>
        </w:rPr>
        <w:t>new EUC panel</w:t>
      </w:r>
      <w:r>
        <w:rPr>
          <w:lang w:eastAsia="en-US"/>
        </w:rPr>
        <w:t>.</w:t>
      </w:r>
    </w:p>
    <w:p w14:paraId="4A5C3FB2" w14:textId="77777777" w:rsidR="00543D47" w:rsidRPr="00424864" w:rsidRDefault="00543D47" w:rsidP="00543D47">
      <w:pPr>
        <w:pStyle w:val="NormalBulleted"/>
        <w:rPr>
          <w:lang w:eastAsia="en-US"/>
        </w:rPr>
      </w:pPr>
      <w:r w:rsidRPr="00424864">
        <w:rPr>
          <w:lang w:eastAsia="en-US"/>
        </w:rPr>
        <w:t xml:space="preserve">Retain lactate dehydrogenase in list of single tests and not include it in the LFT panel. </w:t>
      </w:r>
    </w:p>
    <w:p w14:paraId="500469E1" w14:textId="77777777" w:rsidR="00543D47" w:rsidRPr="00424864" w:rsidRDefault="00543D47" w:rsidP="00543D47">
      <w:pPr>
        <w:pStyle w:val="NormalBulleted"/>
        <w:rPr>
          <w:lang w:eastAsia="en-US"/>
        </w:rPr>
      </w:pPr>
      <w:r w:rsidRPr="00424864">
        <w:rPr>
          <w:lang w:eastAsia="en-US"/>
        </w:rPr>
        <w:t>Add neonatal bilirubin as a single test for infants</w:t>
      </w:r>
      <w:r>
        <w:rPr>
          <w:lang w:eastAsia="en-US"/>
        </w:rPr>
        <w:t>.</w:t>
      </w:r>
    </w:p>
    <w:p w14:paraId="545EB65A" w14:textId="77777777" w:rsidR="00543D47" w:rsidRDefault="00543D47" w:rsidP="00543D47">
      <w:pPr>
        <w:pStyle w:val="NormalBulleted"/>
        <w:rPr>
          <w:lang w:eastAsia="en-US"/>
        </w:rPr>
      </w:pPr>
      <w:r w:rsidRPr="00424864">
        <w:rPr>
          <w:lang w:eastAsia="en-US"/>
        </w:rPr>
        <w:t>Develop an education program for GPs about the appropriate collection and transport of</w:t>
      </w:r>
      <w:r w:rsidRPr="00370DFD">
        <w:rPr>
          <w:lang w:eastAsia="en-US"/>
        </w:rPr>
        <w:t xml:space="preserve"> samples </w:t>
      </w:r>
      <w:r>
        <w:rPr>
          <w:lang w:eastAsia="en-US"/>
        </w:rPr>
        <w:t xml:space="preserve">(and </w:t>
      </w:r>
      <w:proofErr w:type="gramStart"/>
      <w:r>
        <w:rPr>
          <w:lang w:eastAsia="en-US"/>
        </w:rPr>
        <w:t>in particular glucose</w:t>
      </w:r>
      <w:proofErr w:type="gramEnd"/>
      <w:r>
        <w:rPr>
          <w:lang w:eastAsia="en-US"/>
        </w:rPr>
        <w:t xml:space="preserve"> tests) </w:t>
      </w:r>
      <w:r w:rsidRPr="00370DFD">
        <w:rPr>
          <w:lang w:eastAsia="en-US"/>
        </w:rPr>
        <w:t xml:space="preserve">to ensure </w:t>
      </w:r>
      <w:r>
        <w:rPr>
          <w:lang w:eastAsia="en-US"/>
        </w:rPr>
        <w:t>reliable testing.</w:t>
      </w:r>
    </w:p>
    <w:p w14:paraId="50867DD3" w14:textId="77777777" w:rsidR="00543D47" w:rsidRDefault="00543D47" w:rsidP="00543D47">
      <w:pPr>
        <w:pStyle w:val="NormalBulleted"/>
        <w:rPr>
          <w:rFonts w:cs="Arial"/>
        </w:rPr>
      </w:pPr>
      <w:r w:rsidRPr="00286AE6">
        <w:rPr>
          <w:rFonts w:cs="Arial"/>
        </w:rPr>
        <w:t>P</w:t>
      </w:r>
      <w:r w:rsidRPr="002540D5">
        <w:rPr>
          <w:rFonts w:cs="Arial"/>
        </w:rPr>
        <w:t xml:space="preserve">rovide education to requestors about these changes </w:t>
      </w:r>
      <w:r>
        <w:rPr>
          <w:rFonts w:cs="Arial"/>
        </w:rPr>
        <w:t xml:space="preserve">to item 66500. </w:t>
      </w:r>
      <w:r>
        <w:rPr>
          <w:lang w:eastAsia="en-US"/>
        </w:rPr>
        <w:t>The proposed clinical test groupings will ne</w:t>
      </w:r>
      <w:r w:rsidRPr="0057193B">
        <w:rPr>
          <w:lang w:eastAsia="en-US"/>
        </w:rPr>
        <w:t xml:space="preserve">ed </w:t>
      </w:r>
      <w:r w:rsidRPr="00286AE6">
        <w:rPr>
          <w:rFonts w:cs="Arial"/>
        </w:rPr>
        <w:t>data modelling for funding</w:t>
      </w:r>
      <w:r w:rsidRPr="002540D5">
        <w:rPr>
          <w:rFonts w:cs="Arial"/>
        </w:rPr>
        <w:t xml:space="preserve">, and the Schedule fee structure </w:t>
      </w:r>
      <w:r w:rsidRPr="00286AE6">
        <w:rPr>
          <w:rFonts w:cs="Arial"/>
        </w:rPr>
        <w:t xml:space="preserve">should be considered by the Pathology Business Group. Laboratories </w:t>
      </w:r>
      <w:r>
        <w:rPr>
          <w:rFonts w:cs="Arial"/>
        </w:rPr>
        <w:t>will</w:t>
      </w:r>
      <w:r w:rsidRPr="00286AE6">
        <w:rPr>
          <w:rFonts w:cs="Arial"/>
        </w:rPr>
        <w:t xml:space="preserve"> have to modify their billing systems to account for this change to item 66500.</w:t>
      </w:r>
    </w:p>
    <w:p w14:paraId="5295ED67" w14:textId="77777777" w:rsidR="00543D47" w:rsidRDefault="00543D47" w:rsidP="00543D47">
      <w:pPr>
        <w:spacing w:before="0" w:after="0" w:line="240" w:lineRule="auto"/>
        <w:rPr>
          <w:rFonts w:cs="Arial"/>
        </w:rPr>
      </w:pPr>
      <w:r>
        <w:rPr>
          <w:rFonts w:cs="Arial"/>
        </w:rPr>
        <w:br w:type="page"/>
      </w:r>
    </w:p>
    <w:p w14:paraId="5CC17BE2" w14:textId="77777777" w:rsidR="00543D47" w:rsidRPr="00370DFD" w:rsidRDefault="00543D47" w:rsidP="00543D47">
      <w:pPr>
        <w:pStyle w:val="Caption"/>
      </w:pPr>
      <w:bookmarkStart w:id="74" w:name="_Toc534374905"/>
      <w:r w:rsidRPr="00370DFD">
        <w:lastRenderedPageBreak/>
        <w:t xml:space="preserve">Table </w:t>
      </w:r>
      <w:r>
        <w:t>5</w:t>
      </w:r>
      <w:r w:rsidRPr="00370DFD">
        <w:t>. Recommended clinical groupings of tests in item 66500</w:t>
      </w:r>
      <w:bookmarkEnd w:id="74"/>
    </w:p>
    <w:tbl>
      <w:tblPr>
        <w:tblStyle w:val="GridTable1Light-Accent61"/>
        <w:tblpPr w:leftFromText="180" w:rightFromText="180" w:vertAnchor="text" w:tblpY="1"/>
        <w:tblW w:w="0" w:type="auto"/>
        <w:tblLook w:val="04A0" w:firstRow="1" w:lastRow="0" w:firstColumn="1" w:lastColumn="0" w:noHBand="0" w:noVBand="1"/>
        <w:tblCaption w:val="Table 5. Recommended clinical groupings of tests in item 66500"/>
        <w:tblDescription w:val="Table 5 is a 3 column table. Column 1 lists the clinical groupings, column 2 describes the tests and column 3 lists the item number"/>
      </w:tblPr>
      <w:tblGrid>
        <w:gridCol w:w="2473"/>
        <w:gridCol w:w="3204"/>
        <w:gridCol w:w="3204"/>
      </w:tblGrid>
      <w:tr w:rsidR="00543D47" w:rsidRPr="00370DFD" w14:paraId="1CDDCCC8" w14:textId="77777777" w:rsidTr="00D9610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73" w:type="dxa"/>
          </w:tcPr>
          <w:p w14:paraId="05BA636C" w14:textId="77777777" w:rsidR="00543D47" w:rsidRPr="00870EEC" w:rsidRDefault="00543D47" w:rsidP="00D9610A">
            <w:pPr>
              <w:spacing w:before="0" w:after="0" w:line="240" w:lineRule="auto"/>
              <w:contextualSpacing/>
              <w:rPr>
                <w:rFonts w:cs="Arial"/>
              </w:rPr>
            </w:pPr>
            <w:r w:rsidRPr="00870EEC">
              <w:rPr>
                <w:rFonts w:cs="Arial"/>
              </w:rPr>
              <w:t>Clinical groupings</w:t>
            </w:r>
          </w:p>
        </w:tc>
        <w:tc>
          <w:tcPr>
            <w:tcW w:w="3204" w:type="dxa"/>
          </w:tcPr>
          <w:p w14:paraId="5A84E34D" w14:textId="77777777" w:rsidR="00543D47" w:rsidRPr="00870EEC" w:rsidRDefault="00543D47" w:rsidP="00D9610A">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cs="Arial"/>
              </w:rPr>
            </w:pPr>
            <w:r>
              <w:rPr>
                <w:rFonts w:cs="Arial"/>
              </w:rPr>
              <w:t>T</w:t>
            </w:r>
            <w:r w:rsidRPr="00870EEC">
              <w:rPr>
                <w:rFonts w:cs="Arial"/>
              </w:rPr>
              <w:t>ests</w:t>
            </w:r>
          </w:p>
        </w:tc>
        <w:tc>
          <w:tcPr>
            <w:tcW w:w="3204" w:type="dxa"/>
          </w:tcPr>
          <w:p w14:paraId="3710DC3C" w14:textId="77777777" w:rsidR="00543D47" w:rsidRDefault="00543D47" w:rsidP="00D9610A">
            <w:pPr>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cs="Arial"/>
              </w:rPr>
            </w:pPr>
            <w:r>
              <w:rPr>
                <w:rFonts w:cs="Arial"/>
              </w:rPr>
              <w:t>Item</w:t>
            </w:r>
          </w:p>
        </w:tc>
      </w:tr>
      <w:tr w:rsidR="00543D47" w:rsidRPr="00370DFD" w14:paraId="075C9B15" w14:textId="77777777" w:rsidTr="00D9610A">
        <w:tc>
          <w:tcPr>
            <w:cnfStyle w:val="001000000000" w:firstRow="0" w:lastRow="0" w:firstColumn="1" w:lastColumn="0" w:oddVBand="0" w:evenVBand="0" w:oddHBand="0" w:evenHBand="0" w:firstRowFirstColumn="0" w:firstRowLastColumn="0" w:lastRowFirstColumn="0" w:lastRowLastColumn="0"/>
            <w:tcW w:w="2473" w:type="dxa"/>
          </w:tcPr>
          <w:p w14:paraId="0405C61D" w14:textId="77777777" w:rsidR="00543D47" w:rsidRPr="00525A47" w:rsidRDefault="00543D47" w:rsidP="00D9610A">
            <w:pPr>
              <w:spacing w:before="0" w:after="0" w:line="276" w:lineRule="auto"/>
              <w:contextualSpacing/>
              <w:rPr>
                <w:rFonts w:cs="Arial"/>
                <w:sz w:val="18"/>
                <w:szCs w:val="18"/>
              </w:rPr>
            </w:pPr>
            <w:r w:rsidRPr="00525A47">
              <w:rPr>
                <w:rFonts w:cs="Arial"/>
                <w:sz w:val="18"/>
                <w:szCs w:val="18"/>
              </w:rPr>
              <w:t>Urea, electrolytes, creatinine</w:t>
            </w:r>
          </w:p>
        </w:tc>
        <w:tc>
          <w:tcPr>
            <w:tcW w:w="3204" w:type="dxa"/>
          </w:tcPr>
          <w:p w14:paraId="6C8DF583" w14:textId="77777777" w:rsidR="00543D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bicarbonate </w:t>
            </w:r>
          </w:p>
          <w:p w14:paraId="1D109E86"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sodium</w:t>
            </w:r>
          </w:p>
          <w:p w14:paraId="219E3EF1"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potassium</w:t>
            </w:r>
          </w:p>
          <w:p w14:paraId="4EE1693C"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urea</w:t>
            </w:r>
          </w:p>
          <w:p w14:paraId="388EF9CA" w14:textId="77777777" w:rsidR="00543D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creatinine</w:t>
            </w:r>
          </w:p>
          <w:p w14:paraId="60118FCD"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chloride</w:t>
            </w:r>
          </w:p>
        </w:tc>
        <w:tc>
          <w:tcPr>
            <w:tcW w:w="3204" w:type="dxa"/>
          </w:tcPr>
          <w:p w14:paraId="1CC68803"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New item</w:t>
            </w:r>
          </w:p>
        </w:tc>
      </w:tr>
      <w:tr w:rsidR="00543D47" w:rsidRPr="00370DFD" w14:paraId="0ACDC11A" w14:textId="77777777" w:rsidTr="00D9610A">
        <w:tc>
          <w:tcPr>
            <w:cnfStyle w:val="001000000000" w:firstRow="0" w:lastRow="0" w:firstColumn="1" w:lastColumn="0" w:oddVBand="0" w:evenVBand="0" w:oddHBand="0" w:evenHBand="0" w:firstRowFirstColumn="0" w:firstRowLastColumn="0" w:lastRowFirstColumn="0" w:lastRowLastColumn="0"/>
            <w:tcW w:w="2473" w:type="dxa"/>
          </w:tcPr>
          <w:p w14:paraId="06B62CC1" w14:textId="77777777" w:rsidR="00543D47" w:rsidRPr="00525A47" w:rsidRDefault="00543D47" w:rsidP="00D9610A">
            <w:pPr>
              <w:spacing w:before="0" w:after="0" w:line="276" w:lineRule="auto"/>
              <w:contextualSpacing/>
              <w:rPr>
                <w:sz w:val="18"/>
                <w:szCs w:val="18"/>
              </w:rPr>
            </w:pPr>
            <w:r w:rsidRPr="00525A47">
              <w:rPr>
                <w:sz w:val="18"/>
                <w:szCs w:val="18"/>
              </w:rPr>
              <w:t>Liver function tests</w:t>
            </w:r>
          </w:p>
          <w:p w14:paraId="15DF9D77" w14:textId="77777777" w:rsidR="00543D47" w:rsidRPr="00525A47" w:rsidRDefault="00543D47" w:rsidP="00D9610A">
            <w:pPr>
              <w:pStyle w:val="Bullet1"/>
              <w:spacing w:line="276" w:lineRule="auto"/>
              <w:ind w:hanging="357"/>
              <w:rPr>
                <w:sz w:val="18"/>
                <w:szCs w:val="18"/>
              </w:rPr>
            </w:pPr>
          </w:p>
        </w:tc>
        <w:tc>
          <w:tcPr>
            <w:tcW w:w="3204" w:type="dxa"/>
          </w:tcPr>
          <w:p w14:paraId="3EA89E4B"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alanine aminotransferase</w:t>
            </w:r>
          </w:p>
          <w:p w14:paraId="65CD88B2"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albumin</w:t>
            </w:r>
          </w:p>
          <w:p w14:paraId="1902129F"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alkaline phosphatase</w:t>
            </w:r>
          </w:p>
          <w:p w14:paraId="7F911E32"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bilirubin (total)</w:t>
            </w:r>
          </w:p>
          <w:p w14:paraId="7D406C75"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gamma glutamyl transferase</w:t>
            </w:r>
          </w:p>
          <w:p w14:paraId="2B8DADEE"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total protein</w:t>
            </w:r>
          </w:p>
        </w:tc>
        <w:tc>
          <w:tcPr>
            <w:tcW w:w="3204" w:type="dxa"/>
          </w:tcPr>
          <w:p w14:paraId="75564CD0"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New item</w:t>
            </w:r>
          </w:p>
        </w:tc>
      </w:tr>
      <w:tr w:rsidR="00543D47" w:rsidRPr="00370DFD" w14:paraId="4E76431B" w14:textId="77777777" w:rsidTr="00D9610A">
        <w:tc>
          <w:tcPr>
            <w:cnfStyle w:val="001000000000" w:firstRow="0" w:lastRow="0" w:firstColumn="1" w:lastColumn="0" w:oddVBand="0" w:evenVBand="0" w:oddHBand="0" w:evenHBand="0" w:firstRowFirstColumn="0" w:firstRowLastColumn="0" w:lastRowFirstColumn="0" w:lastRowLastColumn="0"/>
            <w:tcW w:w="2473" w:type="dxa"/>
          </w:tcPr>
          <w:p w14:paraId="1275A78A" w14:textId="77777777" w:rsidR="00543D47" w:rsidRPr="00525A47" w:rsidRDefault="00543D47" w:rsidP="00D9610A">
            <w:pPr>
              <w:spacing w:before="0" w:after="0" w:line="276" w:lineRule="auto"/>
              <w:contextualSpacing/>
              <w:rPr>
                <w:sz w:val="18"/>
                <w:szCs w:val="18"/>
              </w:rPr>
            </w:pPr>
            <w:r w:rsidRPr="00525A47">
              <w:rPr>
                <w:sz w:val="18"/>
                <w:szCs w:val="18"/>
              </w:rPr>
              <w:t>Single tests</w:t>
            </w:r>
          </w:p>
          <w:p w14:paraId="46A9093D" w14:textId="77777777" w:rsidR="00543D47" w:rsidRPr="00525A47" w:rsidRDefault="00543D47" w:rsidP="00D9610A">
            <w:pPr>
              <w:spacing w:before="0" w:after="0" w:line="276" w:lineRule="auto"/>
              <w:contextualSpacing/>
              <w:rPr>
                <w:sz w:val="18"/>
                <w:szCs w:val="18"/>
              </w:rPr>
            </w:pPr>
          </w:p>
        </w:tc>
        <w:tc>
          <w:tcPr>
            <w:tcW w:w="3204" w:type="dxa"/>
          </w:tcPr>
          <w:p w14:paraId="5DD43429"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ammonia</w:t>
            </w:r>
          </w:p>
          <w:p w14:paraId="30E20248"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amylase</w:t>
            </w:r>
          </w:p>
          <w:p w14:paraId="697E4185"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C-reactive protein</w:t>
            </w:r>
          </w:p>
          <w:p w14:paraId="2BA48274"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creatine kinase</w:t>
            </w:r>
          </w:p>
          <w:p w14:paraId="612D6EA3"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glucose</w:t>
            </w:r>
          </w:p>
          <w:p w14:paraId="26FA3C88"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lipase</w:t>
            </w:r>
          </w:p>
          <w:p w14:paraId="68F0F4A9"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magnesium</w:t>
            </w:r>
          </w:p>
          <w:p w14:paraId="7EE6EDA1"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urate</w:t>
            </w:r>
          </w:p>
          <w:p w14:paraId="7C372B73"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neonatal bilirubin</w:t>
            </w:r>
          </w:p>
          <w:p w14:paraId="6B8AE59E" w14:textId="77777777" w:rsidR="00543D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lactate dehydrogenase</w:t>
            </w:r>
          </w:p>
          <w:p w14:paraId="4A97CE91" w14:textId="77777777" w:rsidR="00543D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chloride</w:t>
            </w:r>
          </w:p>
          <w:p w14:paraId="3CDC675E"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aspartate aminotransferase</w:t>
            </w:r>
          </w:p>
        </w:tc>
        <w:tc>
          <w:tcPr>
            <w:tcW w:w="3204" w:type="dxa"/>
          </w:tcPr>
          <w:p w14:paraId="6E76610E"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Item 66500</w:t>
            </w:r>
          </w:p>
        </w:tc>
      </w:tr>
      <w:tr w:rsidR="00543D47" w:rsidRPr="00370DFD" w14:paraId="7B95B0D6" w14:textId="77777777" w:rsidTr="00D9610A">
        <w:tc>
          <w:tcPr>
            <w:cnfStyle w:val="001000000000" w:firstRow="0" w:lastRow="0" w:firstColumn="1" w:lastColumn="0" w:oddVBand="0" w:evenVBand="0" w:oddHBand="0" w:evenHBand="0" w:firstRowFirstColumn="0" w:firstRowLastColumn="0" w:lastRowFirstColumn="0" w:lastRowLastColumn="0"/>
            <w:tcW w:w="2473" w:type="dxa"/>
          </w:tcPr>
          <w:p w14:paraId="29F947BD" w14:textId="77777777" w:rsidR="00543D47" w:rsidRPr="00525A47" w:rsidRDefault="00543D47" w:rsidP="00D9610A">
            <w:pPr>
              <w:spacing w:before="0" w:after="0" w:line="276" w:lineRule="auto"/>
              <w:contextualSpacing/>
              <w:rPr>
                <w:sz w:val="18"/>
                <w:szCs w:val="18"/>
              </w:rPr>
            </w:pPr>
            <w:r w:rsidRPr="00525A47">
              <w:rPr>
                <w:sz w:val="18"/>
                <w:szCs w:val="18"/>
              </w:rPr>
              <w:t xml:space="preserve">Calcium and phosphate </w:t>
            </w:r>
          </w:p>
        </w:tc>
        <w:tc>
          <w:tcPr>
            <w:tcW w:w="3204" w:type="dxa"/>
          </w:tcPr>
          <w:p w14:paraId="5B41EAD6"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calcium</w:t>
            </w:r>
          </w:p>
          <w:p w14:paraId="0ADAF108"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phosphate</w:t>
            </w:r>
          </w:p>
          <w:p w14:paraId="0C5D78DB" w14:textId="77777777" w:rsidR="00543D47" w:rsidRPr="00525A47" w:rsidDel="00E547D2"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525A47">
              <w:rPr>
                <w:sz w:val="18"/>
                <w:szCs w:val="18"/>
              </w:rPr>
              <w:t>albumin</w:t>
            </w:r>
          </w:p>
        </w:tc>
        <w:tc>
          <w:tcPr>
            <w:tcW w:w="3204" w:type="dxa"/>
          </w:tcPr>
          <w:p w14:paraId="78F21ED4" w14:textId="77777777" w:rsidR="00543D47" w:rsidRPr="00525A47" w:rsidRDefault="00543D47" w:rsidP="00D9610A">
            <w:pPr>
              <w:spacing w:before="0" w:after="0" w:line="276"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New item</w:t>
            </w:r>
          </w:p>
        </w:tc>
      </w:tr>
    </w:tbl>
    <w:p w14:paraId="38ADEB77" w14:textId="77777777" w:rsidR="00543D47" w:rsidRDefault="00543D47" w:rsidP="00543D47">
      <w:pPr>
        <w:pStyle w:val="Heading4"/>
      </w:pPr>
      <w:r w:rsidRPr="00370DFD">
        <w:t>Rationale</w:t>
      </w:r>
    </w:p>
    <w:p w14:paraId="032F1976" w14:textId="77777777" w:rsidR="00543D47" w:rsidRPr="00370DFD" w:rsidRDefault="00543D47" w:rsidP="00543D47">
      <w:r>
        <w:t>Recommended changes to these items are based on the following observations.</w:t>
      </w:r>
    </w:p>
    <w:p w14:paraId="40F0868E" w14:textId="77777777" w:rsidR="00543D47" w:rsidRDefault="00543D47" w:rsidP="00543D47">
      <w:pPr>
        <w:pStyle w:val="NormalBulleted"/>
        <w:rPr>
          <w:lang w:eastAsia="en-US"/>
        </w:rPr>
      </w:pPr>
      <w:r w:rsidRPr="00B43A86">
        <w:rPr>
          <w:lang w:eastAsia="en-US"/>
        </w:rPr>
        <w:t xml:space="preserve">These tests are the most frequently requested tests in the chemical pathology schedule. </w:t>
      </w:r>
      <w:proofErr w:type="gramStart"/>
      <w:r w:rsidRPr="00B43A86">
        <w:rPr>
          <w:lang w:eastAsia="en-US"/>
        </w:rPr>
        <w:t>The large majority of</w:t>
      </w:r>
      <w:proofErr w:type="gramEnd"/>
      <w:r w:rsidRPr="00B43A86">
        <w:rPr>
          <w:lang w:eastAsia="en-US"/>
        </w:rPr>
        <w:t xml:space="preserve"> these tests are provided in the item stating 5 or more tests. During the 2014–2015 financial year, there were 773,058 services provided at a cost of $6.3 million for item 66500</w:t>
      </w:r>
      <w:r>
        <w:rPr>
          <w:lang w:eastAsia="en-US"/>
        </w:rPr>
        <w:t xml:space="preserve">, while </w:t>
      </w:r>
      <w:proofErr w:type="gramStart"/>
      <w:r>
        <w:rPr>
          <w:lang w:eastAsia="en-US"/>
        </w:rPr>
        <w:t>the large majority of</w:t>
      </w:r>
      <w:proofErr w:type="gramEnd"/>
      <w:r>
        <w:rPr>
          <w:lang w:eastAsia="en-US"/>
        </w:rPr>
        <w:t xml:space="preserve"> services (</w:t>
      </w:r>
      <w:r w:rsidRPr="00B43A86">
        <w:rPr>
          <w:lang w:eastAsia="en-US"/>
        </w:rPr>
        <w:t>14,459,663 services</w:t>
      </w:r>
      <w:r>
        <w:rPr>
          <w:lang w:eastAsia="en-US"/>
        </w:rPr>
        <w:t>) were provided</w:t>
      </w:r>
      <w:r w:rsidRPr="00B43A86">
        <w:rPr>
          <w:lang w:eastAsia="en-US"/>
        </w:rPr>
        <w:t xml:space="preserve"> for the item 66512 at an outlay of $213,288,912. For item 66500, the most times a patient received this service was 102 and for item 66512, the most times a patient received this service was 206. The main requestors for items 66500–66512 were GPs. Utilisation of item 66500 across States and Territories appear to be equal with the highest </w:t>
      </w:r>
      <w:r>
        <w:rPr>
          <w:lang w:eastAsia="en-US"/>
        </w:rPr>
        <w:t>per capita use of services</w:t>
      </w:r>
      <w:r w:rsidRPr="00B43A86">
        <w:rPr>
          <w:lang w:eastAsia="en-US"/>
        </w:rPr>
        <w:t xml:space="preserve"> seen in Tasmania with 4,321 per 100,000 people and the lowest number in Queensland with 2,283 services per 100,000.</w:t>
      </w:r>
    </w:p>
    <w:p w14:paraId="6666C263" w14:textId="77777777" w:rsidR="00543D47" w:rsidRDefault="00543D47" w:rsidP="00543D47">
      <w:pPr>
        <w:pStyle w:val="NormalBulleted"/>
        <w:rPr>
          <w:lang w:eastAsia="en-US"/>
        </w:rPr>
      </w:pPr>
      <w:r>
        <w:rPr>
          <w:lang w:eastAsia="en-US"/>
        </w:rPr>
        <w:t xml:space="preserve">Item 66500 and the associated ladder items accounted for more than 15 million services and more than $225 million expenditure during the 2014–15 financial </w:t>
      </w:r>
      <w:proofErr w:type="gramStart"/>
      <w:r>
        <w:rPr>
          <w:lang w:eastAsia="en-US"/>
        </w:rPr>
        <w:t>year, and</w:t>
      </w:r>
      <w:proofErr w:type="gramEnd"/>
      <w:r>
        <w:rPr>
          <w:lang w:eastAsia="en-US"/>
        </w:rPr>
        <w:t xml:space="preserve"> include the most commonly requested chemical pathology tests. These tests had been grouped together under item 66500 because modern chemical pathology analysers generally perform any or </w:t>
      </w:r>
      <w:proofErr w:type="gramStart"/>
      <w:r>
        <w:rPr>
          <w:lang w:eastAsia="en-US"/>
        </w:rPr>
        <w:t>all of</w:t>
      </w:r>
      <w:proofErr w:type="gramEnd"/>
      <w:r>
        <w:rPr>
          <w:lang w:eastAsia="en-US"/>
        </w:rPr>
        <w:t xml:space="preserve"> these tests off a single platform from a single sample. However, this grouping does not reflect </w:t>
      </w:r>
      <w:r>
        <w:rPr>
          <w:lang w:eastAsia="en-US"/>
        </w:rPr>
        <w:lastRenderedPageBreak/>
        <w:t xml:space="preserve">common requesting practice. Instead, clinicians commonly request tests as a panel with each panel comprising </w:t>
      </w:r>
      <w:proofErr w:type="gramStart"/>
      <w:r>
        <w:rPr>
          <w:lang w:eastAsia="en-US"/>
        </w:rPr>
        <w:t>a number of</w:t>
      </w:r>
      <w:proofErr w:type="gramEnd"/>
      <w:r>
        <w:rPr>
          <w:lang w:eastAsia="en-US"/>
        </w:rPr>
        <w:t xml:space="preserve"> standard tests that are relevant to a particular clinical question. For instance, liver function tests as a group comprise at least alanine aminotransferase, albumin, alkaline phosphatase, bilirubin, gamma glutamyl transferase and total protein. Aspartate aminotransferase, although less liver specific, is frequently measured in patients with existing hepatitis, as it is useful in the prediction of prognosis of liver cirrhosis.</w:t>
      </w:r>
    </w:p>
    <w:p w14:paraId="0F3C47C7" w14:textId="77777777" w:rsidR="00543D47" w:rsidRDefault="00543D47" w:rsidP="00543D47">
      <w:pPr>
        <w:pStyle w:val="NormalBulleted"/>
        <w:rPr>
          <w:lang w:eastAsia="en-US"/>
        </w:rPr>
      </w:pPr>
      <w:proofErr w:type="gramStart"/>
      <w:r>
        <w:rPr>
          <w:lang w:eastAsia="en-US"/>
        </w:rPr>
        <w:t>A number of</w:t>
      </w:r>
      <w:proofErr w:type="gramEnd"/>
      <w:r>
        <w:rPr>
          <w:lang w:eastAsia="en-US"/>
        </w:rPr>
        <w:t xml:space="preserve"> tests listed in item 66500 have a specific purpose (</w:t>
      </w:r>
      <w:proofErr w:type="spellStart"/>
      <w:r>
        <w:rPr>
          <w:lang w:eastAsia="en-US"/>
        </w:rPr>
        <w:t>eg</w:t>
      </w:r>
      <w:proofErr w:type="spellEnd"/>
      <w:r>
        <w:rPr>
          <w:lang w:eastAsia="en-US"/>
        </w:rPr>
        <w:t xml:space="preserve">, C-reactive protein for the detection of inflammation/infection) as an individual test. </w:t>
      </w:r>
      <w:r w:rsidRPr="00370DFD">
        <w:rPr>
          <w:lang w:eastAsia="en-US"/>
        </w:rPr>
        <w:t xml:space="preserve">The </w:t>
      </w:r>
      <w:r>
        <w:rPr>
          <w:lang w:eastAsia="en-US"/>
        </w:rPr>
        <w:t xml:space="preserve">Committee </w:t>
      </w:r>
      <w:r w:rsidRPr="00370DFD">
        <w:rPr>
          <w:lang w:eastAsia="en-US"/>
        </w:rPr>
        <w:t>considered the clinical value of each test stated in the item descriptor in item 66500.</w:t>
      </w:r>
      <w:r>
        <w:rPr>
          <w:lang w:eastAsia="en-US"/>
        </w:rPr>
        <w:t xml:space="preserve"> Most of the current tests have well-accepted clinical utility. The Committee suggests that there would be merit in moving to a system where the items better align with clinical rather than laboratory practice. Not only would this standardise the tests performed under the three suggested panels but would also enable better use of MBS data to inform public health. </w:t>
      </w:r>
      <w:r>
        <w:rPr>
          <w:rFonts w:cs="Arial"/>
        </w:rPr>
        <w:t>For example, the use of the current item 66500 and associated ladders for lipid testing mean that it is not possible to use MBS data to assess the use of lipid testing in Australia despite important public health implications. Further lipids may be ordered without HDL, which is a crucial part of the lipid panel and required in all clinical risk predictors for patients. Although coning means that the MBS data set is incomplete, with very large volume testing there is still considerable public health value in using MBS data to reveal patterns of usage including overall volumes of testing, patient demographics and rates of repeat testing. None of this is currently available for any of the tests covered under 66500 and the ladder items.</w:t>
      </w:r>
      <w:r w:rsidRPr="00525A47">
        <w:t xml:space="preserve"> </w:t>
      </w:r>
    </w:p>
    <w:p w14:paraId="169A61C8" w14:textId="77777777" w:rsidR="00543D47" w:rsidRPr="00370DFD" w:rsidRDefault="00543D47" w:rsidP="00543D47">
      <w:pPr>
        <w:pStyle w:val="NormalBulleted"/>
        <w:rPr>
          <w:lang w:eastAsia="en-US"/>
        </w:rPr>
      </w:pPr>
      <w:r w:rsidRPr="00424864">
        <w:rPr>
          <w:rFonts w:cs="Arial"/>
        </w:rPr>
        <w:t xml:space="preserve">The </w:t>
      </w:r>
      <w:r>
        <w:rPr>
          <w:rFonts w:cs="Arial"/>
        </w:rPr>
        <w:t>Committee</w:t>
      </w:r>
      <w:r w:rsidRPr="00424864">
        <w:rPr>
          <w:rFonts w:cs="Arial"/>
        </w:rPr>
        <w:t xml:space="preserve"> has recommended that the new items should cover a minimum number of agreed tests and laboratories could add to the panel (under the same item) if they so choose. For each of the proposed panels the </w:t>
      </w:r>
      <w:r>
        <w:rPr>
          <w:rFonts w:cs="Arial"/>
        </w:rPr>
        <w:t>Committee</w:t>
      </w:r>
      <w:r w:rsidRPr="00424864">
        <w:rPr>
          <w:rFonts w:cs="Arial"/>
        </w:rPr>
        <w:t xml:space="preserve"> </w:t>
      </w:r>
      <w:r>
        <w:rPr>
          <w:rFonts w:cs="Arial"/>
        </w:rPr>
        <w:t>has</w:t>
      </w:r>
      <w:r w:rsidRPr="00424864">
        <w:rPr>
          <w:rFonts w:cs="Arial"/>
        </w:rPr>
        <w:t xml:space="preserve"> developed the recommended test panel listed in Table 1 which represent</w:t>
      </w:r>
      <w:r>
        <w:rPr>
          <w:rFonts w:cs="Arial"/>
        </w:rPr>
        <w:t>s</w:t>
      </w:r>
      <w:r w:rsidRPr="00424864">
        <w:rPr>
          <w:rFonts w:cs="Arial"/>
        </w:rPr>
        <w:t xml:space="preserve"> the consensus view of the </w:t>
      </w:r>
      <w:r>
        <w:rPr>
          <w:rFonts w:cs="Arial"/>
        </w:rPr>
        <w:t xml:space="preserve">Committee. </w:t>
      </w:r>
      <w:r w:rsidRPr="00424864">
        <w:rPr>
          <w:rFonts w:cs="Arial"/>
        </w:rPr>
        <w:t xml:space="preserve">For instance, the minimum tests required for a urea, electrolytes, or creatinine group of tests would </w:t>
      </w:r>
      <w:proofErr w:type="gramStart"/>
      <w:r w:rsidRPr="00424864">
        <w:rPr>
          <w:rFonts w:cs="Arial"/>
        </w:rPr>
        <w:t>be:</w:t>
      </w:r>
      <w:proofErr w:type="gramEnd"/>
      <w:r w:rsidRPr="00424864">
        <w:rPr>
          <w:rFonts w:cs="Arial"/>
        </w:rPr>
        <w:t xml:space="preserve"> sodium, bicarbonate, potassium, urea</w:t>
      </w:r>
      <w:r>
        <w:rPr>
          <w:rFonts w:cs="Arial"/>
        </w:rPr>
        <w:t>,</w:t>
      </w:r>
      <w:r w:rsidRPr="00424864">
        <w:rPr>
          <w:rFonts w:cs="Arial"/>
        </w:rPr>
        <w:t xml:space="preserve"> creatinine</w:t>
      </w:r>
      <w:r>
        <w:rPr>
          <w:rFonts w:cs="Arial"/>
        </w:rPr>
        <w:t xml:space="preserve"> and</w:t>
      </w:r>
      <w:r w:rsidRPr="00424864">
        <w:rPr>
          <w:rFonts w:cs="Arial"/>
        </w:rPr>
        <w:t xml:space="preserve"> chloride. For liver function tests, the minimum tests </w:t>
      </w:r>
      <w:r>
        <w:rPr>
          <w:rFonts w:cs="Arial"/>
        </w:rPr>
        <w:t xml:space="preserve">suggested </w:t>
      </w:r>
      <w:proofErr w:type="gramStart"/>
      <w:r>
        <w:rPr>
          <w:rFonts w:cs="Arial"/>
        </w:rPr>
        <w:t>are</w:t>
      </w:r>
      <w:r w:rsidRPr="00424864">
        <w:rPr>
          <w:rFonts w:cs="Arial"/>
        </w:rPr>
        <w:t>:</w:t>
      </w:r>
      <w:proofErr w:type="gramEnd"/>
      <w:r w:rsidRPr="00424864">
        <w:rPr>
          <w:rFonts w:cs="Arial"/>
        </w:rPr>
        <w:t xml:space="preserve"> alanine aminotransferase, albumin, alkaline phosphatase, bilirubin (total), gamma glutamyl transferase, total protein; aspartate aminotransferase should be performed as a reflex test if alanine aminotransferase is abnormal. </w:t>
      </w:r>
    </w:p>
    <w:p w14:paraId="3BA5E9E2" w14:textId="77777777" w:rsidR="00543D47" w:rsidRDefault="00543D47" w:rsidP="00543D47">
      <w:pPr>
        <w:pStyle w:val="NormalBulleted"/>
        <w:rPr>
          <w:lang w:eastAsia="en-US"/>
        </w:rPr>
      </w:pPr>
      <w:r>
        <w:rPr>
          <w:lang w:eastAsia="en-US"/>
        </w:rPr>
        <w:t>The Committee considered w</w:t>
      </w:r>
      <w:r w:rsidRPr="00370DFD">
        <w:rPr>
          <w:lang w:eastAsia="en-US"/>
        </w:rPr>
        <w:t>hether</w:t>
      </w:r>
      <w:r>
        <w:rPr>
          <w:lang w:eastAsia="en-US"/>
        </w:rPr>
        <w:t xml:space="preserve"> glucose should be included in the EUC panel as a means of improving the incidental detection of diabetes, noting that currently serum glucose is commonly reported by laboratories even when not specifically requested. </w:t>
      </w:r>
      <w:r>
        <w:t xml:space="preserve">However, </w:t>
      </w:r>
      <w:r>
        <w:rPr>
          <w:lang w:eastAsia="en-US"/>
        </w:rPr>
        <w:t>g</w:t>
      </w:r>
      <w:r w:rsidRPr="00370DFD">
        <w:rPr>
          <w:lang w:eastAsia="en-US"/>
        </w:rPr>
        <w:t xml:space="preserve">lucose is </w:t>
      </w:r>
      <w:r>
        <w:rPr>
          <w:lang w:eastAsia="en-US"/>
        </w:rPr>
        <w:t>metabolised by red cells</w:t>
      </w:r>
      <w:r w:rsidRPr="00370DFD">
        <w:rPr>
          <w:lang w:eastAsia="en-US"/>
        </w:rPr>
        <w:t xml:space="preserve"> and levels </w:t>
      </w:r>
      <w:r>
        <w:rPr>
          <w:lang w:eastAsia="en-US"/>
        </w:rPr>
        <w:t>fall</w:t>
      </w:r>
      <w:r w:rsidRPr="00370DFD">
        <w:rPr>
          <w:lang w:eastAsia="en-US"/>
        </w:rPr>
        <w:t xml:space="preserve"> when</w:t>
      </w:r>
      <w:r>
        <w:rPr>
          <w:lang w:eastAsia="en-US"/>
        </w:rPr>
        <w:t xml:space="preserve"> there is delay between sampling and processing</w:t>
      </w:r>
      <w:r w:rsidRPr="00370DFD">
        <w:rPr>
          <w:lang w:eastAsia="en-US"/>
        </w:rPr>
        <w:t>. This c</w:t>
      </w:r>
      <w:r>
        <w:rPr>
          <w:lang w:eastAsia="en-US"/>
        </w:rPr>
        <w:t>an</w:t>
      </w:r>
      <w:r w:rsidRPr="00370DFD">
        <w:rPr>
          <w:lang w:eastAsia="en-US"/>
        </w:rPr>
        <w:t xml:space="preserve"> lead to artificially low</w:t>
      </w:r>
      <w:r>
        <w:rPr>
          <w:lang w:eastAsia="en-US"/>
        </w:rPr>
        <w:t>er</w:t>
      </w:r>
      <w:r w:rsidRPr="00370DFD">
        <w:rPr>
          <w:lang w:eastAsia="en-US"/>
        </w:rPr>
        <w:t xml:space="preserve"> readings of glucose and hence missed cases of diabetes. This problem </w:t>
      </w:r>
      <w:r>
        <w:rPr>
          <w:lang w:eastAsia="en-US"/>
        </w:rPr>
        <w:t xml:space="preserve">is minimised </w:t>
      </w:r>
      <w:r w:rsidRPr="00370DFD">
        <w:rPr>
          <w:lang w:eastAsia="en-US"/>
        </w:rPr>
        <w:t>when</w:t>
      </w:r>
      <w:r>
        <w:rPr>
          <w:lang w:eastAsia="en-US"/>
        </w:rPr>
        <w:t xml:space="preserve"> glucose is collected in fluoride oxalate collection tubes with the correct media and stored and transported in ice (to</w:t>
      </w:r>
      <w:r w:rsidRPr="00370DFD">
        <w:rPr>
          <w:lang w:eastAsia="en-US"/>
        </w:rPr>
        <w:t xml:space="preserve"> prevent </w:t>
      </w:r>
      <w:r>
        <w:rPr>
          <w:lang w:eastAsia="en-US"/>
        </w:rPr>
        <w:t>glucose metabolism</w:t>
      </w:r>
      <w:r w:rsidRPr="00370DFD">
        <w:rPr>
          <w:lang w:eastAsia="en-US"/>
        </w:rPr>
        <w:t>) when</w:t>
      </w:r>
      <w:r>
        <w:rPr>
          <w:lang w:eastAsia="en-US"/>
        </w:rPr>
        <w:t xml:space="preserve"> delays are anticipated. For this </w:t>
      </w:r>
      <w:proofErr w:type="gramStart"/>
      <w:r>
        <w:rPr>
          <w:lang w:eastAsia="en-US"/>
        </w:rPr>
        <w:t>reason</w:t>
      </w:r>
      <w:proofErr w:type="gramEnd"/>
      <w:r>
        <w:rPr>
          <w:lang w:eastAsia="en-US"/>
        </w:rPr>
        <w:t xml:space="preserve"> t</w:t>
      </w:r>
      <w:r w:rsidRPr="00370DFD">
        <w:rPr>
          <w:lang w:eastAsia="en-US"/>
        </w:rPr>
        <w:t xml:space="preserve">he </w:t>
      </w:r>
      <w:r>
        <w:rPr>
          <w:lang w:eastAsia="en-US"/>
        </w:rPr>
        <w:t>Committee</w:t>
      </w:r>
      <w:r w:rsidRPr="00370DFD">
        <w:rPr>
          <w:lang w:eastAsia="en-US"/>
        </w:rPr>
        <w:t xml:space="preserve"> recommended that glucose be </w:t>
      </w:r>
      <w:r>
        <w:rPr>
          <w:lang w:eastAsia="en-US"/>
        </w:rPr>
        <w:t xml:space="preserve">retained </w:t>
      </w:r>
      <w:r w:rsidRPr="00370DFD">
        <w:rPr>
          <w:lang w:eastAsia="en-US"/>
        </w:rPr>
        <w:t xml:space="preserve">as a single test </w:t>
      </w:r>
      <w:r>
        <w:rPr>
          <w:lang w:eastAsia="en-US"/>
        </w:rPr>
        <w:t xml:space="preserve">and not included in the EUC panel </w:t>
      </w:r>
      <w:r w:rsidRPr="00370DFD">
        <w:rPr>
          <w:lang w:eastAsia="en-US"/>
        </w:rPr>
        <w:t xml:space="preserve">and proposed that GPs be educated about the appropriate </w:t>
      </w:r>
      <w:r>
        <w:rPr>
          <w:lang w:eastAsia="en-US"/>
        </w:rPr>
        <w:t xml:space="preserve">collection, </w:t>
      </w:r>
      <w:r w:rsidRPr="00370DFD">
        <w:rPr>
          <w:lang w:eastAsia="en-US"/>
        </w:rPr>
        <w:t xml:space="preserve">storage </w:t>
      </w:r>
      <w:r>
        <w:rPr>
          <w:lang w:eastAsia="en-US"/>
        </w:rPr>
        <w:t xml:space="preserve">and transport </w:t>
      </w:r>
      <w:r w:rsidRPr="00370DFD">
        <w:rPr>
          <w:lang w:eastAsia="en-US"/>
        </w:rPr>
        <w:t xml:space="preserve">of samples to </w:t>
      </w:r>
      <w:r>
        <w:rPr>
          <w:lang w:eastAsia="en-US"/>
        </w:rPr>
        <w:t xml:space="preserve">ensure more reliable </w:t>
      </w:r>
      <w:r w:rsidRPr="00370DFD">
        <w:rPr>
          <w:lang w:eastAsia="en-US"/>
        </w:rPr>
        <w:t>results.</w:t>
      </w:r>
    </w:p>
    <w:p w14:paraId="670A4DBA" w14:textId="77777777" w:rsidR="00543D47" w:rsidRPr="000165A1" w:rsidRDefault="00543D47" w:rsidP="00543D47">
      <w:pPr>
        <w:pStyle w:val="NormalBulleted"/>
        <w:rPr>
          <w:rFonts w:cs="Arial"/>
          <w:i/>
        </w:rPr>
      </w:pPr>
      <w:r w:rsidRPr="00F42476">
        <w:lastRenderedPageBreak/>
        <w:t xml:space="preserve">The clinical utility of lactate dehydrogenase as a test was reviewed by the </w:t>
      </w:r>
      <w:r>
        <w:t>Committee</w:t>
      </w:r>
      <w:r w:rsidRPr="00F42476">
        <w:t xml:space="preserve">, as it has been noted that it is associated with high rate of </w:t>
      </w:r>
      <w:proofErr w:type="gramStart"/>
      <w:r w:rsidRPr="00F42476">
        <w:t>false-positives</w:t>
      </w:r>
      <w:proofErr w:type="gramEnd"/>
      <w:r w:rsidRPr="00F42476">
        <w:t>. Lactate dehydrogenase is primarily used for detecting haemolysis</w:t>
      </w:r>
      <w:r>
        <w:t>. It was formerly used to diagnose myocardial</w:t>
      </w:r>
      <w:r w:rsidRPr="00F42476">
        <w:t xml:space="preserve"> infarction, although there are more sensitive and specific tests </w:t>
      </w:r>
      <w:r>
        <w:t>available</w:t>
      </w:r>
      <w:r w:rsidRPr="00F42476">
        <w:t xml:space="preserve">. The </w:t>
      </w:r>
      <w:r>
        <w:t>Committee</w:t>
      </w:r>
      <w:r w:rsidRPr="00F42476">
        <w:t xml:space="preserve"> suggest</w:t>
      </w:r>
      <w:r>
        <w:t>s</w:t>
      </w:r>
      <w:r w:rsidRPr="00F42476">
        <w:t xml:space="preserve"> that lactate dehydrogenase has little clinical value and should not be included in the liver function tests panel, as the test itself does not change the clinical management of liver disease. However, lactate dehydrogenase can be a useful test to detect other conditions, such as </w:t>
      </w:r>
      <w:r>
        <w:t>conditions with increased cell turnover</w:t>
      </w:r>
      <w:r w:rsidRPr="00F42476">
        <w:t xml:space="preserve">. For this reason, the </w:t>
      </w:r>
      <w:r>
        <w:t>Committee</w:t>
      </w:r>
      <w:r w:rsidRPr="00F42476">
        <w:t xml:space="preserve"> recommended that lactate dehydrogenase be retained in the list of available single tests but not be included as one of the liver </w:t>
      </w:r>
      <w:proofErr w:type="gramStart"/>
      <w:r w:rsidRPr="00F42476">
        <w:t>function</w:t>
      </w:r>
      <w:proofErr w:type="gramEnd"/>
      <w:r w:rsidRPr="00F42476">
        <w:t xml:space="preserve"> tests</w:t>
      </w:r>
      <w:r>
        <w:t>.</w:t>
      </w:r>
    </w:p>
    <w:p w14:paraId="1154D57B" w14:textId="77777777" w:rsidR="00543D47" w:rsidRDefault="00543D47" w:rsidP="00543D47">
      <w:pPr>
        <w:pStyle w:val="NormalBulleted"/>
        <w:rPr>
          <w:lang w:eastAsia="en-US"/>
        </w:rPr>
      </w:pPr>
      <w:r>
        <w:rPr>
          <w:lang w:eastAsia="en-US"/>
        </w:rPr>
        <w:t>It was recommended that two tests be removed from item 66500 as they no longer have clinical utility. These are acid phosphatase and globulin.</w:t>
      </w:r>
    </w:p>
    <w:p w14:paraId="7E8E7B4A" w14:textId="77777777" w:rsidR="00543D47" w:rsidRDefault="00543D47" w:rsidP="00543D47">
      <w:pPr>
        <w:pStyle w:val="NormalBulleted"/>
        <w:rPr>
          <w:lang w:eastAsia="en-US"/>
        </w:rPr>
      </w:pPr>
      <w:r w:rsidRPr="00370DFD">
        <w:rPr>
          <w:lang w:eastAsia="en-US"/>
        </w:rPr>
        <w:t xml:space="preserve">Acid phosphatase is rarely requested and may have clinical relevance in </w:t>
      </w:r>
      <w:r>
        <w:rPr>
          <w:lang w:eastAsia="en-US"/>
        </w:rPr>
        <w:t xml:space="preserve">extremely rare </w:t>
      </w:r>
      <w:r w:rsidRPr="00370DFD">
        <w:rPr>
          <w:lang w:eastAsia="en-US"/>
        </w:rPr>
        <w:t xml:space="preserve">patients with </w:t>
      </w:r>
      <w:r>
        <w:rPr>
          <w:lang w:eastAsia="en-US"/>
        </w:rPr>
        <w:t xml:space="preserve">de-differentiated </w:t>
      </w:r>
      <w:r w:rsidRPr="00370DFD">
        <w:rPr>
          <w:lang w:eastAsia="en-US"/>
        </w:rPr>
        <w:t>prostate cancer where prostate</w:t>
      </w:r>
      <w:r>
        <w:rPr>
          <w:lang w:eastAsia="en-US"/>
        </w:rPr>
        <w:t>-</w:t>
      </w:r>
      <w:r w:rsidRPr="00370DFD">
        <w:rPr>
          <w:lang w:eastAsia="en-US"/>
        </w:rPr>
        <w:t xml:space="preserve">specific antigen is unreliable. This patient population is very </w:t>
      </w:r>
      <w:proofErr w:type="gramStart"/>
      <w:r w:rsidRPr="00370DFD">
        <w:rPr>
          <w:lang w:eastAsia="en-US"/>
        </w:rPr>
        <w:t>small</w:t>
      </w:r>
      <w:proofErr w:type="gramEnd"/>
      <w:r w:rsidRPr="00370DFD">
        <w:rPr>
          <w:lang w:eastAsia="en-US"/>
        </w:rPr>
        <w:t xml:space="preserve"> and the </w:t>
      </w:r>
      <w:r>
        <w:rPr>
          <w:lang w:eastAsia="en-US"/>
        </w:rPr>
        <w:t>Committee</w:t>
      </w:r>
      <w:r w:rsidRPr="00370DFD">
        <w:rPr>
          <w:lang w:eastAsia="en-US"/>
        </w:rPr>
        <w:t xml:space="preserve"> recommended the deletion of this test from item 66500. </w:t>
      </w:r>
    </w:p>
    <w:p w14:paraId="3B1CBB25" w14:textId="77777777" w:rsidR="00543D47" w:rsidRDefault="00543D47" w:rsidP="00543D47">
      <w:pPr>
        <w:pStyle w:val="NormalBulleted"/>
        <w:rPr>
          <w:lang w:eastAsia="en-US"/>
        </w:rPr>
      </w:pPr>
      <w:r>
        <w:rPr>
          <w:lang w:eastAsia="en-US"/>
        </w:rPr>
        <w:t xml:space="preserve">The globulin test is a calculation rather than a test and the Committee recommended the deletion of this test from </w:t>
      </w:r>
      <w:r w:rsidRPr="00370DFD">
        <w:rPr>
          <w:lang w:eastAsia="en-US"/>
        </w:rPr>
        <w:t>item 66500</w:t>
      </w:r>
      <w:r>
        <w:rPr>
          <w:lang w:eastAsia="en-US"/>
        </w:rPr>
        <w:t>.</w:t>
      </w:r>
    </w:p>
    <w:p w14:paraId="58445E9F" w14:textId="77777777" w:rsidR="00543D47" w:rsidRPr="00BE5F23" w:rsidRDefault="00543D47" w:rsidP="00543D47">
      <w:pPr>
        <w:rPr>
          <w:lang w:val="en-US" w:eastAsia="en-US"/>
        </w:rPr>
      </w:pPr>
      <w:r>
        <w:t>While the Committee proposed these changes, it recognised that there may be a potential impact on coning as a result of increasing the number of items in the schedule.</w:t>
      </w:r>
    </w:p>
    <w:p w14:paraId="51EECDFB" w14:textId="77777777" w:rsidR="00543D47" w:rsidRPr="00370DFD" w:rsidRDefault="00543D47" w:rsidP="00543D47">
      <w:pPr>
        <w:pStyle w:val="Heading2"/>
        <w:rPr>
          <w:lang w:val="en-AU"/>
        </w:rPr>
      </w:pPr>
      <w:bookmarkStart w:id="75" w:name="_Toc493598486"/>
      <w:bookmarkStart w:id="76" w:name="_Toc493598531"/>
      <w:bookmarkStart w:id="77" w:name="_Toc493599946"/>
      <w:bookmarkStart w:id="78" w:name="_Toc514247618"/>
      <w:bookmarkStart w:id="79" w:name="_Toc454959811"/>
      <w:bookmarkStart w:id="80" w:name="_Toc456613851"/>
      <w:bookmarkEnd w:id="75"/>
      <w:bookmarkEnd w:id="76"/>
      <w:bookmarkEnd w:id="77"/>
      <w:r w:rsidRPr="00370DFD">
        <w:rPr>
          <w:lang w:val="en-AU"/>
        </w:rPr>
        <w:t>Tests done in diagnosing pregnancy and disease in pregnancy</w:t>
      </w:r>
      <w:bookmarkEnd w:id="78"/>
    </w:p>
    <w:p w14:paraId="5160F651" w14:textId="77777777" w:rsidR="00543D47" w:rsidRPr="00370DFD" w:rsidRDefault="00543D47" w:rsidP="00543D47">
      <w:pPr>
        <w:pStyle w:val="Heading3Numbered"/>
        <w:rPr>
          <w:lang w:val="en-AU"/>
        </w:rPr>
      </w:pPr>
      <w:r w:rsidRPr="00370DFD">
        <w:rPr>
          <w:lang w:val="en-AU"/>
        </w:rPr>
        <w:t>Amniotic fluid: item 66749</w:t>
      </w:r>
    </w:p>
    <w:p w14:paraId="0FD65CFE" w14:textId="77777777" w:rsidR="00543D47" w:rsidRPr="00370DFD" w:rsidRDefault="00543D47" w:rsidP="00543D47">
      <w:pPr>
        <w:pStyle w:val="Caption"/>
      </w:pPr>
      <w:bookmarkStart w:id="81" w:name="_Toc534374906"/>
      <w:r w:rsidRPr="00370DFD">
        <w:t xml:space="preserve">Table </w:t>
      </w:r>
      <w:r>
        <w:t>6</w:t>
      </w:r>
      <w:r w:rsidRPr="00370DFD">
        <w:t>. Item introduction table for item 66749</w:t>
      </w:r>
      <w:bookmarkEnd w:id="81"/>
    </w:p>
    <w:tbl>
      <w:tblPr>
        <w:tblStyle w:val="TableGrid4"/>
        <w:tblW w:w="9051"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firstRow="1" w:lastRow="0" w:firstColumn="1" w:lastColumn="0" w:noHBand="0" w:noVBand="1"/>
        <w:tblCaption w:val="Item introduction table for item 66749"/>
        <w:tblDescription w:val="This is a table that contains Medicare Benefits Schedule data for item 66749 for the finanical year 2014–2015. The data includes total volume of services, benefits and services growth over a 5 year period."/>
      </w:tblPr>
      <w:tblGrid>
        <w:gridCol w:w="703"/>
        <w:gridCol w:w="2857"/>
        <w:gridCol w:w="1092"/>
        <w:gridCol w:w="1219"/>
        <w:gridCol w:w="1066"/>
        <w:gridCol w:w="1060"/>
        <w:gridCol w:w="1054"/>
      </w:tblGrid>
      <w:tr w:rsidR="00543D47" w:rsidRPr="00370DFD" w14:paraId="67D82F8A" w14:textId="77777777" w:rsidTr="00D9610A">
        <w:trPr>
          <w:tblHeader/>
        </w:trPr>
        <w:tc>
          <w:tcPr>
            <w:tcW w:w="703" w:type="dxa"/>
            <w:vAlign w:val="center"/>
          </w:tcPr>
          <w:p w14:paraId="2DBA2E67" w14:textId="77777777" w:rsidR="00543D47" w:rsidRPr="00370DFD" w:rsidRDefault="00543D47" w:rsidP="00D9610A">
            <w:pPr>
              <w:rPr>
                <w:rFonts w:cs="Arial"/>
                <w:sz w:val="18"/>
                <w:szCs w:val="18"/>
              </w:rPr>
            </w:pPr>
            <w:r w:rsidRPr="00370DFD">
              <w:rPr>
                <w:rFonts w:cs="Arial"/>
                <w:b/>
                <w:color w:val="000000"/>
                <w:sz w:val="18"/>
                <w:szCs w:val="18"/>
              </w:rPr>
              <w:t>Item</w:t>
            </w:r>
          </w:p>
        </w:tc>
        <w:tc>
          <w:tcPr>
            <w:tcW w:w="2857" w:type="dxa"/>
            <w:vAlign w:val="center"/>
          </w:tcPr>
          <w:p w14:paraId="5A92ECC0" w14:textId="77777777" w:rsidR="00543D47" w:rsidRPr="00370DFD" w:rsidRDefault="00543D47" w:rsidP="00D9610A">
            <w:pPr>
              <w:rPr>
                <w:rFonts w:cs="Arial"/>
                <w:sz w:val="18"/>
                <w:szCs w:val="18"/>
              </w:rPr>
            </w:pPr>
            <w:r w:rsidRPr="00370DFD">
              <w:rPr>
                <w:rFonts w:cs="Arial"/>
                <w:b/>
                <w:color w:val="000000"/>
                <w:sz w:val="18"/>
                <w:szCs w:val="18"/>
              </w:rPr>
              <w:t>Long item descriptor</w:t>
            </w:r>
          </w:p>
        </w:tc>
        <w:tc>
          <w:tcPr>
            <w:tcW w:w="1092" w:type="dxa"/>
            <w:vAlign w:val="center"/>
          </w:tcPr>
          <w:p w14:paraId="51915897" w14:textId="77777777" w:rsidR="00543D47" w:rsidRPr="00370DFD" w:rsidRDefault="00543D47" w:rsidP="00D9610A">
            <w:pPr>
              <w:spacing w:after="0" w:line="240" w:lineRule="auto"/>
              <w:rPr>
                <w:rFonts w:cs="Arial"/>
                <w:sz w:val="18"/>
                <w:szCs w:val="18"/>
              </w:rPr>
            </w:pPr>
            <w:r w:rsidRPr="00370DFD">
              <w:rPr>
                <w:rFonts w:cs="Arial"/>
                <w:b/>
                <w:color w:val="000000"/>
                <w:sz w:val="18"/>
                <w:szCs w:val="18"/>
              </w:rPr>
              <w:t>Schedule</w:t>
            </w:r>
            <w:r>
              <w:rPr>
                <w:rFonts w:cs="Arial"/>
                <w:b/>
                <w:color w:val="000000"/>
                <w:sz w:val="18"/>
                <w:szCs w:val="18"/>
              </w:rPr>
              <w:t xml:space="preserve"> f</w:t>
            </w:r>
            <w:r w:rsidRPr="00370DFD">
              <w:rPr>
                <w:rFonts w:cs="Arial"/>
                <w:b/>
                <w:color w:val="000000"/>
                <w:sz w:val="18"/>
                <w:szCs w:val="18"/>
              </w:rPr>
              <w:t>ee</w:t>
            </w:r>
          </w:p>
        </w:tc>
        <w:tc>
          <w:tcPr>
            <w:tcW w:w="1219" w:type="dxa"/>
            <w:vAlign w:val="center"/>
          </w:tcPr>
          <w:p w14:paraId="500086B3" w14:textId="77777777" w:rsidR="00543D47" w:rsidRPr="00370DFD" w:rsidRDefault="00543D47" w:rsidP="00D9610A">
            <w:pPr>
              <w:rPr>
                <w:rFonts w:cs="Arial"/>
                <w:sz w:val="18"/>
                <w:szCs w:val="18"/>
              </w:rPr>
            </w:pPr>
            <w:r w:rsidRPr="00370DFD">
              <w:rPr>
                <w:rFonts w:cs="Arial"/>
                <w:b/>
                <w:color w:val="000000"/>
                <w:sz w:val="18"/>
                <w:szCs w:val="18"/>
              </w:rPr>
              <w:t xml:space="preserve">Benefits </w:t>
            </w:r>
            <w:r>
              <w:rPr>
                <w:rFonts w:cs="Arial"/>
                <w:b/>
                <w:color w:val="000000"/>
                <w:sz w:val="18"/>
                <w:szCs w:val="18"/>
              </w:rPr>
              <w:br/>
            </w:r>
            <w:r w:rsidRPr="00370DFD">
              <w:rPr>
                <w:rFonts w:cs="Arial"/>
                <w:b/>
                <w:color w:val="000000"/>
                <w:sz w:val="18"/>
                <w:szCs w:val="18"/>
              </w:rPr>
              <w:t>FY</w:t>
            </w:r>
            <w:r>
              <w:rPr>
                <w:rFonts w:cs="Arial"/>
                <w:b/>
                <w:color w:val="000000"/>
                <w:sz w:val="18"/>
                <w:szCs w:val="18"/>
              </w:rPr>
              <w:t xml:space="preserve"> </w:t>
            </w:r>
            <w:r w:rsidRPr="00370DFD">
              <w:rPr>
                <w:rFonts w:cs="Arial"/>
                <w:b/>
                <w:color w:val="000000"/>
                <w:sz w:val="18"/>
                <w:szCs w:val="18"/>
              </w:rPr>
              <w:t>2014-15</w:t>
            </w:r>
          </w:p>
        </w:tc>
        <w:tc>
          <w:tcPr>
            <w:tcW w:w="1066" w:type="dxa"/>
            <w:vAlign w:val="center"/>
          </w:tcPr>
          <w:p w14:paraId="3F3C65CE" w14:textId="77777777" w:rsidR="00543D47" w:rsidRPr="00370DFD" w:rsidRDefault="00543D47" w:rsidP="00D9610A">
            <w:pPr>
              <w:rPr>
                <w:rFonts w:cs="Arial"/>
                <w:sz w:val="18"/>
                <w:szCs w:val="18"/>
              </w:rPr>
            </w:pPr>
            <w:r w:rsidRPr="00370DFD">
              <w:rPr>
                <w:rFonts w:cs="Arial"/>
                <w:b/>
                <w:color w:val="000000"/>
                <w:sz w:val="18"/>
                <w:szCs w:val="18"/>
              </w:rPr>
              <w:t xml:space="preserve">Services </w:t>
            </w:r>
            <w:r>
              <w:rPr>
                <w:rFonts w:cs="Arial"/>
                <w:b/>
                <w:color w:val="000000"/>
                <w:sz w:val="18"/>
                <w:szCs w:val="18"/>
              </w:rPr>
              <w:br/>
            </w:r>
            <w:r w:rsidRPr="00370DFD">
              <w:rPr>
                <w:rFonts w:cs="Arial"/>
                <w:b/>
                <w:color w:val="000000"/>
                <w:sz w:val="18"/>
                <w:szCs w:val="18"/>
              </w:rPr>
              <w:t>FY</w:t>
            </w:r>
            <w:r>
              <w:rPr>
                <w:rFonts w:cs="Arial"/>
                <w:b/>
                <w:color w:val="000000"/>
                <w:sz w:val="18"/>
                <w:szCs w:val="18"/>
              </w:rPr>
              <w:t xml:space="preserve"> </w:t>
            </w:r>
            <w:r w:rsidRPr="00370DFD">
              <w:rPr>
                <w:rFonts w:cs="Arial"/>
                <w:b/>
                <w:color w:val="000000"/>
                <w:sz w:val="18"/>
                <w:szCs w:val="18"/>
              </w:rPr>
              <w:t>2014-15</w:t>
            </w:r>
          </w:p>
        </w:tc>
        <w:tc>
          <w:tcPr>
            <w:tcW w:w="1060" w:type="dxa"/>
            <w:vAlign w:val="center"/>
          </w:tcPr>
          <w:p w14:paraId="0B1A7571" w14:textId="77777777" w:rsidR="00543D47" w:rsidRPr="00370DFD" w:rsidRDefault="00543D47" w:rsidP="00D9610A">
            <w:pPr>
              <w:rPr>
                <w:rFonts w:cs="Arial"/>
                <w:sz w:val="18"/>
                <w:szCs w:val="18"/>
              </w:rPr>
            </w:pPr>
            <w:r w:rsidRPr="00370DFD">
              <w:rPr>
                <w:rFonts w:cs="Arial"/>
                <w:b/>
                <w:color w:val="000000"/>
                <w:sz w:val="18"/>
                <w:szCs w:val="18"/>
              </w:rPr>
              <w:t>Patient count 2014-15</w:t>
            </w:r>
          </w:p>
        </w:tc>
        <w:tc>
          <w:tcPr>
            <w:tcW w:w="1054" w:type="dxa"/>
            <w:vAlign w:val="center"/>
          </w:tcPr>
          <w:p w14:paraId="11182F38" w14:textId="77777777" w:rsidR="00543D47" w:rsidRPr="00370DFD" w:rsidRDefault="00543D47" w:rsidP="00D9610A">
            <w:pPr>
              <w:rPr>
                <w:rFonts w:cs="Arial"/>
                <w:sz w:val="18"/>
                <w:szCs w:val="18"/>
              </w:rPr>
            </w:pPr>
            <w:r w:rsidRPr="00370DFD">
              <w:rPr>
                <w:rFonts w:cs="Arial"/>
                <w:b/>
                <w:color w:val="000000"/>
                <w:sz w:val="18"/>
                <w:szCs w:val="18"/>
              </w:rPr>
              <w:t>5</w:t>
            </w:r>
            <w:r>
              <w:rPr>
                <w:rFonts w:cs="Arial"/>
                <w:b/>
                <w:color w:val="000000"/>
                <w:sz w:val="18"/>
                <w:szCs w:val="18"/>
              </w:rPr>
              <w:t>-</w:t>
            </w:r>
            <w:r w:rsidRPr="00370DFD">
              <w:rPr>
                <w:rFonts w:cs="Arial"/>
                <w:b/>
                <w:color w:val="000000"/>
                <w:sz w:val="18"/>
                <w:szCs w:val="18"/>
              </w:rPr>
              <w:t>year service change % (CAGR)</w:t>
            </w:r>
          </w:p>
        </w:tc>
      </w:tr>
      <w:tr w:rsidR="00543D47" w:rsidRPr="00370DFD" w14:paraId="5F46B984" w14:textId="77777777" w:rsidTr="00D9610A">
        <w:trPr>
          <w:tblHeader/>
        </w:trPr>
        <w:tc>
          <w:tcPr>
            <w:tcW w:w="703" w:type="dxa"/>
          </w:tcPr>
          <w:p w14:paraId="6BA4A3D0" w14:textId="77777777" w:rsidR="00543D47" w:rsidRPr="00370DFD" w:rsidRDefault="00543D47" w:rsidP="00D9610A">
            <w:pPr>
              <w:rPr>
                <w:rFonts w:cs="Arial"/>
                <w:sz w:val="18"/>
                <w:szCs w:val="18"/>
              </w:rPr>
            </w:pPr>
            <w:r w:rsidRPr="00370DFD">
              <w:rPr>
                <w:rFonts w:cs="Arial"/>
                <w:sz w:val="18"/>
                <w:szCs w:val="18"/>
              </w:rPr>
              <w:t>66749</w:t>
            </w:r>
          </w:p>
        </w:tc>
        <w:tc>
          <w:tcPr>
            <w:tcW w:w="2857" w:type="dxa"/>
          </w:tcPr>
          <w:p w14:paraId="262D44DF" w14:textId="77777777" w:rsidR="00543D47" w:rsidRPr="00370DFD" w:rsidRDefault="00543D47" w:rsidP="00D9610A">
            <w:pPr>
              <w:rPr>
                <w:rFonts w:cs="Arial"/>
                <w:sz w:val="18"/>
                <w:szCs w:val="18"/>
              </w:rPr>
            </w:pPr>
            <w:r w:rsidRPr="00370DFD">
              <w:rPr>
                <w:rFonts w:cs="Arial"/>
                <w:sz w:val="18"/>
                <w:szCs w:val="18"/>
              </w:rPr>
              <w:t>Amniotic fluid, spectrophotometric examination of, and quantitation of: (a) lecithin/sphingomyelin ratio; or (b) palmitic acid, phosphatidylglycerol or lamellar body phospholipid; or (c) bilirubin, including correction for haemoglobin 1 or more tests</w:t>
            </w:r>
          </w:p>
        </w:tc>
        <w:tc>
          <w:tcPr>
            <w:tcW w:w="1092" w:type="dxa"/>
          </w:tcPr>
          <w:p w14:paraId="31B7DE7A" w14:textId="77777777" w:rsidR="00543D47" w:rsidRPr="00370DFD" w:rsidRDefault="00543D47" w:rsidP="00D9610A">
            <w:pPr>
              <w:rPr>
                <w:rFonts w:cs="Arial"/>
                <w:sz w:val="18"/>
                <w:szCs w:val="18"/>
              </w:rPr>
            </w:pPr>
            <w:r w:rsidRPr="00370DFD">
              <w:rPr>
                <w:rFonts w:cs="Arial"/>
                <w:sz w:val="18"/>
                <w:szCs w:val="18"/>
              </w:rPr>
              <w:t>32.95</w:t>
            </w:r>
          </w:p>
        </w:tc>
        <w:tc>
          <w:tcPr>
            <w:tcW w:w="1219" w:type="dxa"/>
          </w:tcPr>
          <w:p w14:paraId="75DEC263" w14:textId="77777777" w:rsidR="00543D47" w:rsidRPr="00370DFD" w:rsidRDefault="00543D47" w:rsidP="00D9610A">
            <w:pPr>
              <w:rPr>
                <w:rFonts w:cs="Arial"/>
                <w:sz w:val="18"/>
                <w:szCs w:val="18"/>
              </w:rPr>
            </w:pPr>
            <w:r w:rsidRPr="00370DFD">
              <w:rPr>
                <w:rFonts w:cs="Arial"/>
                <w:sz w:val="18"/>
                <w:szCs w:val="18"/>
              </w:rPr>
              <w:t>$1,283</w:t>
            </w:r>
          </w:p>
        </w:tc>
        <w:tc>
          <w:tcPr>
            <w:tcW w:w="1066" w:type="dxa"/>
          </w:tcPr>
          <w:p w14:paraId="7DD44885" w14:textId="77777777" w:rsidR="00543D47" w:rsidRPr="00370DFD" w:rsidRDefault="00543D47" w:rsidP="00D9610A">
            <w:pPr>
              <w:rPr>
                <w:rFonts w:cs="Arial"/>
                <w:sz w:val="18"/>
                <w:szCs w:val="18"/>
              </w:rPr>
            </w:pPr>
            <w:r w:rsidRPr="00370DFD">
              <w:rPr>
                <w:rFonts w:cs="Arial"/>
                <w:sz w:val="18"/>
                <w:szCs w:val="18"/>
              </w:rPr>
              <w:t>46</w:t>
            </w:r>
          </w:p>
        </w:tc>
        <w:tc>
          <w:tcPr>
            <w:tcW w:w="1060" w:type="dxa"/>
          </w:tcPr>
          <w:p w14:paraId="53EF208F" w14:textId="77777777" w:rsidR="00543D47" w:rsidRPr="00370DFD" w:rsidRDefault="00543D47" w:rsidP="00D9610A">
            <w:pPr>
              <w:rPr>
                <w:rFonts w:cs="Arial"/>
                <w:sz w:val="18"/>
                <w:szCs w:val="18"/>
              </w:rPr>
            </w:pPr>
            <w:r w:rsidRPr="00370DFD">
              <w:rPr>
                <w:rFonts w:cs="Arial"/>
                <w:sz w:val="18"/>
                <w:szCs w:val="18"/>
              </w:rPr>
              <w:t>33</w:t>
            </w:r>
          </w:p>
        </w:tc>
        <w:tc>
          <w:tcPr>
            <w:tcW w:w="1054" w:type="dxa"/>
          </w:tcPr>
          <w:p w14:paraId="17C0ECBC" w14:textId="77777777" w:rsidR="00543D47" w:rsidRPr="00370DFD" w:rsidRDefault="00543D47" w:rsidP="00D9610A">
            <w:pPr>
              <w:rPr>
                <w:rFonts w:cs="Arial"/>
                <w:sz w:val="18"/>
                <w:szCs w:val="18"/>
              </w:rPr>
            </w:pPr>
            <w:r w:rsidRPr="00370DFD">
              <w:rPr>
                <w:rFonts w:cs="Arial"/>
                <w:sz w:val="18"/>
                <w:szCs w:val="18"/>
              </w:rPr>
              <w:t>14.9%</w:t>
            </w:r>
          </w:p>
        </w:tc>
      </w:tr>
    </w:tbl>
    <w:p w14:paraId="3747F943" w14:textId="77777777" w:rsidR="00543D47" w:rsidRPr="00370DFD" w:rsidRDefault="00543D47" w:rsidP="00543D47">
      <w:pPr>
        <w:pStyle w:val="Heading4"/>
        <w:rPr>
          <w:lang w:val="en-AU"/>
        </w:rPr>
      </w:pPr>
      <w:r w:rsidRPr="00370DFD">
        <w:rPr>
          <w:lang w:val="en-AU"/>
        </w:rPr>
        <w:t>Recommendation</w:t>
      </w:r>
    </w:p>
    <w:p w14:paraId="5F323FED" w14:textId="77777777" w:rsidR="00543D47" w:rsidRPr="00370DFD" w:rsidRDefault="00543D47" w:rsidP="00543D47">
      <w:pPr>
        <w:rPr>
          <w:lang w:eastAsia="en-US"/>
        </w:rPr>
      </w:pPr>
      <w:r w:rsidRPr="00370DFD">
        <w:rPr>
          <w:lang w:eastAsia="en-US"/>
        </w:rPr>
        <w:t xml:space="preserve">The </w:t>
      </w:r>
      <w:r>
        <w:rPr>
          <w:lang w:eastAsia="en-US"/>
        </w:rPr>
        <w:t>Committee</w:t>
      </w:r>
      <w:r w:rsidRPr="00370DFD">
        <w:rPr>
          <w:lang w:eastAsia="en-US"/>
        </w:rPr>
        <w:t xml:space="preserve"> proposes the following:</w:t>
      </w:r>
    </w:p>
    <w:p w14:paraId="25CB56F8" w14:textId="77777777" w:rsidR="00543D47" w:rsidRPr="00370DFD" w:rsidRDefault="00543D47" w:rsidP="00543D47">
      <w:pPr>
        <w:pStyle w:val="NormalBulleted"/>
        <w:rPr>
          <w:lang w:eastAsia="en-US"/>
        </w:rPr>
      </w:pPr>
      <w:r w:rsidRPr="00370DFD">
        <w:rPr>
          <w:lang w:eastAsia="en-US"/>
        </w:rPr>
        <w:lastRenderedPageBreak/>
        <w:t>Delete item 66749 from the MBS Schedule.</w:t>
      </w:r>
    </w:p>
    <w:p w14:paraId="04D422D7" w14:textId="77777777" w:rsidR="00543D47" w:rsidRPr="00370DFD" w:rsidRDefault="00543D47" w:rsidP="00543D47">
      <w:pPr>
        <w:pStyle w:val="Heading4"/>
        <w:rPr>
          <w:lang w:val="en-AU"/>
        </w:rPr>
      </w:pPr>
      <w:r w:rsidRPr="00370DFD">
        <w:rPr>
          <w:lang w:val="en-AU"/>
        </w:rPr>
        <w:t>Rationale</w:t>
      </w:r>
    </w:p>
    <w:p w14:paraId="5949552A" w14:textId="77777777" w:rsidR="00543D47" w:rsidRPr="00370DFD" w:rsidRDefault="00543D47" w:rsidP="00543D47">
      <w:pPr>
        <w:pStyle w:val="NormalBulleted"/>
        <w:rPr>
          <w:lang w:eastAsia="en-US"/>
        </w:rPr>
      </w:pPr>
      <w:r w:rsidRPr="00370DFD">
        <w:t xml:space="preserve">During the 2014–2015 financial year, there </w:t>
      </w:r>
      <w:r>
        <w:t xml:space="preserve">were </w:t>
      </w:r>
      <w:r w:rsidRPr="00370DFD">
        <w:t>46 services provided at a cost of $1,238 for item 66749.</w:t>
      </w:r>
      <w:r>
        <w:rPr>
          <w:rStyle w:val="NormalBulletedChar"/>
        </w:rPr>
        <w:t xml:space="preserve"> </w:t>
      </w:r>
      <w:r w:rsidRPr="00370DFD">
        <w:rPr>
          <w:rStyle w:val="NormalBulletedChar"/>
        </w:rPr>
        <w:t xml:space="preserve">The test is </w:t>
      </w:r>
      <w:r>
        <w:rPr>
          <w:rStyle w:val="NormalBulletedChar"/>
        </w:rPr>
        <w:t xml:space="preserve">only </w:t>
      </w:r>
      <w:r w:rsidRPr="00370DFD">
        <w:rPr>
          <w:rStyle w:val="NormalBulletedChar"/>
        </w:rPr>
        <w:t xml:space="preserve">performed in major cities, with the majority performed </w:t>
      </w:r>
      <w:r>
        <w:rPr>
          <w:rStyle w:val="NormalBulletedChar"/>
        </w:rPr>
        <w:t xml:space="preserve">at one site </w:t>
      </w:r>
      <w:r w:rsidRPr="00370DFD">
        <w:rPr>
          <w:rStyle w:val="NormalBulletedChar"/>
        </w:rPr>
        <w:t xml:space="preserve">in Victoria. Item 66749 is a test to measure foetal lung maturity and is used when deciding whether to deliver the foetus or wait longer to allow the lungs to develop. The item is split into </w:t>
      </w:r>
      <w:r>
        <w:rPr>
          <w:rStyle w:val="NormalBulletedChar"/>
        </w:rPr>
        <w:t>three</w:t>
      </w:r>
      <w:r w:rsidRPr="00370DFD">
        <w:rPr>
          <w:rStyle w:val="NormalBulletedChar"/>
        </w:rPr>
        <w:t xml:space="preserve"> tests and the specific use of each test can’t be determined. The lecithin: sphingomyelin ratio test is no longer used in clinical practice.</w:t>
      </w:r>
    </w:p>
    <w:p w14:paraId="6D551BE6" w14:textId="77777777" w:rsidR="00543D47" w:rsidRPr="0057193B" w:rsidRDefault="00543D47" w:rsidP="00543D47">
      <w:pPr>
        <w:pStyle w:val="NormalBulleted"/>
        <w:rPr>
          <w:lang w:eastAsia="en-US"/>
        </w:rPr>
      </w:pPr>
      <w:r>
        <w:rPr>
          <w:lang w:eastAsia="en-US"/>
        </w:rPr>
        <w:t xml:space="preserve">Although this item is currently </w:t>
      </w:r>
      <w:r w:rsidRPr="00370DFD">
        <w:rPr>
          <w:lang w:eastAsia="en-US"/>
        </w:rPr>
        <w:t xml:space="preserve">requested by </w:t>
      </w:r>
      <w:r>
        <w:rPr>
          <w:lang w:eastAsia="en-US"/>
        </w:rPr>
        <w:t>obstetricians</w:t>
      </w:r>
      <w:r w:rsidRPr="00370DFD">
        <w:rPr>
          <w:lang w:eastAsia="en-US"/>
        </w:rPr>
        <w:t xml:space="preserve">, there are no guidelines from Royal Australian and New Zealand College of Obstetricians and Gynaecologists (RANZCOG) on the use of this item and the subsequent </w:t>
      </w:r>
      <w:r>
        <w:rPr>
          <w:lang w:eastAsia="en-US"/>
        </w:rPr>
        <w:t xml:space="preserve">follow-up </w:t>
      </w:r>
      <w:r w:rsidRPr="00370DFD">
        <w:rPr>
          <w:lang w:eastAsia="en-US"/>
        </w:rPr>
        <w:t xml:space="preserve">tests. The </w:t>
      </w:r>
      <w:r>
        <w:rPr>
          <w:lang w:eastAsia="en-US"/>
        </w:rPr>
        <w:t>Committee</w:t>
      </w:r>
      <w:r w:rsidRPr="00370DFD">
        <w:rPr>
          <w:lang w:eastAsia="en-US"/>
        </w:rPr>
        <w:t xml:space="preserve"> sought expert advice from the Obstetrics and Gynaecology Clinical Committee on the clinical appropriateness of this test</w:t>
      </w:r>
      <w:r>
        <w:rPr>
          <w:lang w:eastAsia="en-US"/>
        </w:rPr>
        <w:t xml:space="preserve">. They advised </w:t>
      </w:r>
      <w:r w:rsidRPr="00370DFD">
        <w:rPr>
          <w:lang w:eastAsia="en-US"/>
        </w:rPr>
        <w:t xml:space="preserve">that the test is </w:t>
      </w:r>
      <w:r>
        <w:rPr>
          <w:lang w:eastAsia="en-US"/>
        </w:rPr>
        <w:t>used infrequently, bu</w:t>
      </w:r>
      <w:r w:rsidRPr="0057193B">
        <w:rPr>
          <w:lang w:eastAsia="en-US"/>
        </w:rPr>
        <w:t xml:space="preserve">t </w:t>
      </w:r>
      <w:r>
        <w:rPr>
          <w:lang w:eastAsia="en-US"/>
        </w:rPr>
        <w:t xml:space="preserve">that it </w:t>
      </w:r>
      <w:r w:rsidRPr="0057193B">
        <w:rPr>
          <w:lang w:eastAsia="en-US"/>
        </w:rPr>
        <w:t>can be helpful in a small group of patients</w:t>
      </w:r>
      <w:r>
        <w:rPr>
          <w:lang w:eastAsia="en-US"/>
        </w:rPr>
        <w:t xml:space="preserve">. </w:t>
      </w:r>
      <w:proofErr w:type="gramStart"/>
      <w:r>
        <w:rPr>
          <w:lang w:eastAsia="en-US"/>
        </w:rPr>
        <w:t>However</w:t>
      </w:r>
      <w:proofErr w:type="gramEnd"/>
      <w:r>
        <w:rPr>
          <w:lang w:eastAsia="en-US"/>
        </w:rPr>
        <w:t xml:space="preserve"> this advice did not explain why this item is only used in one site in Victoria</w:t>
      </w:r>
      <w:r w:rsidRPr="0057193B">
        <w:rPr>
          <w:lang w:eastAsia="en-US"/>
        </w:rPr>
        <w:t>.</w:t>
      </w:r>
    </w:p>
    <w:p w14:paraId="751C391E" w14:textId="77777777" w:rsidR="00543D47" w:rsidRDefault="00543D47" w:rsidP="00543D47">
      <w:pPr>
        <w:pStyle w:val="NormalBulleted"/>
        <w:rPr>
          <w:lang w:eastAsia="en-US"/>
        </w:rPr>
      </w:pPr>
      <w:r w:rsidRPr="000721C1">
        <w:rPr>
          <w:lang w:eastAsia="en-US"/>
        </w:rPr>
        <w:t xml:space="preserve">The </w:t>
      </w:r>
      <w:r>
        <w:rPr>
          <w:lang w:eastAsia="en-US"/>
        </w:rPr>
        <w:t>Committee</w:t>
      </w:r>
      <w:r w:rsidRPr="000721C1">
        <w:rPr>
          <w:lang w:eastAsia="en-US"/>
        </w:rPr>
        <w:t xml:space="preserve"> undertook a review of internationa</w:t>
      </w:r>
      <w:r w:rsidRPr="0057193B">
        <w:rPr>
          <w:lang w:eastAsia="en-US"/>
        </w:rPr>
        <w:t xml:space="preserve">l clinical guidelines </w:t>
      </w:r>
      <w:r w:rsidRPr="000721C1">
        <w:rPr>
          <w:lang w:eastAsia="en-US"/>
        </w:rPr>
        <w:t>regarding the use of this test in clinical practice.</w:t>
      </w:r>
      <w:r>
        <w:rPr>
          <w:lang w:eastAsia="en-US"/>
        </w:rPr>
        <w:t xml:space="preserve"> </w:t>
      </w:r>
      <w:r w:rsidRPr="000721C1">
        <w:rPr>
          <w:lang w:eastAsia="en-US"/>
        </w:rPr>
        <w:t xml:space="preserve">A clinical paper published in </w:t>
      </w:r>
      <w:r w:rsidRPr="00BA5F0C">
        <w:rPr>
          <w:i/>
          <w:lang w:eastAsia="en-US"/>
        </w:rPr>
        <w:t xml:space="preserve">Reviews in Obstetrics and </w:t>
      </w:r>
      <w:proofErr w:type="spellStart"/>
      <w:r w:rsidRPr="00BA5F0C">
        <w:rPr>
          <w:i/>
          <w:lang w:eastAsia="en-US"/>
        </w:rPr>
        <w:t>Gynecology</w:t>
      </w:r>
      <w:proofErr w:type="spellEnd"/>
      <w:r w:rsidRPr="000721C1">
        <w:rPr>
          <w:lang w:eastAsia="en-US"/>
        </w:rPr>
        <w:t xml:space="preserve"> in 2013 concluded that amniocentesis for foetal lung maturity may be obsolete, </w:t>
      </w:r>
      <w:proofErr w:type="gramStart"/>
      <w:r w:rsidRPr="000721C1">
        <w:rPr>
          <w:lang w:eastAsia="en-US"/>
        </w:rPr>
        <w:t>with the exception of</w:t>
      </w:r>
      <w:proofErr w:type="gramEnd"/>
      <w:r w:rsidRPr="000721C1">
        <w:rPr>
          <w:lang w:eastAsia="en-US"/>
        </w:rPr>
        <w:t xml:space="preserve"> patients where f</w:t>
      </w:r>
      <w:r>
        <w:rPr>
          <w:lang w:eastAsia="en-US"/>
        </w:rPr>
        <w:t>o</w:t>
      </w:r>
      <w:r w:rsidRPr="000721C1">
        <w:rPr>
          <w:lang w:eastAsia="en-US"/>
        </w:rPr>
        <w:t xml:space="preserve">etal dating does not meet the American College of Obstetricians and </w:t>
      </w:r>
      <w:proofErr w:type="spellStart"/>
      <w:r w:rsidRPr="000721C1">
        <w:rPr>
          <w:lang w:eastAsia="en-US"/>
        </w:rPr>
        <w:t>Gynecologists</w:t>
      </w:r>
      <w:r>
        <w:rPr>
          <w:lang w:eastAsia="en-US"/>
        </w:rPr>
        <w:t>’</w:t>
      </w:r>
      <w:proofErr w:type="spellEnd"/>
      <w:r w:rsidRPr="000721C1">
        <w:rPr>
          <w:lang w:eastAsia="en-US"/>
        </w:rPr>
        <w:t xml:space="preserve"> standards. A further review article published in 2014 reported similar conclusions about foetal lung maturity testing having passed its clinical utility. This review article further stated that a mature foetal lung index in antenatal testing does not lead to improved neonatal outcomes. The Society for Maternal–</w:t>
      </w:r>
      <w:proofErr w:type="spellStart"/>
      <w:r w:rsidRPr="000721C1">
        <w:rPr>
          <w:lang w:eastAsia="en-US"/>
        </w:rPr>
        <w:t>Fetal</w:t>
      </w:r>
      <w:proofErr w:type="spellEnd"/>
      <w:r w:rsidRPr="000721C1">
        <w:rPr>
          <w:lang w:eastAsia="en-US"/>
        </w:rPr>
        <w:t xml:space="preserve"> Medicine Clinical Guidelines state that amniotic fluid delta </w:t>
      </w:r>
      <w:r>
        <w:rPr>
          <w:lang w:eastAsia="en-US"/>
        </w:rPr>
        <w:t xml:space="preserve">should </w:t>
      </w:r>
      <w:r w:rsidRPr="000721C1">
        <w:rPr>
          <w:lang w:eastAsia="en-US"/>
        </w:rPr>
        <w:t>not be used to diagnos</w:t>
      </w:r>
      <w:r>
        <w:rPr>
          <w:lang w:eastAsia="en-US"/>
        </w:rPr>
        <w:t>e</w:t>
      </w:r>
      <w:r w:rsidRPr="000721C1">
        <w:rPr>
          <w:lang w:eastAsia="en-US"/>
        </w:rPr>
        <w:t xml:space="preserve"> foetal anaemia.</w:t>
      </w:r>
    </w:p>
    <w:p w14:paraId="56C829C2" w14:textId="77777777" w:rsidR="00543D47" w:rsidRPr="000721C1" w:rsidRDefault="00543D47" w:rsidP="00543D47">
      <w:pPr>
        <w:pStyle w:val="NormalBulleted"/>
        <w:rPr>
          <w:lang w:eastAsia="en-US"/>
        </w:rPr>
      </w:pPr>
      <w:r w:rsidRPr="000721C1">
        <w:rPr>
          <w:lang w:eastAsia="en-US"/>
        </w:rPr>
        <w:t xml:space="preserve">The </w:t>
      </w:r>
      <w:r>
        <w:rPr>
          <w:lang w:eastAsia="en-US"/>
        </w:rPr>
        <w:t>Committee</w:t>
      </w:r>
      <w:r w:rsidRPr="000721C1">
        <w:rPr>
          <w:lang w:eastAsia="en-US"/>
        </w:rPr>
        <w:t xml:space="preserve"> recommended deleting item 66749 from the Schedule, due to low utilisation and evidence confirming that the test has diminishing clinical utility.</w:t>
      </w:r>
      <w:r>
        <w:rPr>
          <w:lang w:eastAsia="en-US"/>
        </w:rPr>
        <w:t xml:space="preserve"> The Committee further noted that quality assurance is difficult to maintain for very low volume tests.</w:t>
      </w:r>
      <w:r w:rsidRPr="000721C1" w:rsidDel="003E0903">
        <w:rPr>
          <w:lang w:eastAsia="en-US"/>
        </w:rPr>
        <w:t xml:space="preserve"> </w:t>
      </w:r>
    </w:p>
    <w:p w14:paraId="57F6ED0A" w14:textId="77777777" w:rsidR="00543D47" w:rsidRPr="00370DFD" w:rsidRDefault="00543D47" w:rsidP="00543D47">
      <w:pPr>
        <w:pStyle w:val="Heading3Numbered"/>
        <w:rPr>
          <w:lang w:val="en-AU"/>
        </w:rPr>
      </w:pPr>
      <w:r>
        <w:rPr>
          <w:lang w:val="en-AU"/>
        </w:rPr>
        <w:lastRenderedPageBreak/>
        <w:t>Antenatal testing for chromosomal abnormalities in pregnancy</w:t>
      </w:r>
      <w:r w:rsidRPr="00370DFD">
        <w:rPr>
          <w:lang w:val="en-AU"/>
        </w:rPr>
        <w:t>: items 66750 and 66751</w:t>
      </w:r>
    </w:p>
    <w:p w14:paraId="36F0723F" w14:textId="77777777" w:rsidR="00543D47" w:rsidRPr="00370DFD" w:rsidRDefault="00543D47" w:rsidP="00543D47">
      <w:pPr>
        <w:pStyle w:val="Caption"/>
      </w:pPr>
      <w:bookmarkStart w:id="82" w:name="_Toc534374907"/>
      <w:r w:rsidRPr="00370DFD">
        <w:t xml:space="preserve">Table </w:t>
      </w:r>
      <w:r>
        <w:t>7</w:t>
      </w:r>
      <w:r w:rsidRPr="00370DFD">
        <w:t>. Item introduction table for items 66750 and 66751</w:t>
      </w:r>
      <w:bookmarkEnd w:id="82"/>
    </w:p>
    <w:tbl>
      <w:tblPr>
        <w:tblStyle w:val="TableGrid4"/>
        <w:tblW w:w="9019" w:type="dxa"/>
        <w:tblBorders>
          <w:top w:val="single" w:sz="4" w:space="0" w:color="984806"/>
          <w:left w:val="single" w:sz="4" w:space="0" w:color="984806"/>
          <w:bottom w:val="single" w:sz="4" w:space="0" w:color="984806"/>
          <w:right w:val="single" w:sz="4" w:space="0" w:color="984806"/>
          <w:insideH w:val="single" w:sz="4" w:space="0" w:color="984806"/>
          <w:insideV w:val="single" w:sz="4" w:space="0" w:color="984806"/>
        </w:tblBorders>
        <w:tblLook w:val="04A0" w:firstRow="1" w:lastRow="0" w:firstColumn="1" w:lastColumn="0" w:noHBand="0" w:noVBand="1"/>
        <w:tblCaption w:val="Item introduction table for items 66750 and 66751"/>
        <w:tblDescription w:val="This is a table that contains Medicare Benefits Schedule data for items 66750 and 66751 for the finanical year 2014–2015. The data includes total volume of services, benefits and services growth over a 5 year period."/>
      </w:tblPr>
      <w:tblGrid>
        <w:gridCol w:w="703"/>
        <w:gridCol w:w="2857"/>
        <w:gridCol w:w="1066"/>
        <w:gridCol w:w="1219"/>
        <w:gridCol w:w="1060"/>
        <w:gridCol w:w="1060"/>
        <w:gridCol w:w="1054"/>
      </w:tblGrid>
      <w:tr w:rsidR="00543D47" w:rsidRPr="00370DFD" w14:paraId="0C76E05F" w14:textId="77777777" w:rsidTr="00D9610A">
        <w:trPr>
          <w:tblHeader/>
        </w:trPr>
        <w:tc>
          <w:tcPr>
            <w:tcW w:w="703" w:type="dxa"/>
            <w:vAlign w:val="center"/>
          </w:tcPr>
          <w:p w14:paraId="415BBE04" w14:textId="77777777" w:rsidR="00543D47" w:rsidRPr="00370DFD" w:rsidRDefault="00543D47" w:rsidP="00D9610A">
            <w:pPr>
              <w:rPr>
                <w:rFonts w:cs="Arial"/>
                <w:sz w:val="18"/>
                <w:szCs w:val="18"/>
              </w:rPr>
            </w:pPr>
            <w:r w:rsidRPr="00370DFD">
              <w:rPr>
                <w:rFonts w:cs="Arial"/>
                <w:b/>
                <w:color w:val="000000"/>
                <w:sz w:val="18"/>
                <w:szCs w:val="18"/>
              </w:rPr>
              <w:t>Item</w:t>
            </w:r>
          </w:p>
        </w:tc>
        <w:tc>
          <w:tcPr>
            <w:tcW w:w="2857" w:type="dxa"/>
            <w:vAlign w:val="center"/>
          </w:tcPr>
          <w:p w14:paraId="77958534" w14:textId="77777777" w:rsidR="00543D47" w:rsidRPr="00370DFD" w:rsidRDefault="00543D47" w:rsidP="00D9610A">
            <w:pPr>
              <w:rPr>
                <w:rFonts w:cs="Arial"/>
                <w:sz w:val="18"/>
                <w:szCs w:val="18"/>
              </w:rPr>
            </w:pPr>
            <w:r w:rsidRPr="00370DFD">
              <w:rPr>
                <w:rFonts w:cs="Arial"/>
                <w:b/>
                <w:color w:val="000000"/>
                <w:sz w:val="18"/>
                <w:szCs w:val="18"/>
              </w:rPr>
              <w:t>Long item descriptor</w:t>
            </w:r>
          </w:p>
        </w:tc>
        <w:tc>
          <w:tcPr>
            <w:tcW w:w="1066" w:type="dxa"/>
            <w:vAlign w:val="center"/>
          </w:tcPr>
          <w:p w14:paraId="3E240F5B" w14:textId="77777777" w:rsidR="00543D47" w:rsidRPr="00370DFD" w:rsidRDefault="00543D47" w:rsidP="00D9610A">
            <w:pPr>
              <w:spacing w:after="0" w:line="240" w:lineRule="auto"/>
              <w:rPr>
                <w:rFonts w:cs="Arial"/>
                <w:sz w:val="18"/>
                <w:szCs w:val="18"/>
              </w:rPr>
            </w:pPr>
            <w:r w:rsidRPr="00370DFD">
              <w:rPr>
                <w:rFonts w:cs="Arial"/>
                <w:b/>
                <w:color w:val="000000"/>
                <w:sz w:val="18"/>
                <w:szCs w:val="18"/>
              </w:rPr>
              <w:t>Schedule</w:t>
            </w:r>
            <w:r>
              <w:rPr>
                <w:rFonts w:cs="Arial"/>
                <w:b/>
                <w:color w:val="000000"/>
                <w:sz w:val="18"/>
                <w:szCs w:val="18"/>
              </w:rPr>
              <w:t xml:space="preserve"> f</w:t>
            </w:r>
            <w:r w:rsidRPr="00370DFD">
              <w:rPr>
                <w:rFonts w:cs="Arial"/>
                <w:b/>
                <w:color w:val="000000"/>
                <w:sz w:val="18"/>
                <w:szCs w:val="18"/>
              </w:rPr>
              <w:t>ee</w:t>
            </w:r>
          </w:p>
        </w:tc>
        <w:tc>
          <w:tcPr>
            <w:tcW w:w="1219" w:type="dxa"/>
            <w:vAlign w:val="center"/>
          </w:tcPr>
          <w:p w14:paraId="086DEC74" w14:textId="77777777" w:rsidR="00543D47" w:rsidRPr="00370DFD" w:rsidRDefault="00543D47" w:rsidP="00D9610A">
            <w:pPr>
              <w:rPr>
                <w:rFonts w:cs="Arial"/>
                <w:sz w:val="18"/>
                <w:szCs w:val="18"/>
              </w:rPr>
            </w:pPr>
            <w:r w:rsidRPr="00370DFD">
              <w:rPr>
                <w:rFonts w:cs="Arial"/>
                <w:b/>
                <w:color w:val="000000"/>
                <w:sz w:val="18"/>
                <w:szCs w:val="18"/>
              </w:rPr>
              <w:t xml:space="preserve">Benefits </w:t>
            </w:r>
            <w:r>
              <w:rPr>
                <w:rFonts w:cs="Arial"/>
                <w:b/>
                <w:color w:val="000000"/>
                <w:sz w:val="18"/>
                <w:szCs w:val="18"/>
              </w:rPr>
              <w:br/>
            </w:r>
            <w:r w:rsidRPr="00370DFD">
              <w:rPr>
                <w:rFonts w:cs="Arial"/>
                <w:b/>
                <w:color w:val="000000"/>
                <w:sz w:val="18"/>
                <w:szCs w:val="18"/>
              </w:rPr>
              <w:t>FY</w:t>
            </w:r>
            <w:r>
              <w:rPr>
                <w:rFonts w:cs="Arial"/>
                <w:b/>
                <w:color w:val="000000"/>
                <w:sz w:val="18"/>
                <w:szCs w:val="18"/>
              </w:rPr>
              <w:t xml:space="preserve"> </w:t>
            </w:r>
            <w:r w:rsidRPr="00370DFD">
              <w:rPr>
                <w:rFonts w:cs="Arial"/>
                <w:b/>
                <w:color w:val="000000"/>
                <w:sz w:val="18"/>
                <w:szCs w:val="18"/>
              </w:rPr>
              <w:t>2014-15</w:t>
            </w:r>
          </w:p>
        </w:tc>
        <w:tc>
          <w:tcPr>
            <w:tcW w:w="1060" w:type="dxa"/>
            <w:vAlign w:val="center"/>
          </w:tcPr>
          <w:p w14:paraId="7C14E22C" w14:textId="77777777" w:rsidR="00543D47" w:rsidRPr="00370DFD" w:rsidRDefault="00543D47" w:rsidP="00D9610A">
            <w:pPr>
              <w:rPr>
                <w:rFonts w:cs="Arial"/>
                <w:sz w:val="18"/>
                <w:szCs w:val="18"/>
              </w:rPr>
            </w:pPr>
            <w:r w:rsidRPr="00370DFD">
              <w:rPr>
                <w:rFonts w:cs="Arial"/>
                <w:b/>
                <w:color w:val="000000"/>
                <w:sz w:val="18"/>
                <w:szCs w:val="18"/>
              </w:rPr>
              <w:t xml:space="preserve">Services </w:t>
            </w:r>
            <w:r>
              <w:rPr>
                <w:rFonts w:cs="Arial"/>
                <w:b/>
                <w:color w:val="000000"/>
                <w:sz w:val="18"/>
                <w:szCs w:val="18"/>
              </w:rPr>
              <w:br/>
            </w:r>
            <w:r w:rsidRPr="00370DFD">
              <w:rPr>
                <w:rFonts w:cs="Arial"/>
                <w:b/>
                <w:color w:val="000000"/>
                <w:sz w:val="18"/>
                <w:szCs w:val="18"/>
              </w:rPr>
              <w:t>FY</w:t>
            </w:r>
            <w:r>
              <w:rPr>
                <w:rFonts w:cs="Arial"/>
                <w:b/>
                <w:color w:val="000000"/>
                <w:sz w:val="18"/>
                <w:szCs w:val="18"/>
              </w:rPr>
              <w:t xml:space="preserve"> </w:t>
            </w:r>
            <w:r w:rsidRPr="00370DFD">
              <w:rPr>
                <w:rFonts w:cs="Arial"/>
                <w:b/>
                <w:color w:val="000000"/>
                <w:sz w:val="18"/>
                <w:szCs w:val="18"/>
              </w:rPr>
              <w:t>2014-15</w:t>
            </w:r>
          </w:p>
        </w:tc>
        <w:tc>
          <w:tcPr>
            <w:tcW w:w="1060" w:type="dxa"/>
            <w:vAlign w:val="center"/>
          </w:tcPr>
          <w:p w14:paraId="4835AF7D" w14:textId="77777777" w:rsidR="00543D47" w:rsidRPr="00370DFD" w:rsidRDefault="00543D47" w:rsidP="00D9610A">
            <w:pPr>
              <w:rPr>
                <w:rFonts w:cs="Arial"/>
                <w:sz w:val="18"/>
                <w:szCs w:val="18"/>
              </w:rPr>
            </w:pPr>
            <w:r w:rsidRPr="00370DFD">
              <w:rPr>
                <w:rFonts w:cs="Arial"/>
                <w:b/>
                <w:color w:val="000000"/>
                <w:sz w:val="18"/>
                <w:szCs w:val="18"/>
              </w:rPr>
              <w:t>Patient count 2014-15</w:t>
            </w:r>
          </w:p>
        </w:tc>
        <w:tc>
          <w:tcPr>
            <w:tcW w:w="1054" w:type="dxa"/>
            <w:vAlign w:val="center"/>
          </w:tcPr>
          <w:p w14:paraId="4E9A31D7" w14:textId="77777777" w:rsidR="00543D47" w:rsidRPr="00370DFD" w:rsidRDefault="00543D47" w:rsidP="00D9610A">
            <w:pPr>
              <w:rPr>
                <w:rFonts w:cs="Arial"/>
                <w:sz w:val="18"/>
                <w:szCs w:val="18"/>
              </w:rPr>
            </w:pPr>
            <w:r w:rsidRPr="00370DFD">
              <w:rPr>
                <w:rFonts w:cs="Arial"/>
                <w:b/>
                <w:color w:val="000000"/>
                <w:sz w:val="18"/>
                <w:szCs w:val="18"/>
              </w:rPr>
              <w:t>5</w:t>
            </w:r>
            <w:r>
              <w:rPr>
                <w:rFonts w:cs="Arial"/>
                <w:b/>
                <w:color w:val="000000"/>
                <w:sz w:val="18"/>
                <w:szCs w:val="18"/>
              </w:rPr>
              <w:t>-</w:t>
            </w:r>
            <w:r w:rsidRPr="00370DFD">
              <w:rPr>
                <w:rFonts w:cs="Arial"/>
                <w:b/>
                <w:color w:val="000000"/>
                <w:sz w:val="18"/>
                <w:szCs w:val="18"/>
              </w:rPr>
              <w:t>year service change % (CAGR)</w:t>
            </w:r>
          </w:p>
        </w:tc>
      </w:tr>
      <w:tr w:rsidR="00543D47" w:rsidRPr="00370DFD" w14:paraId="2FF038C8" w14:textId="77777777" w:rsidTr="00D9610A">
        <w:trPr>
          <w:tblHeader/>
        </w:trPr>
        <w:tc>
          <w:tcPr>
            <w:tcW w:w="703" w:type="dxa"/>
          </w:tcPr>
          <w:p w14:paraId="478A5921" w14:textId="77777777" w:rsidR="00543D47" w:rsidRPr="00370DFD" w:rsidRDefault="00543D47" w:rsidP="00D9610A">
            <w:pPr>
              <w:rPr>
                <w:rFonts w:cs="Arial"/>
                <w:sz w:val="18"/>
                <w:szCs w:val="18"/>
              </w:rPr>
            </w:pPr>
            <w:r w:rsidRPr="00370DFD">
              <w:rPr>
                <w:sz w:val="18"/>
                <w:szCs w:val="18"/>
              </w:rPr>
              <w:t>66750</w:t>
            </w:r>
          </w:p>
        </w:tc>
        <w:tc>
          <w:tcPr>
            <w:tcW w:w="2857" w:type="dxa"/>
          </w:tcPr>
          <w:p w14:paraId="218A1ECE" w14:textId="77777777" w:rsidR="00543D47" w:rsidRPr="00370DFD" w:rsidRDefault="00543D47" w:rsidP="00D9610A">
            <w:pPr>
              <w:rPr>
                <w:rFonts w:cs="Arial"/>
                <w:sz w:val="18"/>
                <w:szCs w:val="18"/>
              </w:rPr>
            </w:pPr>
            <w:r w:rsidRPr="00370DFD">
              <w:rPr>
                <w:sz w:val="18"/>
                <w:szCs w:val="18"/>
              </w:rPr>
              <w:t xml:space="preserve">Quantitation, in pregnancy, of any two of the following - total human chorionic gonadotrophin (total </w:t>
            </w:r>
            <w:r>
              <w:rPr>
                <w:sz w:val="18"/>
                <w:szCs w:val="18"/>
              </w:rPr>
              <w:t>HCG</w:t>
            </w:r>
            <w:r w:rsidRPr="00370DFD">
              <w:rPr>
                <w:sz w:val="18"/>
                <w:szCs w:val="18"/>
              </w:rPr>
              <w:t xml:space="preserve">), free alpha human chorionic gonadotrophin (free alpha </w:t>
            </w:r>
            <w:r>
              <w:rPr>
                <w:sz w:val="18"/>
                <w:szCs w:val="18"/>
              </w:rPr>
              <w:t>HCG</w:t>
            </w:r>
            <w:r w:rsidRPr="00370DFD">
              <w:rPr>
                <w:sz w:val="18"/>
                <w:szCs w:val="18"/>
              </w:rPr>
              <w:t xml:space="preserve">), free beta human chorionic gonadotrophin (free beta </w:t>
            </w:r>
            <w:r>
              <w:rPr>
                <w:sz w:val="18"/>
                <w:szCs w:val="18"/>
              </w:rPr>
              <w:t>HCG</w:t>
            </w:r>
            <w:r w:rsidRPr="00370DFD">
              <w:rPr>
                <w:sz w:val="18"/>
                <w:szCs w:val="18"/>
              </w:rPr>
              <w:t>), pregnancy</w:t>
            </w:r>
            <w:r>
              <w:rPr>
                <w:sz w:val="18"/>
                <w:szCs w:val="18"/>
              </w:rPr>
              <w:t>-</w:t>
            </w:r>
            <w:r w:rsidRPr="00370DFD">
              <w:rPr>
                <w:sz w:val="18"/>
                <w:szCs w:val="18"/>
              </w:rPr>
              <w:t>associated plasma protein a (</w:t>
            </w:r>
            <w:r>
              <w:rPr>
                <w:sz w:val="18"/>
                <w:szCs w:val="18"/>
              </w:rPr>
              <w:t>PAPP</w:t>
            </w:r>
            <w:r w:rsidRPr="00370DFD">
              <w:rPr>
                <w:sz w:val="18"/>
                <w:szCs w:val="18"/>
              </w:rPr>
              <w:t>-</w:t>
            </w:r>
            <w:r>
              <w:rPr>
                <w:sz w:val="18"/>
                <w:szCs w:val="18"/>
              </w:rPr>
              <w:t>A</w:t>
            </w:r>
            <w:r w:rsidRPr="00370DFD">
              <w:rPr>
                <w:sz w:val="18"/>
                <w:szCs w:val="18"/>
              </w:rPr>
              <w:t>), unconjugated oestriol (u</w:t>
            </w:r>
            <w:r>
              <w:rPr>
                <w:sz w:val="18"/>
                <w:szCs w:val="18"/>
              </w:rPr>
              <w:t>E</w:t>
            </w:r>
            <w:r w:rsidRPr="00370DFD">
              <w:rPr>
                <w:sz w:val="18"/>
                <w:szCs w:val="18"/>
              </w:rPr>
              <w:t>3), alpha-fetoprotein (</w:t>
            </w:r>
            <w:r>
              <w:rPr>
                <w:sz w:val="18"/>
                <w:szCs w:val="18"/>
              </w:rPr>
              <w:t>AFP</w:t>
            </w:r>
            <w:r w:rsidRPr="00370DFD">
              <w:rPr>
                <w:sz w:val="18"/>
                <w:szCs w:val="18"/>
              </w:rPr>
              <w:t>) - to detect foetal abnormality, including a service described in 1 or more of items 73527 and 73529 (if performed) - (Item is subject to rule 25)</w:t>
            </w:r>
          </w:p>
        </w:tc>
        <w:tc>
          <w:tcPr>
            <w:tcW w:w="1066" w:type="dxa"/>
          </w:tcPr>
          <w:p w14:paraId="4ACC9A2E" w14:textId="77777777" w:rsidR="00543D47" w:rsidRPr="00370DFD" w:rsidRDefault="00543D47" w:rsidP="00D9610A">
            <w:pPr>
              <w:rPr>
                <w:rFonts w:cs="Arial"/>
                <w:sz w:val="18"/>
                <w:szCs w:val="18"/>
              </w:rPr>
            </w:pPr>
            <w:r w:rsidRPr="00370DFD">
              <w:rPr>
                <w:sz w:val="18"/>
                <w:szCs w:val="18"/>
              </w:rPr>
              <w:t>39.75</w:t>
            </w:r>
          </w:p>
        </w:tc>
        <w:tc>
          <w:tcPr>
            <w:tcW w:w="1219" w:type="dxa"/>
          </w:tcPr>
          <w:p w14:paraId="2643AC48" w14:textId="77777777" w:rsidR="00543D47" w:rsidRPr="00370DFD" w:rsidRDefault="00543D47" w:rsidP="00D9610A">
            <w:pPr>
              <w:rPr>
                <w:rFonts w:cs="Arial"/>
                <w:sz w:val="18"/>
                <w:szCs w:val="18"/>
              </w:rPr>
            </w:pPr>
            <w:r w:rsidRPr="00370DFD">
              <w:rPr>
                <w:sz w:val="18"/>
                <w:szCs w:val="18"/>
              </w:rPr>
              <w:t>$3,671,596</w:t>
            </w:r>
          </w:p>
        </w:tc>
        <w:tc>
          <w:tcPr>
            <w:tcW w:w="1060" w:type="dxa"/>
          </w:tcPr>
          <w:p w14:paraId="0D350A45" w14:textId="77777777" w:rsidR="00543D47" w:rsidRPr="00370DFD" w:rsidRDefault="00543D47" w:rsidP="00D9610A">
            <w:pPr>
              <w:rPr>
                <w:rFonts w:cs="Arial"/>
                <w:sz w:val="18"/>
                <w:szCs w:val="18"/>
              </w:rPr>
            </w:pPr>
            <w:r w:rsidRPr="00370DFD">
              <w:rPr>
                <w:sz w:val="18"/>
                <w:szCs w:val="18"/>
              </w:rPr>
              <w:t>101,240</w:t>
            </w:r>
          </w:p>
        </w:tc>
        <w:tc>
          <w:tcPr>
            <w:tcW w:w="1060" w:type="dxa"/>
          </w:tcPr>
          <w:p w14:paraId="46D7B0D0" w14:textId="77777777" w:rsidR="00543D47" w:rsidRPr="00370DFD" w:rsidRDefault="00543D47" w:rsidP="00D9610A">
            <w:pPr>
              <w:rPr>
                <w:rFonts w:cs="Arial"/>
                <w:sz w:val="18"/>
                <w:szCs w:val="18"/>
              </w:rPr>
            </w:pPr>
            <w:r w:rsidRPr="00370DFD">
              <w:rPr>
                <w:sz w:val="18"/>
                <w:szCs w:val="18"/>
              </w:rPr>
              <w:t>101,054</w:t>
            </w:r>
          </w:p>
        </w:tc>
        <w:tc>
          <w:tcPr>
            <w:tcW w:w="1054" w:type="dxa"/>
          </w:tcPr>
          <w:p w14:paraId="5BA6FACC" w14:textId="77777777" w:rsidR="00543D47" w:rsidRPr="00370DFD" w:rsidRDefault="00543D47" w:rsidP="00D9610A">
            <w:pPr>
              <w:rPr>
                <w:rFonts w:cs="Arial"/>
                <w:sz w:val="18"/>
                <w:szCs w:val="18"/>
              </w:rPr>
            </w:pPr>
            <w:r w:rsidRPr="00370DFD">
              <w:rPr>
                <w:sz w:val="18"/>
                <w:szCs w:val="18"/>
              </w:rPr>
              <w:t>0.2%</w:t>
            </w:r>
          </w:p>
        </w:tc>
      </w:tr>
      <w:tr w:rsidR="00543D47" w:rsidRPr="00370DFD" w14:paraId="2DD7D233" w14:textId="77777777" w:rsidTr="00D9610A">
        <w:trPr>
          <w:tblHeader/>
        </w:trPr>
        <w:tc>
          <w:tcPr>
            <w:tcW w:w="703" w:type="dxa"/>
          </w:tcPr>
          <w:p w14:paraId="2DBF0DE0" w14:textId="77777777" w:rsidR="00543D47" w:rsidRPr="00370DFD" w:rsidRDefault="00543D47" w:rsidP="00D9610A">
            <w:pPr>
              <w:rPr>
                <w:rFonts w:cs="Arial"/>
                <w:sz w:val="18"/>
                <w:szCs w:val="18"/>
              </w:rPr>
            </w:pPr>
            <w:r w:rsidRPr="00370DFD">
              <w:rPr>
                <w:sz w:val="18"/>
                <w:szCs w:val="18"/>
              </w:rPr>
              <w:t>66751</w:t>
            </w:r>
          </w:p>
        </w:tc>
        <w:tc>
          <w:tcPr>
            <w:tcW w:w="2857" w:type="dxa"/>
          </w:tcPr>
          <w:p w14:paraId="15840D37" w14:textId="77777777" w:rsidR="00543D47" w:rsidRPr="00370DFD" w:rsidRDefault="00543D47" w:rsidP="00D9610A">
            <w:pPr>
              <w:rPr>
                <w:rFonts w:cs="Arial"/>
                <w:sz w:val="18"/>
                <w:szCs w:val="18"/>
              </w:rPr>
            </w:pPr>
            <w:r w:rsidRPr="00370DFD">
              <w:rPr>
                <w:sz w:val="18"/>
                <w:szCs w:val="18"/>
              </w:rPr>
              <w:t>Quantitation, in pregnancy, of any three or more tests described in 66750 (Item is subject to rule 25)</w:t>
            </w:r>
          </w:p>
        </w:tc>
        <w:tc>
          <w:tcPr>
            <w:tcW w:w="1066" w:type="dxa"/>
          </w:tcPr>
          <w:p w14:paraId="05FBAB5C" w14:textId="77777777" w:rsidR="00543D47" w:rsidRPr="00370DFD" w:rsidRDefault="00543D47" w:rsidP="00D9610A">
            <w:pPr>
              <w:rPr>
                <w:rFonts w:cs="Arial"/>
                <w:sz w:val="18"/>
                <w:szCs w:val="18"/>
              </w:rPr>
            </w:pPr>
            <w:r w:rsidRPr="00370DFD">
              <w:rPr>
                <w:sz w:val="18"/>
                <w:szCs w:val="18"/>
              </w:rPr>
              <w:t>55.25</w:t>
            </w:r>
          </w:p>
        </w:tc>
        <w:tc>
          <w:tcPr>
            <w:tcW w:w="1219" w:type="dxa"/>
          </w:tcPr>
          <w:p w14:paraId="22E99AA0" w14:textId="77777777" w:rsidR="00543D47" w:rsidRPr="00370DFD" w:rsidRDefault="00543D47" w:rsidP="00D9610A">
            <w:pPr>
              <w:rPr>
                <w:rFonts w:cs="Arial"/>
                <w:sz w:val="18"/>
                <w:szCs w:val="18"/>
              </w:rPr>
            </w:pPr>
            <w:r w:rsidRPr="00370DFD">
              <w:rPr>
                <w:rFonts w:cs="Arial"/>
                <w:sz w:val="18"/>
                <w:szCs w:val="18"/>
              </w:rPr>
              <w:t>$2,136,248</w:t>
            </w:r>
          </w:p>
        </w:tc>
        <w:tc>
          <w:tcPr>
            <w:tcW w:w="1060" w:type="dxa"/>
          </w:tcPr>
          <w:p w14:paraId="76DDBA6C" w14:textId="77777777" w:rsidR="00543D47" w:rsidRPr="00370DFD" w:rsidRDefault="00543D47" w:rsidP="00D9610A">
            <w:pPr>
              <w:rPr>
                <w:rFonts w:cs="Arial"/>
                <w:sz w:val="18"/>
                <w:szCs w:val="18"/>
              </w:rPr>
            </w:pPr>
            <w:r w:rsidRPr="00370DFD">
              <w:rPr>
                <w:sz w:val="18"/>
                <w:szCs w:val="18"/>
              </w:rPr>
              <w:t>43,850</w:t>
            </w:r>
          </w:p>
        </w:tc>
        <w:tc>
          <w:tcPr>
            <w:tcW w:w="1060" w:type="dxa"/>
          </w:tcPr>
          <w:p w14:paraId="3345BA52" w14:textId="77777777" w:rsidR="00543D47" w:rsidRPr="00370DFD" w:rsidRDefault="00543D47" w:rsidP="00D9610A">
            <w:pPr>
              <w:rPr>
                <w:rFonts w:cs="Arial"/>
                <w:sz w:val="18"/>
                <w:szCs w:val="18"/>
              </w:rPr>
            </w:pPr>
            <w:r w:rsidRPr="00370DFD">
              <w:rPr>
                <w:sz w:val="18"/>
                <w:szCs w:val="18"/>
              </w:rPr>
              <w:t>43,790</w:t>
            </w:r>
          </w:p>
        </w:tc>
        <w:tc>
          <w:tcPr>
            <w:tcW w:w="1054" w:type="dxa"/>
          </w:tcPr>
          <w:p w14:paraId="1509A3A6" w14:textId="77777777" w:rsidR="00543D47" w:rsidRPr="00370DFD" w:rsidRDefault="00543D47" w:rsidP="00D9610A">
            <w:pPr>
              <w:rPr>
                <w:rFonts w:cs="Arial"/>
                <w:sz w:val="18"/>
                <w:szCs w:val="18"/>
              </w:rPr>
            </w:pPr>
            <w:r w:rsidRPr="00370DFD">
              <w:rPr>
                <w:rFonts w:cs="Arial"/>
                <w:sz w:val="18"/>
                <w:szCs w:val="18"/>
              </w:rPr>
              <w:t>-1.7%</w:t>
            </w:r>
          </w:p>
        </w:tc>
      </w:tr>
    </w:tbl>
    <w:p w14:paraId="4BA7BF86" w14:textId="77777777" w:rsidR="00543D47" w:rsidRPr="00370DFD" w:rsidRDefault="00543D47" w:rsidP="00543D47">
      <w:pPr>
        <w:pStyle w:val="Heading4"/>
        <w:rPr>
          <w:lang w:val="en-AU"/>
        </w:rPr>
      </w:pPr>
      <w:r w:rsidRPr="00370DFD">
        <w:rPr>
          <w:lang w:val="en-AU"/>
        </w:rPr>
        <w:t>Recommendation</w:t>
      </w:r>
    </w:p>
    <w:p w14:paraId="7D6B5F14" w14:textId="77777777" w:rsidR="00543D47" w:rsidRPr="00370DFD" w:rsidRDefault="00543D47" w:rsidP="00543D47">
      <w:pPr>
        <w:rPr>
          <w:lang w:eastAsia="en-US"/>
        </w:rPr>
      </w:pPr>
      <w:r w:rsidRPr="00370DFD">
        <w:rPr>
          <w:lang w:eastAsia="en-US"/>
        </w:rPr>
        <w:t xml:space="preserve">The </w:t>
      </w:r>
      <w:r>
        <w:rPr>
          <w:lang w:eastAsia="en-US"/>
        </w:rPr>
        <w:t>Committee</w:t>
      </w:r>
      <w:r w:rsidRPr="00370DFD">
        <w:rPr>
          <w:lang w:eastAsia="en-US"/>
        </w:rPr>
        <w:t xml:space="preserve"> proposed the following:</w:t>
      </w:r>
    </w:p>
    <w:p w14:paraId="1B2B7595" w14:textId="77777777" w:rsidR="00543D47" w:rsidRPr="00370DFD" w:rsidRDefault="00543D47" w:rsidP="00543D47">
      <w:pPr>
        <w:pStyle w:val="NormalBulleted"/>
        <w:rPr>
          <w:lang w:eastAsia="en-US"/>
        </w:rPr>
      </w:pPr>
      <w:r w:rsidRPr="00370DFD">
        <w:rPr>
          <w:lang w:eastAsia="en-US"/>
        </w:rPr>
        <w:t>Change the wording in item descriptor of item 66750 to stipulate that the test is performed as a first trimester screening</w:t>
      </w:r>
      <w:r>
        <w:rPr>
          <w:lang w:eastAsia="en-US"/>
        </w:rPr>
        <w:t xml:space="preserve"> test</w:t>
      </w:r>
      <w:r w:rsidRPr="00370DFD">
        <w:rPr>
          <w:lang w:eastAsia="en-US"/>
        </w:rPr>
        <w:t>.</w:t>
      </w:r>
    </w:p>
    <w:p w14:paraId="6D4A9D95" w14:textId="77777777" w:rsidR="00543D47" w:rsidRPr="00370DFD" w:rsidRDefault="00543D47" w:rsidP="00543D47">
      <w:pPr>
        <w:pStyle w:val="NormalBulleted"/>
        <w:rPr>
          <w:lang w:eastAsia="en-US"/>
        </w:rPr>
      </w:pPr>
      <w:r w:rsidRPr="00370DFD">
        <w:rPr>
          <w:lang w:eastAsia="en-US"/>
        </w:rPr>
        <w:t>Change the wording in the item descriptor of item 66751 to stipulate that the test is performed as a second trimester screening</w:t>
      </w:r>
      <w:r>
        <w:rPr>
          <w:lang w:eastAsia="en-US"/>
        </w:rPr>
        <w:t xml:space="preserve"> test</w:t>
      </w:r>
      <w:r w:rsidRPr="00370DFD">
        <w:rPr>
          <w:lang w:eastAsia="en-US"/>
        </w:rPr>
        <w:t>.</w:t>
      </w:r>
    </w:p>
    <w:p w14:paraId="628C4FC4" w14:textId="77777777" w:rsidR="00543D47" w:rsidRPr="00370DFD" w:rsidRDefault="00543D47" w:rsidP="00543D47">
      <w:pPr>
        <w:pStyle w:val="Caption"/>
      </w:pPr>
      <w:bookmarkStart w:id="83" w:name="_Toc534374908"/>
      <w:r w:rsidRPr="00370DFD">
        <w:lastRenderedPageBreak/>
        <w:t xml:space="preserve">Table </w:t>
      </w:r>
      <w:r>
        <w:t>8</w:t>
      </w:r>
      <w:r w:rsidRPr="00370DFD">
        <w:t>. Current and proposed item descriptor for items 66750 and 66751</w:t>
      </w:r>
      <w:bookmarkEnd w:id="83"/>
    </w:p>
    <w:tbl>
      <w:tblPr>
        <w:tblStyle w:val="TableGrid"/>
        <w:tblW w:w="9354" w:type="dxa"/>
        <w:tblBorders>
          <w:insideV w:val="single" w:sz="4" w:space="0" w:color="984806" w:themeColor="accent6" w:themeShade="80"/>
        </w:tblBorders>
        <w:tblLook w:val="04A0" w:firstRow="1" w:lastRow="0" w:firstColumn="1" w:lastColumn="0" w:noHBand="0" w:noVBand="1"/>
        <w:tblCaption w:val="Current and proposed item descriptor for items 66750 and 66751"/>
        <w:tblDescription w:val="This table contains the current and proposed new item descriptor for items 66750 and 66751. These item descriptors will appear on the Medicare Benefits Schedule."/>
      </w:tblPr>
      <w:tblGrid>
        <w:gridCol w:w="1134"/>
        <w:gridCol w:w="4110"/>
        <w:gridCol w:w="4110"/>
      </w:tblGrid>
      <w:tr w:rsidR="00543D47" w:rsidRPr="00370DFD" w14:paraId="327A0EB6" w14:textId="77777777" w:rsidTr="00D9610A">
        <w:trPr>
          <w:tblHeader/>
        </w:trPr>
        <w:tc>
          <w:tcPr>
            <w:tcW w:w="1134" w:type="dxa"/>
          </w:tcPr>
          <w:p w14:paraId="3BDD0F1C" w14:textId="77777777" w:rsidR="00543D47" w:rsidRPr="00370DFD" w:rsidRDefault="00543D47" w:rsidP="00D9610A">
            <w:pPr>
              <w:rPr>
                <w:b/>
                <w:sz w:val="18"/>
                <w:szCs w:val="18"/>
                <w:lang w:eastAsia="en-US"/>
              </w:rPr>
            </w:pPr>
            <w:r w:rsidRPr="00370DFD">
              <w:rPr>
                <w:b/>
                <w:sz w:val="18"/>
                <w:szCs w:val="18"/>
                <w:lang w:eastAsia="en-US"/>
              </w:rPr>
              <w:t>Item</w:t>
            </w:r>
          </w:p>
        </w:tc>
        <w:tc>
          <w:tcPr>
            <w:tcW w:w="4110" w:type="dxa"/>
          </w:tcPr>
          <w:p w14:paraId="2A997725" w14:textId="77777777" w:rsidR="00543D47" w:rsidRPr="00370DFD" w:rsidRDefault="00543D47" w:rsidP="00D9610A">
            <w:pPr>
              <w:rPr>
                <w:b/>
                <w:sz w:val="18"/>
                <w:szCs w:val="18"/>
                <w:lang w:eastAsia="en-US"/>
              </w:rPr>
            </w:pPr>
            <w:r w:rsidRPr="00370DFD">
              <w:rPr>
                <w:b/>
                <w:sz w:val="18"/>
                <w:szCs w:val="18"/>
                <w:lang w:eastAsia="en-US"/>
              </w:rPr>
              <w:t>Current item descriptor</w:t>
            </w:r>
          </w:p>
        </w:tc>
        <w:tc>
          <w:tcPr>
            <w:tcW w:w="4110" w:type="dxa"/>
          </w:tcPr>
          <w:p w14:paraId="5C7C9557" w14:textId="77777777" w:rsidR="00543D47" w:rsidRPr="00370DFD" w:rsidRDefault="00543D47" w:rsidP="00D9610A">
            <w:pPr>
              <w:rPr>
                <w:b/>
                <w:sz w:val="18"/>
                <w:szCs w:val="18"/>
                <w:lang w:eastAsia="en-US"/>
              </w:rPr>
            </w:pPr>
            <w:r w:rsidRPr="00370DFD">
              <w:rPr>
                <w:b/>
                <w:sz w:val="18"/>
                <w:szCs w:val="18"/>
                <w:lang w:eastAsia="en-US"/>
              </w:rPr>
              <w:t>Proposed item descriptor</w:t>
            </w:r>
          </w:p>
        </w:tc>
      </w:tr>
      <w:tr w:rsidR="00543D47" w:rsidRPr="00370DFD" w14:paraId="42AEEC9D" w14:textId="77777777" w:rsidTr="00D9610A">
        <w:trPr>
          <w:tblHeader/>
        </w:trPr>
        <w:tc>
          <w:tcPr>
            <w:tcW w:w="1134" w:type="dxa"/>
          </w:tcPr>
          <w:p w14:paraId="0F93295F" w14:textId="77777777" w:rsidR="00543D47" w:rsidRPr="00370DFD" w:rsidRDefault="00543D47" w:rsidP="00D9610A">
            <w:pPr>
              <w:rPr>
                <w:sz w:val="18"/>
                <w:szCs w:val="18"/>
                <w:lang w:eastAsia="en-US"/>
              </w:rPr>
            </w:pPr>
            <w:r w:rsidRPr="00370DFD">
              <w:rPr>
                <w:sz w:val="18"/>
                <w:szCs w:val="18"/>
                <w:lang w:eastAsia="en-US"/>
              </w:rPr>
              <w:t>66750</w:t>
            </w:r>
          </w:p>
        </w:tc>
        <w:tc>
          <w:tcPr>
            <w:tcW w:w="4110" w:type="dxa"/>
          </w:tcPr>
          <w:p w14:paraId="1BA6DF68" w14:textId="77777777" w:rsidR="00543D47" w:rsidRPr="00370DFD" w:rsidRDefault="00543D47" w:rsidP="00D9610A">
            <w:pPr>
              <w:rPr>
                <w:sz w:val="18"/>
                <w:szCs w:val="18"/>
                <w:lang w:eastAsia="en-US"/>
              </w:rPr>
            </w:pPr>
            <w:r w:rsidRPr="00370DFD">
              <w:rPr>
                <w:sz w:val="18"/>
                <w:szCs w:val="18"/>
                <w:lang w:eastAsia="en-US"/>
              </w:rPr>
              <w:t xml:space="preserve">Quantitation, in pregnancy, of any two of the following - total human chorionic gonadotrophin (total </w:t>
            </w:r>
            <w:r>
              <w:rPr>
                <w:sz w:val="18"/>
                <w:szCs w:val="18"/>
                <w:lang w:eastAsia="en-US"/>
              </w:rPr>
              <w:t>HCG</w:t>
            </w:r>
            <w:r w:rsidRPr="00370DFD">
              <w:rPr>
                <w:sz w:val="18"/>
                <w:szCs w:val="18"/>
                <w:lang w:eastAsia="en-US"/>
              </w:rPr>
              <w:t xml:space="preserve">), free alpha human chorionic gonadotrophin (free alpha </w:t>
            </w:r>
            <w:r>
              <w:rPr>
                <w:sz w:val="18"/>
                <w:szCs w:val="18"/>
                <w:lang w:eastAsia="en-US"/>
              </w:rPr>
              <w:t>HCG</w:t>
            </w:r>
            <w:r w:rsidRPr="00370DFD">
              <w:rPr>
                <w:sz w:val="18"/>
                <w:szCs w:val="18"/>
                <w:lang w:eastAsia="en-US"/>
              </w:rPr>
              <w:t xml:space="preserve">), free beta human chorionic gonadotrophin (free beta </w:t>
            </w:r>
            <w:r>
              <w:rPr>
                <w:sz w:val="18"/>
                <w:szCs w:val="18"/>
                <w:lang w:eastAsia="en-US"/>
              </w:rPr>
              <w:t>HCG</w:t>
            </w:r>
            <w:r w:rsidRPr="00370DFD">
              <w:rPr>
                <w:sz w:val="18"/>
                <w:szCs w:val="18"/>
                <w:lang w:eastAsia="en-US"/>
              </w:rPr>
              <w:t>), pregnancy associated plasma protein a (</w:t>
            </w:r>
            <w:r>
              <w:rPr>
                <w:sz w:val="18"/>
                <w:szCs w:val="18"/>
                <w:lang w:eastAsia="en-US"/>
              </w:rPr>
              <w:t>PAPP-A</w:t>
            </w:r>
            <w:r w:rsidRPr="00370DFD">
              <w:rPr>
                <w:sz w:val="18"/>
                <w:szCs w:val="18"/>
                <w:lang w:eastAsia="en-US"/>
              </w:rPr>
              <w:t>), unconjugated oestriol (u</w:t>
            </w:r>
            <w:r>
              <w:rPr>
                <w:sz w:val="18"/>
                <w:szCs w:val="18"/>
                <w:lang w:eastAsia="en-US"/>
              </w:rPr>
              <w:t>E</w:t>
            </w:r>
            <w:r w:rsidRPr="00370DFD">
              <w:rPr>
                <w:sz w:val="18"/>
                <w:szCs w:val="18"/>
                <w:lang w:eastAsia="en-US"/>
              </w:rPr>
              <w:t>3), alpha-fetoprotein (</w:t>
            </w:r>
            <w:r>
              <w:rPr>
                <w:sz w:val="18"/>
                <w:szCs w:val="18"/>
                <w:lang w:eastAsia="en-US"/>
              </w:rPr>
              <w:t>AFP</w:t>
            </w:r>
            <w:r w:rsidRPr="00370DFD">
              <w:rPr>
                <w:sz w:val="18"/>
                <w:szCs w:val="18"/>
                <w:lang w:eastAsia="en-US"/>
              </w:rPr>
              <w:t>) - to detect foetal abnormality, including a service described in 1 or more of items 73527 and 73529 (if performed) - (Item is subject to rule 25)</w:t>
            </w:r>
          </w:p>
        </w:tc>
        <w:tc>
          <w:tcPr>
            <w:tcW w:w="4110" w:type="dxa"/>
          </w:tcPr>
          <w:p w14:paraId="6BD54D9A" w14:textId="77777777" w:rsidR="00543D47" w:rsidRPr="00370DFD" w:rsidRDefault="00543D47" w:rsidP="00D9610A">
            <w:pPr>
              <w:rPr>
                <w:sz w:val="18"/>
                <w:szCs w:val="18"/>
                <w:lang w:eastAsia="en-US"/>
              </w:rPr>
            </w:pPr>
            <w:r w:rsidRPr="00370DFD">
              <w:rPr>
                <w:sz w:val="18"/>
                <w:szCs w:val="18"/>
                <w:lang w:eastAsia="en-US"/>
              </w:rPr>
              <w:t xml:space="preserve">Quantitation, in pregnancy, of free beta human chorionic gonadotrophin (free beta HCG) and pregnancy associated plasma protein A (PAPP-A) to detect foetal abnormality, </w:t>
            </w:r>
            <w:r>
              <w:rPr>
                <w:sz w:val="18"/>
                <w:szCs w:val="18"/>
                <w:lang w:eastAsia="en-US"/>
              </w:rPr>
              <w:t>in the first trimester of pregnancy.</w:t>
            </w:r>
          </w:p>
          <w:p w14:paraId="710F0F51" w14:textId="77777777" w:rsidR="00543D47" w:rsidRPr="00370DFD" w:rsidRDefault="00543D47" w:rsidP="00D9610A">
            <w:pPr>
              <w:rPr>
                <w:sz w:val="18"/>
                <w:szCs w:val="18"/>
                <w:lang w:eastAsia="en-US"/>
              </w:rPr>
            </w:pPr>
            <w:r w:rsidRPr="00370DFD">
              <w:rPr>
                <w:sz w:val="18"/>
                <w:szCs w:val="18"/>
                <w:lang w:eastAsia="en-US"/>
              </w:rPr>
              <w:t xml:space="preserve">including a service described in 1 or more of items 73527 and 73529 (if performed) – </w:t>
            </w:r>
          </w:p>
          <w:p w14:paraId="69CB98B9" w14:textId="77777777" w:rsidR="00543D47" w:rsidRPr="00370DFD" w:rsidRDefault="00543D47" w:rsidP="00D9610A">
            <w:pPr>
              <w:rPr>
                <w:sz w:val="18"/>
                <w:szCs w:val="18"/>
                <w:lang w:eastAsia="en-US"/>
              </w:rPr>
            </w:pPr>
            <w:r w:rsidRPr="00370DFD">
              <w:rPr>
                <w:sz w:val="18"/>
                <w:szCs w:val="18"/>
                <w:lang w:eastAsia="en-US"/>
              </w:rPr>
              <w:t>(Item is subject to rule 25)</w:t>
            </w:r>
          </w:p>
        </w:tc>
      </w:tr>
      <w:tr w:rsidR="00543D47" w:rsidRPr="00370DFD" w14:paraId="05B2CCCF" w14:textId="77777777" w:rsidTr="00D9610A">
        <w:trPr>
          <w:tblHeader/>
        </w:trPr>
        <w:tc>
          <w:tcPr>
            <w:tcW w:w="1134" w:type="dxa"/>
          </w:tcPr>
          <w:p w14:paraId="4BB82318" w14:textId="77777777" w:rsidR="00543D47" w:rsidRPr="00370DFD" w:rsidRDefault="00543D47" w:rsidP="00D9610A">
            <w:pPr>
              <w:rPr>
                <w:sz w:val="18"/>
                <w:szCs w:val="18"/>
                <w:lang w:eastAsia="en-US"/>
              </w:rPr>
            </w:pPr>
            <w:r w:rsidRPr="00370DFD">
              <w:rPr>
                <w:sz w:val="18"/>
                <w:szCs w:val="18"/>
                <w:lang w:eastAsia="en-US"/>
              </w:rPr>
              <w:t>66751</w:t>
            </w:r>
          </w:p>
        </w:tc>
        <w:tc>
          <w:tcPr>
            <w:tcW w:w="4110" w:type="dxa"/>
          </w:tcPr>
          <w:p w14:paraId="7227244F" w14:textId="77777777" w:rsidR="00543D47" w:rsidRPr="00370DFD" w:rsidRDefault="00543D47" w:rsidP="00D9610A">
            <w:pPr>
              <w:rPr>
                <w:sz w:val="18"/>
                <w:szCs w:val="18"/>
                <w:lang w:eastAsia="en-US"/>
              </w:rPr>
            </w:pPr>
            <w:r w:rsidRPr="00370DFD">
              <w:rPr>
                <w:sz w:val="18"/>
                <w:szCs w:val="18"/>
                <w:lang w:eastAsia="en-US"/>
              </w:rPr>
              <w:t>Quantitation, in pregnancy, of any three or more tests described in 66750</w:t>
            </w:r>
          </w:p>
        </w:tc>
        <w:tc>
          <w:tcPr>
            <w:tcW w:w="4110" w:type="dxa"/>
          </w:tcPr>
          <w:p w14:paraId="62A8EDAC" w14:textId="77777777" w:rsidR="00543D47" w:rsidRPr="00370DFD" w:rsidRDefault="00543D47" w:rsidP="00D9610A">
            <w:pPr>
              <w:rPr>
                <w:sz w:val="18"/>
                <w:szCs w:val="18"/>
                <w:lang w:eastAsia="en-US"/>
              </w:rPr>
            </w:pPr>
            <w:r w:rsidRPr="00370DFD">
              <w:rPr>
                <w:sz w:val="18"/>
                <w:szCs w:val="18"/>
                <w:lang w:eastAsia="en-US"/>
              </w:rPr>
              <w:t xml:space="preserve">Quantitation, in pregnancy, of three or more of the following - total human chorionic gonadotrophin (total HCG), free alpha human chorionic gonadotrophin (free alpha HCG), unconjugated oestriol (uE3), alpha-fetoprotein (AFP) - to detect foetal abnormality </w:t>
            </w:r>
            <w:r w:rsidRPr="00370DFD">
              <w:rPr>
                <w:i/>
                <w:sz w:val="18"/>
                <w:szCs w:val="18"/>
                <w:lang w:eastAsia="en-US"/>
              </w:rPr>
              <w:t>in the second trimester of pregnancy when a test described under 66750 has not been performed in the first trimester of pregnancy</w:t>
            </w:r>
            <w:r w:rsidRPr="00370DFD">
              <w:rPr>
                <w:sz w:val="18"/>
                <w:szCs w:val="18"/>
                <w:lang w:eastAsia="en-US"/>
              </w:rPr>
              <w:t>, including a service described in 1 or more of items 73527 and 73529 (if performed)</w:t>
            </w:r>
            <w:r w:rsidRPr="00370DFD">
              <w:t xml:space="preserve"> </w:t>
            </w:r>
            <w:r w:rsidRPr="00370DFD">
              <w:rPr>
                <w:i/>
                <w:sz w:val="18"/>
                <w:szCs w:val="18"/>
                <w:lang w:eastAsia="en-US"/>
              </w:rPr>
              <w:t xml:space="preserve">this test is not be used with item 55707 </w:t>
            </w:r>
            <w:r w:rsidRPr="00370DFD">
              <w:rPr>
                <w:sz w:val="18"/>
                <w:szCs w:val="18"/>
                <w:lang w:eastAsia="en-US"/>
              </w:rPr>
              <w:t>- (Item is subject to rule 25)</w:t>
            </w:r>
          </w:p>
        </w:tc>
      </w:tr>
    </w:tbl>
    <w:p w14:paraId="3767D533" w14:textId="77777777" w:rsidR="00543D47" w:rsidRPr="00370DFD" w:rsidRDefault="00543D47" w:rsidP="00543D47">
      <w:pPr>
        <w:pStyle w:val="Heading4"/>
        <w:rPr>
          <w:lang w:val="en-AU"/>
        </w:rPr>
      </w:pPr>
      <w:r w:rsidRPr="00370DFD">
        <w:rPr>
          <w:lang w:val="en-AU"/>
        </w:rPr>
        <w:t>Rationale</w:t>
      </w:r>
    </w:p>
    <w:p w14:paraId="256AE19E" w14:textId="77777777" w:rsidR="00543D47" w:rsidRDefault="00543D47" w:rsidP="00543D47">
      <w:pPr>
        <w:pStyle w:val="NormalBulleted"/>
        <w:rPr>
          <w:lang w:eastAsia="en-US"/>
        </w:rPr>
      </w:pPr>
      <w:r w:rsidRPr="00370DFD">
        <w:rPr>
          <w:lang w:eastAsia="en-US"/>
        </w:rPr>
        <w:t xml:space="preserve">Items 66750 and 66751 are tests mainly used in pregnancy to </w:t>
      </w:r>
      <w:r>
        <w:rPr>
          <w:lang w:eastAsia="en-US"/>
        </w:rPr>
        <w:t xml:space="preserve">assist in </w:t>
      </w:r>
      <w:r w:rsidRPr="00370DFD">
        <w:rPr>
          <w:lang w:eastAsia="en-US"/>
        </w:rPr>
        <w:t>detec</w:t>
      </w:r>
      <w:r>
        <w:rPr>
          <w:lang w:eastAsia="en-US"/>
        </w:rPr>
        <w:t>tion</w:t>
      </w:r>
      <w:r w:rsidRPr="00370DFD">
        <w:rPr>
          <w:lang w:eastAsia="en-US"/>
        </w:rPr>
        <w:t xml:space="preserve"> </w:t>
      </w:r>
      <w:r>
        <w:rPr>
          <w:lang w:eastAsia="en-US"/>
        </w:rPr>
        <w:t xml:space="preserve">of </w:t>
      </w:r>
      <w:r w:rsidRPr="00370DFD">
        <w:rPr>
          <w:lang w:eastAsia="en-US"/>
        </w:rPr>
        <w:t xml:space="preserve">congenital malformations in the foetus before birth. </w:t>
      </w:r>
      <w:r w:rsidRPr="00B43A86">
        <w:rPr>
          <w:lang w:eastAsia="en-US"/>
        </w:rPr>
        <w:t>During the 2014–2015 financial year, there were 101,240 services provided at a cost of approximately $3.6 million for item 66750 and 43,850 services provided at a cost of approximately $2.1 million for item 66751.</w:t>
      </w:r>
    </w:p>
    <w:p w14:paraId="105E26F2" w14:textId="77777777" w:rsidR="00543D47" w:rsidRDefault="00543D47" w:rsidP="00543D47">
      <w:pPr>
        <w:pStyle w:val="NormalBulleted"/>
        <w:rPr>
          <w:lang w:eastAsia="en-US"/>
        </w:rPr>
      </w:pPr>
      <w:r w:rsidRPr="00370DFD">
        <w:rPr>
          <w:lang w:eastAsia="en-US"/>
        </w:rPr>
        <w:t xml:space="preserve">The </w:t>
      </w:r>
      <w:r>
        <w:rPr>
          <w:lang w:eastAsia="en-US"/>
        </w:rPr>
        <w:t>Committee</w:t>
      </w:r>
      <w:r w:rsidRPr="00370DFD">
        <w:rPr>
          <w:lang w:eastAsia="en-US"/>
        </w:rPr>
        <w:t xml:space="preserve"> sought advice from the Obstetrics and Gynaecology Clinical Committee on first trimester screening in pregnant women. </w:t>
      </w:r>
    </w:p>
    <w:p w14:paraId="0708BC67" w14:textId="77777777" w:rsidR="00543D47" w:rsidRPr="00A7143E" w:rsidRDefault="00543D47" w:rsidP="00543D47">
      <w:pPr>
        <w:pStyle w:val="NormalBulleted"/>
        <w:rPr>
          <w:lang w:eastAsia="en-US"/>
        </w:rPr>
      </w:pPr>
      <w:r w:rsidRPr="00370DFD">
        <w:rPr>
          <w:lang w:eastAsia="en-US"/>
        </w:rPr>
        <w:t xml:space="preserve">Combined first trimester screening includes a nuchal translucency ultrasound, PAPP-A and </w:t>
      </w:r>
      <w:r>
        <w:rPr>
          <w:lang w:eastAsia="en-US"/>
        </w:rPr>
        <w:t>beta-</w:t>
      </w:r>
      <w:r w:rsidRPr="00370DFD">
        <w:rPr>
          <w:lang w:eastAsia="en-US"/>
        </w:rPr>
        <w:t>HCG at 11–13 weeks</w:t>
      </w:r>
      <w:r>
        <w:rPr>
          <w:lang w:eastAsia="en-US"/>
        </w:rPr>
        <w:t xml:space="preserve">. If first trimester screening is not performed then second trimester screening can be performed which includes testing of </w:t>
      </w:r>
      <w:r w:rsidRPr="00370DFD">
        <w:rPr>
          <w:lang w:eastAsia="en-US"/>
        </w:rPr>
        <w:t xml:space="preserve">AFP, free </w:t>
      </w:r>
      <w:r>
        <w:rPr>
          <w:lang w:eastAsia="en-US"/>
        </w:rPr>
        <w:t>beta</w:t>
      </w:r>
      <w:r w:rsidRPr="00370DFD">
        <w:rPr>
          <w:lang w:eastAsia="en-US"/>
        </w:rPr>
        <w:t>-HCG, unconjugated oestriol and inhibin A</w:t>
      </w:r>
      <w:r>
        <w:rPr>
          <w:lang w:eastAsia="en-US"/>
        </w:rPr>
        <w:t xml:space="preserve">. Nuchal translucency (NT) ultrasound is not a component of second trimester screening. Based on accepted guidelines and usual practice, most pregnant women in Australia </w:t>
      </w:r>
      <w:r w:rsidRPr="00A7143E">
        <w:rPr>
          <w:lang w:eastAsia="en-US"/>
        </w:rPr>
        <w:t xml:space="preserve">who are undergoing antenatal screening should undergo first trimester screening. </w:t>
      </w:r>
    </w:p>
    <w:p w14:paraId="75306E84" w14:textId="77777777" w:rsidR="00543D47" w:rsidRPr="00A7143E" w:rsidRDefault="00543D47" w:rsidP="00543D47">
      <w:pPr>
        <w:pStyle w:val="NormalBulleted"/>
        <w:rPr>
          <w:lang w:eastAsia="en-US"/>
        </w:rPr>
      </w:pPr>
      <w:r w:rsidRPr="00D91E5B">
        <w:rPr>
          <w:lang w:eastAsia="en-US"/>
        </w:rPr>
        <w:t>Review of MBS data showed marked clinical variation in the use of items 66750 and 66751</w:t>
      </w:r>
      <w:r w:rsidRPr="004702F6">
        <w:rPr>
          <w:lang w:eastAsia="en-US"/>
        </w:rPr>
        <w:t xml:space="preserve"> (see Figure </w:t>
      </w:r>
      <w:r>
        <w:rPr>
          <w:lang w:eastAsia="en-US"/>
        </w:rPr>
        <w:t>2</w:t>
      </w:r>
      <w:r w:rsidRPr="004702F6">
        <w:rPr>
          <w:lang w:eastAsia="en-US"/>
        </w:rPr>
        <w:t xml:space="preserve">). The </w:t>
      </w:r>
      <w:r>
        <w:rPr>
          <w:lang w:eastAsia="en-US"/>
        </w:rPr>
        <w:t>Committee</w:t>
      </w:r>
      <w:r w:rsidRPr="004702F6">
        <w:rPr>
          <w:lang w:eastAsia="en-US"/>
        </w:rPr>
        <w:t xml:space="preserve"> noted that first trimester screening is covered under the tests listed</w:t>
      </w:r>
      <w:r w:rsidRPr="00A7143E">
        <w:rPr>
          <w:lang w:eastAsia="en-US"/>
        </w:rPr>
        <w:t xml:space="preserve"> under 66750. To determine whether women in states with high rates of 66751 relative to 66750 </w:t>
      </w:r>
      <w:r w:rsidRPr="004702F6">
        <w:rPr>
          <w:lang w:eastAsia="en-US"/>
        </w:rPr>
        <w:t xml:space="preserve">were not accessing first trimester screening and instead undergoing second trimester screening, </w:t>
      </w:r>
      <w:r w:rsidRPr="004702F6">
        <w:rPr>
          <w:lang w:eastAsia="en-US"/>
        </w:rPr>
        <w:lastRenderedPageBreak/>
        <w:t>MBS data for items 66750 and 66751 were matched with MBS items for nuchal translucency</w:t>
      </w:r>
      <w:r>
        <w:rPr>
          <w:lang w:eastAsia="en-US"/>
        </w:rPr>
        <w:t xml:space="preserve"> scans (NTS)</w:t>
      </w:r>
      <w:r w:rsidRPr="004702F6">
        <w:rPr>
          <w:lang w:eastAsia="en-US"/>
        </w:rPr>
        <w:t>. It would be anticipated that women who have second trimester screening (and hence tests done under 66751) would not have had an accompanying NT scan.</w:t>
      </w:r>
    </w:p>
    <w:p w14:paraId="5E0CB982" w14:textId="77777777" w:rsidR="00543D47" w:rsidRPr="004702F6" w:rsidRDefault="00543D47" w:rsidP="00543D47">
      <w:pPr>
        <w:pStyle w:val="NormalBulleted"/>
        <w:rPr>
          <w:lang w:eastAsia="en-US"/>
        </w:rPr>
      </w:pPr>
      <w:r w:rsidRPr="00A7143E">
        <w:rPr>
          <w:lang w:eastAsia="en-US"/>
        </w:rPr>
        <w:t xml:space="preserve">The </w:t>
      </w:r>
      <w:r>
        <w:rPr>
          <w:lang w:eastAsia="en-US"/>
        </w:rPr>
        <w:t>Committee</w:t>
      </w:r>
      <w:r w:rsidRPr="00A7143E">
        <w:rPr>
          <w:lang w:eastAsia="en-US"/>
        </w:rPr>
        <w:t xml:space="preserve"> reviewed nuchal</w:t>
      </w:r>
      <w:r w:rsidRPr="00D91E5B">
        <w:rPr>
          <w:lang w:eastAsia="en-US"/>
        </w:rPr>
        <w:t xml:space="preserve"> translucency ultrasound data,</w:t>
      </w:r>
      <w:r>
        <w:rPr>
          <w:lang w:eastAsia="en-US"/>
        </w:rPr>
        <w:t xml:space="preserve"> which did not demonstrate the anticipated pattern of use (</w:t>
      </w:r>
      <w:proofErr w:type="spellStart"/>
      <w:r>
        <w:rPr>
          <w:lang w:eastAsia="en-US"/>
        </w:rPr>
        <w:t>ie</w:t>
      </w:r>
      <w:proofErr w:type="spellEnd"/>
      <w:r>
        <w:rPr>
          <w:lang w:eastAsia="en-US"/>
        </w:rPr>
        <w:t xml:space="preserve">, the </w:t>
      </w:r>
      <w:proofErr w:type="gramStart"/>
      <w:r>
        <w:rPr>
          <w:lang w:eastAsia="en-US"/>
        </w:rPr>
        <w:t>two test</w:t>
      </w:r>
      <w:proofErr w:type="gramEnd"/>
      <w:r>
        <w:rPr>
          <w:lang w:eastAsia="en-US"/>
        </w:rPr>
        <w:t xml:space="preserve"> item 66750 being performed with NTS and the three or more test item 66751 not being associated with NTS). Instead NTS was commonly associated with each item </w:t>
      </w:r>
      <w:r w:rsidRPr="004702F6">
        <w:rPr>
          <w:lang w:eastAsia="en-US"/>
        </w:rPr>
        <w:t>(see Table x)</w:t>
      </w:r>
      <w:r w:rsidRPr="00A7143E">
        <w:rPr>
          <w:lang w:eastAsia="en-US"/>
        </w:rPr>
        <w:t xml:space="preserve">. </w:t>
      </w:r>
      <w:r>
        <w:rPr>
          <w:lang w:eastAsia="en-US"/>
        </w:rPr>
        <w:t>There were m</w:t>
      </w:r>
      <w:r w:rsidRPr="00A7143E">
        <w:rPr>
          <w:lang w:eastAsia="en-US"/>
        </w:rPr>
        <w:t xml:space="preserve">ore episodes (58,659) </w:t>
      </w:r>
      <w:r>
        <w:rPr>
          <w:lang w:eastAsia="en-US"/>
        </w:rPr>
        <w:t>where</w:t>
      </w:r>
      <w:r w:rsidRPr="00A7143E">
        <w:rPr>
          <w:lang w:eastAsia="en-US"/>
        </w:rPr>
        <w:t xml:space="preserve"> item 66750 </w:t>
      </w:r>
      <w:r>
        <w:rPr>
          <w:lang w:eastAsia="en-US"/>
        </w:rPr>
        <w:t>was</w:t>
      </w:r>
      <w:r w:rsidRPr="00A7143E">
        <w:rPr>
          <w:lang w:eastAsia="en-US"/>
        </w:rPr>
        <w:t xml:space="preserve"> provided with a</w:t>
      </w:r>
      <w:r>
        <w:rPr>
          <w:lang w:eastAsia="en-US"/>
        </w:rPr>
        <w:t>n</w:t>
      </w:r>
      <w:r w:rsidRPr="00A7143E">
        <w:rPr>
          <w:lang w:eastAsia="en-US"/>
        </w:rPr>
        <w:t xml:space="preserve"> </w:t>
      </w:r>
      <w:r>
        <w:rPr>
          <w:lang w:eastAsia="en-US"/>
        </w:rPr>
        <w:t xml:space="preserve">NTS (item </w:t>
      </w:r>
      <w:r w:rsidRPr="00C7200F">
        <w:rPr>
          <w:rFonts w:cs="Arial"/>
          <w:color w:val="000000"/>
          <w:sz w:val="20"/>
          <w:szCs w:val="20"/>
        </w:rPr>
        <w:t>55707</w:t>
      </w:r>
      <w:r>
        <w:rPr>
          <w:rFonts w:cs="Arial"/>
          <w:color w:val="000000"/>
          <w:sz w:val="20"/>
          <w:szCs w:val="20"/>
        </w:rPr>
        <w:t>)</w:t>
      </w:r>
      <w:r w:rsidRPr="00A7143E">
        <w:rPr>
          <w:lang w:eastAsia="en-US"/>
        </w:rPr>
        <w:t>, which is clinically appropriate.</w:t>
      </w:r>
      <w:r>
        <w:rPr>
          <w:lang w:eastAsia="en-US"/>
        </w:rPr>
        <w:t xml:space="preserve"> However, t</w:t>
      </w:r>
      <w:r w:rsidRPr="00A7143E">
        <w:rPr>
          <w:lang w:eastAsia="en-US"/>
        </w:rPr>
        <w:t xml:space="preserve">here were 33,359 episodes where item 66751 was associated with </w:t>
      </w:r>
      <w:r>
        <w:rPr>
          <w:lang w:eastAsia="en-US"/>
        </w:rPr>
        <w:t>an NTS</w:t>
      </w:r>
      <w:r w:rsidRPr="00A7143E">
        <w:rPr>
          <w:lang w:eastAsia="en-US"/>
        </w:rPr>
        <w:t>. Th</w:t>
      </w:r>
      <w:r>
        <w:rPr>
          <w:lang w:eastAsia="en-US"/>
        </w:rPr>
        <w:t xml:space="preserve">is suggests that most women are having first trimester screening, rather than second trimester screening but that some laboratories are performing three or more tests </w:t>
      </w:r>
      <w:proofErr w:type="gramStart"/>
      <w:r>
        <w:rPr>
          <w:lang w:eastAsia="en-US"/>
        </w:rPr>
        <w:t>( item</w:t>
      </w:r>
      <w:proofErr w:type="gramEnd"/>
      <w:r>
        <w:rPr>
          <w:lang w:eastAsia="en-US"/>
        </w:rPr>
        <w:t xml:space="preserve"> 66751) when only two tests ( item 66750) are necessary for first trimester screening</w:t>
      </w:r>
      <w:r w:rsidRPr="004702F6">
        <w:rPr>
          <w:lang w:eastAsia="en-US"/>
        </w:rPr>
        <w:t>.</w:t>
      </w:r>
    </w:p>
    <w:p w14:paraId="29359E4C" w14:textId="77777777" w:rsidR="00543D47" w:rsidRPr="004702F6" w:rsidRDefault="00543D47" w:rsidP="00543D47">
      <w:pPr>
        <w:pStyle w:val="NormalBulleted"/>
        <w:rPr>
          <w:lang w:eastAsia="en-US"/>
        </w:rPr>
      </w:pPr>
      <w:r w:rsidRPr="00A7143E">
        <w:rPr>
          <w:lang w:eastAsia="en-US"/>
        </w:rPr>
        <w:t xml:space="preserve">The </w:t>
      </w:r>
      <w:r>
        <w:rPr>
          <w:lang w:eastAsia="en-US"/>
        </w:rPr>
        <w:t>Committee</w:t>
      </w:r>
      <w:r w:rsidRPr="00A7143E">
        <w:rPr>
          <w:lang w:eastAsia="en-US"/>
        </w:rPr>
        <w:t xml:space="preserve"> recommended that the item descriptors be amended to specify that 66750 is for first trimester scr</w:t>
      </w:r>
      <w:r w:rsidRPr="00D91E5B">
        <w:rPr>
          <w:lang w:eastAsia="en-US"/>
        </w:rPr>
        <w:t>eening and item</w:t>
      </w:r>
      <w:r>
        <w:rPr>
          <w:lang w:eastAsia="en-US"/>
        </w:rPr>
        <w:t xml:space="preserve"> 66751</w:t>
      </w:r>
      <w:r w:rsidRPr="00D91E5B">
        <w:rPr>
          <w:lang w:eastAsia="en-US"/>
        </w:rPr>
        <w:t xml:space="preserve"> is available</w:t>
      </w:r>
      <w:r w:rsidRPr="004702F6">
        <w:rPr>
          <w:lang w:eastAsia="en-US"/>
        </w:rPr>
        <w:t xml:space="preserve"> for second trimester screening which is available when a patient had not undergone first trimester screening. These amendment</w:t>
      </w:r>
      <w:r>
        <w:rPr>
          <w:lang w:eastAsia="en-US"/>
        </w:rPr>
        <w:t>s</w:t>
      </w:r>
      <w:r w:rsidRPr="004702F6">
        <w:rPr>
          <w:lang w:eastAsia="en-US"/>
        </w:rPr>
        <w:t xml:space="preserve"> will fit with how these tests are commonly requested (“first trimester screening” or “second trimester </w:t>
      </w:r>
      <w:proofErr w:type="gramStart"/>
      <w:r w:rsidRPr="004702F6">
        <w:rPr>
          <w:lang w:eastAsia="en-US"/>
        </w:rPr>
        <w:t>screening“</w:t>
      </w:r>
      <w:proofErr w:type="gramEnd"/>
      <w:r w:rsidRPr="004702F6">
        <w:rPr>
          <w:lang w:eastAsia="en-US"/>
        </w:rPr>
        <w:t xml:space="preserve">) </w:t>
      </w:r>
      <w:r w:rsidRPr="00A7143E">
        <w:rPr>
          <w:lang w:eastAsia="en-US"/>
        </w:rPr>
        <w:t>and direct laboratories as to what test should be performed for these two patient groups</w:t>
      </w:r>
      <w:r>
        <w:rPr>
          <w:lang w:eastAsia="en-US"/>
        </w:rPr>
        <w:t>.</w:t>
      </w:r>
      <w:r w:rsidRPr="00A7143E">
        <w:rPr>
          <w:lang w:eastAsia="en-US"/>
        </w:rPr>
        <w:t xml:space="preserve"> It should address the concern that first trimester patients are undergoing unnecessary testing.</w:t>
      </w:r>
      <w:r w:rsidRPr="004702F6">
        <w:rPr>
          <w:lang w:eastAsia="en-US"/>
        </w:rPr>
        <w:t xml:space="preserve"> </w:t>
      </w:r>
    </w:p>
    <w:p w14:paraId="09069CEF" w14:textId="77777777" w:rsidR="00543D47" w:rsidRDefault="00543D47" w:rsidP="00543D47">
      <w:pPr>
        <w:pStyle w:val="Caption"/>
      </w:pPr>
      <w:bookmarkStart w:id="84" w:name="_Toc485647617"/>
      <w:bookmarkStart w:id="85" w:name="_Toc534374909"/>
      <w:r>
        <w:t xml:space="preserve">Figure 2. </w:t>
      </w:r>
      <w:r w:rsidRPr="00EA0161">
        <w:t>State variation in utilisation of items 66750 and 66751 represented as tests/100,000 people</w:t>
      </w:r>
      <w:bookmarkEnd w:id="84"/>
      <w:bookmarkEnd w:id="85"/>
    </w:p>
    <w:p w14:paraId="5DBF2FB3" w14:textId="77777777" w:rsidR="00543D47" w:rsidRDefault="00543D47" w:rsidP="00543D47">
      <w:pPr>
        <w:rPr>
          <w:highlight w:val="yellow"/>
          <w:lang w:eastAsia="en-US"/>
        </w:rPr>
      </w:pPr>
      <w:r>
        <w:rPr>
          <w:noProof/>
        </w:rPr>
        <w:drawing>
          <wp:inline distT="0" distB="0" distL="0" distR="0" wp14:anchorId="06888770" wp14:editId="3EC097A6">
            <wp:extent cx="5661660" cy="3627120"/>
            <wp:effectExtent l="0" t="0" r="15240" b="11430"/>
            <wp:docPr id="4" name="Chart 4" descr="Figure 2 compares usage of items 66750 and 66751 between each state and territory in the 2014/15 financial year. The y axis displays the usage of items, the x axis splits this usage data by item and state / territory " title="Items 66750 and 66751 usage in 2014/15 financial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95CCAF" w14:textId="77777777" w:rsidR="00543D47" w:rsidRDefault="00543D47" w:rsidP="00543D47">
      <w:pPr>
        <w:jc w:val="right"/>
        <w:rPr>
          <w:highlight w:val="yellow"/>
          <w:lang w:eastAsia="en-US"/>
        </w:rPr>
      </w:pPr>
    </w:p>
    <w:p w14:paraId="2FDA0335" w14:textId="77777777" w:rsidR="00543D47" w:rsidRDefault="00543D47" w:rsidP="00543D47">
      <w:pPr>
        <w:pStyle w:val="Caption"/>
      </w:pPr>
      <w:bookmarkStart w:id="86" w:name="_Toc534374910"/>
      <w:r>
        <w:lastRenderedPageBreak/>
        <w:t>Table 9. Co-claiming data for items 66750 and 66751 and nuchal translucency scan (item 55707)</w:t>
      </w:r>
      <w:bookmarkEnd w:id="86"/>
    </w:p>
    <w:tbl>
      <w:tblPr>
        <w:tblStyle w:val="GridTable1Light-Accent61"/>
        <w:tblW w:w="8926" w:type="dxa"/>
        <w:tblLook w:val="04A0" w:firstRow="1" w:lastRow="0" w:firstColumn="1" w:lastColumn="0" w:noHBand="0" w:noVBand="1"/>
        <w:tblCaption w:val="Table 9. Co-claiming data for items 66750 and 66751 and nuchal translucency scan (item 55707)"/>
        <w:tblDescription w:val="Table 9 is a 5 column table. Column 1 lists the financial year, column 2 lists the trigger combination, column 3 lists the co-claimined combination, column 4 describs the timeframe when co-claimed and column 5 lists the number of episodes"/>
      </w:tblPr>
      <w:tblGrid>
        <w:gridCol w:w="1524"/>
        <w:gridCol w:w="1896"/>
        <w:gridCol w:w="1896"/>
        <w:gridCol w:w="2223"/>
        <w:gridCol w:w="1387"/>
      </w:tblGrid>
      <w:tr w:rsidR="00543D47" w:rsidRPr="00EA0161" w14:paraId="0EE6EE79" w14:textId="77777777" w:rsidTr="00D9610A">
        <w:trPr>
          <w:cnfStyle w:val="100000000000" w:firstRow="1" w:lastRow="0" w:firstColumn="0" w:lastColumn="0" w:oddVBand="0" w:evenVBand="0" w:oddHBand="0" w:evenHBand="0" w:firstRowFirstColumn="0" w:firstRowLastColumn="0" w:lastRowFirstColumn="0" w:lastRowLastColumn="0"/>
          <w:trHeight w:val="447"/>
          <w:tblHeader/>
        </w:trPr>
        <w:tc>
          <w:tcPr>
            <w:cnfStyle w:val="001000000000" w:firstRow="0" w:lastRow="0" w:firstColumn="1" w:lastColumn="0" w:oddVBand="0" w:evenVBand="0" w:oddHBand="0" w:evenHBand="0" w:firstRowFirstColumn="0" w:firstRowLastColumn="0" w:lastRowFirstColumn="0" w:lastRowLastColumn="0"/>
            <w:tcW w:w="1524" w:type="dxa"/>
            <w:shd w:val="clear" w:color="auto" w:fill="auto"/>
            <w:hideMark/>
          </w:tcPr>
          <w:p w14:paraId="59B9D37B" w14:textId="77777777" w:rsidR="00543D47" w:rsidRPr="001400A5" w:rsidRDefault="00543D47" w:rsidP="00D9610A">
            <w:pPr>
              <w:spacing w:after="0" w:line="240" w:lineRule="auto"/>
              <w:jc w:val="center"/>
              <w:rPr>
                <w:rFonts w:cs="Arial"/>
                <w:b w:val="0"/>
                <w:bCs w:val="0"/>
                <w:sz w:val="20"/>
                <w:szCs w:val="20"/>
              </w:rPr>
            </w:pPr>
            <w:r>
              <w:rPr>
                <w:rFonts w:cs="Arial"/>
                <w:sz w:val="20"/>
                <w:szCs w:val="20"/>
              </w:rPr>
              <w:t>F</w:t>
            </w:r>
            <w:r w:rsidRPr="001400A5">
              <w:rPr>
                <w:rFonts w:cs="Arial"/>
                <w:sz w:val="20"/>
                <w:szCs w:val="20"/>
              </w:rPr>
              <w:t>inancial year of service</w:t>
            </w:r>
          </w:p>
        </w:tc>
        <w:tc>
          <w:tcPr>
            <w:tcW w:w="1896" w:type="dxa"/>
            <w:shd w:val="clear" w:color="auto" w:fill="auto"/>
            <w:hideMark/>
          </w:tcPr>
          <w:p w14:paraId="48F2FD9C" w14:textId="77777777" w:rsidR="00543D47" w:rsidRPr="001400A5" w:rsidRDefault="00543D47" w:rsidP="00D961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1400A5">
              <w:rPr>
                <w:rFonts w:cs="Arial"/>
                <w:sz w:val="20"/>
                <w:szCs w:val="20"/>
              </w:rPr>
              <w:t>Trigger</w:t>
            </w:r>
            <w:r w:rsidRPr="001400A5">
              <w:rPr>
                <w:rFonts w:cs="Arial"/>
                <w:sz w:val="20"/>
                <w:szCs w:val="20"/>
              </w:rPr>
              <w:br/>
            </w:r>
            <w:r>
              <w:rPr>
                <w:rFonts w:cs="Arial"/>
                <w:sz w:val="20"/>
                <w:szCs w:val="20"/>
              </w:rPr>
              <w:t>c</w:t>
            </w:r>
            <w:r w:rsidRPr="001400A5">
              <w:rPr>
                <w:rFonts w:cs="Arial"/>
                <w:sz w:val="20"/>
                <w:szCs w:val="20"/>
              </w:rPr>
              <w:t>ombination</w:t>
            </w:r>
          </w:p>
        </w:tc>
        <w:tc>
          <w:tcPr>
            <w:tcW w:w="1896" w:type="dxa"/>
            <w:shd w:val="clear" w:color="auto" w:fill="auto"/>
            <w:hideMark/>
          </w:tcPr>
          <w:p w14:paraId="2CF8210A" w14:textId="77777777" w:rsidR="00543D47" w:rsidRPr="001400A5" w:rsidRDefault="00543D47" w:rsidP="00D961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1400A5">
              <w:rPr>
                <w:rFonts w:cs="Arial"/>
                <w:sz w:val="20"/>
                <w:szCs w:val="20"/>
              </w:rPr>
              <w:t>Co-</w:t>
            </w:r>
            <w:r>
              <w:rPr>
                <w:rFonts w:cs="Arial"/>
                <w:sz w:val="20"/>
                <w:szCs w:val="20"/>
              </w:rPr>
              <w:t>c</w:t>
            </w:r>
            <w:r w:rsidRPr="001400A5">
              <w:rPr>
                <w:rFonts w:cs="Arial"/>
                <w:sz w:val="20"/>
                <w:szCs w:val="20"/>
              </w:rPr>
              <w:t xml:space="preserve">laimed </w:t>
            </w:r>
            <w:r>
              <w:rPr>
                <w:rFonts w:cs="Arial"/>
                <w:sz w:val="20"/>
                <w:szCs w:val="20"/>
              </w:rPr>
              <w:t>c</w:t>
            </w:r>
            <w:r w:rsidRPr="001400A5">
              <w:rPr>
                <w:rFonts w:cs="Arial"/>
                <w:sz w:val="20"/>
                <w:szCs w:val="20"/>
              </w:rPr>
              <w:t>ombination</w:t>
            </w:r>
          </w:p>
        </w:tc>
        <w:tc>
          <w:tcPr>
            <w:tcW w:w="2223" w:type="dxa"/>
            <w:shd w:val="clear" w:color="auto" w:fill="auto"/>
            <w:hideMark/>
          </w:tcPr>
          <w:p w14:paraId="46184E88" w14:textId="77777777" w:rsidR="00543D47" w:rsidRPr="001400A5" w:rsidRDefault="00543D47" w:rsidP="00D961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1400A5">
              <w:rPr>
                <w:rFonts w:cs="Arial"/>
                <w:sz w:val="20"/>
                <w:szCs w:val="20"/>
              </w:rPr>
              <w:t>Timeframe when co-claimed</w:t>
            </w:r>
          </w:p>
        </w:tc>
        <w:tc>
          <w:tcPr>
            <w:tcW w:w="1387" w:type="dxa"/>
            <w:shd w:val="clear" w:color="auto" w:fill="auto"/>
            <w:hideMark/>
          </w:tcPr>
          <w:p w14:paraId="2D897F57" w14:textId="77777777" w:rsidR="00543D47" w:rsidRPr="001400A5" w:rsidRDefault="00543D47" w:rsidP="00D9610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1400A5">
              <w:rPr>
                <w:rFonts w:cs="Arial"/>
                <w:sz w:val="20"/>
                <w:szCs w:val="20"/>
              </w:rPr>
              <w:t>Episodes</w:t>
            </w:r>
          </w:p>
        </w:tc>
      </w:tr>
      <w:tr w:rsidR="00543D47" w:rsidRPr="00EA0161" w14:paraId="2CE917F4" w14:textId="77777777" w:rsidTr="00D9610A">
        <w:trPr>
          <w:trHeight w:val="361"/>
        </w:trPr>
        <w:tc>
          <w:tcPr>
            <w:cnfStyle w:val="001000000000" w:firstRow="0" w:lastRow="0" w:firstColumn="1" w:lastColumn="0" w:oddVBand="0" w:evenVBand="0" w:oddHBand="0" w:evenHBand="0" w:firstRowFirstColumn="0" w:firstRowLastColumn="0" w:lastRowFirstColumn="0" w:lastRowLastColumn="0"/>
            <w:tcW w:w="1524" w:type="dxa"/>
            <w:noWrap/>
            <w:hideMark/>
          </w:tcPr>
          <w:p w14:paraId="4C573E78" w14:textId="77777777" w:rsidR="00543D47" w:rsidRPr="000515DE" w:rsidRDefault="00543D47" w:rsidP="00D9610A">
            <w:pPr>
              <w:spacing w:after="0" w:line="240" w:lineRule="auto"/>
              <w:rPr>
                <w:rFonts w:cs="Arial"/>
                <w:color w:val="000000"/>
                <w:sz w:val="20"/>
                <w:szCs w:val="20"/>
              </w:rPr>
            </w:pPr>
            <w:r w:rsidRPr="000515DE">
              <w:rPr>
                <w:rFonts w:cs="Arial"/>
                <w:color w:val="000000"/>
                <w:sz w:val="20"/>
                <w:szCs w:val="20"/>
              </w:rPr>
              <w:t>2015-16</w:t>
            </w:r>
          </w:p>
        </w:tc>
        <w:tc>
          <w:tcPr>
            <w:tcW w:w="1896" w:type="dxa"/>
            <w:noWrap/>
            <w:hideMark/>
          </w:tcPr>
          <w:p w14:paraId="4A04695F"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66750</w:t>
            </w:r>
          </w:p>
        </w:tc>
        <w:tc>
          <w:tcPr>
            <w:tcW w:w="1896" w:type="dxa"/>
            <w:noWrap/>
            <w:hideMark/>
          </w:tcPr>
          <w:p w14:paraId="264B2AF1"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55707.</w:t>
            </w:r>
          </w:p>
        </w:tc>
        <w:tc>
          <w:tcPr>
            <w:tcW w:w="2223" w:type="dxa"/>
            <w:noWrap/>
            <w:hideMark/>
          </w:tcPr>
          <w:p w14:paraId="2CBB39B1"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Same </w:t>
            </w:r>
            <w:r>
              <w:rPr>
                <w:rFonts w:cs="Arial"/>
                <w:color w:val="000000"/>
                <w:sz w:val="20"/>
                <w:szCs w:val="20"/>
              </w:rPr>
              <w:t>d</w:t>
            </w:r>
            <w:r w:rsidRPr="000515DE">
              <w:rPr>
                <w:rFonts w:cs="Arial"/>
                <w:color w:val="000000"/>
                <w:sz w:val="20"/>
                <w:szCs w:val="20"/>
              </w:rPr>
              <w:t>ay</w:t>
            </w:r>
          </w:p>
        </w:tc>
        <w:tc>
          <w:tcPr>
            <w:tcW w:w="1387" w:type="dxa"/>
            <w:noWrap/>
            <w:hideMark/>
          </w:tcPr>
          <w:p w14:paraId="25A1027C" w14:textId="77777777" w:rsidR="00543D47" w:rsidRPr="000515DE" w:rsidRDefault="00543D47" w:rsidP="00D961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8,337 </w:t>
            </w:r>
          </w:p>
        </w:tc>
      </w:tr>
      <w:tr w:rsidR="00543D47" w:rsidRPr="00EA0161" w14:paraId="796DD381" w14:textId="77777777" w:rsidTr="00D9610A">
        <w:trPr>
          <w:trHeight w:val="361"/>
        </w:trPr>
        <w:tc>
          <w:tcPr>
            <w:cnfStyle w:val="001000000000" w:firstRow="0" w:lastRow="0" w:firstColumn="1" w:lastColumn="0" w:oddVBand="0" w:evenVBand="0" w:oddHBand="0" w:evenHBand="0" w:firstRowFirstColumn="0" w:firstRowLastColumn="0" w:lastRowFirstColumn="0" w:lastRowLastColumn="0"/>
            <w:tcW w:w="1524" w:type="dxa"/>
            <w:noWrap/>
            <w:hideMark/>
          </w:tcPr>
          <w:p w14:paraId="0548BB5E" w14:textId="77777777" w:rsidR="00543D47" w:rsidRPr="000515DE" w:rsidRDefault="00543D47" w:rsidP="00D9610A">
            <w:pPr>
              <w:spacing w:after="0" w:line="240" w:lineRule="auto"/>
              <w:rPr>
                <w:rFonts w:cs="Arial"/>
                <w:color w:val="000000"/>
                <w:sz w:val="20"/>
                <w:szCs w:val="20"/>
              </w:rPr>
            </w:pPr>
            <w:r w:rsidRPr="000515DE">
              <w:rPr>
                <w:rFonts w:cs="Arial"/>
                <w:color w:val="000000"/>
                <w:sz w:val="20"/>
                <w:szCs w:val="20"/>
              </w:rPr>
              <w:t>2015-16</w:t>
            </w:r>
          </w:p>
        </w:tc>
        <w:tc>
          <w:tcPr>
            <w:tcW w:w="1896" w:type="dxa"/>
            <w:noWrap/>
            <w:hideMark/>
          </w:tcPr>
          <w:p w14:paraId="5248C2D0"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66750</w:t>
            </w:r>
          </w:p>
        </w:tc>
        <w:tc>
          <w:tcPr>
            <w:tcW w:w="1896" w:type="dxa"/>
            <w:noWrap/>
            <w:hideMark/>
          </w:tcPr>
          <w:p w14:paraId="4C669235"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55707.</w:t>
            </w:r>
          </w:p>
        </w:tc>
        <w:tc>
          <w:tcPr>
            <w:tcW w:w="2223" w:type="dxa"/>
            <w:noWrap/>
            <w:hideMark/>
          </w:tcPr>
          <w:p w14:paraId="1603E3A2"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8 </w:t>
            </w:r>
            <w:r>
              <w:rPr>
                <w:rFonts w:cs="Arial"/>
                <w:color w:val="000000"/>
                <w:sz w:val="20"/>
                <w:szCs w:val="20"/>
              </w:rPr>
              <w:t>weeks before or after</w:t>
            </w:r>
          </w:p>
        </w:tc>
        <w:tc>
          <w:tcPr>
            <w:tcW w:w="1387" w:type="dxa"/>
            <w:noWrap/>
            <w:hideMark/>
          </w:tcPr>
          <w:p w14:paraId="2E40724E" w14:textId="77777777" w:rsidR="00543D47" w:rsidRPr="000515DE" w:rsidRDefault="00543D47" w:rsidP="00D961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58,659 </w:t>
            </w:r>
          </w:p>
        </w:tc>
      </w:tr>
      <w:tr w:rsidR="00543D47" w:rsidRPr="00EA0161" w14:paraId="033FDC0A" w14:textId="77777777" w:rsidTr="00D9610A">
        <w:trPr>
          <w:trHeight w:val="361"/>
        </w:trPr>
        <w:tc>
          <w:tcPr>
            <w:cnfStyle w:val="001000000000" w:firstRow="0" w:lastRow="0" w:firstColumn="1" w:lastColumn="0" w:oddVBand="0" w:evenVBand="0" w:oddHBand="0" w:evenHBand="0" w:firstRowFirstColumn="0" w:firstRowLastColumn="0" w:lastRowFirstColumn="0" w:lastRowLastColumn="0"/>
            <w:tcW w:w="1524" w:type="dxa"/>
            <w:noWrap/>
            <w:hideMark/>
          </w:tcPr>
          <w:p w14:paraId="0557EC69" w14:textId="77777777" w:rsidR="00543D47" w:rsidRPr="000515DE" w:rsidRDefault="00543D47" w:rsidP="00D9610A">
            <w:pPr>
              <w:spacing w:after="0" w:line="240" w:lineRule="auto"/>
              <w:rPr>
                <w:rFonts w:cs="Arial"/>
                <w:color w:val="000000"/>
                <w:sz w:val="20"/>
                <w:szCs w:val="20"/>
              </w:rPr>
            </w:pPr>
            <w:r w:rsidRPr="000515DE">
              <w:rPr>
                <w:rFonts w:cs="Arial"/>
                <w:color w:val="000000"/>
                <w:sz w:val="20"/>
                <w:szCs w:val="20"/>
              </w:rPr>
              <w:t>2015-16</w:t>
            </w:r>
          </w:p>
        </w:tc>
        <w:tc>
          <w:tcPr>
            <w:tcW w:w="1896" w:type="dxa"/>
            <w:noWrap/>
            <w:hideMark/>
          </w:tcPr>
          <w:p w14:paraId="19152507"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66750</w:t>
            </w:r>
          </w:p>
        </w:tc>
        <w:tc>
          <w:tcPr>
            <w:tcW w:w="1896" w:type="dxa"/>
            <w:noWrap/>
            <w:hideMark/>
          </w:tcPr>
          <w:p w14:paraId="5B3A4FD0"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TOTAL</w:t>
            </w:r>
          </w:p>
        </w:tc>
        <w:tc>
          <w:tcPr>
            <w:tcW w:w="2223" w:type="dxa"/>
            <w:noWrap/>
            <w:hideMark/>
          </w:tcPr>
          <w:p w14:paraId="6714C955"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Same </w:t>
            </w:r>
            <w:r>
              <w:rPr>
                <w:rFonts w:cs="Arial"/>
                <w:color w:val="000000"/>
                <w:sz w:val="20"/>
                <w:szCs w:val="20"/>
              </w:rPr>
              <w:t>d</w:t>
            </w:r>
            <w:r w:rsidRPr="000515DE">
              <w:rPr>
                <w:rFonts w:cs="Arial"/>
                <w:color w:val="000000"/>
                <w:sz w:val="20"/>
                <w:szCs w:val="20"/>
              </w:rPr>
              <w:t>ay</w:t>
            </w:r>
          </w:p>
        </w:tc>
        <w:tc>
          <w:tcPr>
            <w:tcW w:w="1387" w:type="dxa"/>
            <w:noWrap/>
            <w:hideMark/>
          </w:tcPr>
          <w:p w14:paraId="237CBBDD" w14:textId="77777777" w:rsidR="00543D47" w:rsidRPr="000515DE" w:rsidRDefault="00543D47" w:rsidP="00D961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95,793 </w:t>
            </w:r>
          </w:p>
        </w:tc>
      </w:tr>
      <w:tr w:rsidR="00543D47" w:rsidRPr="00EA0161" w14:paraId="48FFB1C3" w14:textId="77777777" w:rsidTr="00D9610A">
        <w:trPr>
          <w:trHeight w:val="361"/>
        </w:trPr>
        <w:tc>
          <w:tcPr>
            <w:cnfStyle w:val="001000000000" w:firstRow="0" w:lastRow="0" w:firstColumn="1" w:lastColumn="0" w:oddVBand="0" w:evenVBand="0" w:oddHBand="0" w:evenHBand="0" w:firstRowFirstColumn="0" w:firstRowLastColumn="0" w:lastRowFirstColumn="0" w:lastRowLastColumn="0"/>
            <w:tcW w:w="1524" w:type="dxa"/>
            <w:noWrap/>
            <w:hideMark/>
          </w:tcPr>
          <w:p w14:paraId="43E91B70" w14:textId="77777777" w:rsidR="00543D47" w:rsidRPr="000515DE" w:rsidRDefault="00543D47" w:rsidP="00D9610A">
            <w:pPr>
              <w:spacing w:after="0" w:line="240" w:lineRule="auto"/>
              <w:rPr>
                <w:rFonts w:cs="Arial"/>
                <w:color w:val="000000"/>
                <w:sz w:val="20"/>
                <w:szCs w:val="20"/>
              </w:rPr>
            </w:pPr>
            <w:r w:rsidRPr="000515DE">
              <w:rPr>
                <w:rFonts w:cs="Arial"/>
                <w:color w:val="000000"/>
                <w:sz w:val="20"/>
                <w:szCs w:val="20"/>
              </w:rPr>
              <w:t>2015-16</w:t>
            </w:r>
          </w:p>
        </w:tc>
        <w:tc>
          <w:tcPr>
            <w:tcW w:w="1896" w:type="dxa"/>
            <w:noWrap/>
            <w:hideMark/>
          </w:tcPr>
          <w:p w14:paraId="60CE6D2E"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66751</w:t>
            </w:r>
          </w:p>
        </w:tc>
        <w:tc>
          <w:tcPr>
            <w:tcW w:w="1896" w:type="dxa"/>
            <w:noWrap/>
            <w:hideMark/>
          </w:tcPr>
          <w:p w14:paraId="6A3F7837"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55707</w:t>
            </w:r>
          </w:p>
        </w:tc>
        <w:tc>
          <w:tcPr>
            <w:tcW w:w="2223" w:type="dxa"/>
            <w:noWrap/>
            <w:hideMark/>
          </w:tcPr>
          <w:p w14:paraId="1FF3D583"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Same </w:t>
            </w:r>
            <w:r>
              <w:rPr>
                <w:rFonts w:cs="Arial"/>
                <w:color w:val="000000"/>
                <w:sz w:val="20"/>
                <w:szCs w:val="20"/>
              </w:rPr>
              <w:t>d</w:t>
            </w:r>
            <w:r w:rsidRPr="000515DE">
              <w:rPr>
                <w:rFonts w:cs="Arial"/>
                <w:color w:val="000000"/>
                <w:sz w:val="20"/>
                <w:szCs w:val="20"/>
              </w:rPr>
              <w:t>ay</w:t>
            </w:r>
          </w:p>
        </w:tc>
        <w:tc>
          <w:tcPr>
            <w:tcW w:w="1387" w:type="dxa"/>
            <w:noWrap/>
            <w:hideMark/>
          </w:tcPr>
          <w:p w14:paraId="6852BBE8" w14:textId="77777777" w:rsidR="00543D47" w:rsidRPr="000515DE" w:rsidRDefault="00543D47" w:rsidP="00D961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15,565 </w:t>
            </w:r>
          </w:p>
        </w:tc>
      </w:tr>
      <w:tr w:rsidR="00543D47" w:rsidRPr="00EA0161" w14:paraId="0F2F0BCE" w14:textId="77777777" w:rsidTr="00D9610A">
        <w:trPr>
          <w:trHeight w:val="361"/>
        </w:trPr>
        <w:tc>
          <w:tcPr>
            <w:cnfStyle w:val="001000000000" w:firstRow="0" w:lastRow="0" w:firstColumn="1" w:lastColumn="0" w:oddVBand="0" w:evenVBand="0" w:oddHBand="0" w:evenHBand="0" w:firstRowFirstColumn="0" w:firstRowLastColumn="0" w:lastRowFirstColumn="0" w:lastRowLastColumn="0"/>
            <w:tcW w:w="1524" w:type="dxa"/>
            <w:noWrap/>
            <w:hideMark/>
          </w:tcPr>
          <w:p w14:paraId="145350B2" w14:textId="77777777" w:rsidR="00543D47" w:rsidRPr="000515DE" w:rsidRDefault="00543D47" w:rsidP="00D9610A">
            <w:pPr>
              <w:spacing w:after="0" w:line="240" w:lineRule="auto"/>
              <w:rPr>
                <w:rFonts w:cs="Arial"/>
                <w:color w:val="000000"/>
                <w:sz w:val="20"/>
                <w:szCs w:val="20"/>
              </w:rPr>
            </w:pPr>
            <w:r w:rsidRPr="000515DE">
              <w:rPr>
                <w:rFonts w:cs="Arial"/>
                <w:color w:val="000000"/>
                <w:sz w:val="20"/>
                <w:szCs w:val="20"/>
              </w:rPr>
              <w:t>2015-16</w:t>
            </w:r>
          </w:p>
        </w:tc>
        <w:tc>
          <w:tcPr>
            <w:tcW w:w="1896" w:type="dxa"/>
            <w:noWrap/>
            <w:hideMark/>
          </w:tcPr>
          <w:p w14:paraId="5B4B81BF"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66751</w:t>
            </w:r>
          </w:p>
        </w:tc>
        <w:tc>
          <w:tcPr>
            <w:tcW w:w="1896" w:type="dxa"/>
            <w:noWrap/>
            <w:hideMark/>
          </w:tcPr>
          <w:p w14:paraId="7ABD685B"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55707</w:t>
            </w:r>
          </w:p>
        </w:tc>
        <w:tc>
          <w:tcPr>
            <w:tcW w:w="2223" w:type="dxa"/>
            <w:noWrap/>
            <w:hideMark/>
          </w:tcPr>
          <w:p w14:paraId="4F596172"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C7200F">
              <w:rPr>
                <w:rFonts w:cs="Arial"/>
                <w:color w:val="000000"/>
                <w:sz w:val="20"/>
                <w:szCs w:val="20"/>
              </w:rPr>
              <w:t xml:space="preserve">8 </w:t>
            </w:r>
            <w:r>
              <w:rPr>
                <w:rFonts w:cs="Arial"/>
                <w:color w:val="000000"/>
                <w:sz w:val="20"/>
                <w:szCs w:val="20"/>
              </w:rPr>
              <w:t>weeks before or after</w:t>
            </w:r>
          </w:p>
        </w:tc>
        <w:tc>
          <w:tcPr>
            <w:tcW w:w="1387" w:type="dxa"/>
            <w:noWrap/>
            <w:hideMark/>
          </w:tcPr>
          <w:p w14:paraId="32FC2BF4" w14:textId="77777777" w:rsidR="00543D47" w:rsidRPr="000515DE" w:rsidRDefault="00543D47" w:rsidP="00D961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33,359 </w:t>
            </w:r>
          </w:p>
        </w:tc>
      </w:tr>
      <w:tr w:rsidR="00543D47" w:rsidRPr="00EA0161" w14:paraId="37892A0C" w14:textId="77777777" w:rsidTr="00D9610A">
        <w:trPr>
          <w:trHeight w:val="361"/>
        </w:trPr>
        <w:tc>
          <w:tcPr>
            <w:cnfStyle w:val="001000000000" w:firstRow="0" w:lastRow="0" w:firstColumn="1" w:lastColumn="0" w:oddVBand="0" w:evenVBand="0" w:oddHBand="0" w:evenHBand="0" w:firstRowFirstColumn="0" w:firstRowLastColumn="0" w:lastRowFirstColumn="0" w:lastRowLastColumn="0"/>
            <w:tcW w:w="1524" w:type="dxa"/>
            <w:noWrap/>
            <w:hideMark/>
          </w:tcPr>
          <w:p w14:paraId="1AE4A159" w14:textId="77777777" w:rsidR="00543D47" w:rsidRPr="000515DE" w:rsidRDefault="00543D47" w:rsidP="00D9610A">
            <w:pPr>
              <w:spacing w:after="0" w:line="240" w:lineRule="auto"/>
              <w:rPr>
                <w:rFonts w:cs="Arial"/>
                <w:color w:val="000000"/>
                <w:sz w:val="20"/>
                <w:szCs w:val="20"/>
              </w:rPr>
            </w:pPr>
            <w:r w:rsidRPr="000515DE">
              <w:rPr>
                <w:rFonts w:cs="Arial"/>
                <w:color w:val="000000"/>
                <w:sz w:val="20"/>
                <w:szCs w:val="20"/>
              </w:rPr>
              <w:t>2015-16</w:t>
            </w:r>
          </w:p>
        </w:tc>
        <w:tc>
          <w:tcPr>
            <w:tcW w:w="1896" w:type="dxa"/>
            <w:noWrap/>
            <w:hideMark/>
          </w:tcPr>
          <w:p w14:paraId="500EA00F"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66751</w:t>
            </w:r>
          </w:p>
        </w:tc>
        <w:tc>
          <w:tcPr>
            <w:tcW w:w="1896" w:type="dxa"/>
            <w:noWrap/>
            <w:hideMark/>
          </w:tcPr>
          <w:p w14:paraId="5C1F3949"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TOTAL</w:t>
            </w:r>
          </w:p>
        </w:tc>
        <w:tc>
          <w:tcPr>
            <w:tcW w:w="2223" w:type="dxa"/>
            <w:noWrap/>
            <w:hideMark/>
          </w:tcPr>
          <w:p w14:paraId="34E59D8E" w14:textId="77777777" w:rsidR="00543D47" w:rsidRPr="000515DE" w:rsidRDefault="00543D47" w:rsidP="00D9610A">
            <w:p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Same </w:t>
            </w:r>
            <w:r>
              <w:rPr>
                <w:rFonts w:cs="Arial"/>
                <w:color w:val="000000"/>
                <w:sz w:val="20"/>
                <w:szCs w:val="20"/>
              </w:rPr>
              <w:t>d</w:t>
            </w:r>
            <w:r w:rsidRPr="000515DE">
              <w:rPr>
                <w:rFonts w:cs="Arial"/>
                <w:color w:val="000000"/>
                <w:sz w:val="20"/>
                <w:szCs w:val="20"/>
              </w:rPr>
              <w:t>ay</w:t>
            </w:r>
          </w:p>
        </w:tc>
        <w:tc>
          <w:tcPr>
            <w:tcW w:w="1387" w:type="dxa"/>
            <w:noWrap/>
            <w:hideMark/>
          </w:tcPr>
          <w:p w14:paraId="67DA29F9" w14:textId="77777777" w:rsidR="00543D47" w:rsidRPr="000515DE" w:rsidRDefault="00543D47" w:rsidP="00D9610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cs="Arial"/>
                <w:color w:val="000000"/>
                <w:sz w:val="20"/>
                <w:szCs w:val="20"/>
              </w:rPr>
            </w:pPr>
            <w:r w:rsidRPr="000515DE">
              <w:rPr>
                <w:rFonts w:cs="Arial"/>
                <w:color w:val="000000"/>
                <w:sz w:val="20"/>
                <w:szCs w:val="20"/>
              </w:rPr>
              <w:t xml:space="preserve">42,092 </w:t>
            </w:r>
          </w:p>
        </w:tc>
      </w:tr>
    </w:tbl>
    <w:p w14:paraId="241EDA1D" w14:textId="77777777" w:rsidR="00543D47" w:rsidRPr="000515DE" w:rsidRDefault="00543D47" w:rsidP="00543D47">
      <w:pPr>
        <w:rPr>
          <w:highlight w:val="yellow"/>
          <w:lang w:eastAsia="en-US"/>
        </w:rPr>
      </w:pPr>
    </w:p>
    <w:p w14:paraId="4EA25683" w14:textId="77777777" w:rsidR="00543D47" w:rsidRPr="00370DFD" w:rsidRDefault="00543D47" w:rsidP="00543D47">
      <w:pPr>
        <w:pStyle w:val="Heading2"/>
        <w:rPr>
          <w:lang w:val="en-AU"/>
        </w:rPr>
      </w:pPr>
      <w:bookmarkStart w:id="87" w:name="_Toc514247619"/>
      <w:r w:rsidRPr="00370DFD">
        <w:rPr>
          <w:lang w:val="en-AU"/>
        </w:rPr>
        <w:t xml:space="preserve">Markers of cardiac risk </w:t>
      </w:r>
      <w:proofErr w:type="spellStart"/>
      <w:r w:rsidRPr="00370DFD">
        <w:rPr>
          <w:lang w:val="en-AU"/>
        </w:rPr>
        <w:t>or</w:t>
      </w:r>
      <w:proofErr w:type="spellEnd"/>
      <w:r w:rsidRPr="00370DFD">
        <w:rPr>
          <w:lang w:val="en-AU"/>
        </w:rPr>
        <w:t xml:space="preserve"> heart failure</w:t>
      </w:r>
      <w:bookmarkEnd w:id="87"/>
    </w:p>
    <w:p w14:paraId="44DDC079" w14:textId="77777777" w:rsidR="00543D47" w:rsidRPr="00370DFD" w:rsidRDefault="00543D47" w:rsidP="00543D47">
      <w:pPr>
        <w:pStyle w:val="Heading3Numbered"/>
        <w:rPr>
          <w:lang w:val="en-AU"/>
        </w:rPr>
      </w:pPr>
      <w:r w:rsidRPr="00370DFD">
        <w:rPr>
          <w:lang w:val="en-AU"/>
        </w:rPr>
        <w:t>Cardiac or skeletal muscle damage: items 66518 and 66519</w:t>
      </w:r>
    </w:p>
    <w:p w14:paraId="0A2DB67B" w14:textId="77777777" w:rsidR="00543D47" w:rsidRPr="00370DFD" w:rsidRDefault="00543D47" w:rsidP="00543D47">
      <w:pPr>
        <w:pStyle w:val="Caption"/>
      </w:pPr>
      <w:bookmarkStart w:id="88" w:name="_Toc534374911"/>
      <w:r w:rsidRPr="00370DFD">
        <w:t xml:space="preserve">Table </w:t>
      </w:r>
      <w:r>
        <w:t>10</w:t>
      </w:r>
      <w:r w:rsidRPr="00370DFD">
        <w:t>. Item introduction table for items 66518 and 66519</w:t>
      </w:r>
      <w:bookmarkEnd w:id="88"/>
    </w:p>
    <w:tbl>
      <w:tblPr>
        <w:tblStyle w:val="TableGrid"/>
        <w:tblW w:w="9019" w:type="dxa"/>
        <w:tblBorders>
          <w:insideV w:val="single" w:sz="4" w:space="0" w:color="984806" w:themeColor="accent6" w:themeShade="80"/>
        </w:tblBorders>
        <w:tblLook w:val="04A0" w:firstRow="1" w:lastRow="0" w:firstColumn="1" w:lastColumn="0" w:noHBand="0" w:noVBand="1"/>
        <w:tblCaption w:val="Table 10. Item introduction table for items 66518 and 66519"/>
        <w:tblDescription w:val="Table 10 is a 7 column table. Column 1 lists the item number, column 2 describes the item, column 3 lists the schedule fee, column 4 shows benefits paid in the 2014/15 financial year, column 5 shows the number of services claimed in the 2014/15 financial year, column 6 is the patient count and column 7 is the 5 year service change represented as a percentage."/>
      </w:tblPr>
      <w:tblGrid>
        <w:gridCol w:w="703"/>
        <w:gridCol w:w="2857"/>
        <w:gridCol w:w="1066"/>
        <w:gridCol w:w="1219"/>
        <w:gridCol w:w="1060"/>
        <w:gridCol w:w="1060"/>
        <w:gridCol w:w="1054"/>
      </w:tblGrid>
      <w:tr w:rsidR="00543D47" w:rsidRPr="00370DFD" w14:paraId="15B0ADF8" w14:textId="77777777" w:rsidTr="00D9610A">
        <w:trPr>
          <w:tblHeader/>
        </w:trPr>
        <w:tc>
          <w:tcPr>
            <w:tcW w:w="703" w:type="dxa"/>
          </w:tcPr>
          <w:p w14:paraId="16BE3BF7" w14:textId="77777777" w:rsidR="00543D47" w:rsidRPr="00370DFD" w:rsidRDefault="00543D47" w:rsidP="00D9610A">
            <w:pPr>
              <w:pStyle w:val="BodyText"/>
              <w:rPr>
                <w:b/>
                <w:sz w:val="18"/>
                <w:szCs w:val="18"/>
              </w:rPr>
            </w:pPr>
            <w:r w:rsidRPr="00370DFD">
              <w:rPr>
                <w:b/>
                <w:sz w:val="18"/>
                <w:szCs w:val="18"/>
              </w:rPr>
              <w:t>Item</w:t>
            </w:r>
          </w:p>
        </w:tc>
        <w:tc>
          <w:tcPr>
            <w:tcW w:w="2857" w:type="dxa"/>
          </w:tcPr>
          <w:p w14:paraId="1B0F3DD0" w14:textId="77777777" w:rsidR="00543D47" w:rsidRPr="00370DFD" w:rsidRDefault="00543D47" w:rsidP="00D9610A">
            <w:pPr>
              <w:pStyle w:val="BodyText"/>
              <w:rPr>
                <w:b/>
                <w:sz w:val="18"/>
                <w:szCs w:val="18"/>
              </w:rPr>
            </w:pPr>
            <w:r w:rsidRPr="00370DFD">
              <w:rPr>
                <w:b/>
                <w:sz w:val="18"/>
                <w:szCs w:val="18"/>
              </w:rPr>
              <w:t>Long item descriptor</w:t>
            </w:r>
          </w:p>
        </w:tc>
        <w:tc>
          <w:tcPr>
            <w:tcW w:w="1066" w:type="dxa"/>
          </w:tcPr>
          <w:p w14:paraId="32C30830" w14:textId="77777777" w:rsidR="00543D47" w:rsidRPr="00370DFD" w:rsidRDefault="00543D47" w:rsidP="00D9610A">
            <w:pPr>
              <w:pStyle w:val="BodyText"/>
              <w:rPr>
                <w:b/>
                <w:sz w:val="18"/>
                <w:szCs w:val="18"/>
              </w:rPr>
            </w:pPr>
            <w:r>
              <w:rPr>
                <w:b/>
                <w:sz w:val="18"/>
                <w:szCs w:val="18"/>
              </w:rPr>
              <w:t>Schedule fee</w:t>
            </w:r>
          </w:p>
        </w:tc>
        <w:tc>
          <w:tcPr>
            <w:tcW w:w="1219" w:type="dxa"/>
          </w:tcPr>
          <w:p w14:paraId="7F1DF90B" w14:textId="77777777" w:rsidR="00543D47" w:rsidRPr="00370DFD" w:rsidRDefault="00543D47" w:rsidP="00D9610A">
            <w:pPr>
              <w:pStyle w:val="BodyText"/>
              <w:rPr>
                <w:b/>
                <w:sz w:val="18"/>
                <w:szCs w:val="18"/>
              </w:rPr>
            </w:pPr>
            <w:r w:rsidRPr="00370DFD">
              <w:rPr>
                <w:b/>
                <w:sz w:val="18"/>
                <w:szCs w:val="18"/>
              </w:rPr>
              <w:t xml:space="preserve">Benefits </w:t>
            </w:r>
            <w:r>
              <w:rPr>
                <w:b/>
                <w:sz w:val="18"/>
                <w:szCs w:val="18"/>
              </w:rPr>
              <w:br/>
            </w:r>
            <w:r w:rsidRPr="00370DFD">
              <w:rPr>
                <w:b/>
                <w:sz w:val="18"/>
                <w:szCs w:val="18"/>
              </w:rPr>
              <w:t>FY 2014–15</w:t>
            </w:r>
          </w:p>
        </w:tc>
        <w:tc>
          <w:tcPr>
            <w:tcW w:w="1060" w:type="dxa"/>
          </w:tcPr>
          <w:p w14:paraId="3BE81282" w14:textId="77777777" w:rsidR="00543D47" w:rsidRPr="00370DFD" w:rsidRDefault="00543D47" w:rsidP="00D9610A">
            <w:pPr>
              <w:pStyle w:val="BodyText"/>
              <w:rPr>
                <w:b/>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tcPr>
          <w:p w14:paraId="511AD446" w14:textId="77777777" w:rsidR="00543D47" w:rsidRPr="00370DFD" w:rsidRDefault="00543D47" w:rsidP="00D9610A">
            <w:pPr>
              <w:pStyle w:val="BodyText"/>
              <w:rPr>
                <w:b/>
                <w:sz w:val="18"/>
                <w:szCs w:val="18"/>
              </w:rPr>
            </w:pPr>
            <w:r w:rsidRPr="00370DFD">
              <w:rPr>
                <w:b/>
                <w:sz w:val="18"/>
                <w:szCs w:val="18"/>
              </w:rPr>
              <w:t>Patient count</w:t>
            </w:r>
            <w:r>
              <w:rPr>
                <w:b/>
                <w:sz w:val="18"/>
                <w:szCs w:val="18"/>
              </w:rPr>
              <w:t xml:space="preserve"> </w:t>
            </w:r>
            <w:r w:rsidRPr="00370DFD">
              <w:rPr>
                <w:b/>
                <w:sz w:val="18"/>
                <w:szCs w:val="18"/>
              </w:rPr>
              <w:t>2014–15</w:t>
            </w:r>
          </w:p>
        </w:tc>
        <w:tc>
          <w:tcPr>
            <w:tcW w:w="1054" w:type="dxa"/>
          </w:tcPr>
          <w:p w14:paraId="0D4E7379" w14:textId="77777777" w:rsidR="00543D47" w:rsidRPr="00370DFD" w:rsidRDefault="00543D47" w:rsidP="00D9610A">
            <w:pPr>
              <w:pStyle w:val="BodyText"/>
              <w:rPr>
                <w:b/>
                <w:sz w:val="18"/>
                <w:szCs w:val="18"/>
              </w:rPr>
            </w:pPr>
            <w:r w:rsidRPr="00370DFD">
              <w:rPr>
                <w:b/>
                <w:sz w:val="18"/>
                <w:szCs w:val="18"/>
              </w:rPr>
              <w:t>5</w:t>
            </w:r>
            <w:r>
              <w:rPr>
                <w:b/>
                <w:sz w:val="18"/>
                <w:szCs w:val="18"/>
              </w:rPr>
              <w:t>-</w:t>
            </w:r>
            <w:r w:rsidRPr="00370DFD">
              <w:rPr>
                <w:b/>
                <w:sz w:val="18"/>
                <w:szCs w:val="18"/>
              </w:rPr>
              <w:t>year service change % (CAGR)</w:t>
            </w:r>
          </w:p>
        </w:tc>
      </w:tr>
      <w:tr w:rsidR="00543D47" w:rsidRPr="00370DFD" w14:paraId="3BDD89AA" w14:textId="77777777" w:rsidTr="00D9610A">
        <w:trPr>
          <w:tblHeader/>
        </w:trPr>
        <w:tc>
          <w:tcPr>
            <w:tcW w:w="703" w:type="dxa"/>
          </w:tcPr>
          <w:p w14:paraId="360EC1BC" w14:textId="77777777" w:rsidR="00543D47" w:rsidRPr="00370DFD" w:rsidRDefault="00543D47" w:rsidP="00D9610A">
            <w:pPr>
              <w:pStyle w:val="BodyText"/>
              <w:rPr>
                <w:sz w:val="18"/>
                <w:szCs w:val="18"/>
              </w:rPr>
            </w:pPr>
            <w:r w:rsidRPr="00370DFD">
              <w:rPr>
                <w:sz w:val="18"/>
                <w:szCs w:val="18"/>
              </w:rPr>
              <w:t>66518</w:t>
            </w:r>
          </w:p>
        </w:tc>
        <w:tc>
          <w:tcPr>
            <w:tcW w:w="2857" w:type="dxa"/>
          </w:tcPr>
          <w:p w14:paraId="6F2B1D70" w14:textId="77777777" w:rsidR="00543D47" w:rsidRPr="00370DFD" w:rsidRDefault="00543D47" w:rsidP="00D9610A">
            <w:pPr>
              <w:pStyle w:val="BodyText"/>
              <w:rPr>
                <w:sz w:val="18"/>
                <w:szCs w:val="18"/>
              </w:rPr>
            </w:pPr>
            <w:r w:rsidRPr="00370DFD">
              <w:rPr>
                <w:sz w:val="18"/>
                <w:szCs w:val="18"/>
              </w:rPr>
              <w:t xml:space="preserve">Investigation of cardiac or skeletal muscle damage by quantitative measurement of creatine kinase isoenzymes, troponin or myoglobin in blood - testing on 1 specimen in a </w:t>
            </w:r>
            <w:r>
              <w:rPr>
                <w:sz w:val="18"/>
                <w:szCs w:val="18"/>
              </w:rPr>
              <w:t>24-hour period</w:t>
            </w:r>
          </w:p>
        </w:tc>
        <w:tc>
          <w:tcPr>
            <w:tcW w:w="1066" w:type="dxa"/>
          </w:tcPr>
          <w:p w14:paraId="64155137" w14:textId="77777777" w:rsidR="00543D47" w:rsidRPr="00370DFD" w:rsidRDefault="00543D47" w:rsidP="00D9610A">
            <w:pPr>
              <w:pStyle w:val="BodyText"/>
              <w:rPr>
                <w:sz w:val="18"/>
                <w:szCs w:val="18"/>
              </w:rPr>
            </w:pPr>
            <w:r w:rsidRPr="00370DFD">
              <w:rPr>
                <w:sz w:val="18"/>
                <w:szCs w:val="18"/>
              </w:rPr>
              <w:t>20.05</w:t>
            </w:r>
          </w:p>
        </w:tc>
        <w:tc>
          <w:tcPr>
            <w:tcW w:w="1219" w:type="dxa"/>
          </w:tcPr>
          <w:p w14:paraId="20D98AD1" w14:textId="77777777" w:rsidR="00543D47" w:rsidRPr="00370DFD" w:rsidRDefault="00543D47" w:rsidP="00D9610A">
            <w:pPr>
              <w:pStyle w:val="BodyText"/>
              <w:rPr>
                <w:sz w:val="18"/>
                <w:szCs w:val="18"/>
              </w:rPr>
            </w:pPr>
            <w:r w:rsidRPr="00370DFD">
              <w:rPr>
                <w:sz w:val="18"/>
                <w:szCs w:val="18"/>
              </w:rPr>
              <w:t>$6,833,426</w:t>
            </w:r>
          </w:p>
        </w:tc>
        <w:tc>
          <w:tcPr>
            <w:tcW w:w="1060" w:type="dxa"/>
          </w:tcPr>
          <w:p w14:paraId="54AF339D" w14:textId="77777777" w:rsidR="00543D47" w:rsidRPr="00370DFD" w:rsidRDefault="00543D47" w:rsidP="00D9610A">
            <w:pPr>
              <w:pStyle w:val="BodyText"/>
              <w:rPr>
                <w:sz w:val="18"/>
                <w:szCs w:val="18"/>
              </w:rPr>
            </w:pPr>
            <w:r w:rsidRPr="00370DFD">
              <w:rPr>
                <w:sz w:val="18"/>
                <w:szCs w:val="18"/>
              </w:rPr>
              <w:t>424,285</w:t>
            </w:r>
          </w:p>
        </w:tc>
        <w:tc>
          <w:tcPr>
            <w:tcW w:w="1060" w:type="dxa"/>
          </w:tcPr>
          <w:p w14:paraId="605BF702" w14:textId="77777777" w:rsidR="00543D47" w:rsidRPr="00370DFD" w:rsidRDefault="00543D47" w:rsidP="00D9610A">
            <w:pPr>
              <w:pStyle w:val="BodyText"/>
              <w:rPr>
                <w:sz w:val="18"/>
                <w:szCs w:val="18"/>
              </w:rPr>
            </w:pPr>
            <w:r w:rsidRPr="00370DFD">
              <w:rPr>
                <w:sz w:val="18"/>
                <w:szCs w:val="18"/>
              </w:rPr>
              <w:t>304,377</w:t>
            </w:r>
          </w:p>
        </w:tc>
        <w:tc>
          <w:tcPr>
            <w:tcW w:w="1054" w:type="dxa"/>
          </w:tcPr>
          <w:p w14:paraId="431FF3EC" w14:textId="77777777" w:rsidR="00543D47" w:rsidRPr="00370DFD" w:rsidRDefault="00543D47" w:rsidP="00D9610A">
            <w:pPr>
              <w:pStyle w:val="BodyText"/>
              <w:rPr>
                <w:sz w:val="18"/>
                <w:szCs w:val="18"/>
              </w:rPr>
            </w:pPr>
            <w:r w:rsidRPr="00370DFD">
              <w:rPr>
                <w:sz w:val="18"/>
                <w:szCs w:val="18"/>
              </w:rPr>
              <w:t>2.0%</w:t>
            </w:r>
          </w:p>
        </w:tc>
      </w:tr>
      <w:tr w:rsidR="00543D47" w:rsidRPr="00370DFD" w14:paraId="5AF340F3" w14:textId="77777777" w:rsidTr="00D9610A">
        <w:trPr>
          <w:tblHeader/>
        </w:trPr>
        <w:tc>
          <w:tcPr>
            <w:tcW w:w="703" w:type="dxa"/>
          </w:tcPr>
          <w:p w14:paraId="3CF70BEF" w14:textId="77777777" w:rsidR="00543D47" w:rsidRPr="00370DFD" w:rsidRDefault="00543D47" w:rsidP="00D9610A">
            <w:pPr>
              <w:pStyle w:val="BodyText"/>
              <w:rPr>
                <w:sz w:val="18"/>
                <w:szCs w:val="18"/>
              </w:rPr>
            </w:pPr>
            <w:r w:rsidRPr="00370DFD">
              <w:rPr>
                <w:sz w:val="18"/>
                <w:szCs w:val="18"/>
              </w:rPr>
              <w:t>66519</w:t>
            </w:r>
          </w:p>
        </w:tc>
        <w:tc>
          <w:tcPr>
            <w:tcW w:w="2857" w:type="dxa"/>
          </w:tcPr>
          <w:p w14:paraId="6C91AD1C" w14:textId="77777777" w:rsidR="00543D47" w:rsidRPr="00370DFD" w:rsidRDefault="00543D47" w:rsidP="00D9610A">
            <w:pPr>
              <w:pStyle w:val="BodyText"/>
              <w:rPr>
                <w:sz w:val="18"/>
                <w:szCs w:val="18"/>
              </w:rPr>
            </w:pPr>
            <w:r w:rsidRPr="00370DFD">
              <w:rPr>
                <w:sz w:val="18"/>
                <w:szCs w:val="18"/>
              </w:rPr>
              <w:t xml:space="preserve">Investigation of cardiac or skeletal muscle damage by quantitative measurement of creatine kinase isoenzymes, troponin or myoglobin in blood - testing on 2 or more specimens in a </w:t>
            </w:r>
            <w:r>
              <w:rPr>
                <w:sz w:val="18"/>
                <w:szCs w:val="18"/>
              </w:rPr>
              <w:t>24-hour period</w:t>
            </w:r>
          </w:p>
        </w:tc>
        <w:tc>
          <w:tcPr>
            <w:tcW w:w="1066" w:type="dxa"/>
          </w:tcPr>
          <w:p w14:paraId="2BAAEA7B" w14:textId="77777777" w:rsidR="00543D47" w:rsidRPr="00370DFD" w:rsidRDefault="00543D47" w:rsidP="00D9610A">
            <w:pPr>
              <w:pStyle w:val="BodyText"/>
              <w:rPr>
                <w:sz w:val="18"/>
                <w:szCs w:val="18"/>
              </w:rPr>
            </w:pPr>
            <w:r w:rsidRPr="00370DFD">
              <w:rPr>
                <w:sz w:val="18"/>
                <w:szCs w:val="18"/>
              </w:rPr>
              <w:t>40.15</w:t>
            </w:r>
          </w:p>
        </w:tc>
        <w:tc>
          <w:tcPr>
            <w:tcW w:w="1219" w:type="dxa"/>
          </w:tcPr>
          <w:p w14:paraId="56F24C52" w14:textId="77777777" w:rsidR="00543D47" w:rsidRPr="00370DFD" w:rsidRDefault="00543D47" w:rsidP="00D9610A">
            <w:pPr>
              <w:pStyle w:val="BodyText"/>
              <w:rPr>
                <w:sz w:val="18"/>
                <w:szCs w:val="18"/>
              </w:rPr>
            </w:pPr>
            <w:r w:rsidRPr="00370DFD">
              <w:rPr>
                <w:sz w:val="18"/>
                <w:szCs w:val="18"/>
              </w:rPr>
              <w:t>$1,662,420</w:t>
            </w:r>
          </w:p>
        </w:tc>
        <w:tc>
          <w:tcPr>
            <w:tcW w:w="1060" w:type="dxa"/>
          </w:tcPr>
          <w:p w14:paraId="2866C540" w14:textId="77777777" w:rsidR="00543D47" w:rsidRPr="00370DFD" w:rsidRDefault="00543D47" w:rsidP="00D9610A">
            <w:pPr>
              <w:pStyle w:val="BodyText"/>
              <w:rPr>
                <w:sz w:val="18"/>
                <w:szCs w:val="18"/>
              </w:rPr>
            </w:pPr>
            <w:r w:rsidRPr="00370DFD">
              <w:rPr>
                <w:sz w:val="18"/>
                <w:szCs w:val="18"/>
              </w:rPr>
              <w:t>53,543</w:t>
            </w:r>
          </w:p>
        </w:tc>
        <w:tc>
          <w:tcPr>
            <w:tcW w:w="1060" w:type="dxa"/>
          </w:tcPr>
          <w:p w14:paraId="09A9EB77" w14:textId="77777777" w:rsidR="00543D47" w:rsidRPr="00370DFD" w:rsidRDefault="00543D47" w:rsidP="00D9610A">
            <w:pPr>
              <w:pStyle w:val="BodyText"/>
              <w:rPr>
                <w:sz w:val="18"/>
                <w:szCs w:val="18"/>
              </w:rPr>
            </w:pPr>
            <w:r w:rsidRPr="00370DFD">
              <w:rPr>
                <w:sz w:val="18"/>
                <w:szCs w:val="18"/>
              </w:rPr>
              <w:t>46,650</w:t>
            </w:r>
          </w:p>
        </w:tc>
        <w:tc>
          <w:tcPr>
            <w:tcW w:w="1054" w:type="dxa"/>
          </w:tcPr>
          <w:p w14:paraId="56BAE515" w14:textId="77777777" w:rsidR="00543D47" w:rsidRPr="00370DFD" w:rsidRDefault="00543D47" w:rsidP="00D9610A">
            <w:pPr>
              <w:pStyle w:val="BodyText"/>
              <w:rPr>
                <w:sz w:val="18"/>
                <w:szCs w:val="18"/>
              </w:rPr>
            </w:pPr>
            <w:r w:rsidRPr="00370DFD">
              <w:rPr>
                <w:sz w:val="18"/>
                <w:szCs w:val="18"/>
              </w:rPr>
              <w:t>4.2%</w:t>
            </w:r>
          </w:p>
        </w:tc>
      </w:tr>
    </w:tbl>
    <w:p w14:paraId="410FA0D0" w14:textId="77777777" w:rsidR="00543D47" w:rsidRPr="00370DFD" w:rsidRDefault="00543D47" w:rsidP="00543D47">
      <w:pPr>
        <w:pStyle w:val="Heading4"/>
        <w:rPr>
          <w:lang w:val="en-AU"/>
        </w:rPr>
      </w:pPr>
      <w:r w:rsidRPr="00370DFD">
        <w:rPr>
          <w:lang w:val="en-AU"/>
        </w:rPr>
        <w:t>Recommendation</w:t>
      </w:r>
    </w:p>
    <w:p w14:paraId="0F99330B" w14:textId="77777777" w:rsidR="00543D47" w:rsidRPr="00370DFD" w:rsidRDefault="00543D47" w:rsidP="00543D47">
      <w:pPr>
        <w:pStyle w:val="BodyText"/>
      </w:pPr>
      <w:r w:rsidRPr="00370DFD">
        <w:t xml:space="preserve">The </w:t>
      </w:r>
      <w:r>
        <w:t>Committee</w:t>
      </w:r>
      <w:r w:rsidRPr="00370DFD">
        <w:t xml:space="preserve"> proposes the following:</w:t>
      </w:r>
    </w:p>
    <w:p w14:paraId="0347DA8E" w14:textId="77777777" w:rsidR="00543D47" w:rsidRPr="00370DFD" w:rsidRDefault="00543D47" w:rsidP="00543D47">
      <w:pPr>
        <w:pStyle w:val="NormalBulleted"/>
      </w:pPr>
      <w:r w:rsidRPr="00370DFD">
        <w:t>Change the wording of the item descriptor for item 66518 to remove creatine kinase isoenzymes and myoglobin.</w:t>
      </w:r>
    </w:p>
    <w:p w14:paraId="76983DD8" w14:textId="77777777" w:rsidR="00543D47" w:rsidRPr="00370DFD" w:rsidRDefault="00543D47" w:rsidP="00543D47">
      <w:pPr>
        <w:pStyle w:val="NormalBulleted"/>
      </w:pPr>
      <w:r w:rsidRPr="00370DFD">
        <w:t>Change the wording of the item descriptor for item 66519 to remove creatine kinase isoenzymes and myoglobin.</w:t>
      </w:r>
    </w:p>
    <w:p w14:paraId="49897384" w14:textId="77777777" w:rsidR="00543D47" w:rsidRPr="00370DFD" w:rsidRDefault="00543D47" w:rsidP="00543D47">
      <w:pPr>
        <w:pStyle w:val="Caption"/>
      </w:pPr>
      <w:bookmarkStart w:id="89" w:name="_Toc534374912"/>
      <w:r w:rsidRPr="00370DFD">
        <w:lastRenderedPageBreak/>
        <w:t xml:space="preserve">Table </w:t>
      </w:r>
      <w:r>
        <w:t>11</w:t>
      </w:r>
      <w:r w:rsidRPr="00370DFD">
        <w:t>: Current and proposed new item descriptor for items 66518 and 66519</w:t>
      </w:r>
      <w:bookmarkEnd w:id="89"/>
    </w:p>
    <w:tbl>
      <w:tblPr>
        <w:tblStyle w:val="TableGrid"/>
        <w:tblW w:w="9354" w:type="dxa"/>
        <w:tblBorders>
          <w:insideV w:val="single" w:sz="4" w:space="0" w:color="984806" w:themeColor="accent6" w:themeShade="80"/>
        </w:tblBorders>
        <w:tblLook w:val="04A0" w:firstRow="1" w:lastRow="0" w:firstColumn="1" w:lastColumn="0" w:noHBand="0" w:noVBand="1"/>
        <w:tblCaption w:val="Current and proposed item descriptors for items 66518 and 66519"/>
        <w:tblDescription w:val="This table contains the current and proposed new item descriptor for items 66518 and 66519. These item descriptors will appear on the Medicare Benefits Schedule."/>
      </w:tblPr>
      <w:tblGrid>
        <w:gridCol w:w="1134"/>
        <w:gridCol w:w="4110"/>
        <w:gridCol w:w="4110"/>
      </w:tblGrid>
      <w:tr w:rsidR="00543D47" w:rsidRPr="00370DFD" w14:paraId="6B80764F" w14:textId="77777777" w:rsidTr="00D9610A">
        <w:trPr>
          <w:tblHeader/>
        </w:trPr>
        <w:tc>
          <w:tcPr>
            <w:tcW w:w="1134" w:type="dxa"/>
          </w:tcPr>
          <w:p w14:paraId="39217D06" w14:textId="77777777" w:rsidR="00543D47" w:rsidRPr="00370DFD" w:rsidRDefault="00543D47" w:rsidP="00D9610A">
            <w:pPr>
              <w:rPr>
                <w:b/>
                <w:sz w:val="18"/>
                <w:szCs w:val="18"/>
                <w:lang w:eastAsia="en-US"/>
              </w:rPr>
            </w:pPr>
            <w:r w:rsidRPr="00370DFD">
              <w:rPr>
                <w:b/>
                <w:sz w:val="18"/>
                <w:szCs w:val="18"/>
                <w:lang w:eastAsia="en-US"/>
              </w:rPr>
              <w:t>Item</w:t>
            </w:r>
          </w:p>
        </w:tc>
        <w:tc>
          <w:tcPr>
            <w:tcW w:w="4110" w:type="dxa"/>
          </w:tcPr>
          <w:p w14:paraId="54C62280" w14:textId="77777777" w:rsidR="00543D47" w:rsidRPr="00370DFD" w:rsidRDefault="00543D47" w:rsidP="00D9610A">
            <w:pPr>
              <w:rPr>
                <w:b/>
                <w:sz w:val="18"/>
                <w:szCs w:val="18"/>
                <w:lang w:eastAsia="en-US"/>
              </w:rPr>
            </w:pPr>
            <w:r w:rsidRPr="00370DFD">
              <w:rPr>
                <w:b/>
                <w:sz w:val="18"/>
                <w:szCs w:val="18"/>
                <w:lang w:eastAsia="en-US"/>
              </w:rPr>
              <w:t>Current item descriptor</w:t>
            </w:r>
          </w:p>
        </w:tc>
        <w:tc>
          <w:tcPr>
            <w:tcW w:w="4110" w:type="dxa"/>
          </w:tcPr>
          <w:p w14:paraId="502661BD" w14:textId="77777777" w:rsidR="00543D47" w:rsidRPr="00370DFD" w:rsidRDefault="00543D47" w:rsidP="00D9610A">
            <w:pPr>
              <w:rPr>
                <w:b/>
                <w:sz w:val="18"/>
                <w:szCs w:val="18"/>
                <w:lang w:eastAsia="en-US"/>
              </w:rPr>
            </w:pPr>
            <w:r w:rsidRPr="00370DFD">
              <w:rPr>
                <w:b/>
                <w:sz w:val="18"/>
                <w:szCs w:val="18"/>
                <w:lang w:eastAsia="en-US"/>
              </w:rPr>
              <w:t>Proposed item descriptor</w:t>
            </w:r>
          </w:p>
        </w:tc>
      </w:tr>
      <w:tr w:rsidR="00543D47" w:rsidRPr="00370DFD" w14:paraId="5A53362F" w14:textId="77777777" w:rsidTr="00D9610A">
        <w:trPr>
          <w:tblHeader/>
        </w:trPr>
        <w:tc>
          <w:tcPr>
            <w:tcW w:w="1134" w:type="dxa"/>
          </w:tcPr>
          <w:p w14:paraId="3A47AF0F" w14:textId="77777777" w:rsidR="00543D47" w:rsidRPr="00370DFD" w:rsidRDefault="00543D47" w:rsidP="00D9610A">
            <w:pPr>
              <w:rPr>
                <w:sz w:val="18"/>
                <w:szCs w:val="18"/>
                <w:lang w:eastAsia="en-US"/>
              </w:rPr>
            </w:pPr>
            <w:r w:rsidRPr="00370DFD">
              <w:rPr>
                <w:sz w:val="18"/>
                <w:szCs w:val="18"/>
              </w:rPr>
              <w:t>66518</w:t>
            </w:r>
          </w:p>
        </w:tc>
        <w:tc>
          <w:tcPr>
            <w:tcW w:w="4110" w:type="dxa"/>
          </w:tcPr>
          <w:p w14:paraId="6B139DC0" w14:textId="77777777" w:rsidR="00543D47" w:rsidRPr="00370DFD" w:rsidRDefault="00543D47" w:rsidP="00D9610A">
            <w:pPr>
              <w:rPr>
                <w:sz w:val="18"/>
                <w:szCs w:val="18"/>
                <w:lang w:eastAsia="en-US"/>
              </w:rPr>
            </w:pPr>
            <w:r w:rsidRPr="00370DFD">
              <w:rPr>
                <w:sz w:val="18"/>
                <w:szCs w:val="18"/>
              </w:rPr>
              <w:t xml:space="preserve">Investigation of cardiac or skeletal muscle damage by quantitative measurement of creatine kinase isoenzymes, troponin or myoglobin in blood - testing on 1 specimen in a </w:t>
            </w:r>
            <w:r>
              <w:rPr>
                <w:sz w:val="18"/>
                <w:szCs w:val="18"/>
              </w:rPr>
              <w:t>24-hour period</w:t>
            </w:r>
          </w:p>
        </w:tc>
        <w:tc>
          <w:tcPr>
            <w:tcW w:w="4110" w:type="dxa"/>
            <w:tcBorders>
              <w:bottom w:val="single" w:sz="4" w:space="0" w:color="984806" w:themeColor="accent6" w:themeShade="80"/>
            </w:tcBorders>
          </w:tcPr>
          <w:p w14:paraId="6A97BDA4" w14:textId="77777777" w:rsidR="00543D47" w:rsidRPr="00370DFD" w:rsidRDefault="00543D47" w:rsidP="00D9610A">
            <w:pPr>
              <w:rPr>
                <w:sz w:val="18"/>
                <w:szCs w:val="18"/>
                <w:lang w:eastAsia="en-US"/>
              </w:rPr>
            </w:pPr>
            <w:r w:rsidRPr="00370DFD">
              <w:rPr>
                <w:sz w:val="18"/>
                <w:szCs w:val="18"/>
                <w:lang w:eastAsia="en-US"/>
              </w:rPr>
              <w:t xml:space="preserve">Investigation of cardiac muscle damage by quantitative measurement of troponin I or T - testing on 1 specimen in a </w:t>
            </w:r>
            <w:r>
              <w:rPr>
                <w:sz w:val="18"/>
                <w:szCs w:val="18"/>
                <w:lang w:eastAsia="en-US"/>
              </w:rPr>
              <w:t>24-hour period</w:t>
            </w:r>
          </w:p>
        </w:tc>
      </w:tr>
      <w:tr w:rsidR="00543D47" w:rsidRPr="00370DFD" w14:paraId="51735D82" w14:textId="77777777" w:rsidTr="00D9610A">
        <w:trPr>
          <w:tblHeader/>
        </w:trPr>
        <w:tc>
          <w:tcPr>
            <w:tcW w:w="1134" w:type="dxa"/>
          </w:tcPr>
          <w:p w14:paraId="4552A1B5" w14:textId="77777777" w:rsidR="00543D47" w:rsidRPr="00370DFD" w:rsidRDefault="00543D47" w:rsidP="00D9610A">
            <w:pPr>
              <w:rPr>
                <w:sz w:val="18"/>
                <w:szCs w:val="18"/>
                <w:lang w:eastAsia="en-US"/>
              </w:rPr>
            </w:pPr>
            <w:r w:rsidRPr="00370DFD">
              <w:rPr>
                <w:sz w:val="18"/>
                <w:szCs w:val="18"/>
              </w:rPr>
              <w:t>66519</w:t>
            </w:r>
          </w:p>
        </w:tc>
        <w:tc>
          <w:tcPr>
            <w:tcW w:w="4110" w:type="dxa"/>
          </w:tcPr>
          <w:p w14:paraId="0E128788" w14:textId="77777777" w:rsidR="00543D47" w:rsidRPr="00370DFD" w:rsidRDefault="00543D47" w:rsidP="00D9610A">
            <w:pPr>
              <w:rPr>
                <w:sz w:val="18"/>
                <w:szCs w:val="18"/>
                <w:lang w:eastAsia="en-US"/>
              </w:rPr>
            </w:pPr>
            <w:r w:rsidRPr="00370DFD">
              <w:rPr>
                <w:sz w:val="18"/>
                <w:szCs w:val="18"/>
              </w:rPr>
              <w:t xml:space="preserve">Investigation of cardiac or skeletal muscle damage by quantitative measurement of creatine kinase isoenzymes, troponin or myoglobin in blood - testing on 2 or more specimens in a </w:t>
            </w:r>
            <w:r>
              <w:rPr>
                <w:sz w:val="18"/>
                <w:szCs w:val="18"/>
              </w:rPr>
              <w:t>24-hour period</w:t>
            </w:r>
          </w:p>
        </w:tc>
        <w:tc>
          <w:tcPr>
            <w:tcW w:w="4110" w:type="dxa"/>
            <w:tcBorders>
              <w:bottom w:val="single" w:sz="4" w:space="0" w:color="984806" w:themeColor="accent6" w:themeShade="80"/>
            </w:tcBorders>
          </w:tcPr>
          <w:p w14:paraId="77E619A9" w14:textId="77777777" w:rsidR="00543D47" w:rsidRPr="00370DFD" w:rsidRDefault="00543D47" w:rsidP="00D9610A">
            <w:pPr>
              <w:spacing w:after="0" w:line="276" w:lineRule="auto"/>
              <w:rPr>
                <w:rFonts w:cs="Arial"/>
                <w:sz w:val="18"/>
                <w:szCs w:val="18"/>
              </w:rPr>
            </w:pPr>
            <w:r w:rsidRPr="00370DFD">
              <w:rPr>
                <w:rFonts w:cs="Arial"/>
                <w:sz w:val="18"/>
                <w:szCs w:val="18"/>
              </w:rPr>
              <w:t xml:space="preserve">Investigation of cardiac muscle damage by quantitative measurement of troponin I or T </w:t>
            </w:r>
            <w:r>
              <w:rPr>
                <w:rFonts w:cs="Arial"/>
                <w:sz w:val="18"/>
                <w:szCs w:val="18"/>
              </w:rPr>
              <w:t>-</w:t>
            </w:r>
            <w:r w:rsidRPr="00370DFD">
              <w:rPr>
                <w:rFonts w:cs="Arial"/>
                <w:sz w:val="18"/>
                <w:szCs w:val="18"/>
              </w:rPr>
              <w:t xml:space="preserve"> testing on 2 or more specimens in a </w:t>
            </w:r>
            <w:r>
              <w:rPr>
                <w:rFonts w:cs="Arial"/>
                <w:sz w:val="18"/>
                <w:szCs w:val="18"/>
              </w:rPr>
              <w:t>24-hour period</w:t>
            </w:r>
            <w:r w:rsidRPr="00370DFD">
              <w:rPr>
                <w:rFonts w:cs="Arial"/>
                <w:sz w:val="18"/>
                <w:szCs w:val="18"/>
              </w:rPr>
              <w:t>.</w:t>
            </w:r>
          </w:p>
        </w:tc>
      </w:tr>
    </w:tbl>
    <w:p w14:paraId="51D71A78" w14:textId="77777777" w:rsidR="00543D47" w:rsidRPr="00370DFD" w:rsidRDefault="00543D47" w:rsidP="00543D47">
      <w:pPr>
        <w:pStyle w:val="Heading4"/>
        <w:rPr>
          <w:lang w:val="en-AU"/>
        </w:rPr>
      </w:pPr>
      <w:r w:rsidRPr="00370DFD">
        <w:rPr>
          <w:lang w:val="en-AU"/>
        </w:rPr>
        <w:t>Rationale</w:t>
      </w:r>
    </w:p>
    <w:p w14:paraId="441F4A0E" w14:textId="77777777" w:rsidR="00543D47" w:rsidRPr="00370DFD" w:rsidRDefault="00543D47" w:rsidP="00543D47">
      <w:pPr>
        <w:pStyle w:val="NormalBulleted"/>
        <w:rPr>
          <w:lang w:eastAsia="en-US"/>
        </w:rPr>
      </w:pPr>
      <w:r>
        <w:rPr>
          <w:lang w:eastAsia="en-US"/>
        </w:rPr>
        <w:t xml:space="preserve">Items 66518 and 66519 are used to detect cardiac damage. </w:t>
      </w:r>
      <w:r w:rsidRPr="00370DFD">
        <w:rPr>
          <w:lang w:eastAsia="en-US"/>
        </w:rPr>
        <w:t>During the 2014–15 financial year, there were 424,285 services provided at a cost of $6.8 million for item 66518 and there were 53,543 services provided at a cost of $1.7 million for item 66519</w:t>
      </w:r>
      <w:r>
        <w:rPr>
          <w:lang w:eastAsia="en-US"/>
        </w:rPr>
        <w:t>.</w:t>
      </w:r>
    </w:p>
    <w:p w14:paraId="7F68DA77" w14:textId="77777777" w:rsidR="00543D47" w:rsidRPr="004702F6" w:rsidRDefault="00543D47" w:rsidP="00543D47">
      <w:pPr>
        <w:pStyle w:val="NormalBulleted"/>
        <w:rPr>
          <w:lang w:eastAsia="en-US"/>
        </w:rPr>
      </w:pPr>
      <w:r>
        <w:rPr>
          <w:lang w:eastAsia="en-US"/>
        </w:rPr>
        <w:t>Compared to city and regional Australia, t</w:t>
      </w:r>
      <w:r w:rsidRPr="00165CDB">
        <w:rPr>
          <w:lang w:eastAsia="en-US"/>
        </w:rPr>
        <w:t>hese items are underutilised in remote and very remote regions of Australia</w:t>
      </w:r>
      <w:r>
        <w:rPr>
          <w:lang w:eastAsia="en-US"/>
        </w:rPr>
        <w:t xml:space="preserve"> (see table 12)</w:t>
      </w:r>
      <w:r w:rsidRPr="004702F6">
        <w:rPr>
          <w:lang w:eastAsia="en-US"/>
        </w:rPr>
        <w:t xml:space="preserve">. Currently, there </w:t>
      </w:r>
      <w:r>
        <w:rPr>
          <w:lang w:eastAsia="en-US"/>
        </w:rPr>
        <w:t>are</w:t>
      </w:r>
      <w:r w:rsidRPr="004702F6">
        <w:rPr>
          <w:lang w:eastAsia="en-US"/>
        </w:rPr>
        <w:t xml:space="preserve"> no data on the split of the items between inpatient tests in hospitals versus community</w:t>
      </w:r>
      <w:r>
        <w:rPr>
          <w:lang w:eastAsia="en-US"/>
        </w:rPr>
        <w:t xml:space="preserve"> testing. </w:t>
      </w:r>
      <w:r w:rsidRPr="004702F6">
        <w:rPr>
          <w:lang w:eastAsia="en-US"/>
        </w:rPr>
        <w:t xml:space="preserve">Nonetheless, the </w:t>
      </w:r>
      <w:r>
        <w:rPr>
          <w:lang w:eastAsia="en-US"/>
        </w:rPr>
        <w:t>Committee</w:t>
      </w:r>
      <w:r w:rsidRPr="004702F6">
        <w:rPr>
          <w:lang w:eastAsia="en-US"/>
        </w:rPr>
        <w:t xml:space="preserve"> noted that item 66519 would be used more in hospital inpatients and item 66518 used in community patients. </w:t>
      </w:r>
    </w:p>
    <w:p w14:paraId="74921032" w14:textId="77777777" w:rsidR="00543D47" w:rsidRPr="00B43A86" w:rsidRDefault="00543D47" w:rsidP="00543D47">
      <w:pPr>
        <w:pStyle w:val="NormalBulleted"/>
      </w:pPr>
      <w:r w:rsidRPr="004702F6">
        <w:t xml:space="preserve">Troponin is a superior test to creatine kinase isoenzymes to detect cardiac </w:t>
      </w:r>
      <w:proofErr w:type="spellStart"/>
      <w:r w:rsidRPr="004702F6">
        <w:t>ischaemia</w:t>
      </w:r>
      <w:proofErr w:type="spellEnd"/>
      <w:r w:rsidRPr="004702F6">
        <w:t xml:space="preserve"> </w:t>
      </w:r>
      <w:r w:rsidRPr="005B019A">
        <w:t>and</w:t>
      </w:r>
      <w:r w:rsidRPr="004702F6">
        <w:t xml:space="preserve"> as </w:t>
      </w:r>
      <w:r>
        <w:t>a result</w:t>
      </w:r>
      <w:r w:rsidRPr="004702F6">
        <w:t xml:space="preserve"> creatine kinase isoenzymes test are no longer routinely performed. </w:t>
      </w:r>
      <w:r>
        <w:t>Myoglobin</w:t>
      </w:r>
      <w:r w:rsidRPr="004702F6">
        <w:t xml:space="preserve"> does not have clinical utility in cardiac </w:t>
      </w:r>
      <w:proofErr w:type="spellStart"/>
      <w:r w:rsidRPr="004702F6">
        <w:t>ischaemia</w:t>
      </w:r>
      <w:proofErr w:type="spellEnd"/>
      <w:r w:rsidRPr="004702F6">
        <w:t xml:space="preserve"> disease testing</w:t>
      </w:r>
      <w:r>
        <w:t>.</w:t>
      </w:r>
      <w:r w:rsidRPr="004702F6">
        <w:t xml:space="preserve"> The </w:t>
      </w:r>
      <w:r>
        <w:t>Committee</w:t>
      </w:r>
      <w:r w:rsidRPr="005B019A">
        <w:t xml:space="preserve"> considered that while myoglobin testing </w:t>
      </w:r>
      <w:r>
        <w:t>might be</w:t>
      </w:r>
      <w:r w:rsidRPr="005B019A">
        <w:t xml:space="preserve"> appropriate </w:t>
      </w:r>
      <w:r>
        <w:t xml:space="preserve">occasionally in patients with </w:t>
      </w:r>
      <w:r w:rsidRPr="005B019A">
        <w:t>acute kidney injury</w:t>
      </w:r>
      <w:r>
        <w:t xml:space="preserve"> and rhabdomyolysis</w:t>
      </w:r>
      <w:r w:rsidRPr="005B019A">
        <w:t xml:space="preserve">, it is not routinely used for this purpose in Australian health care, and thus </w:t>
      </w:r>
      <w:r w:rsidRPr="00B43A86">
        <w:t>proposed its deletion from the item descriptors for cardiac damage.</w:t>
      </w:r>
      <w:r w:rsidRPr="00B43A86">
        <w:rPr>
          <w:lang w:eastAsia="en-US"/>
        </w:rPr>
        <w:t xml:space="preserve"> </w:t>
      </w:r>
    </w:p>
    <w:p w14:paraId="22844FDE" w14:textId="77777777" w:rsidR="00543D47" w:rsidRDefault="00543D47" w:rsidP="00543D47">
      <w:pPr>
        <w:pStyle w:val="NormalBulleted"/>
      </w:pPr>
      <w:r w:rsidRPr="00B43A86">
        <w:rPr>
          <w:lang w:eastAsia="en-US"/>
        </w:rPr>
        <w:t>The preferred test for assessing cardiac damage is cardiac troponin I or T and there is no longer a role for measuring creatine kinase isoenzymes or myoglobin in modern clinical practice.</w:t>
      </w:r>
      <w:r w:rsidRPr="00B43A86">
        <w:rPr>
          <w:lang w:eastAsia="en-US"/>
        </w:rPr>
        <w:fldChar w:fldCharType="begin">
          <w:fldData xml:space="preserve">PEVuZE5vdGU+PENpdGU+PEF1dGhvcj5UaHlnZXNlbjwvQXV0aG9yPjxZZWFyPjIwMTI8L1llYXI+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</w:fldData>
        </w:fldChar>
      </w:r>
      <w:r>
        <w:rPr>
          <w:lang w:eastAsia="en-US"/>
        </w:rPr>
        <w:instrText xml:space="preserve"> ADDIN EN.CITE </w:instrText>
      </w:r>
      <w:r>
        <w:rPr>
          <w:lang w:eastAsia="en-US"/>
        </w:rPr>
        <w:fldChar w:fldCharType="begin">
          <w:fldData xml:space="preserve">PEVuZE5vdGU+PENpdGU+PEF1dGhvcj5UaHlnZXNlbjwvQXV0aG9yPjxZZWFyPjIwMTI8L1llYXI+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</w:fldData>
        </w:fldChar>
      </w:r>
      <w:r>
        <w:rPr>
          <w:lang w:eastAsia="en-US"/>
        </w:rPr>
        <w:instrText xml:space="preserve"> ADDIN EN.CITE.DATA </w:instrText>
      </w:r>
      <w:r>
        <w:rPr>
          <w:lang w:eastAsia="en-US"/>
        </w:rPr>
      </w:r>
      <w:r>
        <w:rPr>
          <w:lang w:eastAsia="en-US"/>
        </w:rPr>
        <w:fldChar w:fldCharType="end"/>
      </w:r>
      <w:r w:rsidRPr="00B43A86">
        <w:rPr>
          <w:lang w:eastAsia="en-US"/>
        </w:rPr>
      </w:r>
      <w:r w:rsidRPr="00B43A86">
        <w:rPr>
          <w:lang w:eastAsia="en-US"/>
        </w:rPr>
        <w:fldChar w:fldCharType="separate"/>
      </w:r>
      <w:r w:rsidRPr="00B66EBA">
        <w:rPr>
          <w:noProof/>
          <w:vertAlign w:val="superscript"/>
          <w:lang w:eastAsia="en-US"/>
        </w:rPr>
        <w:t>2</w:t>
      </w:r>
      <w:r w:rsidRPr="00B43A86">
        <w:rPr>
          <w:lang w:eastAsia="en-US"/>
        </w:rPr>
        <w:fldChar w:fldCharType="end"/>
      </w:r>
    </w:p>
    <w:p w14:paraId="48F8BB4F" w14:textId="77777777" w:rsidR="00543D47" w:rsidRDefault="00543D47" w:rsidP="00543D47">
      <w:pPr>
        <w:pStyle w:val="Caption"/>
      </w:pPr>
      <w:bookmarkStart w:id="90" w:name="_Toc534374913"/>
      <w:r>
        <w:t>Table 12: Number of services per 100,000 persons</w:t>
      </w:r>
      <w:bookmarkEnd w:id="90"/>
    </w:p>
    <w:tbl>
      <w:tblPr>
        <w:tblStyle w:val="TableGrid"/>
        <w:tblW w:w="0" w:type="auto"/>
        <w:tblInd w:w="-5" w:type="dxa"/>
        <w:tblLook w:val="04A0" w:firstRow="1" w:lastRow="0" w:firstColumn="1" w:lastColumn="0" w:noHBand="0" w:noVBand="1"/>
        <w:tblCaption w:val="Table 12: Number of services per 100,000 persons"/>
        <w:tblDescription w:val="Table 12 represents the number of servcies for item number 66518 and 66519 per 100,000 persons in 5 categories. Those categories being major cities, inner regional, outer regional, remote and very remote."/>
      </w:tblPr>
      <w:tblGrid>
        <w:gridCol w:w="851"/>
        <w:gridCol w:w="1634"/>
        <w:gridCol w:w="1634"/>
        <w:gridCol w:w="1634"/>
        <w:gridCol w:w="1634"/>
        <w:gridCol w:w="1634"/>
      </w:tblGrid>
      <w:tr w:rsidR="00543D47" w:rsidRPr="00BE5F23" w14:paraId="185EFE6D" w14:textId="77777777" w:rsidTr="00D9610A">
        <w:trPr>
          <w:tblHeader/>
        </w:trPr>
        <w:tc>
          <w:tcPr>
            <w:tcW w:w="851" w:type="dxa"/>
          </w:tcPr>
          <w:p w14:paraId="0936A05E" w14:textId="77777777" w:rsidR="00543D47" w:rsidRPr="00BE5F23" w:rsidRDefault="00543D47" w:rsidP="00D9610A">
            <w:pPr>
              <w:pStyle w:val="NormalBulleted"/>
              <w:numPr>
                <w:ilvl w:val="0"/>
                <w:numId w:val="0"/>
              </w:numPr>
              <w:rPr>
                <w:b/>
                <w:sz w:val="18"/>
                <w:szCs w:val="18"/>
              </w:rPr>
            </w:pPr>
            <w:r w:rsidRPr="00BE5F23">
              <w:rPr>
                <w:b/>
                <w:sz w:val="18"/>
                <w:szCs w:val="18"/>
              </w:rPr>
              <w:t>Item</w:t>
            </w:r>
          </w:p>
        </w:tc>
        <w:tc>
          <w:tcPr>
            <w:tcW w:w="1634" w:type="dxa"/>
          </w:tcPr>
          <w:p w14:paraId="0FB2E163" w14:textId="77777777" w:rsidR="00543D47" w:rsidRPr="00BE5F23" w:rsidRDefault="00543D47" w:rsidP="00D9610A">
            <w:pPr>
              <w:pStyle w:val="NormalBulleted"/>
              <w:numPr>
                <w:ilvl w:val="0"/>
                <w:numId w:val="0"/>
              </w:numPr>
              <w:spacing w:line="240" w:lineRule="auto"/>
              <w:rPr>
                <w:b/>
                <w:sz w:val="18"/>
                <w:szCs w:val="18"/>
              </w:rPr>
            </w:pPr>
            <w:r w:rsidRPr="00BE5F23">
              <w:rPr>
                <w:b/>
                <w:sz w:val="18"/>
                <w:szCs w:val="18"/>
              </w:rPr>
              <w:t>Major cities of Australia</w:t>
            </w:r>
          </w:p>
        </w:tc>
        <w:tc>
          <w:tcPr>
            <w:tcW w:w="1634" w:type="dxa"/>
          </w:tcPr>
          <w:p w14:paraId="5C7D3F05" w14:textId="77777777" w:rsidR="00543D47" w:rsidRPr="00BE5F23" w:rsidRDefault="00543D47" w:rsidP="00D9610A">
            <w:pPr>
              <w:pStyle w:val="NormalBulleted"/>
              <w:numPr>
                <w:ilvl w:val="0"/>
                <w:numId w:val="0"/>
              </w:numPr>
              <w:spacing w:line="240" w:lineRule="auto"/>
              <w:rPr>
                <w:b/>
                <w:sz w:val="18"/>
                <w:szCs w:val="18"/>
              </w:rPr>
            </w:pPr>
            <w:r w:rsidRPr="00BE5F23">
              <w:rPr>
                <w:b/>
                <w:sz w:val="18"/>
                <w:szCs w:val="18"/>
              </w:rPr>
              <w:t>Inner regional Australia</w:t>
            </w:r>
          </w:p>
        </w:tc>
        <w:tc>
          <w:tcPr>
            <w:tcW w:w="1634" w:type="dxa"/>
          </w:tcPr>
          <w:p w14:paraId="4BE79B87" w14:textId="77777777" w:rsidR="00543D47" w:rsidRPr="00BE5F23" w:rsidRDefault="00543D47" w:rsidP="00D9610A">
            <w:pPr>
              <w:pStyle w:val="NormalBulleted"/>
              <w:numPr>
                <w:ilvl w:val="0"/>
                <w:numId w:val="0"/>
              </w:numPr>
              <w:spacing w:line="240" w:lineRule="auto"/>
              <w:rPr>
                <w:b/>
                <w:sz w:val="18"/>
                <w:szCs w:val="18"/>
              </w:rPr>
            </w:pPr>
            <w:r w:rsidRPr="00BE5F23">
              <w:rPr>
                <w:b/>
                <w:sz w:val="18"/>
                <w:szCs w:val="18"/>
              </w:rPr>
              <w:t>Outer regional Australia</w:t>
            </w:r>
          </w:p>
        </w:tc>
        <w:tc>
          <w:tcPr>
            <w:tcW w:w="1634" w:type="dxa"/>
          </w:tcPr>
          <w:p w14:paraId="0F46556D" w14:textId="77777777" w:rsidR="00543D47" w:rsidRPr="00BE5F23" w:rsidRDefault="00543D47" w:rsidP="00D9610A">
            <w:pPr>
              <w:pStyle w:val="NormalBulleted"/>
              <w:numPr>
                <w:ilvl w:val="0"/>
                <w:numId w:val="0"/>
              </w:numPr>
              <w:spacing w:line="240" w:lineRule="auto"/>
              <w:rPr>
                <w:b/>
                <w:sz w:val="18"/>
                <w:szCs w:val="18"/>
              </w:rPr>
            </w:pPr>
            <w:r w:rsidRPr="00BE5F23">
              <w:rPr>
                <w:b/>
                <w:sz w:val="18"/>
                <w:szCs w:val="18"/>
              </w:rPr>
              <w:t>Remote Australia</w:t>
            </w:r>
          </w:p>
        </w:tc>
        <w:tc>
          <w:tcPr>
            <w:tcW w:w="1634" w:type="dxa"/>
          </w:tcPr>
          <w:p w14:paraId="1847DFBC" w14:textId="77777777" w:rsidR="00543D47" w:rsidRPr="00BE5F23" w:rsidRDefault="00543D47" w:rsidP="00D9610A">
            <w:pPr>
              <w:pStyle w:val="NormalBulleted"/>
              <w:numPr>
                <w:ilvl w:val="0"/>
                <w:numId w:val="0"/>
              </w:numPr>
              <w:spacing w:line="240" w:lineRule="auto"/>
              <w:rPr>
                <w:b/>
                <w:sz w:val="18"/>
                <w:szCs w:val="18"/>
              </w:rPr>
            </w:pPr>
            <w:r w:rsidRPr="00BE5F23">
              <w:rPr>
                <w:b/>
                <w:sz w:val="18"/>
                <w:szCs w:val="18"/>
              </w:rPr>
              <w:t>Very remote Australia</w:t>
            </w:r>
          </w:p>
        </w:tc>
      </w:tr>
      <w:tr w:rsidR="00543D47" w:rsidRPr="00BE5F23" w14:paraId="6C4C2245" w14:textId="77777777" w:rsidTr="00D9610A">
        <w:tc>
          <w:tcPr>
            <w:tcW w:w="851" w:type="dxa"/>
          </w:tcPr>
          <w:p w14:paraId="0F5347E2" w14:textId="77777777" w:rsidR="00543D47" w:rsidRPr="00BE5F23" w:rsidRDefault="00543D47" w:rsidP="00D9610A">
            <w:pPr>
              <w:pStyle w:val="NormalBulleted"/>
              <w:numPr>
                <w:ilvl w:val="0"/>
                <w:numId w:val="0"/>
              </w:numPr>
              <w:rPr>
                <w:sz w:val="18"/>
                <w:szCs w:val="18"/>
              </w:rPr>
            </w:pPr>
            <w:r w:rsidRPr="00BE5F23">
              <w:rPr>
                <w:sz w:val="18"/>
                <w:szCs w:val="18"/>
              </w:rPr>
              <w:t>66518</w:t>
            </w:r>
          </w:p>
        </w:tc>
        <w:tc>
          <w:tcPr>
            <w:tcW w:w="1634" w:type="dxa"/>
            <w:vAlign w:val="center"/>
          </w:tcPr>
          <w:p w14:paraId="08F969FE" w14:textId="77777777" w:rsidR="00543D47" w:rsidRPr="00BE5F23" w:rsidRDefault="00543D47" w:rsidP="00D9610A">
            <w:pPr>
              <w:pStyle w:val="NormalBulleted"/>
              <w:numPr>
                <w:ilvl w:val="0"/>
                <w:numId w:val="0"/>
              </w:numPr>
              <w:jc w:val="center"/>
              <w:rPr>
                <w:sz w:val="18"/>
                <w:szCs w:val="18"/>
              </w:rPr>
            </w:pPr>
            <w:r w:rsidRPr="00BE5F23">
              <w:rPr>
                <w:sz w:val="18"/>
                <w:szCs w:val="18"/>
              </w:rPr>
              <w:t>1 803</w:t>
            </w:r>
          </w:p>
        </w:tc>
        <w:tc>
          <w:tcPr>
            <w:tcW w:w="1634" w:type="dxa"/>
            <w:vAlign w:val="center"/>
          </w:tcPr>
          <w:p w14:paraId="6363F449" w14:textId="77777777" w:rsidR="00543D47" w:rsidRPr="00BE5F23" w:rsidRDefault="00543D47" w:rsidP="00D9610A">
            <w:pPr>
              <w:pStyle w:val="NormalBulleted"/>
              <w:numPr>
                <w:ilvl w:val="0"/>
                <w:numId w:val="0"/>
              </w:numPr>
              <w:jc w:val="center"/>
              <w:rPr>
                <w:sz w:val="18"/>
                <w:szCs w:val="18"/>
              </w:rPr>
            </w:pPr>
            <w:r w:rsidRPr="00BE5F23">
              <w:rPr>
                <w:sz w:val="18"/>
                <w:szCs w:val="18"/>
              </w:rPr>
              <w:t>1 940</w:t>
            </w:r>
          </w:p>
        </w:tc>
        <w:tc>
          <w:tcPr>
            <w:tcW w:w="1634" w:type="dxa"/>
            <w:vAlign w:val="center"/>
          </w:tcPr>
          <w:p w14:paraId="0C9F8B82" w14:textId="77777777" w:rsidR="00543D47" w:rsidRPr="00BE5F23" w:rsidRDefault="00543D47" w:rsidP="00D9610A">
            <w:pPr>
              <w:pStyle w:val="NormalBulleted"/>
              <w:numPr>
                <w:ilvl w:val="0"/>
                <w:numId w:val="0"/>
              </w:numPr>
              <w:jc w:val="center"/>
              <w:rPr>
                <w:sz w:val="18"/>
                <w:szCs w:val="18"/>
              </w:rPr>
            </w:pPr>
            <w:r w:rsidRPr="00BE5F23">
              <w:rPr>
                <w:sz w:val="18"/>
                <w:szCs w:val="18"/>
              </w:rPr>
              <w:t>1 773</w:t>
            </w:r>
          </w:p>
        </w:tc>
        <w:tc>
          <w:tcPr>
            <w:tcW w:w="1634" w:type="dxa"/>
            <w:vAlign w:val="center"/>
          </w:tcPr>
          <w:p w14:paraId="5FB7BEC9" w14:textId="77777777" w:rsidR="00543D47" w:rsidRPr="00BE5F23" w:rsidRDefault="00543D47" w:rsidP="00D9610A">
            <w:pPr>
              <w:pStyle w:val="NormalBulleted"/>
              <w:numPr>
                <w:ilvl w:val="0"/>
                <w:numId w:val="0"/>
              </w:numPr>
              <w:jc w:val="center"/>
              <w:rPr>
                <w:sz w:val="18"/>
                <w:szCs w:val="18"/>
              </w:rPr>
            </w:pPr>
            <w:r w:rsidRPr="00BE5F23">
              <w:rPr>
                <w:sz w:val="18"/>
                <w:szCs w:val="18"/>
              </w:rPr>
              <w:t>1 096</w:t>
            </w:r>
          </w:p>
        </w:tc>
        <w:tc>
          <w:tcPr>
            <w:tcW w:w="1634" w:type="dxa"/>
            <w:vAlign w:val="center"/>
          </w:tcPr>
          <w:p w14:paraId="271F0694" w14:textId="77777777" w:rsidR="00543D47" w:rsidRPr="00BE5F23" w:rsidRDefault="00543D47" w:rsidP="00D9610A">
            <w:pPr>
              <w:pStyle w:val="NormalBulleted"/>
              <w:numPr>
                <w:ilvl w:val="0"/>
                <w:numId w:val="0"/>
              </w:numPr>
              <w:jc w:val="center"/>
              <w:rPr>
                <w:sz w:val="18"/>
                <w:szCs w:val="18"/>
              </w:rPr>
            </w:pPr>
            <w:r w:rsidRPr="00BE5F23">
              <w:rPr>
                <w:sz w:val="18"/>
                <w:szCs w:val="18"/>
              </w:rPr>
              <w:t>717</w:t>
            </w:r>
          </w:p>
        </w:tc>
      </w:tr>
      <w:tr w:rsidR="00543D47" w:rsidRPr="00BE5F23" w14:paraId="3B6F21F6" w14:textId="77777777" w:rsidTr="00D9610A">
        <w:tc>
          <w:tcPr>
            <w:tcW w:w="851" w:type="dxa"/>
          </w:tcPr>
          <w:p w14:paraId="3FCBAE59" w14:textId="77777777" w:rsidR="00543D47" w:rsidRPr="00BE5F23" w:rsidRDefault="00543D47" w:rsidP="00D9610A">
            <w:pPr>
              <w:pStyle w:val="NormalBulleted"/>
              <w:numPr>
                <w:ilvl w:val="0"/>
                <w:numId w:val="0"/>
              </w:numPr>
              <w:rPr>
                <w:sz w:val="18"/>
                <w:szCs w:val="18"/>
              </w:rPr>
            </w:pPr>
            <w:r w:rsidRPr="00BE5F23">
              <w:rPr>
                <w:sz w:val="18"/>
                <w:szCs w:val="18"/>
              </w:rPr>
              <w:t>66519</w:t>
            </w:r>
          </w:p>
        </w:tc>
        <w:tc>
          <w:tcPr>
            <w:tcW w:w="1634" w:type="dxa"/>
            <w:vAlign w:val="center"/>
          </w:tcPr>
          <w:p w14:paraId="03EC5AC9" w14:textId="77777777" w:rsidR="00543D47" w:rsidRPr="00BE5F23" w:rsidRDefault="00543D47" w:rsidP="00D9610A">
            <w:pPr>
              <w:pStyle w:val="NormalBulleted"/>
              <w:numPr>
                <w:ilvl w:val="0"/>
                <w:numId w:val="0"/>
              </w:numPr>
              <w:jc w:val="center"/>
              <w:rPr>
                <w:sz w:val="18"/>
                <w:szCs w:val="18"/>
              </w:rPr>
            </w:pPr>
            <w:r w:rsidRPr="00BE5F23">
              <w:rPr>
                <w:sz w:val="18"/>
                <w:szCs w:val="18"/>
              </w:rPr>
              <w:t>237</w:t>
            </w:r>
          </w:p>
        </w:tc>
        <w:tc>
          <w:tcPr>
            <w:tcW w:w="1634" w:type="dxa"/>
            <w:vAlign w:val="center"/>
          </w:tcPr>
          <w:p w14:paraId="1D638B51" w14:textId="77777777" w:rsidR="00543D47" w:rsidRPr="00BE5F23" w:rsidRDefault="00543D47" w:rsidP="00D9610A">
            <w:pPr>
              <w:pStyle w:val="NormalBulleted"/>
              <w:numPr>
                <w:ilvl w:val="0"/>
                <w:numId w:val="0"/>
              </w:numPr>
              <w:jc w:val="center"/>
              <w:rPr>
                <w:sz w:val="18"/>
                <w:szCs w:val="18"/>
              </w:rPr>
            </w:pPr>
            <w:r w:rsidRPr="00BE5F23">
              <w:rPr>
                <w:sz w:val="18"/>
                <w:szCs w:val="18"/>
              </w:rPr>
              <w:t>235</w:t>
            </w:r>
          </w:p>
        </w:tc>
        <w:tc>
          <w:tcPr>
            <w:tcW w:w="1634" w:type="dxa"/>
            <w:vAlign w:val="center"/>
          </w:tcPr>
          <w:p w14:paraId="0EE4620B" w14:textId="77777777" w:rsidR="00543D47" w:rsidRPr="00BE5F23" w:rsidRDefault="00543D47" w:rsidP="00D9610A">
            <w:pPr>
              <w:pStyle w:val="NormalBulleted"/>
              <w:numPr>
                <w:ilvl w:val="0"/>
                <w:numId w:val="0"/>
              </w:numPr>
              <w:jc w:val="center"/>
              <w:rPr>
                <w:sz w:val="18"/>
                <w:szCs w:val="18"/>
              </w:rPr>
            </w:pPr>
            <w:r w:rsidRPr="00BE5F23">
              <w:rPr>
                <w:sz w:val="18"/>
                <w:szCs w:val="18"/>
              </w:rPr>
              <w:t>179</w:t>
            </w:r>
          </w:p>
        </w:tc>
        <w:tc>
          <w:tcPr>
            <w:tcW w:w="1634" w:type="dxa"/>
            <w:vAlign w:val="center"/>
          </w:tcPr>
          <w:p w14:paraId="6A91FBA3" w14:textId="77777777" w:rsidR="00543D47" w:rsidRPr="00BE5F23" w:rsidRDefault="00543D47" w:rsidP="00D9610A">
            <w:pPr>
              <w:pStyle w:val="NormalBulleted"/>
              <w:numPr>
                <w:ilvl w:val="0"/>
                <w:numId w:val="0"/>
              </w:numPr>
              <w:jc w:val="center"/>
              <w:rPr>
                <w:sz w:val="18"/>
                <w:szCs w:val="18"/>
              </w:rPr>
            </w:pPr>
            <w:r w:rsidRPr="00BE5F23">
              <w:rPr>
                <w:sz w:val="18"/>
                <w:szCs w:val="18"/>
              </w:rPr>
              <w:t>111</w:t>
            </w:r>
          </w:p>
        </w:tc>
        <w:tc>
          <w:tcPr>
            <w:tcW w:w="1634" w:type="dxa"/>
            <w:vAlign w:val="center"/>
          </w:tcPr>
          <w:p w14:paraId="7D6F8C87" w14:textId="77777777" w:rsidR="00543D47" w:rsidRPr="00BE5F23" w:rsidRDefault="00543D47" w:rsidP="00D9610A">
            <w:pPr>
              <w:pStyle w:val="NormalBulleted"/>
              <w:numPr>
                <w:ilvl w:val="0"/>
                <w:numId w:val="0"/>
              </w:numPr>
              <w:jc w:val="center"/>
              <w:rPr>
                <w:sz w:val="18"/>
                <w:szCs w:val="18"/>
              </w:rPr>
            </w:pPr>
            <w:r w:rsidRPr="00BE5F23">
              <w:rPr>
                <w:sz w:val="18"/>
                <w:szCs w:val="18"/>
              </w:rPr>
              <w:t>58</w:t>
            </w:r>
          </w:p>
        </w:tc>
      </w:tr>
    </w:tbl>
    <w:p w14:paraId="3176AB37" w14:textId="77777777" w:rsidR="00543D47" w:rsidRPr="00370DFD" w:rsidRDefault="00543D47" w:rsidP="00543D47">
      <w:pPr>
        <w:pStyle w:val="Heading3Numbered"/>
        <w:rPr>
          <w:lang w:val="en-AU"/>
        </w:rPr>
      </w:pPr>
      <w:r w:rsidRPr="00370DFD">
        <w:rPr>
          <w:lang w:val="en-AU"/>
        </w:rPr>
        <w:lastRenderedPageBreak/>
        <w:t>Quantitation of HDL-cholesterol: item 66536</w:t>
      </w:r>
    </w:p>
    <w:p w14:paraId="30933672" w14:textId="77777777" w:rsidR="00543D47" w:rsidRPr="00370DFD" w:rsidRDefault="00543D47" w:rsidP="00543D47">
      <w:pPr>
        <w:pStyle w:val="Caption"/>
      </w:pPr>
      <w:bookmarkStart w:id="91" w:name="_Toc534374914"/>
      <w:r w:rsidRPr="00370DFD">
        <w:t xml:space="preserve">Table </w:t>
      </w:r>
      <w:r>
        <w:t>13</w:t>
      </w:r>
      <w:r w:rsidRPr="00370DFD">
        <w:t>. Item introduction</w:t>
      </w:r>
      <w:r>
        <w:t xml:space="preserve"> table</w:t>
      </w:r>
      <w:r w:rsidRPr="00370DFD">
        <w:t xml:space="preserve"> for item 66536</w:t>
      </w:r>
      <w:bookmarkEnd w:id="91"/>
    </w:p>
    <w:tbl>
      <w:tblPr>
        <w:tblStyle w:val="TableGrid"/>
        <w:tblW w:w="9051" w:type="dxa"/>
        <w:tblBorders>
          <w:insideV w:val="single" w:sz="4" w:space="0" w:color="984806" w:themeColor="accent6" w:themeShade="80"/>
        </w:tblBorders>
        <w:tblLook w:val="04A0" w:firstRow="1" w:lastRow="0" w:firstColumn="1" w:lastColumn="0" w:noHBand="0" w:noVBand="1"/>
        <w:tblCaption w:val="Table 13. Item introduction table for item 66536"/>
        <w:tblDescription w:val="Table 13 contains 7 columns. Colum 1 is the item number, column 2 is the item descriptor, column 3 is the schedule fee, column 4 is the benefits for FY 2014-15, column 5 is the servcies for FY 2014-15, column 6 is the number of patients that had this service in FY 2014-15  and column 7 is the percentage change in services over a 5 year period."/>
      </w:tblPr>
      <w:tblGrid>
        <w:gridCol w:w="701"/>
        <w:gridCol w:w="2801"/>
        <w:gridCol w:w="1156"/>
        <w:gridCol w:w="1219"/>
        <w:gridCol w:w="1060"/>
        <w:gridCol w:w="1060"/>
        <w:gridCol w:w="1054"/>
      </w:tblGrid>
      <w:tr w:rsidR="00543D47" w:rsidRPr="00370DFD" w14:paraId="48AFD0DC" w14:textId="77777777" w:rsidTr="00D9610A">
        <w:trPr>
          <w:tblHeader/>
        </w:trPr>
        <w:tc>
          <w:tcPr>
            <w:tcW w:w="701" w:type="dxa"/>
          </w:tcPr>
          <w:p w14:paraId="1A9C889C" w14:textId="77777777" w:rsidR="00543D47" w:rsidRPr="00370DFD" w:rsidRDefault="00543D47" w:rsidP="00D9610A">
            <w:pPr>
              <w:pStyle w:val="BodyText"/>
              <w:rPr>
                <w:b/>
                <w:sz w:val="18"/>
                <w:szCs w:val="18"/>
              </w:rPr>
            </w:pPr>
            <w:r w:rsidRPr="00370DFD">
              <w:rPr>
                <w:b/>
                <w:sz w:val="18"/>
                <w:szCs w:val="18"/>
              </w:rPr>
              <w:t>Item</w:t>
            </w:r>
          </w:p>
        </w:tc>
        <w:tc>
          <w:tcPr>
            <w:tcW w:w="2801" w:type="dxa"/>
          </w:tcPr>
          <w:p w14:paraId="0231904F" w14:textId="77777777" w:rsidR="00543D47" w:rsidRPr="00370DFD" w:rsidRDefault="00543D47" w:rsidP="00D9610A">
            <w:pPr>
              <w:pStyle w:val="BodyText"/>
              <w:rPr>
                <w:b/>
                <w:sz w:val="18"/>
                <w:szCs w:val="18"/>
              </w:rPr>
            </w:pPr>
            <w:r w:rsidRPr="00370DFD">
              <w:rPr>
                <w:b/>
                <w:sz w:val="18"/>
                <w:szCs w:val="18"/>
              </w:rPr>
              <w:t>Long item descriptor</w:t>
            </w:r>
          </w:p>
        </w:tc>
        <w:tc>
          <w:tcPr>
            <w:tcW w:w="1156" w:type="dxa"/>
          </w:tcPr>
          <w:p w14:paraId="4279CCB0" w14:textId="77777777" w:rsidR="00543D47" w:rsidRPr="00370DFD" w:rsidRDefault="00543D47" w:rsidP="00D9610A">
            <w:pPr>
              <w:pStyle w:val="BodyText"/>
              <w:rPr>
                <w:b/>
                <w:sz w:val="18"/>
                <w:szCs w:val="18"/>
              </w:rPr>
            </w:pPr>
            <w:r>
              <w:rPr>
                <w:b/>
                <w:sz w:val="18"/>
                <w:szCs w:val="18"/>
              </w:rPr>
              <w:t>Schedule fee</w:t>
            </w:r>
          </w:p>
        </w:tc>
        <w:tc>
          <w:tcPr>
            <w:tcW w:w="1219" w:type="dxa"/>
          </w:tcPr>
          <w:p w14:paraId="55AE594D" w14:textId="77777777" w:rsidR="00543D47" w:rsidRPr="00370DFD" w:rsidRDefault="00543D47" w:rsidP="00D9610A">
            <w:pPr>
              <w:pStyle w:val="BodyText"/>
              <w:rPr>
                <w:b/>
                <w:sz w:val="18"/>
                <w:szCs w:val="18"/>
              </w:rPr>
            </w:pPr>
            <w:r w:rsidRPr="00370DFD">
              <w:rPr>
                <w:b/>
                <w:sz w:val="18"/>
                <w:szCs w:val="18"/>
              </w:rPr>
              <w:t xml:space="preserve">Benefits </w:t>
            </w:r>
            <w:r>
              <w:rPr>
                <w:b/>
                <w:sz w:val="18"/>
                <w:szCs w:val="18"/>
              </w:rPr>
              <w:br/>
            </w:r>
            <w:r w:rsidRPr="00370DFD">
              <w:rPr>
                <w:b/>
                <w:sz w:val="18"/>
                <w:szCs w:val="18"/>
              </w:rPr>
              <w:t>FY 2014–15</w:t>
            </w:r>
          </w:p>
        </w:tc>
        <w:tc>
          <w:tcPr>
            <w:tcW w:w="1060" w:type="dxa"/>
          </w:tcPr>
          <w:p w14:paraId="1CA4B5E4" w14:textId="77777777" w:rsidR="00543D47" w:rsidRPr="00370DFD" w:rsidRDefault="00543D47" w:rsidP="00D9610A">
            <w:pPr>
              <w:pStyle w:val="BodyText"/>
              <w:rPr>
                <w:b/>
                <w:sz w:val="18"/>
                <w:szCs w:val="18"/>
              </w:rPr>
            </w:pPr>
            <w:r>
              <w:rPr>
                <w:b/>
                <w:sz w:val="18"/>
                <w:szCs w:val="18"/>
              </w:rPr>
              <w:t xml:space="preserve">Services </w:t>
            </w:r>
            <w:r>
              <w:rPr>
                <w:b/>
                <w:sz w:val="18"/>
                <w:szCs w:val="18"/>
              </w:rPr>
              <w:br/>
            </w:r>
            <w:r w:rsidRPr="00370DFD">
              <w:rPr>
                <w:b/>
                <w:sz w:val="18"/>
                <w:szCs w:val="18"/>
              </w:rPr>
              <w:t>FY 2014–15</w:t>
            </w:r>
          </w:p>
        </w:tc>
        <w:tc>
          <w:tcPr>
            <w:tcW w:w="1060" w:type="dxa"/>
          </w:tcPr>
          <w:p w14:paraId="75E2BA46" w14:textId="77777777" w:rsidR="00543D47" w:rsidRPr="00370DFD" w:rsidRDefault="00543D47" w:rsidP="00D9610A">
            <w:pPr>
              <w:pStyle w:val="BodyText"/>
              <w:rPr>
                <w:b/>
                <w:sz w:val="18"/>
                <w:szCs w:val="18"/>
              </w:rPr>
            </w:pPr>
            <w:r w:rsidRPr="00370DFD">
              <w:rPr>
                <w:b/>
                <w:sz w:val="18"/>
                <w:szCs w:val="18"/>
              </w:rPr>
              <w:t>Patient count</w:t>
            </w:r>
          </w:p>
          <w:p w14:paraId="16111674" w14:textId="77777777" w:rsidR="00543D47" w:rsidRPr="00370DFD" w:rsidRDefault="00543D47" w:rsidP="00D9610A">
            <w:pPr>
              <w:pStyle w:val="BodyText"/>
              <w:rPr>
                <w:b/>
                <w:sz w:val="18"/>
                <w:szCs w:val="18"/>
              </w:rPr>
            </w:pPr>
            <w:r w:rsidRPr="00370DFD">
              <w:rPr>
                <w:b/>
                <w:sz w:val="18"/>
                <w:szCs w:val="18"/>
              </w:rPr>
              <w:t>2014–15</w:t>
            </w:r>
          </w:p>
        </w:tc>
        <w:tc>
          <w:tcPr>
            <w:tcW w:w="1054" w:type="dxa"/>
          </w:tcPr>
          <w:p w14:paraId="28971FE8" w14:textId="77777777" w:rsidR="00543D47" w:rsidRPr="00370DFD" w:rsidRDefault="00543D47" w:rsidP="00D9610A">
            <w:pPr>
              <w:pStyle w:val="BodyText"/>
              <w:rPr>
                <w:b/>
                <w:sz w:val="18"/>
                <w:szCs w:val="18"/>
              </w:rPr>
            </w:pPr>
            <w:r>
              <w:rPr>
                <w:b/>
                <w:sz w:val="18"/>
                <w:szCs w:val="18"/>
              </w:rPr>
              <w:t>5-year service</w:t>
            </w:r>
            <w:r w:rsidRPr="00370DFD">
              <w:rPr>
                <w:b/>
                <w:sz w:val="18"/>
                <w:szCs w:val="18"/>
              </w:rPr>
              <w:t xml:space="preserve"> change % (CAGR)</w:t>
            </w:r>
          </w:p>
        </w:tc>
      </w:tr>
      <w:tr w:rsidR="00543D47" w:rsidRPr="00370DFD" w14:paraId="68A1B6CA" w14:textId="77777777" w:rsidTr="00D9610A">
        <w:trPr>
          <w:tblHeader/>
        </w:trPr>
        <w:tc>
          <w:tcPr>
            <w:tcW w:w="701" w:type="dxa"/>
          </w:tcPr>
          <w:p w14:paraId="1BEC7000" w14:textId="77777777" w:rsidR="00543D47" w:rsidRPr="00370DFD" w:rsidRDefault="00543D47" w:rsidP="00D9610A">
            <w:pPr>
              <w:pStyle w:val="BodyText"/>
              <w:rPr>
                <w:sz w:val="18"/>
                <w:szCs w:val="18"/>
              </w:rPr>
            </w:pPr>
            <w:r w:rsidRPr="00370DFD">
              <w:rPr>
                <w:sz w:val="18"/>
                <w:szCs w:val="18"/>
              </w:rPr>
              <w:t>66536</w:t>
            </w:r>
          </w:p>
        </w:tc>
        <w:tc>
          <w:tcPr>
            <w:tcW w:w="2801" w:type="dxa"/>
          </w:tcPr>
          <w:p w14:paraId="58916EF0" w14:textId="77777777" w:rsidR="00543D47" w:rsidRPr="00370DFD" w:rsidRDefault="00543D47" w:rsidP="00D9610A">
            <w:pPr>
              <w:pStyle w:val="BodyText"/>
              <w:rPr>
                <w:sz w:val="18"/>
                <w:szCs w:val="18"/>
              </w:rPr>
            </w:pPr>
            <w:r w:rsidRPr="00370DFD">
              <w:rPr>
                <w:sz w:val="18"/>
                <w:szCs w:val="18"/>
              </w:rPr>
              <w:t xml:space="preserve">Quantitation of </w:t>
            </w:r>
            <w:r>
              <w:rPr>
                <w:sz w:val="18"/>
                <w:szCs w:val="18"/>
              </w:rPr>
              <w:t xml:space="preserve">HDL </w:t>
            </w:r>
            <w:r w:rsidRPr="00370DFD">
              <w:rPr>
                <w:sz w:val="18"/>
                <w:szCs w:val="18"/>
              </w:rPr>
              <w:t>cholesterol</w:t>
            </w:r>
          </w:p>
        </w:tc>
        <w:tc>
          <w:tcPr>
            <w:tcW w:w="1156" w:type="dxa"/>
          </w:tcPr>
          <w:p w14:paraId="5E59DD34" w14:textId="77777777" w:rsidR="00543D47" w:rsidRPr="00370DFD" w:rsidRDefault="00543D47" w:rsidP="00D9610A">
            <w:pPr>
              <w:pStyle w:val="BodyText"/>
              <w:rPr>
                <w:sz w:val="18"/>
                <w:szCs w:val="18"/>
              </w:rPr>
            </w:pPr>
            <w:r w:rsidRPr="00370DFD">
              <w:rPr>
                <w:sz w:val="18"/>
                <w:szCs w:val="18"/>
              </w:rPr>
              <w:t>11.05</w:t>
            </w:r>
          </w:p>
        </w:tc>
        <w:tc>
          <w:tcPr>
            <w:tcW w:w="1219" w:type="dxa"/>
          </w:tcPr>
          <w:p w14:paraId="388802EF" w14:textId="77777777" w:rsidR="00543D47" w:rsidRPr="00370DFD" w:rsidRDefault="00543D47" w:rsidP="00D9610A">
            <w:pPr>
              <w:pStyle w:val="BodyText"/>
              <w:rPr>
                <w:sz w:val="18"/>
                <w:szCs w:val="18"/>
              </w:rPr>
            </w:pPr>
            <w:r w:rsidRPr="00370DFD">
              <w:rPr>
                <w:sz w:val="18"/>
                <w:szCs w:val="18"/>
              </w:rPr>
              <w:t>$15,279,415</w:t>
            </w:r>
          </w:p>
        </w:tc>
        <w:tc>
          <w:tcPr>
            <w:tcW w:w="1060" w:type="dxa"/>
          </w:tcPr>
          <w:p w14:paraId="54E56C01" w14:textId="77777777" w:rsidR="00543D47" w:rsidRPr="00370DFD" w:rsidRDefault="00543D47" w:rsidP="00D9610A">
            <w:pPr>
              <w:pStyle w:val="BodyText"/>
              <w:rPr>
                <w:sz w:val="18"/>
                <w:szCs w:val="18"/>
              </w:rPr>
            </w:pPr>
            <w:r w:rsidRPr="00370DFD">
              <w:rPr>
                <w:sz w:val="18"/>
                <w:szCs w:val="18"/>
              </w:rPr>
              <w:t>1,627,953</w:t>
            </w:r>
          </w:p>
        </w:tc>
        <w:tc>
          <w:tcPr>
            <w:tcW w:w="1060" w:type="dxa"/>
          </w:tcPr>
          <w:p w14:paraId="006D52C3" w14:textId="77777777" w:rsidR="00543D47" w:rsidRPr="00370DFD" w:rsidRDefault="00543D47" w:rsidP="00D9610A">
            <w:pPr>
              <w:pStyle w:val="BodyText"/>
              <w:rPr>
                <w:sz w:val="18"/>
                <w:szCs w:val="18"/>
              </w:rPr>
            </w:pPr>
            <w:r w:rsidRPr="00370DFD">
              <w:rPr>
                <w:sz w:val="18"/>
                <w:szCs w:val="18"/>
              </w:rPr>
              <w:t>1,359,313</w:t>
            </w:r>
          </w:p>
        </w:tc>
        <w:tc>
          <w:tcPr>
            <w:tcW w:w="1054" w:type="dxa"/>
          </w:tcPr>
          <w:p w14:paraId="7D0CA1A2" w14:textId="77777777" w:rsidR="00543D47" w:rsidRPr="00370DFD" w:rsidRDefault="00543D47" w:rsidP="00D9610A">
            <w:pPr>
              <w:pStyle w:val="BodyText"/>
              <w:rPr>
                <w:sz w:val="18"/>
                <w:szCs w:val="18"/>
              </w:rPr>
            </w:pPr>
            <w:r w:rsidRPr="00370DFD">
              <w:rPr>
                <w:sz w:val="18"/>
                <w:szCs w:val="18"/>
              </w:rPr>
              <w:t>-3.3%</w:t>
            </w:r>
          </w:p>
        </w:tc>
      </w:tr>
    </w:tbl>
    <w:p w14:paraId="1EEE6131" w14:textId="77777777" w:rsidR="00543D47" w:rsidRPr="00370DFD" w:rsidRDefault="00543D47" w:rsidP="00543D47">
      <w:pPr>
        <w:pStyle w:val="Heading4"/>
        <w:rPr>
          <w:lang w:val="en-AU"/>
        </w:rPr>
      </w:pPr>
      <w:r w:rsidRPr="00370DFD">
        <w:rPr>
          <w:lang w:val="en-AU"/>
        </w:rPr>
        <w:t>Recommendation</w:t>
      </w:r>
    </w:p>
    <w:p w14:paraId="3A13474E" w14:textId="77777777" w:rsidR="00543D47" w:rsidRPr="00370DFD" w:rsidRDefault="00543D47" w:rsidP="00543D47">
      <w:pPr>
        <w:rPr>
          <w:lang w:eastAsia="en-US"/>
        </w:rPr>
      </w:pPr>
      <w:r w:rsidRPr="00370DFD">
        <w:rPr>
          <w:lang w:eastAsia="en-US"/>
        </w:rPr>
        <w:t xml:space="preserve">The </w:t>
      </w:r>
      <w:r>
        <w:rPr>
          <w:lang w:eastAsia="en-US"/>
        </w:rPr>
        <w:t>Committee</w:t>
      </w:r>
      <w:r w:rsidRPr="00370DFD">
        <w:rPr>
          <w:lang w:eastAsia="en-US"/>
        </w:rPr>
        <w:t xml:space="preserve"> proposes the following:</w:t>
      </w:r>
    </w:p>
    <w:p w14:paraId="10A33F26" w14:textId="77777777" w:rsidR="00543D47" w:rsidRPr="00370DFD" w:rsidRDefault="00543D47" w:rsidP="00543D47">
      <w:pPr>
        <w:pStyle w:val="NormalBulleted"/>
        <w:rPr>
          <w:lang w:eastAsia="en-US"/>
        </w:rPr>
      </w:pPr>
      <w:r w:rsidRPr="00370DFD">
        <w:rPr>
          <w:lang w:eastAsia="en-US"/>
        </w:rPr>
        <w:t>Create a new item for lipids that includes moving cholesterol and triglycerides from item 66500 into this new item.</w:t>
      </w:r>
    </w:p>
    <w:p w14:paraId="61BA570A" w14:textId="77777777" w:rsidR="00543D47" w:rsidRPr="00370DFD" w:rsidRDefault="00543D47" w:rsidP="00543D47">
      <w:pPr>
        <w:pStyle w:val="NormalBulleted"/>
        <w:rPr>
          <w:lang w:eastAsia="en-US"/>
        </w:rPr>
      </w:pPr>
      <w:r>
        <w:rPr>
          <w:lang w:eastAsia="en-US"/>
        </w:rPr>
        <w:t>Seek MSAC evaluation of</w:t>
      </w:r>
      <w:r w:rsidRPr="00370DFD">
        <w:rPr>
          <w:lang w:eastAsia="en-US"/>
        </w:rPr>
        <w:t xml:space="preserve"> new item</w:t>
      </w:r>
      <w:r>
        <w:rPr>
          <w:lang w:eastAsia="en-US"/>
        </w:rPr>
        <w:t xml:space="preserve">(s) </w:t>
      </w:r>
      <w:r w:rsidRPr="00370DFD">
        <w:rPr>
          <w:lang w:eastAsia="en-US"/>
        </w:rPr>
        <w:t xml:space="preserve">for </w:t>
      </w:r>
      <w:proofErr w:type="spellStart"/>
      <w:r w:rsidRPr="00370DFD">
        <w:rPr>
          <w:lang w:eastAsia="en-US"/>
        </w:rPr>
        <w:t>ApoB</w:t>
      </w:r>
      <w:proofErr w:type="spellEnd"/>
      <w:r w:rsidRPr="00370DFD">
        <w:rPr>
          <w:lang w:eastAsia="en-US"/>
        </w:rPr>
        <w:t xml:space="preserve"> and </w:t>
      </w:r>
      <w:r>
        <w:rPr>
          <w:lang w:eastAsia="en-US"/>
        </w:rPr>
        <w:t xml:space="preserve">Lipoprotein(a) testing </w:t>
      </w:r>
    </w:p>
    <w:p w14:paraId="44AA0A5A" w14:textId="77777777" w:rsidR="00543D47" w:rsidRPr="00370DFD" w:rsidRDefault="00543D47" w:rsidP="00543D47">
      <w:pPr>
        <w:pStyle w:val="Heading4"/>
        <w:rPr>
          <w:lang w:val="en-AU"/>
        </w:rPr>
      </w:pPr>
      <w:r w:rsidRPr="00370DFD">
        <w:rPr>
          <w:lang w:val="en-AU"/>
        </w:rPr>
        <w:t>Rationale</w:t>
      </w:r>
    </w:p>
    <w:p w14:paraId="4A5BF1DE" w14:textId="77777777" w:rsidR="00543D47" w:rsidRPr="00165CDB" w:rsidRDefault="00543D47" w:rsidP="00543D47">
      <w:pPr>
        <w:pStyle w:val="NormalBulleted"/>
        <w:rPr>
          <w:lang w:eastAsia="en-US"/>
        </w:rPr>
      </w:pPr>
      <w:r>
        <w:rPr>
          <w:lang w:eastAsia="en-US"/>
        </w:rPr>
        <w:t xml:space="preserve">As discussed at 4.1.1, the Committee reviewed items 66500, 66503, 66506, 66509 and 66512 and recommends that the tests covered under these items be grouped in a manner that matches clinical practice, to allow better tracking of clinical utilisation. As part of this revision, the Committee recommends that </w:t>
      </w:r>
      <w:r w:rsidRPr="00424864">
        <w:rPr>
          <w:lang w:eastAsia="en-US"/>
        </w:rPr>
        <w:t xml:space="preserve">cholesterol and triglycerides tests </w:t>
      </w:r>
      <w:r>
        <w:rPr>
          <w:lang w:eastAsia="en-US"/>
        </w:rPr>
        <w:t>covered under i</w:t>
      </w:r>
      <w:r w:rsidRPr="00424864">
        <w:rPr>
          <w:lang w:eastAsia="en-US"/>
        </w:rPr>
        <w:t xml:space="preserve">tem 66500 </w:t>
      </w:r>
      <w:r>
        <w:rPr>
          <w:lang w:eastAsia="en-US"/>
        </w:rPr>
        <w:t xml:space="preserve">be </w:t>
      </w:r>
      <w:r w:rsidRPr="00424864">
        <w:rPr>
          <w:lang w:eastAsia="en-US"/>
        </w:rPr>
        <w:t>group</w:t>
      </w:r>
      <w:r>
        <w:rPr>
          <w:lang w:eastAsia="en-US"/>
        </w:rPr>
        <w:t>ed with</w:t>
      </w:r>
      <w:r w:rsidRPr="00424864">
        <w:rPr>
          <w:lang w:eastAsia="en-US"/>
        </w:rPr>
        <w:t xml:space="preserve"> the HDL item 66536.</w:t>
      </w:r>
      <w:r w:rsidRPr="009E3580">
        <w:rPr>
          <w:lang w:eastAsia="en-US"/>
        </w:rPr>
        <w:t xml:space="preserve">There was a strong view </w:t>
      </w:r>
      <w:r>
        <w:rPr>
          <w:lang w:eastAsia="en-US"/>
        </w:rPr>
        <w:t xml:space="preserve">among the Committee </w:t>
      </w:r>
      <w:r w:rsidRPr="009E3580">
        <w:rPr>
          <w:lang w:eastAsia="en-US"/>
        </w:rPr>
        <w:t>that a stand-alone lipids item is required. National and international recommendations support the HDL test as a</w:t>
      </w:r>
      <w:r>
        <w:rPr>
          <w:lang w:eastAsia="en-US"/>
        </w:rPr>
        <w:t xml:space="preserve"> crucial</w:t>
      </w:r>
      <w:r w:rsidRPr="009E3580">
        <w:rPr>
          <w:lang w:eastAsia="en-US"/>
        </w:rPr>
        <w:t xml:space="preserve"> mandatory test </w:t>
      </w:r>
      <w:r>
        <w:rPr>
          <w:lang w:eastAsia="en-US"/>
        </w:rPr>
        <w:t>in any</w:t>
      </w:r>
      <w:r w:rsidRPr="009E3580">
        <w:rPr>
          <w:lang w:eastAsia="en-US"/>
        </w:rPr>
        <w:t xml:space="preserve"> lipid profile, as</w:t>
      </w:r>
      <w:r>
        <w:rPr>
          <w:lang w:eastAsia="en-US"/>
        </w:rPr>
        <w:t xml:space="preserve"> it provides important clinical information. As an example,</w:t>
      </w:r>
      <w:r w:rsidRPr="009E3580">
        <w:rPr>
          <w:lang w:eastAsia="en-US"/>
        </w:rPr>
        <w:t xml:space="preserve"> the absolute cardiovascular disease risk calculator requires an HDL result.</w:t>
      </w:r>
    </w:p>
    <w:p w14:paraId="445A9CF4" w14:textId="77777777" w:rsidR="00543D47" w:rsidRPr="003A41DA" w:rsidRDefault="00543D47" w:rsidP="00543D47">
      <w:pPr>
        <w:pStyle w:val="NormalBulleted"/>
        <w:rPr>
          <w:szCs w:val="22"/>
          <w:lang w:eastAsia="en-US"/>
        </w:rPr>
      </w:pPr>
      <w:r w:rsidRPr="00165CDB">
        <w:rPr>
          <w:lang w:eastAsia="en-US"/>
        </w:rPr>
        <w:t xml:space="preserve">Evidence suggests that elevated plasma concentrations of ApoB-100 containing LDL and VLDL cholesterol can induce atherosclerosis even in the absence of other risk factors. </w:t>
      </w:r>
      <w:r w:rsidRPr="00165CDB">
        <w:rPr>
          <w:rFonts w:cs="Tahoma"/>
          <w:color w:val="000000"/>
          <w:szCs w:val="22"/>
        </w:rPr>
        <w:t>The European Guidelines include the option to use APO A1 and A</w:t>
      </w:r>
      <w:r>
        <w:rPr>
          <w:rFonts w:cs="Tahoma"/>
          <w:color w:val="000000"/>
          <w:szCs w:val="22"/>
        </w:rPr>
        <w:t>PO</w:t>
      </w:r>
      <w:r w:rsidRPr="00165CDB">
        <w:rPr>
          <w:rFonts w:cs="Tahoma"/>
          <w:color w:val="000000"/>
          <w:szCs w:val="22"/>
        </w:rPr>
        <w:t xml:space="preserve"> B, pointing out that they can be measured non-fasting. Apo B </w:t>
      </w:r>
      <w:r>
        <w:rPr>
          <w:rFonts w:cs="Tahoma"/>
          <w:color w:val="000000"/>
          <w:szCs w:val="22"/>
        </w:rPr>
        <w:t xml:space="preserve">testing </w:t>
      </w:r>
      <w:r w:rsidRPr="00165CDB">
        <w:rPr>
          <w:rFonts w:cs="Tahoma"/>
          <w:color w:val="000000"/>
          <w:szCs w:val="22"/>
        </w:rPr>
        <w:t>further enhance</w:t>
      </w:r>
      <w:r>
        <w:rPr>
          <w:rFonts w:cs="Tahoma"/>
          <w:color w:val="000000"/>
          <w:szCs w:val="22"/>
        </w:rPr>
        <w:t>s</w:t>
      </w:r>
      <w:r w:rsidRPr="00165CDB">
        <w:rPr>
          <w:rFonts w:cs="Tahoma"/>
          <w:color w:val="000000"/>
          <w:szCs w:val="22"/>
        </w:rPr>
        <w:t xml:space="preserve"> the benefits of non-HDL cholesterol measurement. These </w:t>
      </w:r>
      <w:r>
        <w:rPr>
          <w:rFonts w:cs="Tahoma"/>
          <w:color w:val="000000"/>
          <w:szCs w:val="22"/>
        </w:rPr>
        <w:t xml:space="preserve">tests </w:t>
      </w:r>
      <w:r w:rsidRPr="00165CDB">
        <w:rPr>
          <w:rFonts w:cs="Tahoma"/>
          <w:color w:val="000000"/>
          <w:szCs w:val="22"/>
        </w:rPr>
        <w:t xml:space="preserve">are particularly useful in the setting of </w:t>
      </w:r>
      <w:proofErr w:type="spellStart"/>
      <w:r w:rsidRPr="00165CDB">
        <w:rPr>
          <w:rFonts w:cs="Tahoma"/>
          <w:color w:val="000000"/>
          <w:szCs w:val="22"/>
        </w:rPr>
        <w:t>hypertriglyceridaemia</w:t>
      </w:r>
      <w:proofErr w:type="spellEnd"/>
      <w:r w:rsidRPr="00165CDB">
        <w:rPr>
          <w:rFonts w:cs="Tahoma"/>
          <w:color w:val="000000"/>
          <w:szCs w:val="22"/>
        </w:rPr>
        <w:t xml:space="preserve">, where homogeneous HDL cholesterol assays may be compromised. </w:t>
      </w:r>
    </w:p>
    <w:p w14:paraId="6344052B" w14:textId="77777777" w:rsidR="00543D47" w:rsidRPr="0068551B" w:rsidRDefault="00543D47" w:rsidP="00543D47">
      <w:pPr>
        <w:pStyle w:val="NormalBulleted"/>
        <w:rPr>
          <w:lang w:eastAsia="en-US"/>
        </w:rPr>
      </w:pPr>
      <w:proofErr w:type="spellStart"/>
      <w:r w:rsidRPr="0087010C">
        <w:rPr>
          <w:lang w:eastAsia="en-US"/>
        </w:rPr>
        <w:t>ApoB</w:t>
      </w:r>
      <w:proofErr w:type="spellEnd"/>
      <w:r w:rsidRPr="0087010C">
        <w:rPr>
          <w:lang w:eastAsia="en-US"/>
        </w:rPr>
        <w:t xml:space="preserve"> was introduced in the 2009 Canadian dyslipidaemia guidelines as an alternate primary target of therapy.</w:t>
      </w:r>
      <w:r>
        <w:rPr>
          <w:lang w:eastAsia="en-US"/>
        </w:rPr>
        <w:fldChar w:fldCharType="begin"/>
      </w:r>
      <w:r>
        <w:rPr>
          <w:lang w:eastAsia="en-US"/>
        </w:rPr>
        <w:instrText xml:space="preserve"> ADDIN EN.CITE &lt;EndNote&gt;&lt;Cite&gt;&lt;Author&gt;Anderson&lt;/Author&gt;&lt;RecNum&gt;33&lt;/RecNum&gt;&lt;DisplayText&gt;&lt;style face="superscript"&gt;3&lt;/style&gt;&lt;/DisplayText&gt;&lt;record&gt;&lt;rec-number&gt;33&lt;/rec-number&gt;&lt;foreign-keys&gt;&lt;key app="EN" db-id="dfs5xeapdpddpyexds6ppreypt5sp9spp2a5" timestamp="1497503851"&gt;33&lt;/key&gt;&lt;/foreign-keys&gt;&lt;ref-type name="Journal Article"&gt;17&lt;/ref-type&gt;&lt;contributors&gt;&lt;authors&gt;&lt;author&gt;Anderson, Todd J.&lt;/author&gt;&lt;author&gt;Grégoire, Jean&lt;/author&gt;&lt;author&gt;Hegele, Robert A.&lt;/author&gt;&lt;author&gt;Couture, Patrick&lt;/author&gt;&lt;author&gt;Mancini, G. B. John&lt;/author&gt;&lt;author&gt;McPherson, Ruth&lt;/author&gt;&lt;author&gt;Francis, Gordon A.&lt;/author&gt;&lt;author&gt;Poirier, Paul&lt;/author&gt;&lt;author&gt;Lau, David C.&lt;/author&gt;&lt;author&gt;Grover, Steven&lt;/author&gt;&lt;author&gt;Genest, Jacques, Jr.&lt;/author&gt;&lt;author&gt;Carpentier, André C.&lt;/author&gt;&lt;author&gt;Dufour, Robert&lt;/author&gt;&lt;author&gt;Gupta, Milan&lt;/author&gt;&lt;author&gt;Ward, Richard&lt;/author&gt;&lt;author&gt;Leiter, Lawrence A.&lt;/author&gt;&lt;author&gt;Lonn, Eva&lt;/author&gt;&lt;author&gt;Ng, Dominic S.&lt;/author&gt;&lt;author&gt;Pearson, Glen J.&lt;/author&gt;&lt;author&gt;Yates, Gillian M.&lt;/author&gt;&lt;author&gt;Stone, James A.&lt;/author&gt;&lt;author&gt;Ur, Ehud&lt;/author&gt;&lt;/authors&gt;&lt;/contributors&gt;&lt;titles&gt;&lt;title&gt;2012 Update of the Canadian Cardiovascular Society Guidelines for the Diagnosis and Treatment of Dyslipidemia for the Prevention of Cardiovascular Disease in the Adult&lt;/title&gt;&lt;secondary-title&gt;Canadian Journal of Cardiology&lt;/secondary-title&gt;&lt;/titles&gt;&lt;periodical&gt;&lt;full-title&gt;Canadian Journal of Cardiology&lt;/full-title&gt;&lt;/periodical&gt;&lt;pages&gt;151-167&lt;/pages&gt;&lt;volume&gt;29&lt;/volume&gt;&lt;number&gt;2&lt;/number&gt;&lt;dates&gt;&lt;/dates&gt;&lt;publisher&gt;Elsevier&lt;/publisher&gt;&lt;isbn&gt;0828-282X&lt;/isbn&gt;&lt;urls&gt;&lt;related-urls&gt;&lt;url&gt;http://dx.doi.org/10.1016/j.cjca.2012.11.032&lt;/url&gt;&lt;/related-urls&gt;&lt;/urls&gt;&lt;electronic-resource-num&gt;10.1016/j.cjca.2012.11.032&lt;/electronic-resource-num&gt;&lt;access-date&gt;2017/06/14&lt;/access-date&gt;&lt;/record&gt;&lt;/Cite&gt;&lt;/EndNote&gt;</w:instrText>
      </w:r>
      <w:r>
        <w:rPr>
          <w:lang w:eastAsia="en-US"/>
        </w:rPr>
        <w:fldChar w:fldCharType="separate"/>
      </w:r>
      <w:r w:rsidRPr="00B66EBA">
        <w:rPr>
          <w:noProof/>
          <w:vertAlign w:val="superscript"/>
          <w:lang w:eastAsia="en-US"/>
        </w:rPr>
        <w:t>3</w:t>
      </w:r>
      <w:r>
        <w:rPr>
          <w:lang w:eastAsia="en-US"/>
        </w:rPr>
        <w:fldChar w:fldCharType="end"/>
      </w:r>
      <w:r w:rsidRPr="0087010C">
        <w:rPr>
          <w:lang w:eastAsia="en-US"/>
        </w:rPr>
        <w:t xml:space="preserve"> Growing evidence indicates that the risk of CV events during therapy correlates more strongly with </w:t>
      </w:r>
      <w:proofErr w:type="spellStart"/>
      <w:r w:rsidRPr="0087010C">
        <w:rPr>
          <w:lang w:eastAsia="en-US"/>
        </w:rPr>
        <w:t>ApoB</w:t>
      </w:r>
      <w:proofErr w:type="spellEnd"/>
      <w:r w:rsidRPr="0087010C">
        <w:rPr>
          <w:lang w:eastAsia="en-US"/>
        </w:rPr>
        <w:t xml:space="preserve"> or non-HDL-cholesterol than LDL-cholesterol.</w:t>
      </w:r>
    </w:p>
    <w:p w14:paraId="43873C3B" w14:textId="77777777" w:rsidR="00543D47" w:rsidRPr="00B43A86" w:rsidRDefault="00543D47" w:rsidP="00543D47">
      <w:pPr>
        <w:pStyle w:val="NormalBulleted"/>
        <w:rPr>
          <w:rFonts w:ascii="Tahoma" w:hAnsi="Tahoma" w:cs="Tahoma"/>
          <w:color w:val="000000"/>
          <w:sz w:val="20"/>
          <w:szCs w:val="20"/>
        </w:rPr>
      </w:pPr>
      <w:r>
        <w:rPr>
          <w:lang w:eastAsia="en-US"/>
        </w:rPr>
        <w:t>Li</w:t>
      </w:r>
      <w:r w:rsidRPr="00165CDB">
        <w:rPr>
          <w:lang w:eastAsia="en-US"/>
        </w:rPr>
        <w:t>poprotein (a) (a speciali</w:t>
      </w:r>
      <w:r>
        <w:rPr>
          <w:lang w:eastAsia="en-US"/>
        </w:rPr>
        <w:t>s</w:t>
      </w:r>
      <w:r w:rsidRPr="00165CDB">
        <w:rPr>
          <w:lang w:eastAsia="en-US"/>
        </w:rPr>
        <w:t>ed form of LDL</w:t>
      </w:r>
      <w:r>
        <w:rPr>
          <w:lang w:eastAsia="en-US"/>
        </w:rPr>
        <w:t>, where one molecule of apoprotein (a) is bound to an LDL particle</w:t>
      </w:r>
      <w:r w:rsidRPr="00165CDB">
        <w:rPr>
          <w:lang w:eastAsia="en-US"/>
        </w:rPr>
        <w:t>) is a</w:t>
      </w:r>
      <w:r>
        <w:rPr>
          <w:lang w:eastAsia="en-US"/>
        </w:rPr>
        <w:t>n</w:t>
      </w:r>
      <w:r w:rsidRPr="00165CDB">
        <w:rPr>
          <w:lang w:eastAsia="en-US"/>
        </w:rPr>
        <w:t xml:space="preserve"> independent risk factor for cardiovascular disease events, especially myocardial infarction. </w:t>
      </w:r>
      <w:r>
        <w:rPr>
          <w:lang w:eastAsia="en-US"/>
        </w:rPr>
        <w:t xml:space="preserve">Evidence points to a causative role in acute myocardial infarction. </w:t>
      </w:r>
      <w:r w:rsidRPr="000515DE">
        <w:rPr>
          <w:rFonts w:cs="Tahoma"/>
          <w:color w:val="000000"/>
          <w:szCs w:val="22"/>
        </w:rPr>
        <w:t xml:space="preserve">While in the past </w:t>
      </w:r>
      <w:proofErr w:type="gramStart"/>
      <w:r>
        <w:rPr>
          <w:rFonts w:cs="Tahoma"/>
          <w:color w:val="000000"/>
          <w:szCs w:val="22"/>
        </w:rPr>
        <w:t>this conditions</w:t>
      </w:r>
      <w:proofErr w:type="gramEnd"/>
      <w:r>
        <w:rPr>
          <w:rFonts w:cs="Tahoma"/>
          <w:color w:val="000000"/>
          <w:szCs w:val="22"/>
        </w:rPr>
        <w:t xml:space="preserve"> was </w:t>
      </w:r>
      <w:r w:rsidRPr="000515DE">
        <w:rPr>
          <w:rFonts w:cs="Tahoma"/>
          <w:color w:val="000000"/>
          <w:szCs w:val="22"/>
        </w:rPr>
        <w:t xml:space="preserve">not easily </w:t>
      </w:r>
      <w:r w:rsidRPr="00B43A86">
        <w:rPr>
          <w:rFonts w:cs="Tahoma"/>
          <w:color w:val="000000"/>
          <w:szCs w:val="22"/>
        </w:rPr>
        <w:t>treated</w:t>
      </w:r>
      <w:r>
        <w:rPr>
          <w:rFonts w:cs="Tahoma"/>
          <w:color w:val="000000"/>
          <w:szCs w:val="22"/>
        </w:rPr>
        <w:t>,</w:t>
      </w:r>
      <w:r w:rsidRPr="00B43A86">
        <w:rPr>
          <w:rFonts w:cs="Tahoma"/>
          <w:color w:val="000000"/>
          <w:szCs w:val="22"/>
        </w:rPr>
        <w:t xml:space="preserve"> there is new evidence that PCSK9 inhibitors influence its levels and its measurement might improve management of patients </w:t>
      </w:r>
      <w:r>
        <w:rPr>
          <w:rFonts w:cs="Tahoma"/>
          <w:color w:val="000000"/>
          <w:szCs w:val="22"/>
        </w:rPr>
        <w:t>who</w:t>
      </w:r>
      <w:r w:rsidRPr="00B43A86">
        <w:rPr>
          <w:rFonts w:cs="Tahoma"/>
          <w:color w:val="000000"/>
          <w:szCs w:val="22"/>
        </w:rPr>
        <w:t xml:space="preserve"> qualify </w:t>
      </w:r>
      <w:r w:rsidRPr="00B43A86">
        <w:rPr>
          <w:rFonts w:cs="Tahoma"/>
          <w:color w:val="000000"/>
          <w:szCs w:val="22"/>
        </w:rPr>
        <w:lastRenderedPageBreak/>
        <w:t>for these medications. Lipoprotein (a) measurement is indicated in high risk groups for AMI (</w:t>
      </w:r>
      <w:proofErr w:type="spellStart"/>
      <w:r w:rsidRPr="00B43A86">
        <w:rPr>
          <w:rFonts w:cs="Tahoma"/>
          <w:color w:val="000000"/>
          <w:szCs w:val="22"/>
        </w:rPr>
        <w:t>eg</w:t>
      </w:r>
      <w:proofErr w:type="spellEnd"/>
      <w:r>
        <w:rPr>
          <w:rFonts w:cs="Tahoma"/>
          <w:color w:val="000000"/>
          <w:szCs w:val="22"/>
        </w:rPr>
        <w:t>,</w:t>
      </w:r>
      <w:r w:rsidRPr="00B43A86">
        <w:rPr>
          <w:rFonts w:cs="Tahoma"/>
          <w:color w:val="000000"/>
          <w:szCs w:val="22"/>
        </w:rPr>
        <w:t xml:space="preserve"> in patients with a personal or family history of premature CVD, or those with family history of elevated lipoprotein (a)). </w:t>
      </w:r>
    </w:p>
    <w:p w14:paraId="361E75B5" w14:textId="77777777" w:rsidR="00543D47" w:rsidRPr="00370DFD" w:rsidRDefault="00543D47" w:rsidP="00543D47">
      <w:pPr>
        <w:pStyle w:val="Caption"/>
      </w:pPr>
      <w:bookmarkStart w:id="92" w:name="_Toc534374915"/>
      <w:r w:rsidRPr="00370DFD">
        <w:t xml:space="preserve">Table </w:t>
      </w:r>
      <w:r>
        <w:t>14</w:t>
      </w:r>
      <w:r w:rsidRPr="00370DFD">
        <w:t>: Current and proposed new item descriptor for items 665</w:t>
      </w:r>
      <w:r>
        <w:t>36</w:t>
      </w:r>
      <w:r w:rsidRPr="00370DFD">
        <w:t xml:space="preserve"> and </w:t>
      </w:r>
      <w:r>
        <w:t>ladder</w:t>
      </w:r>
      <w:bookmarkEnd w:id="92"/>
    </w:p>
    <w:tbl>
      <w:tblPr>
        <w:tblStyle w:val="TableGrid"/>
        <w:tblW w:w="9354" w:type="dxa"/>
        <w:tblBorders>
          <w:insideV w:val="single" w:sz="4" w:space="0" w:color="984806" w:themeColor="accent6" w:themeShade="80"/>
        </w:tblBorders>
        <w:tblLook w:val="04A0" w:firstRow="1" w:lastRow="0" w:firstColumn="1" w:lastColumn="0" w:noHBand="0" w:noVBand="1"/>
        <w:tblCaption w:val="Table 14: Current and proposed new item descriptor for items 66536 and ladder"/>
        <w:tblDescription w:val="Table 14 has 3 columns. Column 1 lists the current item number and 2 proposed ladder items subject to approval by MSAC, column 2 lists the descriptor of the current item, column 3 lists the proposed item descriptor for the current item and the 2 proposed items."/>
      </w:tblPr>
      <w:tblGrid>
        <w:gridCol w:w="1134"/>
        <w:gridCol w:w="4110"/>
        <w:gridCol w:w="4110"/>
      </w:tblGrid>
      <w:tr w:rsidR="00543D47" w:rsidRPr="00370DFD" w14:paraId="51EAC694" w14:textId="77777777" w:rsidTr="00D9610A">
        <w:trPr>
          <w:tblHeader/>
        </w:trPr>
        <w:tc>
          <w:tcPr>
            <w:tcW w:w="1134" w:type="dxa"/>
          </w:tcPr>
          <w:p w14:paraId="4996652A" w14:textId="77777777" w:rsidR="00543D47" w:rsidRPr="00370DFD" w:rsidRDefault="00543D47" w:rsidP="00D9610A">
            <w:pPr>
              <w:rPr>
                <w:b/>
                <w:sz w:val="18"/>
                <w:szCs w:val="18"/>
                <w:lang w:eastAsia="en-US"/>
              </w:rPr>
            </w:pPr>
            <w:r w:rsidRPr="00370DFD">
              <w:rPr>
                <w:b/>
                <w:sz w:val="18"/>
                <w:szCs w:val="18"/>
                <w:lang w:eastAsia="en-US"/>
              </w:rPr>
              <w:t>Item</w:t>
            </w:r>
          </w:p>
        </w:tc>
        <w:tc>
          <w:tcPr>
            <w:tcW w:w="4110" w:type="dxa"/>
          </w:tcPr>
          <w:p w14:paraId="29B3CFE1" w14:textId="77777777" w:rsidR="00543D47" w:rsidRPr="00370DFD" w:rsidRDefault="00543D47" w:rsidP="00D9610A">
            <w:pPr>
              <w:rPr>
                <w:b/>
                <w:sz w:val="18"/>
                <w:szCs w:val="18"/>
                <w:lang w:eastAsia="en-US"/>
              </w:rPr>
            </w:pPr>
            <w:r w:rsidRPr="00370DFD">
              <w:rPr>
                <w:b/>
                <w:sz w:val="18"/>
                <w:szCs w:val="18"/>
                <w:lang w:eastAsia="en-US"/>
              </w:rPr>
              <w:t>Current item descriptor</w:t>
            </w:r>
          </w:p>
        </w:tc>
        <w:tc>
          <w:tcPr>
            <w:tcW w:w="4110" w:type="dxa"/>
          </w:tcPr>
          <w:p w14:paraId="723AB97C" w14:textId="77777777" w:rsidR="00543D47" w:rsidRPr="00370DFD" w:rsidRDefault="00543D47" w:rsidP="00D9610A">
            <w:pPr>
              <w:rPr>
                <w:b/>
                <w:sz w:val="18"/>
                <w:szCs w:val="18"/>
                <w:lang w:eastAsia="en-US"/>
              </w:rPr>
            </w:pPr>
            <w:r w:rsidRPr="00370DFD">
              <w:rPr>
                <w:b/>
                <w:sz w:val="18"/>
                <w:szCs w:val="18"/>
                <w:lang w:eastAsia="en-US"/>
              </w:rPr>
              <w:t>Proposed item descriptor</w:t>
            </w:r>
          </w:p>
        </w:tc>
      </w:tr>
      <w:tr w:rsidR="00543D47" w:rsidRPr="00370DFD" w14:paraId="22329446" w14:textId="77777777" w:rsidTr="00D9610A">
        <w:tc>
          <w:tcPr>
            <w:tcW w:w="1134" w:type="dxa"/>
          </w:tcPr>
          <w:p w14:paraId="36D0F169" w14:textId="77777777" w:rsidR="00543D47" w:rsidRPr="00370DFD" w:rsidRDefault="00543D47" w:rsidP="00D9610A">
            <w:pPr>
              <w:rPr>
                <w:sz w:val="18"/>
                <w:szCs w:val="18"/>
                <w:lang w:eastAsia="en-US"/>
              </w:rPr>
            </w:pPr>
            <w:r w:rsidRPr="00370DFD">
              <w:rPr>
                <w:sz w:val="18"/>
                <w:szCs w:val="18"/>
              </w:rPr>
              <w:t>66536</w:t>
            </w:r>
          </w:p>
        </w:tc>
        <w:tc>
          <w:tcPr>
            <w:tcW w:w="4110" w:type="dxa"/>
          </w:tcPr>
          <w:p w14:paraId="08CA143A" w14:textId="77777777" w:rsidR="00543D47" w:rsidRPr="00370DFD" w:rsidRDefault="00543D47" w:rsidP="00D9610A">
            <w:pPr>
              <w:rPr>
                <w:sz w:val="18"/>
                <w:szCs w:val="18"/>
                <w:lang w:eastAsia="en-US"/>
              </w:rPr>
            </w:pPr>
            <w:r w:rsidRPr="00370DFD">
              <w:rPr>
                <w:sz w:val="18"/>
                <w:szCs w:val="18"/>
              </w:rPr>
              <w:t xml:space="preserve">Quantitation of </w:t>
            </w:r>
            <w:r>
              <w:rPr>
                <w:sz w:val="18"/>
                <w:szCs w:val="18"/>
              </w:rPr>
              <w:t>HDL</w:t>
            </w:r>
            <w:r w:rsidRPr="00370DFD">
              <w:rPr>
                <w:sz w:val="18"/>
                <w:szCs w:val="18"/>
              </w:rPr>
              <w:t xml:space="preserve"> cholesterol</w:t>
            </w:r>
          </w:p>
        </w:tc>
        <w:tc>
          <w:tcPr>
            <w:tcW w:w="4110" w:type="dxa"/>
          </w:tcPr>
          <w:p w14:paraId="4B76A8B2" w14:textId="77777777" w:rsidR="00543D47" w:rsidRPr="00370DFD" w:rsidRDefault="00543D47" w:rsidP="00D9610A">
            <w:pPr>
              <w:rPr>
                <w:i/>
                <w:sz w:val="18"/>
                <w:szCs w:val="18"/>
                <w:lang w:eastAsia="en-US"/>
              </w:rPr>
            </w:pPr>
            <w:r w:rsidRPr="00370DFD">
              <w:rPr>
                <w:sz w:val="18"/>
                <w:szCs w:val="18"/>
                <w:lang w:eastAsia="en-US"/>
              </w:rPr>
              <w:t xml:space="preserve">Quantitation of </w:t>
            </w:r>
            <w:r>
              <w:rPr>
                <w:sz w:val="18"/>
                <w:szCs w:val="18"/>
                <w:lang w:eastAsia="en-US"/>
              </w:rPr>
              <w:t>HDL–</w:t>
            </w:r>
            <w:r w:rsidRPr="00370DFD">
              <w:rPr>
                <w:sz w:val="18"/>
                <w:szCs w:val="18"/>
                <w:lang w:eastAsia="en-US"/>
              </w:rPr>
              <w:t xml:space="preserve">cholesterol, </w:t>
            </w:r>
            <w:r w:rsidRPr="00370DFD">
              <w:rPr>
                <w:i/>
                <w:sz w:val="18"/>
                <w:szCs w:val="18"/>
                <w:lang w:eastAsia="en-US"/>
              </w:rPr>
              <w:t>triglycerides, total cholesterol, LDL–cholesterol, non-HDL–</w:t>
            </w:r>
            <w:proofErr w:type="gramStart"/>
            <w:r w:rsidRPr="00370DFD">
              <w:rPr>
                <w:i/>
                <w:sz w:val="18"/>
                <w:szCs w:val="18"/>
                <w:lang w:eastAsia="en-US"/>
              </w:rPr>
              <w:t>cholesterol</w:t>
            </w:r>
            <w:r>
              <w:rPr>
                <w:i/>
                <w:sz w:val="18"/>
                <w:szCs w:val="18"/>
                <w:lang w:eastAsia="en-US"/>
              </w:rPr>
              <w:t>( fee</w:t>
            </w:r>
            <w:proofErr w:type="gramEnd"/>
            <w:r>
              <w:rPr>
                <w:i/>
                <w:sz w:val="18"/>
                <w:szCs w:val="18"/>
                <w:lang w:eastAsia="en-US"/>
              </w:rPr>
              <w:t xml:space="preserve"> to be determined) </w:t>
            </w:r>
          </w:p>
        </w:tc>
      </w:tr>
      <w:tr w:rsidR="00543D47" w:rsidRPr="00370DFD" w14:paraId="09F1546E" w14:textId="77777777" w:rsidTr="00D9610A">
        <w:tc>
          <w:tcPr>
            <w:tcW w:w="1134" w:type="dxa"/>
          </w:tcPr>
          <w:p w14:paraId="096F1295" w14:textId="77777777" w:rsidR="00543D47" w:rsidRPr="00370DFD" w:rsidRDefault="00543D47" w:rsidP="00D9610A">
            <w:pPr>
              <w:rPr>
                <w:sz w:val="18"/>
                <w:szCs w:val="18"/>
              </w:rPr>
            </w:pPr>
            <w:r>
              <w:rPr>
                <w:sz w:val="18"/>
                <w:szCs w:val="18"/>
              </w:rPr>
              <w:t>Ladder item (subject to MSAC assessment)</w:t>
            </w:r>
          </w:p>
        </w:tc>
        <w:tc>
          <w:tcPr>
            <w:tcW w:w="4110" w:type="dxa"/>
          </w:tcPr>
          <w:p w14:paraId="052886BE" w14:textId="77777777" w:rsidR="00543D47" w:rsidRPr="00370DFD" w:rsidRDefault="00543D47" w:rsidP="00D9610A">
            <w:pPr>
              <w:rPr>
                <w:sz w:val="18"/>
                <w:szCs w:val="18"/>
              </w:rPr>
            </w:pPr>
          </w:p>
        </w:tc>
        <w:tc>
          <w:tcPr>
            <w:tcW w:w="4110" w:type="dxa"/>
          </w:tcPr>
          <w:p w14:paraId="7EC5EBBB" w14:textId="77777777" w:rsidR="00543D47" w:rsidRPr="001400A5" w:rsidRDefault="00543D47" w:rsidP="00D9610A">
            <w:pPr>
              <w:rPr>
                <w:i/>
                <w:sz w:val="18"/>
                <w:szCs w:val="18"/>
                <w:lang w:eastAsia="en-US"/>
              </w:rPr>
            </w:pPr>
            <w:r>
              <w:rPr>
                <w:i/>
                <w:sz w:val="18"/>
                <w:szCs w:val="18"/>
                <w:lang w:eastAsia="en-US"/>
              </w:rPr>
              <w:t xml:space="preserve">Quantitation of HDL–cholesterol, triglycerides, total cholesterol, LDL–cholesterol, non-HDL–cholesterol and Apo B in patients with </w:t>
            </w:r>
            <w:proofErr w:type="spellStart"/>
            <w:r>
              <w:rPr>
                <w:i/>
                <w:sz w:val="18"/>
                <w:szCs w:val="18"/>
                <w:lang w:eastAsia="en-US"/>
              </w:rPr>
              <w:t>hypertriglyceridaemia</w:t>
            </w:r>
            <w:proofErr w:type="spellEnd"/>
          </w:p>
        </w:tc>
      </w:tr>
      <w:tr w:rsidR="00543D47" w:rsidRPr="00370DFD" w14:paraId="15DD5A10" w14:textId="77777777" w:rsidTr="00D9610A">
        <w:tc>
          <w:tcPr>
            <w:tcW w:w="1134" w:type="dxa"/>
          </w:tcPr>
          <w:p w14:paraId="0A40BE3B" w14:textId="77777777" w:rsidR="00543D47" w:rsidRPr="00370DFD" w:rsidRDefault="00543D47" w:rsidP="00D9610A">
            <w:pPr>
              <w:rPr>
                <w:sz w:val="18"/>
                <w:szCs w:val="18"/>
              </w:rPr>
            </w:pPr>
            <w:r>
              <w:rPr>
                <w:sz w:val="18"/>
                <w:szCs w:val="18"/>
              </w:rPr>
              <w:t xml:space="preserve">Ladder item (subject to MSAC assessment) </w:t>
            </w:r>
          </w:p>
        </w:tc>
        <w:tc>
          <w:tcPr>
            <w:tcW w:w="4110" w:type="dxa"/>
          </w:tcPr>
          <w:p w14:paraId="70CE8EBC" w14:textId="77777777" w:rsidR="00543D47" w:rsidRPr="00370DFD" w:rsidRDefault="00543D47" w:rsidP="00D9610A">
            <w:pPr>
              <w:rPr>
                <w:sz w:val="18"/>
                <w:szCs w:val="18"/>
              </w:rPr>
            </w:pPr>
          </w:p>
        </w:tc>
        <w:tc>
          <w:tcPr>
            <w:tcW w:w="4110" w:type="dxa"/>
          </w:tcPr>
          <w:p w14:paraId="3F46B011" w14:textId="77777777" w:rsidR="00543D47" w:rsidRPr="00370DFD" w:rsidRDefault="00543D47" w:rsidP="00D9610A">
            <w:pPr>
              <w:rPr>
                <w:sz w:val="18"/>
                <w:szCs w:val="18"/>
                <w:lang w:eastAsia="en-US"/>
              </w:rPr>
            </w:pPr>
            <w:r w:rsidRPr="00196085">
              <w:rPr>
                <w:i/>
                <w:sz w:val="18"/>
                <w:szCs w:val="18"/>
                <w:lang w:eastAsia="en-US"/>
              </w:rPr>
              <w:t>Quantitation of HDL–cholesterol, triglycerides, total cholesterol, LDL–cholesterol, non-HDL–cholesterol</w:t>
            </w:r>
            <w:r>
              <w:rPr>
                <w:i/>
                <w:sz w:val="18"/>
                <w:szCs w:val="18"/>
                <w:lang w:eastAsia="en-US"/>
              </w:rPr>
              <w:t xml:space="preserve"> and LP (a) in patients on PCSK9 inhibitors and on nicotinic acid</w:t>
            </w:r>
          </w:p>
        </w:tc>
      </w:tr>
    </w:tbl>
    <w:p w14:paraId="67D4E224" w14:textId="77777777" w:rsidR="00543D47" w:rsidRDefault="00543D47" w:rsidP="00543D47">
      <w:pPr>
        <w:spacing w:before="0" w:after="0" w:line="240" w:lineRule="auto"/>
      </w:pPr>
      <w:bookmarkStart w:id="93" w:name="_Toc481496268"/>
      <w:bookmarkStart w:id="94" w:name="_Toc481498176"/>
      <w:bookmarkEnd w:id="93"/>
      <w:bookmarkEnd w:id="94"/>
    </w:p>
    <w:p w14:paraId="6CF4601C" w14:textId="77777777" w:rsidR="00543D47" w:rsidRPr="00BD4D2A" w:rsidRDefault="00543D47" w:rsidP="00543D47">
      <w:pPr>
        <w:spacing w:before="0" w:after="0" w:line="240" w:lineRule="auto"/>
      </w:pPr>
      <w:r>
        <w:t>The recommendations of the Committee will need review by the Business group in relations to fee-setting, and by MSAC in relation to new items.</w:t>
      </w:r>
    </w:p>
    <w:p w14:paraId="7617F4A0" w14:textId="77777777" w:rsidR="00543D47" w:rsidRDefault="00543D47" w:rsidP="00543D47">
      <w:pPr>
        <w:pStyle w:val="Heading2"/>
        <w:rPr>
          <w:lang w:val="en-AU"/>
        </w:rPr>
      </w:pPr>
      <w:bookmarkStart w:id="95" w:name="_Toc514247620"/>
      <w:r>
        <w:rPr>
          <w:lang w:val="en-AU"/>
        </w:rPr>
        <w:t>Brain natriuretic peptide (BNP)</w:t>
      </w:r>
      <w:bookmarkEnd w:id="95"/>
    </w:p>
    <w:p w14:paraId="1010920B" w14:textId="77777777" w:rsidR="00543D47" w:rsidRPr="008F60D2" w:rsidRDefault="00543D47" w:rsidP="00543D47">
      <w:pPr>
        <w:pStyle w:val="Caption"/>
      </w:pPr>
      <w:bookmarkStart w:id="96" w:name="_Toc534374916"/>
      <w:r>
        <w:t xml:space="preserve">Table 15. </w:t>
      </w:r>
      <w:r w:rsidRPr="008F60D2">
        <w:t>Item introduction table for item 66830</w:t>
      </w:r>
      <w:bookmarkEnd w:id="96"/>
    </w:p>
    <w:tbl>
      <w:tblPr>
        <w:tblStyle w:val="TableGrid1"/>
        <w:tblW w:w="901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Table 15. Item introduction table for item 66830"/>
        <w:tblDescription w:val="Table 15 is a 7 column table. Column 1 lists the item number, column 2 describes the item, column 3 lists the schedule fee, column 4 shows servcies the 2014/15 financial year, column 5 shows the benefits paid in the 2014/15 financial year, column 6 is the patient count and column 7 is the 5 year service change represented as a percentage."/>
      </w:tblPr>
      <w:tblGrid>
        <w:gridCol w:w="703"/>
        <w:gridCol w:w="2857"/>
        <w:gridCol w:w="1066"/>
        <w:gridCol w:w="1219"/>
        <w:gridCol w:w="1060"/>
        <w:gridCol w:w="1060"/>
        <w:gridCol w:w="1054"/>
      </w:tblGrid>
      <w:tr w:rsidR="00543D47" w:rsidRPr="00E22215" w14:paraId="74D5AD54" w14:textId="77777777" w:rsidTr="00D9610A">
        <w:trPr>
          <w:trHeight w:val="729"/>
          <w:tblHeader/>
        </w:trPr>
        <w:tc>
          <w:tcPr>
            <w:tcW w:w="703" w:type="dxa"/>
            <w:shd w:val="clear" w:color="auto" w:fill="auto"/>
            <w:hideMark/>
          </w:tcPr>
          <w:p w14:paraId="66BF6378" w14:textId="77777777" w:rsidR="00543D47" w:rsidRPr="00E22215" w:rsidRDefault="00543D47" w:rsidP="00D9610A">
            <w:pPr>
              <w:rPr>
                <w:rFonts w:cs="Arial"/>
                <w:b/>
                <w:color w:val="000000"/>
                <w:sz w:val="18"/>
                <w:szCs w:val="18"/>
              </w:rPr>
            </w:pPr>
            <w:r w:rsidRPr="00E22215">
              <w:rPr>
                <w:rFonts w:cs="Arial"/>
                <w:b/>
                <w:color w:val="000000"/>
                <w:sz w:val="18"/>
                <w:szCs w:val="18"/>
              </w:rPr>
              <w:t>Item</w:t>
            </w:r>
          </w:p>
        </w:tc>
        <w:tc>
          <w:tcPr>
            <w:tcW w:w="2857" w:type="dxa"/>
            <w:shd w:val="clear" w:color="auto" w:fill="auto"/>
            <w:hideMark/>
          </w:tcPr>
          <w:p w14:paraId="5757EAA1" w14:textId="77777777" w:rsidR="00543D47" w:rsidRPr="00E22215" w:rsidRDefault="00543D47" w:rsidP="00D9610A">
            <w:pPr>
              <w:rPr>
                <w:rFonts w:cs="Arial"/>
                <w:b/>
                <w:color w:val="000000"/>
                <w:sz w:val="18"/>
                <w:szCs w:val="18"/>
              </w:rPr>
            </w:pPr>
            <w:r w:rsidRPr="00E22215">
              <w:rPr>
                <w:rFonts w:cs="Arial"/>
                <w:b/>
                <w:color w:val="000000"/>
                <w:sz w:val="18"/>
                <w:szCs w:val="18"/>
              </w:rPr>
              <w:t>Long item descriptor</w:t>
            </w:r>
          </w:p>
        </w:tc>
        <w:tc>
          <w:tcPr>
            <w:tcW w:w="1066" w:type="dxa"/>
            <w:shd w:val="clear" w:color="auto" w:fill="auto"/>
            <w:hideMark/>
          </w:tcPr>
          <w:p w14:paraId="62D0FBE0" w14:textId="77777777" w:rsidR="00543D47" w:rsidRPr="00E22215" w:rsidRDefault="00543D47" w:rsidP="00D9610A">
            <w:pPr>
              <w:rPr>
                <w:rFonts w:cs="Arial"/>
                <w:b/>
                <w:color w:val="000000"/>
                <w:sz w:val="18"/>
                <w:szCs w:val="18"/>
              </w:rPr>
            </w:pPr>
            <w:r w:rsidRPr="00E22215">
              <w:rPr>
                <w:rFonts w:cs="Arial"/>
                <w:b/>
                <w:color w:val="000000"/>
                <w:sz w:val="18"/>
                <w:szCs w:val="18"/>
              </w:rPr>
              <w:t>Schedule</w:t>
            </w:r>
            <w:r>
              <w:rPr>
                <w:rFonts w:cs="Arial"/>
                <w:b/>
                <w:color w:val="000000"/>
                <w:sz w:val="18"/>
                <w:szCs w:val="18"/>
              </w:rPr>
              <w:t xml:space="preserve"> f</w:t>
            </w:r>
            <w:r w:rsidRPr="00E22215">
              <w:rPr>
                <w:rFonts w:cs="Arial"/>
                <w:b/>
                <w:color w:val="000000"/>
                <w:sz w:val="18"/>
                <w:szCs w:val="18"/>
              </w:rPr>
              <w:t>ee</w:t>
            </w:r>
          </w:p>
        </w:tc>
        <w:tc>
          <w:tcPr>
            <w:tcW w:w="1219" w:type="dxa"/>
            <w:shd w:val="clear" w:color="auto" w:fill="auto"/>
          </w:tcPr>
          <w:p w14:paraId="065BB4F8" w14:textId="77777777" w:rsidR="00543D47" w:rsidRPr="00E22215" w:rsidRDefault="00543D47" w:rsidP="00D9610A">
            <w:pPr>
              <w:rPr>
                <w:rFonts w:cs="Arial"/>
                <w:b/>
                <w:color w:val="000000"/>
                <w:sz w:val="18"/>
                <w:szCs w:val="18"/>
              </w:rPr>
            </w:pPr>
            <w:r w:rsidRPr="00E22215">
              <w:rPr>
                <w:rFonts w:cs="Arial"/>
                <w:b/>
                <w:color w:val="000000"/>
                <w:sz w:val="18"/>
                <w:szCs w:val="18"/>
              </w:rPr>
              <w:t xml:space="preserve">Services </w:t>
            </w:r>
            <w:r>
              <w:rPr>
                <w:rFonts w:cs="Arial"/>
                <w:b/>
                <w:color w:val="000000"/>
                <w:sz w:val="18"/>
                <w:szCs w:val="18"/>
              </w:rPr>
              <w:br/>
            </w:r>
            <w:r w:rsidRPr="00E22215">
              <w:rPr>
                <w:rFonts w:cs="Arial"/>
                <w:b/>
                <w:color w:val="000000"/>
                <w:sz w:val="18"/>
                <w:szCs w:val="18"/>
              </w:rPr>
              <w:t>FY</w:t>
            </w:r>
            <w:r>
              <w:rPr>
                <w:rFonts w:cs="Arial"/>
                <w:b/>
                <w:color w:val="000000"/>
                <w:sz w:val="18"/>
                <w:szCs w:val="18"/>
              </w:rPr>
              <w:t xml:space="preserve"> </w:t>
            </w:r>
            <w:r w:rsidRPr="00E22215">
              <w:rPr>
                <w:rFonts w:cs="Arial"/>
                <w:b/>
                <w:color w:val="000000"/>
                <w:sz w:val="18"/>
                <w:szCs w:val="18"/>
              </w:rPr>
              <w:t>2014-15</w:t>
            </w:r>
          </w:p>
        </w:tc>
        <w:tc>
          <w:tcPr>
            <w:tcW w:w="1060" w:type="dxa"/>
            <w:shd w:val="clear" w:color="auto" w:fill="auto"/>
          </w:tcPr>
          <w:p w14:paraId="073A337D" w14:textId="77777777" w:rsidR="00543D47" w:rsidRPr="00E22215" w:rsidRDefault="00543D47" w:rsidP="00D9610A">
            <w:pPr>
              <w:rPr>
                <w:rFonts w:cs="Arial"/>
                <w:b/>
                <w:color w:val="000000"/>
                <w:sz w:val="18"/>
                <w:szCs w:val="18"/>
              </w:rPr>
            </w:pPr>
            <w:r w:rsidRPr="00E22215">
              <w:rPr>
                <w:rFonts w:cs="Arial"/>
                <w:b/>
                <w:color w:val="000000"/>
                <w:sz w:val="18"/>
                <w:szCs w:val="18"/>
              </w:rPr>
              <w:t>Benefits FY2014-15</w:t>
            </w:r>
          </w:p>
        </w:tc>
        <w:tc>
          <w:tcPr>
            <w:tcW w:w="1060" w:type="dxa"/>
            <w:shd w:val="clear" w:color="auto" w:fill="auto"/>
            <w:hideMark/>
          </w:tcPr>
          <w:p w14:paraId="5ED5E806" w14:textId="77777777" w:rsidR="00543D47" w:rsidRPr="00E22215" w:rsidRDefault="00543D47" w:rsidP="00D9610A">
            <w:pPr>
              <w:rPr>
                <w:rFonts w:cs="Arial"/>
                <w:b/>
                <w:color w:val="000000"/>
                <w:sz w:val="18"/>
                <w:szCs w:val="18"/>
              </w:rPr>
            </w:pPr>
            <w:r w:rsidRPr="00E22215">
              <w:rPr>
                <w:rFonts w:cs="Arial"/>
                <w:b/>
                <w:color w:val="000000"/>
                <w:sz w:val="18"/>
                <w:szCs w:val="18"/>
              </w:rPr>
              <w:t>Patient count 2014-15</w:t>
            </w:r>
          </w:p>
        </w:tc>
        <w:tc>
          <w:tcPr>
            <w:tcW w:w="1054" w:type="dxa"/>
            <w:shd w:val="clear" w:color="auto" w:fill="auto"/>
            <w:hideMark/>
          </w:tcPr>
          <w:p w14:paraId="4F330F10" w14:textId="77777777" w:rsidR="00543D47" w:rsidRPr="00E22215" w:rsidRDefault="00543D47" w:rsidP="00D9610A">
            <w:pPr>
              <w:rPr>
                <w:rFonts w:cs="Arial"/>
                <w:b/>
                <w:color w:val="000000"/>
                <w:sz w:val="18"/>
                <w:szCs w:val="18"/>
              </w:rPr>
            </w:pPr>
            <w:r>
              <w:rPr>
                <w:rFonts w:cs="Arial"/>
                <w:b/>
                <w:color w:val="000000"/>
                <w:sz w:val="18"/>
                <w:szCs w:val="18"/>
              </w:rPr>
              <w:t>5-year service</w:t>
            </w:r>
            <w:r w:rsidRPr="00E22215">
              <w:rPr>
                <w:rFonts w:cs="Arial"/>
                <w:b/>
                <w:color w:val="000000"/>
                <w:sz w:val="18"/>
                <w:szCs w:val="18"/>
              </w:rPr>
              <w:t xml:space="preserve"> change % (CAGR)</w:t>
            </w:r>
          </w:p>
        </w:tc>
      </w:tr>
      <w:tr w:rsidR="00543D47" w:rsidRPr="00E22215" w14:paraId="7BA93191" w14:textId="77777777" w:rsidTr="00D9610A">
        <w:trPr>
          <w:trHeight w:val="300"/>
        </w:trPr>
        <w:tc>
          <w:tcPr>
            <w:tcW w:w="703" w:type="dxa"/>
            <w:noWrap/>
            <w:hideMark/>
          </w:tcPr>
          <w:p w14:paraId="44676B86" w14:textId="77777777" w:rsidR="00543D47" w:rsidRPr="00E22215" w:rsidRDefault="00543D47" w:rsidP="00D9610A">
            <w:pPr>
              <w:rPr>
                <w:rFonts w:cs="Arial"/>
                <w:color w:val="000000"/>
                <w:sz w:val="18"/>
                <w:szCs w:val="18"/>
              </w:rPr>
            </w:pPr>
            <w:r w:rsidRPr="00E22215">
              <w:rPr>
                <w:rFonts w:cs="Arial"/>
                <w:sz w:val="18"/>
                <w:szCs w:val="18"/>
              </w:rPr>
              <w:t>66830</w:t>
            </w:r>
          </w:p>
        </w:tc>
        <w:tc>
          <w:tcPr>
            <w:tcW w:w="2857" w:type="dxa"/>
            <w:noWrap/>
          </w:tcPr>
          <w:p w14:paraId="4E94BED5" w14:textId="77777777" w:rsidR="00543D47" w:rsidRPr="00E22215" w:rsidRDefault="00543D47" w:rsidP="00D9610A">
            <w:pPr>
              <w:rPr>
                <w:rFonts w:cs="Arial"/>
                <w:color w:val="000000"/>
                <w:sz w:val="18"/>
                <w:szCs w:val="18"/>
              </w:rPr>
            </w:pPr>
            <w:r w:rsidRPr="00E22215">
              <w:rPr>
                <w:rFonts w:cs="Arial"/>
                <w:sz w:val="18"/>
                <w:szCs w:val="18"/>
              </w:rPr>
              <w:t xml:space="preserve">Quantitation of </w:t>
            </w:r>
            <w:r>
              <w:rPr>
                <w:rFonts w:cs="Arial"/>
                <w:sz w:val="18"/>
                <w:szCs w:val="18"/>
              </w:rPr>
              <w:t>BNP</w:t>
            </w:r>
            <w:r w:rsidRPr="00E22215">
              <w:rPr>
                <w:rFonts w:cs="Arial"/>
                <w:sz w:val="18"/>
                <w:szCs w:val="18"/>
              </w:rPr>
              <w:t xml:space="preserve"> or </w:t>
            </w:r>
            <w:r>
              <w:rPr>
                <w:rFonts w:cs="Arial"/>
                <w:sz w:val="18"/>
                <w:szCs w:val="18"/>
              </w:rPr>
              <w:t>NT</w:t>
            </w:r>
            <w:r w:rsidRPr="00E22215">
              <w:rPr>
                <w:rFonts w:cs="Arial"/>
                <w:sz w:val="18"/>
                <w:szCs w:val="18"/>
              </w:rPr>
              <w:t>-</w:t>
            </w:r>
            <w:proofErr w:type="spellStart"/>
            <w:r w:rsidRPr="00E22215">
              <w:rPr>
                <w:rFonts w:cs="Arial"/>
                <w:sz w:val="18"/>
                <w:szCs w:val="18"/>
              </w:rPr>
              <w:t>pro</w:t>
            </w:r>
            <w:r>
              <w:rPr>
                <w:rFonts w:cs="Arial"/>
                <w:sz w:val="18"/>
                <w:szCs w:val="18"/>
              </w:rPr>
              <w:t>BNP</w:t>
            </w:r>
            <w:proofErr w:type="spellEnd"/>
            <w:r w:rsidRPr="00E22215">
              <w:rPr>
                <w:rFonts w:cs="Arial"/>
                <w:sz w:val="18"/>
                <w:szCs w:val="18"/>
              </w:rPr>
              <w:t xml:space="preserve"> for the diagnosis of heart failure in patients presenting with dyspnoea to a hospital emergency </w:t>
            </w:r>
            <w:proofErr w:type="gramStart"/>
            <w:r w:rsidRPr="00E22215">
              <w:rPr>
                <w:rFonts w:cs="Arial"/>
                <w:sz w:val="18"/>
                <w:szCs w:val="18"/>
              </w:rPr>
              <w:t>department(</w:t>
            </w:r>
            <w:proofErr w:type="gramEnd"/>
            <w:r w:rsidRPr="00E22215">
              <w:rPr>
                <w:rFonts w:cs="Arial"/>
                <w:sz w:val="18"/>
                <w:szCs w:val="18"/>
              </w:rPr>
              <w:t>item is subject to rule 25)</w:t>
            </w:r>
          </w:p>
        </w:tc>
        <w:tc>
          <w:tcPr>
            <w:tcW w:w="1066" w:type="dxa"/>
            <w:noWrap/>
          </w:tcPr>
          <w:p w14:paraId="3B69D256" w14:textId="77777777" w:rsidR="00543D47" w:rsidRPr="00E22215" w:rsidRDefault="00543D47" w:rsidP="00D9610A">
            <w:pPr>
              <w:rPr>
                <w:rFonts w:cs="Arial"/>
                <w:color w:val="000000"/>
                <w:sz w:val="18"/>
                <w:szCs w:val="18"/>
              </w:rPr>
            </w:pPr>
            <w:r w:rsidRPr="00E22215">
              <w:rPr>
                <w:rFonts w:cs="Arial"/>
                <w:sz w:val="18"/>
                <w:szCs w:val="18"/>
              </w:rPr>
              <w:t>$58.50</w:t>
            </w:r>
          </w:p>
        </w:tc>
        <w:tc>
          <w:tcPr>
            <w:tcW w:w="1219" w:type="dxa"/>
            <w:noWrap/>
          </w:tcPr>
          <w:p w14:paraId="65B708BA" w14:textId="77777777" w:rsidR="00543D47" w:rsidRPr="00E22215" w:rsidRDefault="00543D47" w:rsidP="00D9610A">
            <w:pPr>
              <w:spacing w:after="0" w:line="240" w:lineRule="auto"/>
              <w:rPr>
                <w:rFonts w:cs="Arial"/>
                <w:color w:val="000000"/>
                <w:sz w:val="18"/>
                <w:szCs w:val="18"/>
              </w:rPr>
            </w:pPr>
            <w:r w:rsidRPr="00E22215">
              <w:rPr>
                <w:rFonts w:cs="Arial"/>
                <w:color w:val="000000"/>
                <w:sz w:val="18"/>
                <w:szCs w:val="18"/>
              </w:rPr>
              <w:t>9,820</w:t>
            </w:r>
          </w:p>
          <w:p w14:paraId="39D6BF75" w14:textId="77777777" w:rsidR="00543D47" w:rsidRPr="00E22215" w:rsidRDefault="00543D47" w:rsidP="00D9610A">
            <w:pPr>
              <w:rPr>
                <w:rFonts w:cs="Arial"/>
                <w:color w:val="000000"/>
                <w:sz w:val="18"/>
                <w:szCs w:val="18"/>
              </w:rPr>
            </w:pPr>
          </w:p>
        </w:tc>
        <w:tc>
          <w:tcPr>
            <w:tcW w:w="1060" w:type="dxa"/>
          </w:tcPr>
          <w:p w14:paraId="7E7BB6F4" w14:textId="77777777" w:rsidR="00543D47" w:rsidRPr="00E22215" w:rsidRDefault="00543D47" w:rsidP="00D9610A">
            <w:pPr>
              <w:spacing w:after="0" w:line="240" w:lineRule="auto"/>
              <w:rPr>
                <w:rFonts w:cs="Arial"/>
                <w:color w:val="000000"/>
                <w:sz w:val="18"/>
                <w:szCs w:val="18"/>
              </w:rPr>
            </w:pPr>
            <w:r w:rsidRPr="00E22215">
              <w:rPr>
                <w:rFonts w:cs="Arial"/>
                <w:color w:val="000000"/>
                <w:sz w:val="18"/>
                <w:szCs w:val="18"/>
              </w:rPr>
              <w:t>$455,734</w:t>
            </w:r>
          </w:p>
          <w:p w14:paraId="6B26AB78" w14:textId="77777777" w:rsidR="00543D47" w:rsidRPr="00E22215" w:rsidRDefault="00543D47" w:rsidP="00D9610A">
            <w:pPr>
              <w:rPr>
                <w:rFonts w:cs="Arial"/>
                <w:color w:val="000000"/>
                <w:sz w:val="18"/>
                <w:szCs w:val="18"/>
              </w:rPr>
            </w:pPr>
          </w:p>
        </w:tc>
        <w:tc>
          <w:tcPr>
            <w:tcW w:w="1060" w:type="dxa"/>
            <w:noWrap/>
          </w:tcPr>
          <w:p w14:paraId="458D0C1C" w14:textId="77777777" w:rsidR="00543D47" w:rsidRPr="00E22215" w:rsidRDefault="00543D47" w:rsidP="00D9610A">
            <w:pPr>
              <w:spacing w:after="0" w:line="240" w:lineRule="auto"/>
              <w:rPr>
                <w:rFonts w:cs="Arial"/>
                <w:color w:val="000000"/>
                <w:sz w:val="18"/>
                <w:szCs w:val="18"/>
              </w:rPr>
            </w:pPr>
            <w:r w:rsidRPr="00E22215">
              <w:rPr>
                <w:rFonts w:cs="Arial"/>
                <w:color w:val="000000"/>
                <w:sz w:val="18"/>
                <w:szCs w:val="18"/>
              </w:rPr>
              <w:t>8,483</w:t>
            </w:r>
          </w:p>
          <w:p w14:paraId="4F166F34" w14:textId="77777777" w:rsidR="00543D47" w:rsidRPr="00E22215" w:rsidRDefault="00543D47" w:rsidP="00D9610A">
            <w:pPr>
              <w:rPr>
                <w:rFonts w:cs="Arial"/>
                <w:color w:val="000000"/>
                <w:sz w:val="18"/>
                <w:szCs w:val="18"/>
              </w:rPr>
            </w:pPr>
          </w:p>
        </w:tc>
        <w:tc>
          <w:tcPr>
            <w:tcW w:w="1054" w:type="dxa"/>
            <w:noWrap/>
          </w:tcPr>
          <w:p w14:paraId="2AB50059" w14:textId="77777777" w:rsidR="00543D47" w:rsidRPr="00E22215" w:rsidRDefault="00543D47" w:rsidP="00D9610A">
            <w:pPr>
              <w:spacing w:after="0" w:line="240" w:lineRule="auto"/>
              <w:rPr>
                <w:rFonts w:cs="Arial"/>
                <w:color w:val="000000"/>
                <w:sz w:val="18"/>
                <w:szCs w:val="18"/>
              </w:rPr>
            </w:pPr>
            <w:r w:rsidRPr="00E22215">
              <w:rPr>
                <w:rFonts w:cs="Arial"/>
                <w:color w:val="000000"/>
                <w:sz w:val="18"/>
                <w:szCs w:val="18"/>
              </w:rPr>
              <w:t>23.4%</w:t>
            </w:r>
          </w:p>
          <w:p w14:paraId="7CDB23BB" w14:textId="77777777" w:rsidR="00543D47" w:rsidRPr="00E22215" w:rsidRDefault="00543D47" w:rsidP="00D9610A">
            <w:pPr>
              <w:rPr>
                <w:rFonts w:cs="Arial"/>
                <w:color w:val="000000"/>
                <w:sz w:val="18"/>
                <w:szCs w:val="18"/>
              </w:rPr>
            </w:pPr>
          </w:p>
          <w:p w14:paraId="7DF6AF1F" w14:textId="77777777" w:rsidR="00543D47" w:rsidRPr="00E22215" w:rsidRDefault="00543D47" w:rsidP="00D9610A">
            <w:pPr>
              <w:rPr>
                <w:rFonts w:cs="Arial"/>
                <w:color w:val="000000"/>
                <w:sz w:val="18"/>
                <w:szCs w:val="18"/>
              </w:rPr>
            </w:pPr>
          </w:p>
        </w:tc>
      </w:tr>
    </w:tbl>
    <w:p w14:paraId="24DF8AE1" w14:textId="77777777" w:rsidR="00543D47" w:rsidRDefault="00543D47" w:rsidP="00543D47">
      <w:pPr>
        <w:pStyle w:val="Heading4"/>
      </w:pPr>
      <w:r>
        <w:t>Recommendation</w:t>
      </w:r>
    </w:p>
    <w:p w14:paraId="2EDF8F50" w14:textId="77777777" w:rsidR="00543D47" w:rsidRPr="00131E01" w:rsidRDefault="00543D47" w:rsidP="00543D47">
      <w:pPr>
        <w:pStyle w:val="NormalBulleted"/>
      </w:pPr>
      <w:r>
        <w:rPr>
          <w:lang w:val="en-US" w:eastAsia="en-US"/>
        </w:rPr>
        <w:t>Refer to MSAC a proposal to c</w:t>
      </w:r>
      <w:r w:rsidRPr="00131E01">
        <w:rPr>
          <w:lang w:val="en-US" w:eastAsia="en-US"/>
        </w:rPr>
        <w:t>reate a new item to allow GPs to order BNP or NT-</w:t>
      </w:r>
      <w:proofErr w:type="spellStart"/>
      <w:r w:rsidRPr="00131E01">
        <w:rPr>
          <w:lang w:val="en-US" w:eastAsia="en-US"/>
        </w:rPr>
        <w:t>proBNP</w:t>
      </w:r>
      <w:proofErr w:type="spellEnd"/>
      <w:r w:rsidRPr="00131E01">
        <w:rPr>
          <w:lang w:val="en-US" w:eastAsia="en-US"/>
        </w:rPr>
        <w:t xml:space="preserve"> in a primary care setting</w:t>
      </w:r>
    </w:p>
    <w:p w14:paraId="5189C508" w14:textId="77777777" w:rsidR="00543D47" w:rsidRPr="00131E01" w:rsidRDefault="00543D47" w:rsidP="00543D47">
      <w:pPr>
        <w:pStyle w:val="Heading4"/>
      </w:pPr>
      <w:r w:rsidRPr="00131E01">
        <w:t>Rationale</w:t>
      </w:r>
    </w:p>
    <w:p w14:paraId="2D589CFF" w14:textId="77777777" w:rsidR="00543D47" w:rsidRPr="00811642" w:rsidRDefault="00543D47" w:rsidP="00543D47">
      <w:pPr>
        <w:pStyle w:val="NormalBulleted"/>
      </w:pPr>
      <w:r w:rsidRPr="00131E01">
        <w:rPr>
          <w:lang w:val="en-US"/>
        </w:rPr>
        <w:t xml:space="preserve">The diagnosis of heart failure (HF) remains a difficult clinical challenge in all settings. Unlike patients presenting to emergency rooms with symptoms of acute heart failure, patients </w:t>
      </w:r>
      <w:r w:rsidRPr="00131E01">
        <w:rPr>
          <w:lang w:val="en-US"/>
        </w:rPr>
        <w:lastRenderedPageBreak/>
        <w:t>presenting to primary care settings often have mild or no obvious symptoms, or they present with only risk factors for the condition. In primary care, diagnosis is based predominantly on clinical symptoms, as more specific diagnostics such as echocardiography may</w:t>
      </w:r>
      <w:r>
        <w:rPr>
          <w:lang w:val="en-US"/>
        </w:rPr>
        <w:t xml:space="preserve"> not be</w:t>
      </w:r>
      <w:r w:rsidRPr="00131E01">
        <w:rPr>
          <w:lang w:val="en-US"/>
        </w:rPr>
        <w:t xml:space="preserve"> readily available. While many national and international guidelines recommend the use of natriuretic peptides as an aid to diagnosis of heart </w:t>
      </w:r>
      <w:r>
        <w:rPr>
          <w:lang w:val="en-US"/>
        </w:rPr>
        <w:t xml:space="preserve">failure </w:t>
      </w:r>
      <w:r w:rsidRPr="00131E01">
        <w:rPr>
          <w:lang w:val="en-US"/>
        </w:rPr>
        <w:t xml:space="preserve">in acute settings, few specific recommendations exist for using these peptides in primary care populations. </w:t>
      </w:r>
    </w:p>
    <w:p w14:paraId="3B8BBB5A" w14:textId="77777777" w:rsidR="00543D47" w:rsidRDefault="00543D47" w:rsidP="00543D47">
      <w:pPr>
        <w:pStyle w:val="NormalBulleted"/>
      </w:pPr>
      <w:r w:rsidRPr="00131E01">
        <w:rPr>
          <w:lang w:val="en-US" w:eastAsia="en-US"/>
        </w:rPr>
        <w:t>The Committee requested a literature review on the use of BNP/NT-</w:t>
      </w:r>
      <w:proofErr w:type="spellStart"/>
      <w:r w:rsidRPr="00131E01">
        <w:rPr>
          <w:lang w:val="en-US" w:eastAsia="en-US"/>
        </w:rPr>
        <w:t>proBNP</w:t>
      </w:r>
      <w:proofErr w:type="spellEnd"/>
      <w:r w:rsidRPr="00131E01">
        <w:rPr>
          <w:lang w:val="en-US" w:eastAsia="en-US"/>
        </w:rPr>
        <w:t xml:space="preserve"> in the diagnosis of heart failure in primary care.</w:t>
      </w:r>
      <w:r>
        <w:rPr>
          <w:lang w:val="en-US" w:eastAsia="en-US"/>
        </w:rPr>
        <w:fldChar w:fldCharType="begin"/>
      </w:r>
      <w:r>
        <w:rPr>
          <w:lang w:val="en-US" w:eastAsia="en-US"/>
        </w:rPr>
        <w:instrText xml:space="preserve"> ADDIN EN.CITE &lt;EndNote&gt;&lt;Cite&gt;&lt;Author&gt;Health&lt;/Author&gt;&lt;Year&gt;2017&lt;/Year&gt;&lt;RecNum&gt;21&lt;/RecNum&gt;&lt;DisplayText&gt;&lt;style face="superscript"&gt;4&lt;/style&gt;&lt;/DisplayText&gt;&lt;record&gt;&lt;rec-number&gt;21&lt;/rec-number&gt;&lt;foreign-keys&gt;&lt;key app="EN" db-id="axta02z59p0tzoext0jprf27f2a5pp2era22" timestamp="1503537095"&gt;21&lt;/key&gt;&lt;/foreign-keys&gt;&lt;ref-type name="Report"&gt;27&lt;/ref-type&gt;&lt;contributors&gt;&lt;authors&gt;&lt;author&gt;HealthConsult for the Department of Health&lt;/author&gt;&lt;/authors&gt;&lt;tertiary-authors&gt;&lt;author&gt;HealthConsult Pty Ltd&lt;/author&gt;&lt;/tertiary-authors&gt;&lt;/contributors&gt;&lt;titles&gt;&lt;title&gt;Literature review of MBS item 66830 – Brain natriuretic peptide&lt;/title&gt;&lt;/titles&gt;&lt;dates&gt;&lt;year&gt;2017&lt;/year&gt;&lt;/dates&gt;&lt;pub-location&gt;Melbourne, VIC&lt;/pub-location&gt;&lt;urls&gt;&lt;/urls&gt;&lt;/record&gt;&lt;/Cite&gt;&lt;/EndNote&gt;</w:instrText>
      </w:r>
      <w:r>
        <w:rPr>
          <w:lang w:val="en-US" w:eastAsia="en-US"/>
        </w:rPr>
        <w:fldChar w:fldCharType="separate"/>
      </w:r>
      <w:r w:rsidRPr="004F4E39">
        <w:rPr>
          <w:noProof/>
          <w:vertAlign w:val="superscript"/>
          <w:lang w:val="en-US" w:eastAsia="en-US"/>
        </w:rPr>
        <w:t>4</w:t>
      </w:r>
      <w:r>
        <w:rPr>
          <w:lang w:val="en-US" w:eastAsia="en-US"/>
        </w:rPr>
        <w:fldChar w:fldCharType="end"/>
      </w:r>
      <w:r w:rsidRPr="00131E01">
        <w:rPr>
          <w:lang w:val="en-US" w:eastAsia="en-US"/>
        </w:rPr>
        <w:t xml:space="preserve"> The literature concluded that </w:t>
      </w:r>
      <w:r w:rsidRPr="00131E01">
        <w:t>information provided in the included clinical practice guidelines and systematic reviews suggests that there is evidence to support the use of BNP/NT-</w:t>
      </w:r>
      <w:proofErr w:type="spellStart"/>
      <w:r w:rsidRPr="00131E01">
        <w:t>proBNP</w:t>
      </w:r>
      <w:proofErr w:type="spellEnd"/>
      <w:r w:rsidRPr="00131E01">
        <w:t xml:space="preserve"> testing to exclude a diagnosis of heart failure in the primary care setting in patients </w:t>
      </w:r>
      <w:r>
        <w:t>who</w:t>
      </w:r>
      <w:r w:rsidRPr="00131E01">
        <w:t xml:space="preserve"> present with dyspnoea. The literature supports </w:t>
      </w:r>
      <w:r>
        <w:t>different</w:t>
      </w:r>
      <w:r w:rsidRPr="00131E01">
        <w:t xml:space="preserve"> exclusion thresholds for patients presenting with acute onset or worsening of symptoms (</w:t>
      </w:r>
      <w:proofErr w:type="spellStart"/>
      <w:r>
        <w:t>eg</w:t>
      </w:r>
      <w:proofErr w:type="spellEnd"/>
      <w:r>
        <w:t>,</w:t>
      </w:r>
      <w:r w:rsidRPr="00131E01">
        <w:t xml:space="preserve"> to a hospital emergency department) and those presenting with a more gradual onset of symptoms (</w:t>
      </w:r>
      <w:proofErr w:type="spellStart"/>
      <w:r>
        <w:t>eg</w:t>
      </w:r>
      <w:proofErr w:type="spellEnd"/>
      <w:r>
        <w:t>,</w:t>
      </w:r>
      <w:r w:rsidRPr="00131E01">
        <w:t xml:space="preserve"> such as in the primary care setting</w:t>
      </w:r>
      <w:r>
        <w:t>)</w:t>
      </w:r>
      <w:r w:rsidRPr="00131E01">
        <w:t xml:space="preserve">. </w:t>
      </w:r>
    </w:p>
    <w:p w14:paraId="7A9F47EE" w14:textId="77777777" w:rsidR="00543D47" w:rsidRPr="00131E01" w:rsidRDefault="00543D47" w:rsidP="00543D47">
      <w:pPr>
        <w:pStyle w:val="NormalBulleted"/>
      </w:pPr>
      <w:r w:rsidRPr="00131E01">
        <w:t xml:space="preserve">Based on the conclusions of the review, the Committee recommended </w:t>
      </w:r>
      <w:r>
        <w:t>a new</w:t>
      </w:r>
      <w:r w:rsidRPr="00131E01">
        <w:t xml:space="preserve"> </w:t>
      </w:r>
      <w:r w:rsidRPr="00131E01">
        <w:rPr>
          <w:rFonts w:cs="Times-Bold"/>
          <w:bCs/>
        </w:rPr>
        <w:t xml:space="preserve">MBS item descriptor to support testing of </w:t>
      </w:r>
      <w:r w:rsidRPr="00131E01">
        <w:t>BNP or NT-</w:t>
      </w:r>
      <w:proofErr w:type="spellStart"/>
      <w:r w:rsidRPr="00131E01">
        <w:t>proBNP</w:t>
      </w:r>
      <w:proofErr w:type="spellEnd"/>
      <w:r w:rsidRPr="00131E01">
        <w:t xml:space="preserve"> for the diagnosis of heart failure in primary care. Such an item </w:t>
      </w:r>
      <w:r w:rsidRPr="00131E01">
        <w:rPr>
          <w:rFonts w:cs="Times-Bold"/>
          <w:bCs/>
        </w:rPr>
        <w:t xml:space="preserve">would enable general practitioners working in primary care to order </w:t>
      </w:r>
      <w:r w:rsidRPr="00131E01">
        <w:t>BNP or NT-</w:t>
      </w:r>
      <w:proofErr w:type="spellStart"/>
      <w:r w:rsidRPr="00131E01">
        <w:t>proBNP</w:t>
      </w:r>
      <w:proofErr w:type="spellEnd"/>
      <w:r w:rsidRPr="00131E01">
        <w:t xml:space="preserve"> </w:t>
      </w:r>
      <w:r w:rsidRPr="00131E01">
        <w:rPr>
          <w:rFonts w:cs="Times-Bold"/>
          <w:bCs/>
        </w:rPr>
        <w:t>test for a subpopulation.</w:t>
      </w:r>
    </w:p>
    <w:p w14:paraId="4B97664D" w14:textId="77777777" w:rsidR="00543D47" w:rsidRPr="00131E01" w:rsidRDefault="00543D47" w:rsidP="00543D47">
      <w:pPr>
        <w:pStyle w:val="Caption"/>
      </w:pPr>
      <w:bookmarkStart w:id="97" w:name="_Toc534374917"/>
      <w:r w:rsidRPr="00131E01">
        <w:t>Table 16: Proposed new item descriptor</w:t>
      </w:r>
      <w:bookmarkEnd w:id="97"/>
    </w:p>
    <w:tbl>
      <w:tblPr>
        <w:tblStyle w:val="TableGrid"/>
        <w:tblW w:w="0" w:type="auto"/>
        <w:tblInd w:w="-5"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Table 16: Proposed new item descriptor"/>
        <w:tblDescription w:val="Table 16 has 2 columns. Column 1 lists the item detail, column 2 lists the proposed new item descriptor. "/>
      </w:tblPr>
      <w:tblGrid>
        <w:gridCol w:w="1276"/>
        <w:gridCol w:w="7745"/>
      </w:tblGrid>
      <w:tr w:rsidR="00543D47" w:rsidRPr="00131E01" w14:paraId="4F9DF222" w14:textId="77777777" w:rsidTr="00D9610A">
        <w:trPr>
          <w:tblHeader/>
        </w:trPr>
        <w:tc>
          <w:tcPr>
            <w:tcW w:w="1276" w:type="dxa"/>
          </w:tcPr>
          <w:p w14:paraId="0A3C8718" w14:textId="77777777" w:rsidR="00543D47" w:rsidRPr="003664D8" w:rsidRDefault="00543D47" w:rsidP="00D9610A">
            <w:pPr>
              <w:rPr>
                <w:rFonts w:cs="Arial"/>
                <w:b/>
                <w:sz w:val="18"/>
                <w:szCs w:val="18"/>
              </w:rPr>
            </w:pPr>
            <w:r w:rsidRPr="003664D8">
              <w:rPr>
                <w:rFonts w:cs="Arial"/>
                <w:b/>
                <w:sz w:val="18"/>
                <w:szCs w:val="18"/>
              </w:rPr>
              <w:t>Item</w:t>
            </w:r>
          </w:p>
        </w:tc>
        <w:tc>
          <w:tcPr>
            <w:tcW w:w="7745" w:type="dxa"/>
          </w:tcPr>
          <w:p w14:paraId="4F176581" w14:textId="77777777" w:rsidR="00543D47" w:rsidRPr="003664D8" w:rsidRDefault="00543D47" w:rsidP="00D9610A">
            <w:pPr>
              <w:rPr>
                <w:rFonts w:cs="Arial"/>
                <w:b/>
                <w:sz w:val="18"/>
                <w:szCs w:val="18"/>
              </w:rPr>
            </w:pPr>
            <w:r w:rsidRPr="003664D8">
              <w:rPr>
                <w:rFonts w:cs="Arial"/>
                <w:b/>
                <w:sz w:val="18"/>
                <w:szCs w:val="18"/>
              </w:rPr>
              <w:t>Proposed new item descriptor</w:t>
            </w:r>
          </w:p>
        </w:tc>
      </w:tr>
      <w:tr w:rsidR="00543D47" w14:paraId="344B314C" w14:textId="77777777" w:rsidTr="00D9610A">
        <w:tc>
          <w:tcPr>
            <w:tcW w:w="1276" w:type="dxa"/>
          </w:tcPr>
          <w:p w14:paraId="795EEE3F" w14:textId="77777777" w:rsidR="00543D47" w:rsidRPr="003664D8" w:rsidRDefault="00543D47" w:rsidP="00D9610A">
            <w:pPr>
              <w:rPr>
                <w:rFonts w:cs="Arial"/>
                <w:sz w:val="18"/>
                <w:szCs w:val="18"/>
              </w:rPr>
            </w:pPr>
            <w:r>
              <w:rPr>
                <w:rFonts w:cs="Arial"/>
                <w:sz w:val="18"/>
                <w:szCs w:val="18"/>
              </w:rPr>
              <w:t>New item</w:t>
            </w:r>
          </w:p>
        </w:tc>
        <w:tc>
          <w:tcPr>
            <w:tcW w:w="7745" w:type="dxa"/>
          </w:tcPr>
          <w:p w14:paraId="49E6D64E" w14:textId="77777777" w:rsidR="00543D47" w:rsidRPr="003664D8" w:rsidRDefault="00543D47" w:rsidP="00D9610A">
            <w:pPr>
              <w:rPr>
                <w:rFonts w:cs="Arial"/>
                <w:sz w:val="18"/>
                <w:szCs w:val="18"/>
              </w:rPr>
            </w:pPr>
            <w:r w:rsidRPr="003664D8">
              <w:rPr>
                <w:rFonts w:cs="Arial"/>
                <w:sz w:val="18"/>
                <w:szCs w:val="18"/>
              </w:rPr>
              <w:t>Quantitation of BNP or NT-</w:t>
            </w:r>
            <w:proofErr w:type="spellStart"/>
            <w:r w:rsidRPr="003664D8">
              <w:rPr>
                <w:rFonts w:cs="Arial"/>
                <w:sz w:val="18"/>
                <w:szCs w:val="18"/>
              </w:rPr>
              <w:t>proBNP</w:t>
            </w:r>
            <w:proofErr w:type="spellEnd"/>
            <w:r w:rsidRPr="003664D8">
              <w:rPr>
                <w:rFonts w:cs="Arial"/>
                <w:sz w:val="18"/>
                <w:szCs w:val="18"/>
              </w:rPr>
              <w:t xml:space="preserve"> for the diagnosis of heart failure in patients, without previous myocardial infarction, presenting with dyspnoea in primary care</w:t>
            </w:r>
          </w:p>
          <w:p w14:paraId="37B84C12" w14:textId="77777777" w:rsidR="00543D47" w:rsidRPr="003664D8" w:rsidRDefault="00543D47" w:rsidP="00D9610A">
            <w:pPr>
              <w:rPr>
                <w:rFonts w:cs="Arial"/>
                <w:sz w:val="18"/>
                <w:szCs w:val="18"/>
              </w:rPr>
            </w:pPr>
            <w:r w:rsidRPr="003664D8">
              <w:rPr>
                <w:rFonts w:cs="Arial"/>
                <w:sz w:val="18"/>
                <w:szCs w:val="18"/>
              </w:rPr>
              <w:t>(Item is subject to rule 25)</w:t>
            </w:r>
          </w:p>
        </w:tc>
      </w:tr>
    </w:tbl>
    <w:p w14:paraId="43AEF385" w14:textId="77777777" w:rsidR="00543D47" w:rsidRPr="00A22AEA" w:rsidRDefault="00543D47" w:rsidP="00543D47">
      <w:pPr>
        <w:pStyle w:val="NormalBulleted"/>
        <w:numPr>
          <w:ilvl w:val="0"/>
          <w:numId w:val="0"/>
        </w:numPr>
        <w:ind w:left="431"/>
        <w:rPr>
          <w:lang w:val="en-US"/>
        </w:rPr>
      </w:pPr>
    </w:p>
    <w:p w14:paraId="29C11706" w14:textId="77777777" w:rsidR="00543D47" w:rsidRPr="00370DFD" w:rsidRDefault="00543D47" w:rsidP="00543D47">
      <w:pPr>
        <w:pStyle w:val="Heading2"/>
        <w:rPr>
          <w:lang w:val="en-AU"/>
        </w:rPr>
      </w:pPr>
      <w:bookmarkStart w:id="98" w:name="_Toc514247621"/>
      <w:r w:rsidRPr="00370DFD">
        <w:rPr>
          <w:lang w:val="en-AU"/>
        </w:rPr>
        <w:t>Urine and faeces</w:t>
      </w:r>
      <w:r>
        <w:rPr>
          <w:lang w:val="en-AU"/>
        </w:rPr>
        <w:t>-</w:t>
      </w:r>
      <w:r w:rsidRPr="00370DFD">
        <w:rPr>
          <w:lang w:val="en-AU"/>
        </w:rPr>
        <w:t>related tests</w:t>
      </w:r>
      <w:bookmarkEnd w:id="98"/>
    </w:p>
    <w:p w14:paraId="6F9D159F" w14:textId="77777777" w:rsidR="00543D47" w:rsidRDefault="00543D47" w:rsidP="00543D47">
      <w:pPr>
        <w:pStyle w:val="Heading3Numbered"/>
        <w:rPr>
          <w:lang w:val="en-AU"/>
        </w:rPr>
      </w:pPr>
      <w:r w:rsidRPr="00370DFD">
        <w:rPr>
          <w:lang w:val="en-AU"/>
        </w:rPr>
        <w:t>Quantitation of disaccharides: item 66680</w:t>
      </w:r>
    </w:p>
    <w:p w14:paraId="785369CC" w14:textId="77777777" w:rsidR="00543D47" w:rsidRPr="00BD4D2A" w:rsidRDefault="00543D47" w:rsidP="00543D47">
      <w:pPr>
        <w:pStyle w:val="Caption"/>
      </w:pPr>
      <w:bookmarkStart w:id="99" w:name="_Toc534374918"/>
      <w:r w:rsidRPr="00370DFD">
        <w:t xml:space="preserve">Table </w:t>
      </w:r>
      <w:r>
        <w:t>17</w:t>
      </w:r>
      <w:r w:rsidRPr="00370DFD">
        <w:t>. Item introduction</w:t>
      </w:r>
      <w:r>
        <w:t xml:space="preserve"> table for item 66680</w:t>
      </w:r>
      <w:bookmarkEnd w:id="99"/>
    </w:p>
    <w:tbl>
      <w:tblPr>
        <w:tblStyle w:val="TableGrid"/>
        <w:tblW w:w="9065" w:type="dxa"/>
        <w:tblBorders>
          <w:insideV w:val="single" w:sz="4" w:space="0" w:color="984806" w:themeColor="accent6" w:themeShade="80"/>
        </w:tblBorders>
        <w:tblLook w:val="04A0" w:firstRow="1" w:lastRow="0" w:firstColumn="1" w:lastColumn="0" w:noHBand="0" w:noVBand="1"/>
        <w:tblCaption w:val="Table 17. Item introduction table for item 66680"/>
        <w:tblDescription w:val="Table 17 is a 7 column table. Column 1 lists the item number, column 2 describes the item, column 3 lists the schedule fee, column 4 shows benefits paid in the 2014/15 financial year, column 5 shows the number of services claimed in the 2014/15 financial year, column 6 is the patient count and column 7 is the 5 year service change represented as a percentage"/>
      </w:tblPr>
      <w:tblGrid>
        <w:gridCol w:w="702"/>
        <w:gridCol w:w="2814"/>
        <w:gridCol w:w="1156"/>
        <w:gridCol w:w="1219"/>
        <w:gridCol w:w="1060"/>
        <w:gridCol w:w="1060"/>
        <w:gridCol w:w="1054"/>
      </w:tblGrid>
      <w:tr w:rsidR="00543D47" w:rsidRPr="00370DFD" w14:paraId="7B3915E3" w14:textId="77777777" w:rsidTr="00D9610A">
        <w:trPr>
          <w:tblHeader/>
        </w:trPr>
        <w:tc>
          <w:tcPr>
            <w:tcW w:w="702" w:type="dxa"/>
          </w:tcPr>
          <w:p w14:paraId="330EACD3" w14:textId="77777777" w:rsidR="00543D47" w:rsidRPr="00370DFD" w:rsidRDefault="00543D47" w:rsidP="00D9610A">
            <w:pPr>
              <w:rPr>
                <w:sz w:val="18"/>
                <w:szCs w:val="18"/>
              </w:rPr>
            </w:pPr>
            <w:r w:rsidRPr="00E22215">
              <w:rPr>
                <w:rFonts w:cs="Arial"/>
                <w:b/>
                <w:color w:val="000000"/>
                <w:sz w:val="18"/>
                <w:szCs w:val="18"/>
              </w:rPr>
              <w:t>Item</w:t>
            </w:r>
          </w:p>
        </w:tc>
        <w:tc>
          <w:tcPr>
            <w:tcW w:w="2814" w:type="dxa"/>
          </w:tcPr>
          <w:p w14:paraId="5508DBEA" w14:textId="77777777" w:rsidR="00543D47" w:rsidRPr="00370DFD" w:rsidRDefault="00543D47" w:rsidP="00D9610A">
            <w:pPr>
              <w:rPr>
                <w:sz w:val="18"/>
                <w:szCs w:val="18"/>
              </w:rPr>
            </w:pPr>
            <w:r w:rsidRPr="00370DFD">
              <w:rPr>
                <w:b/>
                <w:sz w:val="18"/>
                <w:szCs w:val="18"/>
              </w:rPr>
              <w:t>Long item descriptor</w:t>
            </w:r>
          </w:p>
        </w:tc>
        <w:tc>
          <w:tcPr>
            <w:tcW w:w="1156" w:type="dxa"/>
          </w:tcPr>
          <w:p w14:paraId="4FE981DD" w14:textId="77777777" w:rsidR="00543D47" w:rsidRPr="00370DFD" w:rsidRDefault="00543D47" w:rsidP="00D9610A">
            <w:pPr>
              <w:rPr>
                <w:sz w:val="18"/>
                <w:szCs w:val="18"/>
              </w:rPr>
            </w:pPr>
            <w:r>
              <w:rPr>
                <w:b/>
                <w:sz w:val="18"/>
                <w:szCs w:val="18"/>
              </w:rPr>
              <w:t>Schedule fee</w:t>
            </w:r>
          </w:p>
        </w:tc>
        <w:tc>
          <w:tcPr>
            <w:tcW w:w="1219" w:type="dxa"/>
          </w:tcPr>
          <w:p w14:paraId="4C27DDAA"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60" w:type="dxa"/>
          </w:tcPr>
          <w:p w14:paraId="306FAF8E"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tcPr>
          <w:p w14:paraId="47AEAA89"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54" w:type="dxa"/>
          </w:tcPr>
          <w:p w14:paraId="12D11C58"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7D59C9D7" w14:textId="77777777" w:rsidTr="00D9610A">
        <w:tc>
          <w:tcPr>
            <w:tcW w:w="702" w:type="dxa"/>
          </w:tcPr>
          <w:p w14:paraId="58098EF6" w14:textId="77777777" w:rsidR="00543D47" w:rsidRPr="00370DFD" w:rsidRDefault="00543D47" w:rsidP="00D9610A">
            <w:pPr>
              <w:rPr>
                <w:sz w:val="18"/>
                <w:szCs w:val="18"/>
              </w:rPr>
            </w:pPr>
            <w:r w:rsidRPr="00370DFD">
              <w:rPr>
                <w:sz w:val="18"/>
                <w:szCs w:val="18"/>
              </w:rPr>
              <w:t>66680</w:t>
            </w:r>
          </w:p>
        </w:tc>
        <w:tc>
          <w:tcPr>
            <w:tcW w:w="2814" w:type="dxa"/>
          </w:tcPr>
          <w:p w14:paraId="01BE69FC" w14:textId="77777777" w:rsidR="00543D47" w:rsidRPr="00370DFD" w:rsidRDefault="00543D47" w:rsidP="00D9610A">
            <w:pPr>
              <w:rPr>
                <w:sz w:val="18"/>
                <w:szCs w:val="18"/>
              </w:rPr>
            </w:pPr>
            <w:r w:rsidRPr="00370DFD">
              <w:rPr>
                <w:sz w:val="18"/>
                <w:szCs w:val="18"/>
              </w:rPr>
              <w:t>Quantitation of disaccharidases and other enzymes in intestinal tissue - 1 or more tests</w:t>
            </w:r>
          </w:p>
        </w:tc>
        <w:tc>
          <w:tcPr>
            <w:tcW w:w="1156" w:type="dxa"/>
          </w:tcPr>
          <w:p w14:paraId="00F48A45" w14:textId="77777777" w:rsidR="00543D47" w:rsidRPr="00370DFD" w:rsidRDefault="00543D47" w:rsidP="00D9610A">
            <w:pPr>
              <w:rPr>
                <w:sz w:val="18"/>
                <w:szCs w:val="18"/>
              </w:rPr>
            </w:pPr>
            <w:r w:rsidRPr="00370DFD">
              <w:rPr>
                <w:sz w:val="18"/>
                <w:szCs w:val="18"/>
              </w:rPr>
              <w:t>74.45</w:t>
            </w:r>
          </w:p>
        </w:tc>
        <w:tc>
          <w:tcPr>
            <w:tcW w:w="1219" w:type="dxa"/>
          </w:tcPr>
          <w:p w14:paraId="40692281" w14:textId="77777777" w:rsidR="00543D47" w:rsidRPr="00370DFD" w:rsidRDefault="00543D47" w:rsidP="00D9610A">
            <w:pPr>
              <w:rPr>
                <w:sz w:val="18"/>
                <w:szCs w:val="18"/>
              </w:rPr>
            </w:pPr>
            <w:r w:rsidRPr="00370DFD">
              <w:rPr>
                <w:sz w:val="18"/>
                <w:szCs w:val="18"/>
              </w:rPr>
              <w:t>$2,723,789</w:t>
            </w:r>
          </w:p>
        </w:tc>
        <w:tc>
          <w:tcPr>
            <w:tcW w:w="1060" w:type="dxa"/>
          </w:tcPr>
          <w:p w14:paraId="1C5D8A7F" w14:textId="77777777" w:rsidR="00543D47" w:rsidRPr="00370DFD" w:rsidRDefault="00543D47" w:rsidP="00D9610A">
            <w:pPr>
              <w:rPr>
                <w:sz w:val="18"/>
                <w:szCs w:val="18"/>
              </w:rPr>
            </w:pPr>
            <w:r w:rsidRPr="00370DFD">
              <w:rPr>
                <w:sz w:val="18"/>
                <w:szCs w:val="18"/>
              </w:rPr>
              <w:t>47,952</w:t>
            </w:r>
          </w:p>
        </w:tc>
        <w:tc>
          <w:tcPr>
            <w:tcW w:w="1060" w:type="dxa"/>
          </w:tcPr>
          <w:p w14:paraId="4B96F67D" w14:textId="77777777" w:rsidR="00543D47" w:rsidRPr="00370DFD" w:rsidRDefault="00543D47" w:rsidP="00D9610A">
            <w:pPr>
              <w:rPr>
                <w:sz w:val="18"/>
                <w:szCs w:val="18"/>
              </w:rPr>
            </w:pPr>
            <w:r w:rsidRPr="00370DFD">
              <w:rPr>
                <w:sz w:val="18"/>
                <w:szCs w:val="18"/>
              </w:rPr>
              <w:t>47,734</w:t>
            </w:r>
          </w:p>
        </w:tc>
        <w:tc>
          <w:tcPr>
            <w:tcW w:w="1054" w:type="dxa"/>
          </w:tcPr>
          <w:p w14:paraId="797AF6C5" w14:textId="77777777" w:rsidR="00543D47" w:rsidRPr="00370DFD" w:rsidRDefault="00543D47" w:rsidP="00D9610A">
            <w:pPr>
              <w:rPr>
                <w:sz w:val="18"/>
                <w:szCs w:val="18"/>
              </w:rPr>
            </w:pPr>
            <w:r w:rsidRPr="00370DFD">
              <w:rPr>
                <w:sz w:val="18"/>
                <w:szCs w:val="18"/>
              </w:rPr>
              <w:t>11.2%</w:t>
            </w:r>
          </w:p>
        </w:tc>
      </w:tr>
    </w:tbl>
    <w:p w14:paraId="78A13B0F" w14:textId="77777777" w:rsidR="00543D47" w:rsidRPr="00370DFD" w:rsidRDefault="00543D47" w:rsidP="00543D47">
      <w:pPr>
        <w:pStyle w:val="Heading4"/>
        <w:rPr>
          <w:lang w:val="en-AU"/>
        </w:rPr>
      </w:pPr>
      <w:r w:rsidRPr="00370DFD">
        <w:rPr>
          <w:lang w:val="en-AU"/>
        </w:rPr>
        <w:lastRenderedPageBreak/>
        <w:t>Recommendation</w:t>
      </w:r>
    </w:p>
    <w:p w14:paraId="5C639553" w14:textId="77777777" w:rsidR="00543D47" w:rsidRPr="00131E01" w:rsidRDefault="00543D47" w:rsidP="00543D47">
      <w:pPr>
        <w:pStyle w:val="NormalBulleted"/>
        <w:rPr>
          <w:lang w:eastAsia="en-US"/>
        </w:rPr>
      </w:pPr>
      <w:r w:rsidRPr="00131E01">
        <w:rPr>
          <w:lang w:eastAsia="en-US"/>
        </w:rPr>
        <w:t xml:space="preserve">Change the wording of the item descriptor of item 66680 to include the following wording: ‘This test is useful in patients who can’t perform the breath test or in patients who </w:t>
      </w:r>
      <w:r>
        <w:rPr>
          <w:lang w:eastAsia="en-US"/>
        </w:rPr>
        <w:t>have false positive breath test results</w:t>
      </w:r>
      <w:r w:rsidRPr="00131E01">
        <w:rPr>
          <w:lang w:eastAsia="en-US"/>
        </w:rPr>
        <w:t xml:space="preserve"> </w:t>
      </w:r>
      <w:r>
        <w:rPr>
          <w:lang w:eastAsia="en-US"/>
        </w:rPr>
        <w:t>because</w:t>
      </w:r>
      <w:r w:rsidRPr="00131E01">
        <w:rPr>
          <w:lang w:eastAsia="en-US"/>
        </w:rPr>
        <w:t xml:space="preserve"> of </w:t>
      </w:r>
      <w:r>
        <w:rPr>
          <w:lang w:eastAsia="en-US"/>
        </w:rPr>
        <w:t xml:space="preserve">small bowel </w:t>
      </w:r>
      <w:r w:rsidRPr="00131E01">
        <w:rPr>
          <w:lang w:eastAsia="en-US"/>
        </w:rPr>
        <w:t>bacterial overgrowth’.</w:t>
      </w:r>
    </w:p>
    <w:p w14:paraId="73647A20" w14:textId="77777777" w:rsidR="00543D47" w:rsidRDefault="00543D47" w:rsidP="00543D47">
      <w:pPr>
        <w:pStyle w:val="NormalBulleted"/>
        <w:rPr>
          <w:lang w:eastAsia="en-US"/>
        </w:rPr>
      </w:pPr>
      <w:r w:rsidRPr="00131E01">
        <w:rPr>
          <w:lang w:eastAsia="en-US"/>
        </w:rPr>
        <w:t>Develop an education program aimed at gastroenterologists to outline the proposed changes to the item 66680</w:t>
      </w:r>
    </w:p>
    <w:p w14:paraId="70AE09D2" w14:textId="77777777" w:rsidR="00543D47" w:rsidRDefault="00543D47" w:rsidP="00543D47">
      <w:pPr>
        <w:pStyle w:val="Caption"/>
      </w:pPr>
      <w:bookmarkStart w:id="100" w:name="_Toc534374919"/>
      <w:r>
        <w:t>Table 18. Current and proposed new item descriptor for item 66680</w:t>
      </w:r>
      <w:bookmarkEnd w:id="100"/>
    </w:p>
    <w:tbl>
      <w:tblPr>
        <w:tblStyle w:val="TableGrid"/>
        <w:tblW w:w="9354" w:type="dxa"/>
        <w:tblBorders>
          <w:insideV w:val="single" w:sz="4" w:space="0" w:color="984806" w:themeColor="accent6" w:themeShade="80"/>
        </w:tblBorders>
        <w:tblLook w:val="04A0" w:firstRow="1" w:lastRow="0" w:firstColumn="1" w:lastColumn="0" w:noHBand="0" w:noVBand="1"/>
        <w:tblCaption w:val="Table 18. Current and proposed new item descriptor for item 66680"/>
        <w:tblDescription w:val="Table 18 has 3 columns. Column 1 lists the item number, column 2 lists the currnet descriptor and column 3 lists the proposed descrpitor."/>
      </w:tblPr>
      <w:tblGrid>
        <w:gridCol w:w="1134"/>
        <w:gridCol w:w="4110"/>
        <w:gridCol w:w="4110"/>
      </w:tblGrid>
      <w:tr w:rsidR="00543D47" w:rsidRPr="0057193B" w14:paraId="3580BF25" w14:textId="77777777" w:rsidTr="00D9610A">
        <w:trPr>
          <w:tblHeader/>
        </w:trPr>
        <w:tc>
          <w:tcPr>
            <w:tcW w:w="1134" w:type="dxa"/>
          </w:tcPr>
          <w:p w14:paraId="5FBBA237" w14:textId="77777777" w:rsidR="00543D47" w:rsidRPr="0057193B" w:rsidRDefault="00543D47" w:rsidP="00D9610A">
            <w:pPr>
              <w:rPr>
                <w:b/>
                <w:sz w:val="18"/>
                <w:szCs w:val="18"/>
                <w:lang w:eastAsia="en-US"/>
              </w:rPr>
            </w:pPr>
            <w:r w:rsidRPr="0057193B">
              <w:rPr>
                <w:b/>
                <w:sz w:val="18"/>
                <w:szCs w:val="18"/>
              </w:rPr>
              <w:t>Item</w:t>
            </w:r>
          </w:p>
        </w:tc>
        <w:tc>
          <w:tcPr>
            <w:tcW w:w="4110" w:type="dxa"/>
          </w:tcPr>
          <w:p w14:paraId="3C4B0B98" w14:textId="77777777" w:rsidR="00543D47" w:rsidRPr="0057193B" w:rsidRDefault="00543D47" w:rsidP="00D9610A">
            <w:pPr>
              <w:rPr>
                <w:b/>
                <w:sz w:val="18"/>
                <w:szCs w:val="18"/>
                <w:lang w:eastAsia="en-US"/>
              </w:rPr>
            </w:pPr>
            <w:r w:rsidRPr="0057193B">
              <w:rPr>
                <w:b/>
                <w:sz w:val="18"/>
                <w:szCs w:val="18"/>
              </w:rPr>
              <w:t>Current item descriptor</w:t>
            </w:r>
          </w:p>
        </w:tc>
        <w:tc>
          <w:tcPr>
            <w:tcW w:w="4110" w:type="dxa"/>
          </w:tcPr>
          <w:p w14:paraId="2608AA7A" w14:textId="77777777" w:rsidR="00543D47" w:rsidRPr="0057193B" w:rsidRDefault="00543D47" w:rsidP="00D9610A">
            <w:pPr>
              <w:rPr>
                <w:b/>
                <w:sz w:val="18"/>
                <w:szCs w:val="18"/>
                <w:lang w:eastAsia="en-US"/>
              </w:rPr>
            </w:pPr>
            <w:r w:rsidRPr="0057193B">
              <w:rPr>
                <w:b/>
                <w:sz w:val="18"/>
                <w:szCs w:val="18"/>
              </w:rPr>
              <w:t>Proposed new item descriptor</w:t>
            </w:r>
          </w:p>
        </w:tc>
      </w:tr>
      <w:tr w:rsidR="00543D47" w:rsidRPr="00035958" w14:paraId="519B7AE3" w14:textId="77777777" w:rsidTr="00D9610A">
        <w:tc>
          <w:tcPr>
            <w:tcW w:w="1134" w:type="dxa"/>
          </w:tcPr>
          <w:p w14:paraId="2731CA75" w14:textId="77777777" w:rsidR="00543D47" w:rsidRPr="0057193B" w:rsidRDefault="00543D47" w:rsidP="00D9610A">
            <w:pPr>
              <w:rPr>
                <w:sz w:val="18"/>
                <w:szCs w:val="18"/>
                <w:lang w:eastAsia="en-US"/>
              </w:rPr>
            </w:pPr>
            <w:r w:rsidRPr="0057193B">
              <w:rPr>
                <w:sz w:val="18"/>
                <w:szCs w:val="18"/>
              </w:rPr>
              <w:t>666</w:t>
            </w:r>
            <w:r>
              <w:rPr>
                <w:sz w:val="18"/>
                <w:szCs w:val="18"/>
              </w:rPr>
              <w:t>80</w:t>
            </w:r>
          </w:p>
        </w:tc>
        <w:tc>
          <w:tcPr>
            <w:tcW w:w="4110" w:type="dxa"/>
          </w:tcPr>
          <w:p w14:paraId="3C30A014" w14:textId="77777777" w:rsidR="00543D47" w:rsidRPr="0057193B" w:rsidRDefault="00543D47" w:rsidP="00D9610A">
            <w:pPr>
              <w:rPr>
                <w:sz w:val="18"/>
                <w:szCs w:val="18"/>
                <w:lang w:eastAsia="en-US"/>
              </w:rPr>
            </w:pPr>
            <w:r w:rsidRPr="00370DFD">
              <w:rPr>
                <w:sz w:val="18"/>
                <w:szCs w:val="18"/>
              </w:rPr>
              <w:t>Quantitation of disaccharidases and other enzymes in intestinal tissue - 1 or more tests</w:t>
            </w:r>
          </w:p>
        </w:tc>
        <w:tc>
          <w:tcPr>
            <w:tcW w:w="4110" w:type="dxa"/>
          </w:tcPr>
          <w:p w14:paraId="3079F43C" w14:textId="77777777" w:rsidR="00543D47" w:rsidRPr="00811642" w:rsidRDefault="00543D47" w:rsidP="00D9610A">
            <w:pPr>
              <w:rPr>
                <w:i/>
                <w:sz w:val="18"/>
                <w:szCs w:val="18"/>
                <w:lang w:eastAsia="en-US"/>
              </w:rPr>
            </w:pPr>
            <w:r w:rsidRPr="00370DFD">
              <w:rPr>
                <w:sz w:val="18"/>
                <w:szCs w:val="18"/>
              </w:rPr>
              <w:t>Quantitation of disaccharidases and other enzymes in intestinal tissue - 1 or more tests</w:t>
            </w:r>
            <w:r>
              <w:rPr>
                <w:sz w:val="18"/>
                <w:szCs w:val="18"/>
              </w:rPr>
              <w:t xml:space="preserve">. </w:t>
            </w:r>
            <w:r>
              <w:rPr>
                <w:i/>
                <w:sz w:val="18"/>
                <w:szCs w:val="18"/>
              </w:rPr>
              <w:t>This test is useful in patients who can’t perform the breath test or in patients who have false positive breath test results because of small bowel bacterial overgrowth</w:t>
            </w:r>
          </w:p>
        </w:tc>
      </w:tr>
    </w:tbl>
    <w:p w14:paraId="54C62F2E" w14:textId="77777777" w:rsidR="00543D47" w:rsidRPr="00370DFD" w:rsidRDefault="00543D47" w:rsidP="00543D47">
      <w:pPr>
        <w:pStyle w:val="Heading4"/>
        <w:rPr>
          <w:lang w:val="en-AU"/>
        </w:rPr>
      </w:pPr>
      <w:r w:rsidRPr="00370DFD">
        <w:rPr>
          <w:lang w:val="en-AU"/>
        </w:rPr>
        <w:t>Rationale</w:t>
      </w:r>
    </w:p>
    <w:p w14:paraId="520CD3F2" w14:textId="77777777" w:rsidR="00543D47" w:rsidRPr="00370DFD" w:rsidRDefault="00543D47" w:rsidP="00543D47">
      <w:pPr>
        <w:pStyle w:val="NormalBulleted"/>
        <w:rPr>
          <w:lang w:eastAsia="en-US"/>
        </w:rPr>
      </w:pPr>
      <w:r>
        <w:rPr>
          <w:lang w:eastAsia="en-US"/>
        </w:rPr>
        <w:t xml:space="preserve">Item 66680 is a technically complex test used to test for lactase deficiency in malabsorption; gastroenterologists are the main requestors of this test. There has been a steady 11.2% annual increase in utilisation over the last 5 years. The utilisation of item 66680 is uneven across the States and Territories with utilisation concentrated in QLD, NSW and ACT (see Figure 3). </w:t>
      </w:r>
      <w:r w:rsidRPr="00370DFD">
        <w:rPr>
          <w:lang w:eastAsia="en-US"/>
        </w:rPr>
        <w:t xml:space="preserve">The </w:t>
      </w:r>
      <w:r>
        <w:rPr>
          <w:lang w:eastAsia="en-US"/>
        </w:rPr>
        <w:t>Committee</w:t>
      </w:r>
      <w:r w:rsidRPr="00370DFD">
        <w:rPr>
          <w:lang w:eastAsia="en-US"/>
        </w:rPr>
        <w:t xml:space="preserve"> sought advice from gastroenterologists (as the main requestors of this test) before proposing changes to this item. The advice from the gastroenterologists </w:t>
      </w:r>
      <w:r>
        <w:rPr>
          <w:lang w:eastAsia="en-US"/>
        </w:rPr>
        <w:t>was</w:t>
      </w:r>
      <w:r w:rsidRPr="00370DFD">
        <w:rPr>
          <w:lang w:eastAsia="en-US"/>
        </w:rPr>
        <w:t xml:space="preserve"> as follows: </w:t>
      </w:r>
    </w:p>
    <w:p w14:paraId="512BDBC1" w14:textId="77777777" w:rsidR="00543D47" w:rsidRPr="00370DFD" w:rsidRDefault="00543D47" w:rsidP="00543D47">
      <w:pPr>
        <w:pStyle w:val="NormalBulleted"/>
        <w:numPr>
          <w:ilvl w:val="1"/>
          <w:numId w:val="7"/>
        </w:numPr>
        <w:ind w:left="1276" w:hanging="425"/>
      </w:pPr>
      <w:r w:rsidRPr="00370DFD">
        <w:t>the test is not considered a clinical</w:t>
      </w:r>
      <w:r>
        <w:t>ly</w:t>
      </w:r>
      <w:r w:rsidRPr="00370DFD">
        <w:t xml:space="preserve"> useful test</w:t>
      </w:r>
      <w:r>
        <w:t xml:space="preserve"> in adults</w:t>
      </w:r>
      <w:r w:rsidRPr="00370DFD">
        <w:t xml:space="preserve"> because there is poor correlation between symptoms and enzyme levels</w:t>
      </w:r>
    </w:p>
    <w:p w14:paraId="1A9A6A16" w14:textId="77777777" w:rsidR="00543D47" w:rsidRPr="00370DFD" w:rsidRDefault="00543D47" w:rsidP="00543D47">
      <w:pPr>
        <w:pStyle w:val="NormalBulleted"/>
        <w:numPr>
          <w:ilvl w:val="1"/>
          <w:numId w:val="7"/>
        </w:numPr>
        <w:ind w:left="1276" w:hanging="425"/>
      </w:pPr>
      <w:r w:rsidRPr="00370DFD">
        <w:t>paediatricians in Victoria tend to use the test for lactase deficiency and malabsorption deficiencies</w:t>
      </w:r>
    </w:p>
    <w:p w14:paraId="30E481D8" w14:textId="77777777" w:rsidR="00543D47" w:rsidRPr="00370DFD" w:rsidRDefault="00543D47" w:rsidP="00543D47">
      <w:pPr>
        <w:pStyle w:val="NormalBulleted"/>
        <w:numPr>
          <w:ilvl w:val="1"/>
          <w:numId w:val="7"/>
        </w:numPr>
        <w:ind w:left="1276" w:hanging="425"/>
      </w:pPr>
      <w:r w:rsidRPr="00370DFD">
        <w:t>not many gastroenterologists use this test in the adult population for lactose deficiency</w:t>
      </w:r>
    </w:p>
    <w:p w14:paraId="4956099E" w14:textId="77777777" w:rsidR="00543D47" w:rsidRPr="00370DFD" w:rsidRDefault="00543D47" w:rsidP="00543D47">
      <w:pPr>
        <w:pStyle w:val="NormalBulleted"/>
        <w:numPr>
          <w:ilvl w:val="1"/>
          <w:numId w:val="7"/>
        </w:numPr>
        <w:ind w:left="1276" w:hanging="425"/>
      </w:pPr>
      <w:r>
        <w:t xml:space="preserve">the </w:t>
      </w:r>
      <w:r w:rsidRPr="00370DFD">
        <w:t>test is automatically performed to detect lactose intolerance, even in asymptomatic patients, which is inappropriate use.</w:t>
      </w:r>
    </w:p>
    <w:p w14:paraId="04BBDD8D" w14:textId="77777777" w:rsidR="00543D47" w:rsidRPr="009309CC" w:rsidRDefault="00543D47" w:rsidP="00543D47">
      <w:pPr>
        <w:pStyle w:val="NormalBulleted"/>
        <w:rPr>
          <w:lang w:eastAsia="en-US"/>
        </w:rPr>
      </w:pPr>
      <w:r w:rsidRPr="00370DFD">
        <w:rPr>
          <w:lang w:eastAsia="en-US"/>
        </w:rPr>
        <w:t xml:space="preserve">The </w:t>
      </w:r>
      <w:r>
        <w:rPr>
          <w:lang w:eastAsia="en-US"/>
        </w:rPr>
        <w:t>Committee</w:t>
      </w:r>
      <w:r w:rsidRPr="00370DFD">
        <w:rPr>
          <w:lang w:eastAsia="en-US"/>
        </w:rPr>
        <w:t xml:space="preserve"> reviewed co-claiming data of items 66680 and 66674.</w:t>
      </w:r>
      <w:r>
        <w:rPr>
          <w:lang w:eastAsia="en-US"/>
        </w:rPr>
        <w:t xml:space="preserve"> Item 66674 is a test for faecal fat used to detect fat malabsorption. The Committee requested this data to determine whether these two items were being claimed together to investigate the possibility of inappropriate requesting. </w:t>
      </w:r>
      <w:r w:rsidRPr="00370DFD">
        <w:rPr>
          <w:lang w:eastAsia="en-US"/>
        </w:rPr>
        <w:t xml:space="preserve">Item 66680 is rarely co-claimed with 66674, only accounting for 3% of episodes </w:t>
      </w:r>
      <w:r w:rsidRPr="009309CC">
        <w:rPr>
          <w:lang w:eastAsia="en-US"/>
        </w:rPr>
        <w:t xml:space="preserve">within a 24-week period during 2015–16 (see Table </w:t>
      </w:r>
      <w:r>
        <w:rPr>
          <w:lang w:eastAsia="en-US"/>
        </w:rPr>
        <w:t>17</w:t>
      </w:r>
      <w:r w:rsidRPr="009309CC">
        <w:rPr>
          <w:lang w:eastAsia="en-US"/>
        </w:rPr>
        <w:t>).</w:t>
      </w:r>
    </w:p>
    <w:p w14:paraId="362F13F5" w14:textId="77777777" w:rsidR="00543D47" w:rsidRPr="0085000E" w:rsidRDefault="00543D47" w:rsidP="00543D47">
      <w:pPr>
        <w:pStyle w:val="NormalBulleted"/>
        <w:rPr>
          <w:lang w:eastAsia="en-US"/>
        </w:rPr>
      </w:pPr>
      <w:r w:rsidRPr="000C68B6">
        <w:rPr>
          <w:lang w:eastAsia="en-US"/>
        </w:rPr>
        <w:t xml:space="preserve">In view of the marked differences between states and the rapid growth rate of the test the </w:t>
      </w:r>
      <w:r>
        <w:rPr>
          <w:lang w:eastAsia="en-US"/>
        </w:rPr>
        <w:t>Committee</w:t>
      </w:r>
      <w:r w:rsidRPr="0085000E">
        <w:rPr>
          <w:lang w:eastAsia="en-US"/>
        </w:rPr>
        <w:t xml:space="preserve"> requested a rapid literature review on the clinical utility of 66680.</w:t>
      </w:r>
      <w:r>
        <w:rPr>
          <w:lang w:eastAsia="en-US"/>
        </w:rPr>
        <w:fldChar w:fldCharType="begin"/>
      </w:r>
      <w:r>
        <w:rPr>
          <w:lang w:eastAsia="en-US"/>
        </w:rPr>
        <w:instrText xml:space="preserve"> ADDIN EN.CITE &lt;EndNote&gt;&lt;Cite&gt;&lt;Author&gt;Health&lt;/Author&gt;&lt;Year&gt;2017&lt;/Year&gt;&lt;RecNum&gt;23&lt;/RecNum&gt;&lt;DisplayText&gt;&lt;style face="superscript"&gt;5&lt;/style&gt;&lt;/DisplayText&gt;&lt;record&gt;&lt;rec-number&gt;23&lt;/rec-number&gt;&lt;foreign-keys&gt;&lt;key app="EN" db-id="axta02z59p0tzoext0jprf27f2a5pp2era22" timestamp="1503537580"&gt;23&lt;/key&gt;&lt;/foreign-keys&gt;&lt;ref-type name="Report"&gt;27&lt;/ref-type&gt;&lt;contributors&gt;&lt;authors&gt;&lt;author&gt;NPS MedicineWise for the Department of Health&lt;/author&gt;&lt;/authors&gt;&lt;tertiary-authors&gt;&lt;author&gt;NPS MedicineWise&lt;/author&gt;&lt;/tertiary-authors&gt;&lt;/contributors&gt;&lt;titles&gt;&lt;title&gt;Clinical utility of quantitation of disaccharidases and other enzymes in intestinal tissue testing&lt;/title&gt;&lt;/titles&gt;&lt;dates&gt;&lt;year&gt;2017&lt;/year&gt;&lt;/dates&gt;&lt;pub-location&gt;Sydney, NSW&lt;/pub-location&gt;&lt;urls&gt;&lt;/urls&gt;&lt;/record&gt;&lt;/Cite&gt;&lt;/EndNote&gt;</w:instrText>
      </w:r>
      <w:r>
        <w:rPr>
          <w:lang w:eastAsia="en-US"/>
        </w:rPr>
        <w:fldChar w:fldCharType="separate"/>
      </w:r>
      <w:r w:rsidRPr="00811642">
        <w:rPr>
          <w:noProof/>
          <w:vertAlign w:val="superscript"/>
          <w:lang w:eastAsia="en-US"/>
        </w:rPr>
        <w:t>5</w:t>
      </w:r>
      <w:r>
        <w:rPr>
          <w:lang w:eastAsia="en-US"/>
        </w:rPr>
        <w:fldChar w:fldCharType="end"/>
      </w:r>
    </w:p>
    <w:p w14:paraId="471D7E83" w14:textId="77777777" w:rsidR="00543D47" w:rsidRPr="00131E01" w:rsidRDefault="00543D47" w:rsidP="00543D47">
      <w:pPr>
        <w:pStyle w:val="NormalBulleted"/>
        <w:rPr>
          <w:lang w:eastAsia="en-US"/>
        </w:rPr>
      </w:pPr>
      <w:r w:rsidRPr="00131E01">
        <w:rPr>
          <w:lang w:eastAsia="en-US"/>
        </w:rPr>
        <w:t xml:space="preserve">The literature review aimed to answer the following research questions: What is the clinical utility of the quantitation of disaccharides and other enzymes in intestinal tissue testing? What is the diagnostic performance of the test? Is it accurately predictive of disease? Is there a clearly </w:t>
      </w:r>
      <w:r w:rsidRPr="00131E01">
        <w:rPr>
          <w:lang w:eastAsia="en-US"/>
        </w:rPr>
        <w:lastRenderedPageBreak/>
        <w:t>identifiable patient cohort? Are there any difference</w:t>
      </w:r>
      <w:r>
        <w:rPr>
          <w:lang w:eastAsia="en-US"/>
        </w:rPr>
        <w:t>s</w:t>
      </w:r>
      <w:r w:rsidRPr="00131E01">
        <w:rPr>
          <w:lang w:eastAsia="en-US"/>
        </w:rPr>
        <w:t xml:space="preserve"> in test performance between adults and children?</w:t>
      </w:r>
    </w:p>
    <w:p w14:paraId="518B3FA1" w14:textId="77777777" w:rsidR="00543D47" w:rsidRPr="00131E01" w:rsidRDefault="00543D47" w:rsidP="00543D47">
      <w:pPr>
        <w:pStyle w:val="NormalBulleted"/>
        <w:rPr>
          <w:lang w:eastAsia="en-US"/>
        </w:rPr>
      </w:pPr>
      <w:r w:rsidRPr="00131E01">
        <w:rPr>
          <w:lang w:eastAsia="en-US"/>
        </w:rPr>
        <w:t>The literature review concluded that although a correlation between carbohydrate malabsorption and abdominal pain may exist, testing for quantitation of enzymes may not clarify the underlying aetiology of symptoms, which is likely to be multifactorial. A further limitation is that no assessment of symptoms can be made based on the assay alone. This has an impact on the clinical relevance of these investigations because only a small proportion of patients with lactase deficiency develop abdominal symptoms after ingesting lactose. The literature review also concluded that while lactase activity assay is considered the gold standard for lactose malabsorption, this is rarely performed because of the need to perform an upper endoscopy and the availability of non-invasive diagnostic tests. The literature review identified that breath testing is the mainstay of diagnosis for lactose intolerance or lactose deficiency. There was no direct evidence as to the diagnostic performance of the test or level of accuracy. None of the identified studies</w:t>
      </w:r>
      <w:r>
        <w:rPr>
          <w:lang w:eastAsia="en-US"/>
        </w:rPr>
        <w:t xml:space="preserve"> provided data on </w:t>
      </w:r>
      <w:r w:rsidRPr="00131E01">
        <w:rPr>
          <w:lang w:eastAsia="en-US"/>
        </w:rPr>
        <w:t xml:space="preserve">adult subjects. The literature review also concluded that </w:t>
      </w:r>
      <w:r>
        <w:rPr>
          <w:lang w:eastAsia="en-US"/>
        </w:rPr>
        <w:t xml:space="preserve">the </w:t>
      </w:r>
      <w:r w:rsidRPr="00131E01">
        <w:rPr>
          <w:lang w:eastAsia="en-US"/>
        </w:rPr>
        <w:t xml:space="preserve">assay </w:t>
      </w:r>
      <w:r>
        <w:rPr>
          <w:lang w:eastAsia="en-US"/>
        </w:rPr>
        <w:t>may</w:t>
      </w:r>
      <w:r w:rsidRPr="00131E01">
        <w:rPr>
          <w:lang w:eastAsia="en-US"/>
        </w:rPr>
        <w:t xml:space="preserve"> be more suitable for patients with autism-spectrum disorders</w:t>
      </w:r>
      <w:r>
        <w:rPr>
          <w:lang w:eastAsia="en-US"/>
        </w:rPr>
        <w:t xml:space="preserve"> and others</w:t>
      </w:r>
      <w:r w:rsidRPr="00131E01">
        <w:rPr>
          <w:lang w:eastAsia="en-US"/>
        </w:rPr>
        <w:t xml:space="preserve"> who cannot cooperate with breath testing. Based on the findings of the literature review, the Committee recommended that information about when the test should be used in clinical practice be include</w:t>
      </w:r>
      <w:r>
        <w:rPr>
          <w:lang w:eastAsia="en-US"/>
        </w:rPr>
        <w:t>d</w:t>
      </w:r>
      <w:r w:rsidRPr="00131E01">
        <w:rPr>
          <w:lang w:eastAsia="en-US"/>
        </w:rPr>
        <w:t xml:space="preserve"> in the item descriptor.</w:t>
      </w:r>
    </w:p>
    <w:p w14:paraId="6614EDBC" w14:textId="77777777" w:rsidR="00543D47" w:rsidRDefault="00543D47" w:rsidP="00543D47">
      <w:pPr>
        <w:pStyle w:val="Caption"/>
      </w:pPr>
      <w:bookmarkStart w:id="101" w:name="_Toc534374920"/>
      <w:r>
        <w:t>Figure 3. State utilisation of item 66680 per 100,000 services</w:t>
      </w:r>
      <w:bookmarkEnd w:id="101"/>
    </w:p>
    <w:p w14:paraId="4BF134DD" w14:textId="77777777" w:rsidR="00543D47" w:rsidRDefault="00543D47" w:rsidP="00543D47">
      <w:r w:rsidRPr="00CC31F8">
        <w:rPr>
          <w:noProof/>
        </w:rPr>
        <w:drawing>
          <wp:inline distT="0" distB="0" distL="0" distR="0" wp14:anchorId="7D868B79" wp14:editId="2DA1AECC">
            <wp:extent cx="5364480" cy="3314700"/>
            <wp:effectExtent l="0" t="0" r="7620" b="0"/>
            <wp:docPr id="2" name="Chart 2" descr="Figure 3 compares usage of item 66680  between each state and territory in the 2014/15 financial year. The y axis displays the usage of the item, the x axis splits this usage data by state / territory " title="Usage of item 666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85EDE1" w14:textId="77777777" w:rsidR="00543D47" w:rsidRDefault="00543D47" w:rsidP="00543D47">
      <w:pPr>
        <w:spacing w:before="0" w:after="0" w:line="240" w:lineRule="auto"/>
        <w:rPr>
          <w:rFonts w:eastAsiaTheme="minorHAnsi" w:cs="Arial"/>
          <w:i/>
          <w:sz w:val="20"/>
          <w:szCs w:val="22"/>
          <w:lang w:eastAsia="en-US"/>
        </w:rPr>
      </w:pPr>
      <w:r>
        <w:br w:type="page"/>
      </w:r>
    </w:p>
    <w:p w14:paraId="5003CAA5" w14:textId="77777777" w:rsidR="00543D47" w:rsidRDefault="00543D47" w:rsidP="00543D47">
      <w:pPr>
        <w:pStyle w:val="Caption"/>
      </w:pPr>
      <w:bookmarkStart w:id="102" w:name="_Toc534374921"/>
      <w:r>
        <w:lastRenderedPageBreak/>
        <w:t>Table 19: Co-claiming data for items 66680 and 66674</w:t>
      </w:r>
      <w:bookmarkEnd w:id="102"/>
    </w:p>
    <w:tbl>
      <w:tblPr>
        <w:tblStyle w:val="TableGrid"/>
        <w:tblW w:w="9787"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Table 19: Co-claiming data for items 66680 and 66674"/>
        <w:tblDescription w:val="Table 19 has 9 columns. Column 1 lists the trigger combination item number, column 2 lists the co-claimed combinationitem numbers, column 3 lists the percentage of episodes that were co-claimed, column 4 lists the number of items in combination, column 5 lists the number of patients, column 6 lists the number of episodes, column 7 lists the number of trigger servcies, column 8 list the number of servcies that were co-claimed and column 9 lists the total servcies."/>
      </w:tblPr>
      <w:tblGrid>
        <w:gridCol w:w="1271"/>
        <w:gridCol w:w="1271"/>
        <w:gridCol w:w="1082"/>
        <w:gridCol w:w="1271"/>
        <w:gridCol w:w="980"/>
        <w:gridCol w:w="980"/>
        <w:gridCol w:w="980"/>
        <w:gridCol w:w="972"/>
        <w:gridCol w:w="980"/>
      </w:tblGrid>
      <w:tr w:rsidR="00543D47" w:rsidRPr="00C85C7D" w14:paraId="633F5EAB" w14:textId="77777777" w:rsidTr="00D9610A">
        <w:trPr>
          <w:trHeight w:val="1082"/>
          <w:tblHeader/>
          <w:jc w:val="center"/>
        </w:trPr>
        <w:tc>
          <w:tcPr>
            <w:tcW w:w="1271" w:type="dxa"/>
            <w:vAlign w:val="center"/>
          </w:tcPr>
          <w:p w14:paraId="3C820A29" w14:textId="77777777" w:rsidR="00543D47" w:rsidRPr="003664D8" w:rsidRDefault="00543D47" w:rsidP="00D9610A">
            <w:pPr>
              <w:rPr>
                <w:b/>
                <w:sz w:val="18"/>
                <w:szCs w:val="18"/>
                <w:lang w:eastAsia="en-US"/>
              </w:rPr>
            </w:pPr>
            <w:r w:rsidRPr="003664D8">
              <w:rPr>
                <w:b/>
                <w:sz w:val="18"/>
                <w:szCs w:val="18"/>
                <w:lang w:eastAsia="en-US"/>
              </w:rPr>
              <w:t>Trigger</w:t>
            </w:r>
            <w:r>
              <w:rPr>
                <w:b/>
                <w:sz w:val="18"/>
                <w:szCs w:val="18"/>
                <w:lang w:eastAsia="en-US"/>
              </w:rPr>
              <w:t xml:space="preserve"> c</w:t>
            </w:r>
            <w:r w:rsidRPr="003664D8">
              <w:rPr>
                <w:b/>
                <w:sz w:val="18"/>
                <w:szCs w:val="18"/>
                <w:lang w:eastAsia="en-US"/>
              </w:rPr>
              <w:t>ombination</w:t>
            </w:r>
          </w:p>
        </w:tc>
        <w:tc>
          <w:tcPr>
            <w:tcW w:w="1271" w:type="dxa"/>
            <w:vAlign w:val="center"/>
          </w:tcPr>
          <w:p w14:paraId="63CCA826" w14:textId="77777777" w:rsidR="00543D47" w:rsidRPr="003664D8" w:rsidRDefault="00543D47" w:rsidP="00D9610A">
            <w:pPr>
              <w:rPr>
                <w:b/>
                <w:sz w:val="18"/>
                <w:szCs w:val="18"/>
                <w:lang w:eastAsia="en-US"/>
              </w:rPr>
            </w:pPr>
            <w:r w:rsidRPr="003664D8">
              <w:rPr>
                <w:b/>
                <w:sz w:val="18"/>
                <w:szCs w:val="18"/>
                <w:lang w:eastAsia="en-US"/>
              </w:rPr>
              <w:t>Co-</w:t>
            </w:r>
            <w:r>
              <w:rPr>
                <w:b/>
                <w:sz w:val="18"/>
                <w:szCs w:val="18"/>
                <w:lang w:eastAsia="en-US"/>
              </w:rPr>
              <w:t>c</w:t>
            </w:r>
            <w:r w:rsidRPr="003664D8">
              <w:rPr>
                <w:b/>
                <w:sz w:val="18"/>
                <w:szCs w:val="18"/>
                <w:lang w:eastAsia="en-US"/>
              </w:rPr>
              <w:t xml:space="preserve">laimed </w:t>
            </w:r>
            <w:r>
              <w:rPr>
                <w:b/>
                <w:sz w:val="18"/>
                <w:szCs w:val="18"/>
                <w:lang w:eastAsia="en-US"/>
              </w:rPr>
              <w:t>c</w:t>
            </w:r>
            <w:r w:rsidRPr="003664D8">
              <w:rPr>
                <w:b/>
                <w:sz w:val="18"/>
                <w:szCs w:val="18"/>
                <w:lang w:eastAsia="en-US"/>
              </w:rPr>
              <w:t>ombination</w:t>
            </w:r>
          </w:p>
        </w:tc>
        <w:tc>
          <w:tcPr>
            <w:tcW w:w="1082" w:type="dxa"/>
            <w:vAlign w:val="center"/>
          </w:tcPr>
          <w:p w14:paraId="3D5BB12A" w14:textId="77777777" w:rsidR="00543D47" w:rsidRPr="003664D8" w:rsidRDefault="00543D47" w:rsidP="00D9610A">
            <w:pPr>
              <w:rPr>
                <w:b/>
                <w:sz w:val="18"/>
                <w:szCs w:val="18"/>
                <w:lang w:eastAsia="en-US"/>
              </w:rPr>
            </w:pPr>
            <w:r w:rsidRPr="003664D8">
              <w:rPr>
                <w:b/>
                <w:sz w:val="18"/>
                <w:szCs w:val="18"/>
                <w:lang w:eastAsia="en-US"/>
              </w:rPr>
              <w:t>Episodes %</w:t>
            </w:r>
          </w:p>
        </w:tc>
        <w:tc>
          <w:tcPr>
            <w:tcW w:w="1271" w:type="dxa"/>
            <w:vAlign w:val="center"/>
          </w:tcPr>
          <w:p w14:paraId="01A87FAA" w14:textId="77777777" w:rsidR="00543D47" w:rsidRPr="003664D8" w:rsidRDefault="00543D47" w:rsidP="00D9610A">
            <w:pPr>
              <w:rPr>
                <w:b/>
                <w:sz w:val="18"/>
                <w:szCs w:val="18"/>
                <w:lang w:eastAsia="en-US"/>
              </w:rPr>
            </w:pPr>
            <w:r w:rsidRPr="003664D8">
              <w:rPr>
                <w:b/>
                <w:sz w:val="18"/>
                <w:szCs w:val="18"/>
                <w:lang w:eastAsia="en-US"/>
              </w:rPr>
              <w:t xml:space="preserve">Number of </w:t>
            </w:r>
            <w:r>
              <w:rPr>
                <w:b/>
                <w:sz w:val="18"/>
                <w:szCs w:val="18"/>
                <w:lang w:eastAsia="en-US"/>
              </w:rPr>
              <w:t>i</w:t>
            </w:r>
            <w:r w:rsidRPr="003664D8">
              <w:rPr>
                <w:b/>
                <w:sz w:val="18"/>
                <w:szCs w:val="18"/>
                <w:lang w:eastAsia="en-US"/>
              </w:rPr>
              <w:t xml:space="preserve">tems in </w:t>
            </w:r>
            <w:r>
              <w:rPr>
                <w:b/>
                <w:sz w:val="18"/>
                <w:szCs w:val="18"/>
                <w:lang w:eastAsia="en-US"/>
              </w:rPr>
              <w:t>c</w:t>
            </w:r>
            <w:r w:rsidRPr="003664D8">
              <w:rPr>
                <w:b/>
                <w:sz w:val="18"/>
                <w:szCs w:val="18"/>
                <w:lang w:eastAsia="en-US"/>
              </w:rPr>
              <w:t>ombination</w:t>
            </w:r>
          </w:p>
        </w:tc>
        <w:tc>
          <w:tcPr>
            <w:tcW w:w="980" w:type="dxa"/>
            <w:vAlign w:val="center"/>
          </w:tcPr>
          <w:p w14:paraId="38364359" w14:textId="77777777" w:rsidR="00543D47" w:rsidRPr="003664D8" w:rsidRDefault="00543D47" w:rsidP="00D9610A">
            <w:pPr>
              <w:rPr>
                <w:b/>
                <w:sz w:val="18"/>
                <w:szCs w:val="18"/>
                <w:lang w:eastAsia="en-US"/>
              </w:rPr>
            </w:pPr>
            <w:r w:rsidRPr="003664D8">
              <w:rPr>
                <w:b/>
                <w:sz w:val="18"/>
                <w:szCs w:val="18"/>
                <w:lang w:eastAsia="en-US"/>
              </w:rPr>
              <w:t>Patients</w:t>
            </w:r>
          </w:p>
        </w:tc>
        <w:tc>
          <w:tcPr>
            <w:tcW w:w="980" w:type="dxa"/>
            <w:vAlign w:val="center"/>
          </w:tcPr>
          <w:p w14:paraId="14C275B8" w14:textId="77777777" w:rsidR="00543D47" w:rsidRPr="003664D8" w:rsidRDefault="00543D47" w:rsidP="00D9610A">
            <w:pPr>
              <w:rPr>
                <w:b/>
                <w:sz w:val="18"/>
                <w:szCs w:val="18"/>
                <w:lang w:eastAsia="en-US"/>
              </w:rPr>
            </w:pPr>
            <w:r w:rsidRPr="003664D8">
              <w:rPr>
                <w:b/>
                <w:sz w:val="18"/>
                <w:szCs w:val="18"/>
                <w:lang w:eastAsia="en-US"/>
              </w:rPr>
              <w:t>Episodes</w:t>
            </w:r>
          </w:p>
        </w:tc>
        <w:tc>
          <w:tcPr>
            <w:tcW w:w="980" w:type="dxa"/>
            <w:vAlign w:val="center"/>
          </w:tcPr>
          <w:p w14:paraId="032ABE42" w14:textId="77777777" w:rsidR="00543D47" w:rsidRPr="003664D8" w:rsidRDefault="00543D47" w:rsidP="00D9610A">
            <w:pPr>
              <w:rPr>
                <w:b/>
                <w:sz w:val="18"/>
                <w:szCs w:val="18"/>
                <w:lang w:eastAsia="en-US"/>
              </w:rPr>
            </w:pPr>
            <w:r w:rsidRPr="003664D8">
              <w:rPr>
                <w:b/>
                <w:sz w:val="18"/>
                <w:szCs w:val="18"/>
                <w:lang w:eastAsia="en-US"/>
              </w:rPr>
              <w:t xml:space="preserve">Trigger </w:t>
            </w:r>
            <w:r>
              <w:rPr>
                <w:b/>
                <w:sz w:val="18"/>
                <w:szCs w:val="18"/>
                <w:lang w:eastAsia="en-US"/>
              </w:rPr>
              <w:t>s</w:t>
            </w:r>
            <w:r w:rsidRPr="003664D8">
              <w:rPr>
                <w:b/>
                <w:sz w:val="18"/>
                <w:szCs w:val="18"/>
                <w:lang w:eastAsia="en-US"/>
              </w:rPr>
              <w:t>ervices</w:t>
            </w:r>
          </w:p>
        </w:tc>
        <w:tc>
          <w:tcPr>
            <w:tcW w:w="972" w:type="dxa"/>
            <w:vAlign w:val="center"/>
          </w:tcPr>
          <w:p w14:paraId="19D1961D" w14:textId="77777777" w:rsidR="00543D47" w:rsidRPr="003664D8" w:rsidRDefault="00543D47" w:rsidP="00D9610A">
            <w:pPr>
              <w:rPr>
                <w:b/>
                <w:sz w:val="18"/>
                <w:szCs w:val="18"/>
                <w:lang w:eastAsia="en-US"/>
              </w:rPr>
            </w:pPr>
            <w:r w:rsidRPr="003664D8">
              <w:rPr>
                <w:b/>
                <w:sz w:val="18"/>
                <w:szCs w:val="18"/>
                <w:lang w:eastAsia="en-US"/>
              </w:rPr>
              <w:t>Co-</w:t>
            </w:r>
            <w:r>
              <w:rPr>
                <w:b/>
                <w:sz w:val="18"/>
                <w:szCs w:val="18"/>
                <w:lang w:eastAsia="en-US"/>
              </w:rPr>
              <w:t>c</w:t>
            </w:r>
            <w:r w:rsidRPr="003664D8">
              <w:rPr>
                <w:b/>
                <w:sz w:val="18"/>
                <w:szCs w:val="18"/>
                <w:lang w:eastAsia="en-US"/>
              </w:rPr>
              <w:t xml:space="preserve">laimed </w:t>
            </w:r>
            <w:r>
              <w:rPr>
                <w:b/>
                <w:sz w:val="18"/>
                <w:szCs w:val="18"/>
                <w:lang w:eastAsia="en-US"/>
              </w:rPr>
              <w:t>s</w:t>
            </w:r>
            <w:r w:rsidRPr="003664D8">
              <w:rPr>
                <w:b/>
                <w:sz w:val="18"/>
                <w:szCs w:val="18"/>
                <w:lang w:eastAsia="en-US"/>
              </w:rPr>
              <w:t>ervices</w:t>
            </w:r>
          </w:p>
        </w:tc>
        <w:tc>
          <w:tcPr>
            <w:tcW w:w="980" w:type="dxa"/>
            <w:vAlign w:val="center"/>
          </w:tcPr>
          <w:p w14:paraId="1878897E" w14:textId="77777777" w:rsidR="00543D47" w:rsidRPr="003664D8" w:rsidRDefault="00543D47" w:rsidP="00D9610A">
            <w:pPr>
              <w:rPr>
                <w:b/>
                <w:sz w:val="18"/>
                <w:szCs w:val="18"/>
                <w:lang w:eastAsia="en-US"/>
              </w:rPr>
            </w:pPr>
            <w:r w:rsidRPr="003664D8">
              <w:rPr>
                <w:b/>
                <w:sz w:val="18"/>
                <w:szCs w:val="18"/>
                <w:lang w:eastAsia="en-US"/>
              </w:rPr>
              <w:t>Services</w:t>
            </w:r>
          </w:p>
        </w:tc>
      </w:tr>
      <w:tr w:rsidR="00543D47" w:rsidRPr="00C85C7D" w14:paraId="131F9274" w14:textId="77777777" w:rsidTr="00D9610A">
        <w:trPr>
          <w:trHeight w:val="523"/>
          <w:jc w:val="center"/>
        </w:trPr>
        <w:tc>
          <w:tcPr>
            <w:tcW w:w="1271" w:type="dxa"/>
            <w:vAlign w:val="center"/>
          </w:tcPr>
          <w:p w14:paraId="111FB34B" w14:textId="77777777" w:rsidR="00543D47" w:rsidRPr="00C85C7D" w:rsidRDefault="00543D47" w:rsidP="00D9610A">
            <w:pPr>
              <w:jc w:val="center"/>
              <w:rPr>
                <w:sz w:val="18"/>
                <w:szCs w:val="18"/>
                <w:lang w:eastAsia="en-US"/>
              </w:rPr>
            </w:pPr>
            <w:r w:rsidRPr="00C85C7D">
              <w:rPr>
                <w:sz w:val="18"/>
                <w:szCs w:val="18"/>
              </w:rPr>
              <w:t>66674</w:t>
            </w:r>
          </w:p>
        </w:tc>
        <w:tc>
          <w:tcPr>
            <w:tcW w:w="1271" w:type="dxa"/>
            <w:vAlign w:val="center"/>
          </w:tcPr>
          <w:p w14:paraId="082E10AD" w14:textId="77777777" w:rsidR="00543D47" w:rsidRPr="00C85C7D" w:rsidRDefault="00543D47" w:rsidP="00D9610A">
            <w:pPr>
              <w:jc w:val="center"/>
              <w:rPr>
                <w:sz w:val="18"/>
                <w:szCs w:val="18"/>
                <w:lang w:eastAsia="en-US"/>
              </w:rPr>
            </w:pPr>
            <w:r w:rsidRPr="00C85C7D">
              <w:rPr>
                <w:sz w:val="18"/>
                <w:szCs w:val="18"/>
              </w:rPr>
              <w:t>TOTAL</w:t>
            </w:r>
          </w:p>
        </w:tc>
        <w:tc>
          <w:tcPr>
            <w:tcW w:w="1082" w:type="dxa"/>
            <w:vAlign w:val="center"/>
          </w:tcPr>
          <w:p w14:paraId="6A427AD0" w14:textId="77777777" w:rsidR="00543D47" w:rsidRPr="00C85C7D" w:rsidRDefault="00543D47" w:rsidP="00D9610A">
            <w:pPr>
              <w:jc w:val="center"/>
              <w:rPr>
                <w:sz w:val="18"/>
                <w:szCs w:val="18"/>
                <w:lang w:eastAsia="en-US"/>
              </w:rPr>
            </w:pPr>
            <w:r w:rsidRPr="00C85C7D">
              <w:rPr>
                <w:sz w:val="18"/>
                <w:szCs w:val="18"/>
              </w:rPr>
              <w:t>100.00%</w:t>
            </w:r>
          </w:p>
        </w:tc>
        <w:tc>
          <w:tcPr>
            <w:tcW w:w="1271" w:type="dxa"/>
            <w:vAlign w:val="center"/>
          </w:tcPr>
          <w:p w14:paraId="136E5FB9" w14:textId="77777777" w:rsidR="00543D47" w:rsidRPr="00C85C7D" w:rsidRDefault="00543D47" w:rsidP="00D9610A">
            <w:pPr>
              <w:jc w:val="center"/>
              <w:rPr>
                <w:sz w:val="18"/>
                <w:szCs w:val="18"/>
                <w:lang w:eastAsia="en-US"/>
              </w:rPr>
            </w:pPr>
            <w:r w:rsidRPr="00C85C7D">
              <w:rPr>
                <w:sz w:val="18"/>
                <w:szCs w:val="18"/>
              </w:rPr>
              <w:t>-</w:t>
            </w:r>
          </w:p>
        </w:tc>
        <w:tc>
          <w:tcPr>
            <w:tcW w:w="980" w:type="dxa"/>
            <w:vAlign w:val="center"/>
          </w:tcPr>
          <w:p w14:paraId="0C5AEDBD" w14:textId="77777777" w:rsidR="00543D47" w:rsidRPr="00C85C7D" w:rsidRDefault="00543D47" w:rsidP="00D9610A">
            <w:pPr>
              <w:jc w:val="center"/>
              <w:rPr>
                <w:sz w:val="18"/>
                <w:szCs w:val="18"/>
                <w:lang w:eastAsia="en-US"/>
              </w:rPr>
            </w:pPr>
            <w:r w:rsidRPr="00C85C7D">
              <w:rPr>
                <w:sz w:val="18"/>
                <w:szCs w:val="18"/>
              </w:rPr>
              <w:t>3,746</w:t>
            </w:r>
          </w:p>
        </w:tc>
        <w:tc>
          <w:tcPr>
            <w:tcW w:w="980" w:type="dxa"/>
            <w:vAlign w:val="center"/>
          </w:tcPr>
          <w:p w14:paraId="175F219D" w14:textId="77777777" w:rsidR="00543D47" w:rsidRPr="00C85C7D" w:rsidRDefault="00543D47" w:rsidP="00D9610A">
            <w:pPr>
              <w:jc w:val="center"/>
              <w:rPr>
                <w:sz w:val="18"/>
                <w:szCs w:val="18"/>
                <w:lang w:eastAsia="en-US"/>
              </w:rPr>
            </w:pPr>
            <w:r w:rsidRPr="00C85C7D">
              <w:rPr>
                <w:sz w:val="18"/>
                <w:szCs w:val="18"/>
              </w:rPr>
              <w:t>4,187</w:t>
            </w:r>
          </w:p>
        </w:tc>
        <w:tc>
          <w:tcPr>
            <w:tcW w:w="980" w:type="dxa"/>
            <w:vAlign w:val="center"/>
          </w:tcPr>
          <w:p w14:paraId="37992F1F" w14:textId="77777777" w:rsidR="00543D47" w:rsidRPr="00C85C7D" w:rsidRDefault="00543D47" w:rsidP="00D9610A">
            <w:pPr>
              <w:jc w:val="center"/>
              <w:rPr>
                <w:sz w:val="18"/>
                <w:szCs w:val="18"/>
                <w:lang w:eastAsia="en-US"/>
              </w:rPr>
            </w:pPr>
            <w:r w:rsidRPr="00C85C7D">
              <w:rPr>
                <w:sz w:val="18"/>
                <w:szCs w:val="18"/>
              </w:rPr>
              <w:t>4,187</w:t>
            </w:r>
          </w:p>
        </w:tc>
        <w:tc>
          <w:tcPr>
            <w:tcW w:w="972" w:type="dxa"/>
            <w:vAlign w:val="center"/>
          </w:tcPr>
          <w:p w14:paraId="0AB17CC0" w14:textId="77777777" w:rsidR="00543D47" w:rsidRPr="00C85C7D" w:rsidRDefault="00543D47" w:rsidP="00D9610A">
            <w:pPr>
              <w:jc w:val="center"/>
              <w:rPr>
                <w:sz w:val="18"/>
                <w:szCs w:val="18"/>
                <w:lang w:eastAsia="en-US"/>
              </w:rPr>
            </w:pPr>
            <w:r w:rsidRPr="00C85C7D">
              <w:rPr>
                <w:sz w:val="18"/>
                <w:szCs w:val="18"/>
              </w:rPr>
              <w:t>127</w:t>
            </w:r>
          </w:p>
        </w:tc>
        <w:tc>
          <w:tcPr>
            <w:tcW w:w="980" w:type="dxa"/>
            <w:vAlign w:val="center"/>
          </w:tcPr>
          <w:p w14:paraId="560B85F9" w14:textId="77777777" w:rsidR="00543D47" w:rsidRPr="00C85C7D" w:rsidRDefault="00543D47" w:rsidP="00D9610A">
            <w:pPr>
              <w:jc w:val="center"/>
              <w:rPr>
                <w:sz w:val="18"/>
                <w:szCs w:val="18"/>
                <w:lang w:eastAsia="en-US"/>
              </w:rPr>
            </w:pPr>
            <w:r w:rsidRPr="00C85C7D">
              <w:rPr>
                <w:sz w:val="18"/>
                <w:szCs w:val="18"/>
              </w:rPr>
              <w:t>4,314</w:t>
            </w:r>
          </w:p>
        </w:tc>
      </w:tr>
      <w:tr w:rsidR="00543D47" w:rsidRPr="00C85C7D" w14:paraId="70B06FFA" w14:textId="77777777" w:rsidTr="00D9610A">
        <w:trPr>
          <w:trHeight w:val="523"/>
          <w:jc w:val="center"/>
        </w:trPr>
        <w:tc>
          <w:tcPr>
            <w:tcW w:w="1271" w:type="dxa"/>
            <w:vAlign w:val="center"/>
          </w:tcPr>
          <w:p w14:paraId="3D421C52" w14:textId="77777777" w:rsidR="00543D47" w:rsidRPr="00C85C7D" w:rsidRDefault="00543D47" w:rsidP="00D9610A">
            <w:pPr>
              <w:jc w:val="center"/>
              <w:rPr>
                <w:sz w:val="18"/>
                <w:szCs w:val="18"/>
                <w:lang w:eastAsia="en-US"/>
              </w:rPr>
            </w:pPr>
            <w:r w:rsidRPr="00C85C7D">
              <w:rPr>
                <w:sz w:val="18"/>
                <w:szCs w:val="18"/>
              </w:rPr>
              <w:t>66674</w:t>
            </w:r>
          </w:p>
        </w:tc>
        <w:tc>
          <w:tcPr>
            <w:tcW w:w="1271" w:type="dxa"/>
            <w:vAlign w:val="center"/>
          </w:tcPr>
          <w:p w14:paraId="2C4547C3" w14:textId="77777777" w:rsidR="00543D47" w:rsidRPr="00C85C7D" w:rsidRDefault="00543D47" w:rsidP="00D9610A">
            <w:pPr>
              <w:jc w:val="center"/>
              <w:rPr>
                <w:sz w:val="18"/>
                <w:szCs w:val="18"/>
                <w:lang w:eastAsia="en-US"/>
              </w:rPr>
            </w:pPr>
            <w:r w:rsidRPr="00C85C7D">
              <w:rPr>
                <w:sz w:val="18"/>
                <w:szCs w:val="18"/>
              </w:rPr>
              <w:t>None.</w:t>
            </w:r>
          </w:p>
        </w:tc>
        <w:tc>
          <w:tcPr>
            <w:tcW w:w="1082" w:type="dxa"/>
            <w:vAlign w:val="center"/>
          </w:tcPr>
          <w:p w14:paraId="78DED2BC" w14:textId="77777777" w:rsidR="00543D47" w:rsidRPr="00C85C7D" w:rsidRDefault="00543D47" w:rsidP="00D9610A">
            <w:pPr>
              <w:jc w:val="center"/>
              <w:rPr>
                <w:sz w:val="18"/>
                <w:szCs w:val="18"/>
                <w:lang w:eastAsia="en-US"/>
              </w:rPr>
            </w:pPr>
            <w:r w:rsidRPr="00C85C7D">
              <w:rPr>
                <w:sz w:val="18"/>
                <w:szCs w:val="18"/>
              </w:rPr>
              <w:t>97.01%</w:t>
            </w:r>
          </w:p>
        </w:tc>
        <w:tc>
          <w:tcPr>
            <w:tcW w:w="1271" w:type="dxa"/>
            <w:vAlign w:val="center"/>
          </w:tcPr>
          <w:p w14:paraId="174780C4" w14:textId="77777777" w:rsidR="00543D47" w:rsidRPr="00C85C7D" w:rsidRDefault="00543D47" w:rsidP="00D9610A">
            <w:pPr>
              <w:jc w:val="center"/>
              <w:rPr>
                <w:sz w:val="18"/>
                <w:szCs w:val="18"/>
                <w:lang w:eastAsia="en-US"/>
              </w:rPr>
            </w:pPr>
            <w:r w:rsidRPr="00C85C7D">
              <w:rPr>
                <w:sz w:val="18"/>
                <w:szCs w:val="18"/>
              </w:rPr>
              <w:t>1</w:t>
            </w:r>
          </w:p>
        </w:tc>
        <w:tc>
          <w:tcPr>
            <w:tcW w:w="980" w:type="dxa"/>
            <w:vAlign w:val="center"/>
          </w:tcPr>
          <w:p w14:paraId="2D23AC75" w14:textId="77777777" w:rsidR="00543D47" w:rsidRPr="00C85C7D" w:rsidRDefault="00543D47" w:rsidP="00D9610A">
            <w:pPr>
              <w:jc w:val="center"/>
              <w:rPr>
                <w:sz w:val="18"/>
                <w:szCs w:val="18"/>
                <w:lang w:eastAsia="en-US"/>
              </w:rPr>
            </w:pPr>
            <w:r w:rsidRPr="00C85C7D">
              <w:rPr>
                <w:sz w:val="18"/>
                <w:szCs w:val="18"/>
              </w:rPr>
              <w:t>3,634</w:t>
            </w:r>
          </w:p>
        </w:tc>
        <w:tc>
          <w:tcPr>
            <w:tcW w:w="980" w:type="dxa"/>
            <w:vAlign w:val="center"/>
          </w:tcPr>
          <w:p w14:paraId="4C9BC265" w14:textId="77777777" w:rsidR="00543D47" w:rsidRPr="00C85C7D" w:rsidRDefault="00543D47" w:rsidP="00D9610A">
            <w:pPr>
              <w:jc w:val="center"/>
              <w:rPr>
                <w:sz w:val="18"/>
                <w:szCs w:val="18"/>
                <w:lang w:eastAsia="en-US"/>
              </w:rPr>
            </w:pPr>
            <w:r w:rsidRPr="00C85C7D">
              <w:rPr>
                <w:sz w:val="18"/>
                <w:szCs w:val="18"/>
              </w:rPr>
              <w:t>4,062</w:t>
            </w:r>
          </w:p>
        </w:tc>
        <w:tc>
          <w:tcPr>
            <w:tcW w:w="980" w:type="dxa"/>
            <w:vAlign w:val="center"/>
          </w:tcPr>
          <w:p w14:paraId="0E7D77E2" w14:textId="77777777" w:rsidR="00543D47" w:rsidRPr="00C85C7D" w:rsidRDefault="00543D47" w:rsidP="00D9610A">
            <w:pPr>
              <w:jc w:val="center"/>
              <w:rPr>
                <w:sz w:val="18"/>
                <w:szCs w:val="18"/>
                <w:lang w:eastAsia="en-US"/>
              </w:rPr>
            </w:pPr>
            <w:r w:rsidRPr="00C85C7D">
              <w:rPr>
                <w:sz w:val="18"/>
                <w:szCs w:val="18"/>
              </w:rPr>
              <w:t>4,062</w:t>
            </w:r>
          </w:p>
        </w:tc>
        <w:tc>
          <w:tcPr>
            <w:tcW w:w="972" w:type="dxa"/>
            <w:vAlign w:val="center"/>
          </w:tcPr>
          <w:p w14:paraId="7E6CCEBF" w14:textId="77777777" w:rsidR="00543D47" w:rsidRPr="00C85C7D" w:rsidRDefault="00543D47" w:rsidP="00D9610A">
            <w:pPr>
              <w:jc w:val="center"/>
              <w:rPr>
                <w:sz w:val="18"/>
                <w:szCs w:val="18"/>
                <w:lang w:eastAsia="en-US"/>
              </w:rPr>
            </w:pPr>
            <w:r w:rsidRPr="00C85C7D">
              <w:rPr>
                <w:sz w:val="18"/>
                <w:szCs w:val="18"/>
              </w:rPr>
              <w:t>-</w:t>
            </w:r>
          </w:p>
        </w:tc>
        <w:tc>
          <w:tcPr>
            <w:tcW w:w="980" w:type="dxa"/>
            <w:vAlign w:val="center"/>
          </w:tcPr>
          <w:p w14:paraId="2F4477B0" w14:textId="77777777" w:rsidR="00543D47" w:rsidRPr="00C85C7D" w:rsidRDefault="00543D47" w:rsidP="00D9610A">
            <w:pPr>
              <w:jc w:val="center"/>
              <w:rPr>
                <w:sz w:val="18"/>
                <w:szCs w:val="18"/>
                <w:lang w:eastAsia="en-US"/>
              </w:rPr>
            </w:pPr>
            <w:r w:rsidRPr="00C85C7D">
              <w:rPr>
                <w:sz w:val="18"/>
                <w:szCs w:val="18"/>
              </w:rPr>
              <w:t>4,062</w:t>
            </w:r>
          </w:p>
        </w:tc>
      </w:tr>
      <w:tr w:rsidR="00543D47" w:rsidRPr="00C85C7D" w14:paraId="0EE7A0AA" w14:textId="77777777" w:rsidTr="00D9610A">
        <w:trPr>
          <w:trHeight w:val="511"/>
          <w:jc w:val="center"/>
        </w:trPr>
        <w:tc>
          <w:tcPr>
            <w:tcW w:w="1271" w:type="dxa"/>
            <w:vAlign w:val="center"/>
          </w:tcPr>
          <w:p w14:paraId="3BC4D03E" w14:textId="77777777" w:rsidR="00543D47" w:rsidRPr="00C85C7D" w:rsidRDefault="00543D47" w:rsidP="00D9610A">
            <w:pPr>
              <w:jc w:val="center"/>
              <w:rPr>
                <w:sz w:val="18"/>
                <w:szCs w:val="18"/>
                <w:lang w:eastAsia="en-US"/>
              </w:rPr>
            </w:pPr>
            <w:r w:rsidRPr="00C85C7D">
              <w:rPr>
                <w:sz w:val="18"/>
                <w:szCs w:val="18"/>
              </w:rPr>
              <w:t>66674</w:t>
            </w:r>
          </w:p>
        </w:tc>
        <w:tc>
          <w:tcPr>
            <w:tcW w:w="1271" w:type="dxa"/>
            <w:vAlign w:val="center"/>
          </w:tcPr>
          <w:p w14:paraId="0875AF45" w14:textId="77777777" w:rsidR="00543D47" w:rsidRPr="00C85C7D" w:rsidRDefault="00543D47" w:rsidP="00D9610A">
            <w:pPr>
              <w:jc w:val="center"/>
              <w:rPr>
                <w:sz w:val="18"/>
                <w:szCs w:val="18"/>
                <w:lang w:eastAsia="en-US"/>
              </w:rPr>
            </w:pPr>
            <w:r w:rsidRPr="00C85C7D">
              <w:rPr>
                <w:sz w:val="18"/>
                <w:szCs w:val="18"/>
              </w:rPr>
              <w:t>66680.</w:t>
            </w:r>
          </w:p>
        </w:tc>
        <w:tc>
          <w:tcPr>
            <w:tcW w:w="1082" w:type="dxa"/>
            <w:vAlign w:val="center"/>
          </w:tcPr>
          <w:p w14:paraId="25D1AE41" w14:textId="77777777" w:rsidR="00543D47" w:rsidRPr="00C85C7D" w:rsidRDefault="00543D47" w:rsidP="00D9610A">
            <w:pPr>
              <w:jc w:val="center"/>
              <w:rPr>
                <w:sz w:val="18"/>
                <w:szCs w:val="18"/>
                <w:lang w:eastAsia="en-US"/>
              </w:rPr>
            </w:pPr>
            <w:r w:rsidRPr="00C85C7D">
              <w:rPr>
                <w:sz w:val="18"/>
                <w:szCs w:val="18"/>
              </w:rPr>
              <w:t>2.99%</w:t>
            </w:r>
          </w:p>
        </w:tc>
        <w:tc>
          <w:tcPr>
            <w:tcW w:w="1271" w:type="dxa"/>
            <w:vAlign w:val="center"/>
          </w:tcPr>
          <w:p w14:paraId="7816B253" w14:textId="77777777" w:rsidR="00543D47" w:rsidRPr="00C85C7D" w:rsidRDefault="00543D47" w:rsidP="00D9610A">
            <w:pPr>
              <w:jc w:val="center"/>
              <w:rPr>
                <w:sz w:val="18"/>
                <w:szCs w:val="18"/>
                <w:lang w:eastAsia="en-US"/>
              </w:rPr>
            </w:pPr>
            <w:r w:rsidRPr="00C85C7D">
              <w:rPr>
                <w:sz w:val="18"/>
                <w:szCs w:val="18"/>
              </w:rPr>
              <w:t>2</w:t>
            </w:r>
          </w:p>
        </w:tc>
        <w:tc>
          <w:tcPr>
            <w:tcW w:w="980" w:type="dxa"/>
            <w:vAlign w:val="center"/>
          </w:tcPr>
          <w:p w14:paraId="19C41BA2" w14:textId="77777777" w:rsidR="00543D47" w:rsidRPr="00C85C7D" w:rsidRDefault="00543D47" w:rsidP="00D9610A">
            <w:pPr>
              <w:jc w:val="center"/>
              <w:rPr>
                <w:sz w:val="18"/>
                <w:szCs w:val="18"/>
                <w:lang w:eastAsia="en-US"/>
              </w:rPr>
            </w:pPr>
            <w:r w:rsidRPr="00C85C7D">
              <w:rPr>
                <w:sz w:val="18"/>
                <w:szCs w:val="18"/>
              </w:rPr>
              <w:t>118</w:t>
            </w:r>
          </w:p>
        </w:tc>
        <w:tc>
          <w:tcPr>
            <w:tcW w:w="980" w:type="dxa"/>
            <w:vAlign w:val="center"/>
          </w:tcPr>
          <w:p w14:paraId="1364C489" w14:textId="77777777" w:rsidR="00543D47" w:rsidRPr="00C85C7D" w:rsidRDefault="00543D47" w:rsidP="00D9610A">
            <w:pPr>
              <w:jc w:val="center"/>
              <w:rPr>
                <w:sz w:val="18"/>
                <w:szCs w:val="18"/>
                <w:lang w:eastAsia="en-US"/>
              </w:rPr>
            </w:pPr>
            <w:r w:rsidRPr="00C85C7D">
              <w:rPr>
                <w:sz w:val="18"/>
                <w:szCs w:val="18"/>
              </w:rPr>
              <w:t>125</w:t>
            </w:r>
          </w:p>
        </w:tc>
        <w:tc>
          <w:tcPr>
            <w:tcW w:w="980" w:type="dxa"/>
            <w:vAlign w:val="center"/>
          </w:tcPr>
          <w:p w14:paraId="1BD47578" w14:textId="77777777" w:rsidR="00543D47" w:rsidRPr="00C85C7D" w:rsidRDefault="00543D47" w:rsidP="00D9610A">
            <w:pPr>
              <w:jc w:val="center"/>
              <w:rPr>
                <w:sz w:val="18"/>
                <w:szCs w:val="18"/>
                <w:lang w:eastAsia="en-US"/>
              </w:rPr>
            </w:pPr>
            <w:r w:rsidRPr="00C85C7D">
              <w:rPr>
                <w:sz w:val="18"/>
                <w:szCs w:val="18"/>
              </w:rPr>
              <w:t>125</w:t>
            </w:r>
          </w:p>
        </w:tc>
        <w:tc>
          <w:tcPr>
            <w:tcW w:w="972" w:type="dxa"/>
            <w:vAlign w:val="center"/>
          </w:tcPr>
          <w:p w14:paraId="40AB2AD3" w14:textId="77777777" w:rsidR="00543D47" w:rsidRPr="00C85C7D" w:rsidRDefault="00543D47" w:rsidP="00D9610A">
            <w:pPr>
              <w:jc w:val="center"/>
              <w:rPr>
                <w:sz w:val="18"/>
                <w:szCs w:val="18"/>
                <w:lang w:eastAsia="en-US"/>
              </w:rPr>
            </w:pPr>
            <w:r w:rsidRPr="00C85C7D">
              <w:rPr>
                <w:sz w:val="18"/>
                <w:szCs w:val="18"/>
              </w:rPr>
              <w:t>127</w:t>
            </w:r>
          </w:p>
        </w:tc>
        <w:tc>
          <w:tcPr>
            <w:tcW w:w="980" w:type="dxa"/>
            <w:vAlign w:val="center"/>
          </w:tcPr>
          <w:p w14:paraId="0196BD45" w14:textId="77777777" w:rsidR="00543D47" w:rsidRPr="00C85C7D" w:rsidRDefault="00543D47" w:rsidP="00D9610A">
            <w:pPr>
              <w:jc w:val="center"/>
              <w:rPr>
                <w:sz w:val="18"/>
                <w:szCs w:val="18"/>
                <w:lang w:eastAsia="en-US"/>
              </w:rPr>
            </w:pPr>
            <w:r w:rsidRPr="00C85C7D">
              <w:rPr>
                <w:sz w:val="18"/>
                <w:szCs w:val="18"/>
              </w:rPr>
              <w:t>252</w:t>
            </w:r>
          </w:p>
        </w:tc>
      </w:tr>
    </w:tbl>
    <w:p w14:paraId="670B4DC2" w14:textId="77777777" w:rsidR="00543D47" w:rsidRPr="00370DFD" w:rsidRDefault="00543D47" w:rsidP="00543D47">
      <w:pPr>
        <w:pStyle w:val="NormalBulleted"/>
        <w:numPr>
          <w:ilvl w:val="0"/>
          <w:numId w:val="0"/>
        </w:numPr>
        <w:rPr>
          <w:lang w:eastAsia="en-US"/>
        </w:rPr>
      </w:pPr>
    </w:p>
    <w:p w14:paraId="37B2F311" w14:textId="77777777" w:rsidR="00543D47" w:rsidRDefault="00543D47" w:rsidP="00543D47">
      <w:pPr>
        <w:pStyle w:val="Heading3Numbered"/>
        <w:rPr>
          <w:lang w:val="en-AU"/>
        </w:rPr>
      </w:pPr>
      <w:r w:rsidRPr="00370DFD">
        <w:rPr>
          <w:lang w:val="en-AU"/>
        </w:rPr>
        <w:t>Quantitation of faecal fat: item 66674</w:t>
      </w:r>
    </w:p>
    <w:p w14:paraId="67239E67" w14:textId="77777777" w:rsidR="00543D47" w:rsidRPr="00BD4D2A" w:rsidRDefault="00543D47" w:rsidP="00543D47">
      <w:pPr>
        <w:pStyle w:val="Caption"/>
      </w:pPr>
      <w:bookmarkStart w:id="103" w:name="_Toc534374922"/>
      <w:r w:rsidRPr="00370DFD">
        <w:t xml:space="preserve">Table </w:t>
      </w:r>
      <w:r>
        <w:t>20</w:t>
      </w:r>
      <w:r w:rsidRPr="00370DFD">
        <w:t>. Item introduction</w:t>
      </w:r>
      <w:r>
        <w:t xml:space="preserve"> table for item 66674</w:t>
      </w:r>
      <w:bookmarkEnd w:id="103"/>
    </w:p>
    <w:tbl>
      <w:tblPr>
        <w:tblStyle w:val="TableGrid"/>
        <w:tblW w:w="8971" w:type="dxa"/>
        <w:tblInd w:w="-5" w:type="dxa"/>
        <w:tblBorders>
          <w:insideV w:val="single" w:sz="4" w:space="0" w:color="984806" w:themeColor="accent6" w:themeShade="80"/>
        </w:tblBorders>
        <w:tblLook w:val="04A0" w:firstRow="1" w:lastRow="0" w:firstColumn="1" w:lastColumn="0" w:noHBand="0" w:noVBand="1"/>
        <w:tblCaption w:val="Table 20. Item introduction table for item 66674"/>
        <w:tblDescription w:val="Table 20 is a 7 column table. Column 1 lists the item number, column 2 describes the item, column 3 lists the schedule fee, column 4 shows benefits paid in the 2014/15 financial year, column 5 shows the number of services claimed in the 2014/15 financial year, column 6 is the patient count and column 7 is the 5 year service change represented as a percentage"/>
      </w:tblPr>
      <w:tblGrid>
        <w:gridCol w:w="703"/>
        <w:gridCol w:w="2857"/>
        <w:gridCol w:w="1045"/>
        <w:gridCol w:w="1181"/>
        <w:gridCol w:w="1071"/>
        <w:gridCol w:w="1060"/>
        <w:gridCol w:w="1054"/>
      </w:tblGrid>
      <w:tr w:rsidR="00543D47" w:rsidRPr="00370DFD" w14:paraId="2DE66B5E" w14:textId="77777777" w:rsidTr="00D9610A">
        <w:trPr>
          <w:tblHeader/>
        </w:trPr>
        <w:tc>
          <w:tcPr>
            <w:tcW w:w="703" w:type="dxa"/>
            <w:vAlign w:val="center"/>
          </w:tcPr>
          <w:p w14:paraId="5C80BD58" w14:textId="77777777" w:rsidR="00543D47" w:rsidRPr="00370DFD" w:rsidRDefault="00543D47" w:rsidP="00D9610A">
            <w:pPr>
              <w:rPr>
                <w:sz w:val="18"/>
                <w:szCs w:val="18"/>
              </w:rPr>
            </w:pPr>
            <w:r w:rsidRPr="00370DFD">
              <w:rPr>
                <w:b/>
                <w:sz w:val="18"/>
                <w:szCs w:val="18"/>
              </w:rPr>
              <w:t>Item</w:t>
            </w:r>
          </w:p>
        </w:tc>
        <w:tc>
          <w:tcPr>
            <w:tcW w:w="2857" w:type="dxa"/>
            <w:vAlign w:val="center"/>
          </w:tcPr>
          <w:p w14:paraId="51ECB056" w14:textId="77777777" w:rsidR="00543D47" w:rsidRPr="00370DFD" w:rsidRDefault="00543D47" w:rsidP="00D9610A">
            <w:pPr>
              <w:rPr>
                <w:sz w:val="18"/>
                <w:szCs w:val="18"/>
              </w:rPr>
            </w:pPr>
            <w:r w:rsidRPr="00370DFD">
              <w:rPr>
                <w:b/>
                <w:sz w:val="18"/>
                <w:szCs w:val="18"/>
              </w:rPr>
              <w:t>Long item descriptor</w:t>
            </w:r>
          </w:p>
        </w:tc>
        <w:tc>
          <w:tcPr>
            <w:tcW w:w="1045" w:type="dxa"/>
            <w:vAlign w:val="center"/>
          </w:tcPr>
          <w:p w14:paraId="0035A525" w14:textId="77777777" w:rsidR="00543D47" w:rsidRPr="00370DFD" w:rsidRDefault="00543D47" w:rsidP="00D9610A">
            <w:pPr>
              <w:rPr>
                <w:sz w:val="18"/>
                <w:szCs w:val="18"/>
              </w:rPr>
            </w:pPr>
            <w:r w:rsidRPr="00370DFD">
              <w:rPr>
                <w:b/>
                <w:sz w:val="18"/>
                <w:szCs w:val="18"/>
              </w:rPr>
              <w:t>Schedule</w:t>
            </w:r>
            <w:r>
              <w:rPr>
                <w:b/>
                <w:sz w:val="18"/>
                <w:szCs w:val="18"/>
              </w:rPr>
              <w:t xml:space="preserve"> f</w:t>
            </w:r>
            <w:r w:rsidRPr="00370DFD">
              <w:rPr>
                <w:b/>
                <w:sz w:val="18"/>
                <w:szCs w:val="18"/>
              </w:rPr>
              <w:t>ee</w:t>
            </w:r>
            <w:r>
              <w:rPr>
                <w:b/>
                <w:sz w:val="18"/>
                <w:szCs w:val="18"/>
              </w:rPr>
              <w:t xml:space="preserve"> ($)</w:t>
            </w:r>
          </w:p>
        </w:tc>
        <w:tc>
          <w:tcPr>
            <w:tcW w:w="1181" w:type="dxa"/>
            <w:vAlign w:val="center"/>
          </w:tcPr>
          <w:p w14:paraId="250D1E03"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71" w:type="dxa"/>
            <w:vAlign w:val="center"/>
          </w:tcPr>
          <w:p w14:paraId="03451AF5" w14:textId="77777777" w:rsidR="00543D47" w:rsidRPr="00370DFD" w:rsidRDefault="00543D47" w:rsidP="00D9610A">
            <w:pPr>
              <w:rPr>
                <w:sz w:val="18"/>
                <w:szCs w:val="18"/>
              </w:rPr>
            </w:pPr>
            <w:r w:rsidRPr="00370DFD">
              <w:rPr>
                <w:b/>
                <w:sz w:val="18"/>
                <w:szCs w:val="18"/>
              </w:rPr>
              <w:t xml:space="preserve">Services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0D27DDE8" w14:textId="77777777" w:rsidR="00543D47" w:rsidRPr="00370DFD" w:rsidRDefault="00543D47" w:rsidP="00D9610A">
            <w:pPr>
              <w:rPr>
                <w:sz w:val="18"/>
                <w:szCs w:val="18"/>
              </w:rPr>
            </w:pPr>
            <w:r w:rsidRPr="00370DFD">
              <w:rPr>
                <w:b/>
                <w:sz w:val="18"/>
                <w:szCs w:val="18"/>
              </w:rPr>
              <w:t>Patient count 2014-15</w:t>
            </w:r>
          </w:p>
        </w:tc>
        <w:tc>
          <w:tcPr>
            <w:tcW w:w="1054" w:type="dxa"/>
            <w:vAlign w:val="center"/>
          </w:tcPr>
          <w:p w14:paraId="4D78C9E6"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4E5A4631" w14:textId="77777777" w:rsidTr="00D9610A">
        <w:tc>
          <w:tcPr>
            <w:tcW w:w="703" w:type="dxa"/>
            <w:vAlign w:val="center"/>
          </w:tcPr>
          <w:p w14:paraId="7BB1B223" w14:textId="77777777" w:rsidR="00543D47" w:rsidRPr="00370DFD" w:rsidRDefault="00543D47" w:rsidP="00D9610A">
            <w:pPr>
              <w:rPr>
                <w:sz w:val="18"/>
                <w:szCs w:val="18"/>
              </w:rPr>
            </w:pPr>
            <w:r w:rsidRPr="00370DFD">
              <w:rPr>
                <w:sz w:val="18"/>
                <w:szCs w:val="18"/>
              </w:rPr>
              <w:t>66674</w:t>
            </w:r>
          </w:p>
        </w:tc>
        <w:tc>
          <w:tcPr>
            <w:tcW w:w="2857" w:type="dxa"/>
            <w:vAlign w:val="center"/>
          </w:tcPr>
          <w:p w14:paraId="6B0BE35F" w14:textId="77777777" w:rsidR="00543D47" w:rsidRPr="00370DFD" w:rsidRDefault="00543D47" w:rsidP="00D9610A">
            <w:pPr>
              <w:rPr>
                <w:sz w:val="18"/>
                <w:szCs w:val="18"/>
              </w:rPr>
            </w:pPr>
            <w:r w:rsidRPr="00370DFD">
              <w:rPr>
                <w:sz w:val="18"/>
                <w:szCs w:val="18"/>
              </w:rPr>
              <w:t>Quantitation of: (a) faecal fat; or (b) breath hydrogen in response to loading with disaccharides; 1 or more tests within a 28</w:t>
            </w:r>
            <w:r>
              <w:rPr>
                <w:sz w:val="18"/>
                <w:szCs w:val="18"/>
              </w:rPr>
              <w:t>-</w:t>
            </w:r>
            <w:r w:rsidRPr="00370DFD">
              <w:rPr>
                <w:sz w:val="18"/>
                <w:szCs w:val="18"/>
              </w:rPr>
              <w:t>day period</w:t>
            </w:r>
          </w:p>
        </w:tc>
        <w:tc>
          <w:tcPr>
            <w:tcW w:w="1045" w:type="dxa"/>
            <w:vAlign w:val="center"/>
          </w:tcPr>
          <w:p w14:paraId="421E9AB0" w14:textId="77777777" w:rsidR="00543D47" w:rsidRPr="00370DFD" w:rsidRDefault="00543D47" w:rsidP="00D9610A">
            <w:pPr>
              <w:rPr>
                <w:sz w:val="18"/>
                <w:szCs w:val="18"/>
              </w:rPr>
            </w:pPr>
            <w:r w:rsidRPr="00370DFD">
              <w:rPr>
                <w:sz w:val="18"/>
                <w:szCs w:val="18"/>
              </w:rPr>
              <w:t>39.95</w:t>
            </w:r>
          </w:p>
        </w:tc>
        <w:tc>
          <w:tcPr>
            <w:tcW w:w="1181" w:type="dxa"/>
            <w:vAlign w:val="center"/>
          </w:tcPr>
          <w:p w14:paraId="2B21306C" w14:textId="77777777" w:rsidR="00543D47" w:rsidRPr="00370DFD" w:rsidRDefault="00543D47" w:rsidP="00D9610A">
            <w:pPr>
              <w:rPr>
                <w:sz w:val="18"/>
                <w:szCs w:val="18"/>
              </w:rPr>
            </w:pPr>
            <w:r w:rsidRPr="00370DFD">
              <w:rPr>
                <w:sz w:val="18"/>
                <w:szCs w:val="18"/>
              </w:rPr>
              <w:t>$133,326</w:t>
            </w:r>
          </w:p>
        </w:tc>
        <w:tc>
          <w:tcPr>
            <w:tcW w:w="1071" w:type="dxa"/>
            <w:vAlign w:val="center"/>
          </w:tcPr>
          <w:p w14:paraId="334B7AF3" w14:textId="77777777" w:rsidR="00543D47" w:rsidRPr="00370DFD" w:rsidRDefault="00543D47" w:rsidP="00D9610A">
            <w:pPr>
              <w:rPr>
                <w:sz w:val="18"/>
                <w:szCs w:val="18"/>
              </w:rPr>
            </w:pPr>
            <w:r w:rsidRPr="00370DFD">
              <w:rPr>
                <w:sz w:val="18"/>
                <w:szCs w:val="18"/>
              </w:rPr>
              <w:t>3,639</w:t>
            </w:r>
          </w:p>
        </w:tc>
        <w:tc>
          <w:tcPr>
            <w:tcW w:w="1060" w:type="dxa"/>
            <w:vAlign w:val="center"/>
          </w:tcPr>
          <w:p w14:paraId="71B87C57" w14:textId="77777777" w:rsidR="00543D47" w:rsidRPr="00370DFD" w:rsidRDefault="00543D47" w:rsidP="00D9610A">
            <w:pPr>
              <w:rPr>
                <w:sz w:val="18"/>
                <w:szCs w:val="18"/>
              </w:rPr>
            </w:pPr>
            <w:r w:rsidRPr="00370DFD">
              <w:rPr>
                <w:sz w:val="18"/>
                <w:szCs w:val="18"/>
              </w:rPr>
              <w:t>3,364</w:t>
            </w:r>
          </w:p>
        </w:tc>
        <w:tc>
          <w:tcPr>
            <w:tcW w:w="1054" w:type="dxa"/>
            <w:vAlign w:val="center"/>
          </w:tcPr>
          <w:p w14:paraId="4D86FB0F" w14:textId="77777777" w:rsidR="00543D47" w:rsidRPr="00370DFD" w:rsidRDefault="00543D47" w:rsidP="00D9610A">
            <w:pPr>
              <w:rPr>
                <w:sz w:val="18"/>
                <w:szCs w:val="18"/>
              </w:rPr>
            </w:pPr>
            <w:r w:rsidRPr="00370DFD">
              <w:rPr>
                <w:sz w:val="18"/>
                <w:szCs w:val="18"/>
              </w:rPr>
              <w:t>2.4%</w:t>
            </w:r>
          </w:p>
        </w:tc>
      </w:tr>
    </w:tbl>
    <w:p w14:paraId="7843942C" w14:textId="77777777" w:rsidR="00543D47" w:rsidRPr="0057193B" w:rsidRDefault="00543D47" w:rsidP="00543D47">
      <w:pPr>
        <w:pStyle w:val="Heading4"/>
        <w:rPr>
          <w:lang w:val="en-AU"/>
        </w:rPr>
      </w:pPr>
      <w:r w:rsidRPr="0057193B">
        <w:rPr>
          <w:lang w:val="en-AU"/>
        </w:rPr>
        <w:t>Recommendation</w:t>
      </w:r>
    </w:p>
    <w:p w14:paraId="53985C09" w14:textId="77777777" w:rsidR="00543D47" w:rsidRDefault="00543D47" w:rsidP="00543D47">
      <w:pPr>
        <w:pStyle w:val="NormalBulleted"/>
        <w:numPr>
          <w:ilvl w:val="0"/>
          <w:numId w:val="0"/>
        </w:numPr>
        <w:ind w:left="431" w:hanging="431"/>
      </w:pPr>
      <w:r w:rsidRPr="00370DFD">
        <w:t xml:space="preserve">The </w:t>
      </w:r>
      <w:r>
        <w:t>Committee proposes the following:</w:t>
      </w:r>
    </w:p>
    <w:p w14:paraId="170FAF72" w14:textId="77777777" w:rsidR="00543D47" w:rsidRPr="0057193B" w:rsidRDefault="00543D47" w:rsidP="00543D47">
      <w:pPr>
        <w:pStyle w:val="NormalBulleted"/>
        <w:rPr>
          <w:lang w:eastAsia="en-US"/>
        </w:rPr>
      </w:pPr>
      <w:r w:rsidRPr="0057193B">
        <w:rPr>
          <w:lang w:eastAsia="en-US"/>
        </w:rPr>
        <w:t>add extra wording to the item descriptor to include monosaccharides</w:t>
      </w:r>
    </w:p>
    <w:p w14:paraId="4FCA6AA6" w14:textId="77777777" w:rsidR="00543D47" w:rsidRPr="0057193B" w:rsidRDefault="00543D47" w:rsidP="00543D47">
      <w:pPr>
        <w:pStyle w:val="NormalBulleted"/>
        <w:rPr>
          <w:lang w:eastAsia="en-US"/>
        </w:rPr>
      </w:pPr>
      <w:r w:rsidRPr="0057193B">
        <w:rPr>
          <w:lang w:eastAsia="en-US"/>
        </w:rPr>
        <w:t>add faecal elastase in the investigation of pancreatic insufficiency</w:t>
      </w:r>
    </w:p>
    <w:p w14:paraId="236A5206" w14:textId="77777777" w:rsidR="00543D47" w:rsidRDefault="00543D47" w:rsidP="00543D47">
      <w:pPr>
        <w:pStyle w:val="NormalBulleted"/>
        <w:rPr>
          <w:lang w:eastAsia="en-US"/>
        </w:rPr>
      </w:pPr>
      <w:r w:rsidRPr="0057193B">
        <w:rPr>
          <w:lang w:eastAsia="en-US"/>
        </w:rPr>
        <w:t>add methane to the item descriptor wording</w:t>
      </w:r>
      <w:r>
        <w:rPr>
          <w:lang w:eastAsia="en-US"/>
        </w:rPr>
        <w:t>.</w:t>
      </w:r>
    </w:p>
    <w:p w14:paraId="40D9835A" w14:textId="77777777" w:rsidR="00543D47" w:rsidRPr="0057193B" w:rsidRDefault="00543D47" w:rsidP="00543D47">
      <w:pPr>
        <w:pStyle w:val="Caption"/>
      </w:pPr>
      <w:bookmarkStart w:id="104" w:name="_Toc534374923"/>
      <w:r w:rsidRPr="00370DFD">
        <w:t xml:space="preserve">Table </w:t>
      </w:r>
      <w:r>
        <w:t>21</w:t>
      </w:r>
      <w:r w:rsidRPr="00370DFD">
        <w:t>: Current and proposed new item descriptor for items 66</w:t>
      </w:r>
      <w:r>
        <w:t>674</w:t>
      </w:r>
      <w:bookmarkEnd w:id="104"/>
    </w:p>
    <w:tbl>
      <w:tblPr>
        <w:tblStyle w:val="TableGrid"/>
        <w:tblW w:w="9354" w:type="dxa"/>
        <w:tblInd w:w="-5" w:type="dxa"/>
        <w:tblBorders>
          <w:insideV w:val="single" w:sz="4" w:space="0" w:color="984806" w:themeColor="accent6" w:themeShade="80"/>
        </w:tblBorders>
        <w:tblLook w:val="04A0" w:firstRow="1" w:lastRow="0" w:firstColumn="1" w:lastColumn="0" w:noHBand="0" w:noVBand="1"/>
        <w:tblCaption w:val="Table 21: Current and proposed new item descriptor for items 66674"/>
        <w:tblDescription w:val="Table 21 has 3 columns. Column 1 lists the item number, column 2 lists the current descriptor and column 3 list the proposed item descriptor"/>
      </w:tblPr>
      <w:tblGrid>
        <w:gridCol w:w="1134"/>
        <w:gridCol w:w="4110"/>
        <w:gridCol w:w="4110"/>
      </w:tblGrid>
      <w:tr w:rsidR="00543D47" w:rsidRPr="0057193B" w14:paraId="05AB1FF1" w14:textId="77777777" w:rsidTr="00D9610A">
        <w:trPr>
          <w:tblHeader/>
        </w:trPr>
        <w:tc>
          <w:tcPr>
            <w:tcW w:w="1134" w:type="dxa"/>
          </w:tcPr>
          <w:p w14:paraId="7390DEFF" w14:textId="77777777" w:rsidR="00543D47" w:rsidRPr="0057193B" w:rsidRDefault="00543D47" w:rsidP="00D9610A">
            <w:pPr>
              <w:rPr>
                <w:b/>
                <w:sz w:val="18"/>
                <w:szCs w:val="18"/>
                <w:lang w:eastAsia="en-US"/>
              </w:rPr>
            </w:pPr>
            <w:r w:rsidRPr="0057193B">
              <w:rPr>
                <w:b/>
                <w:sz w:val="18"/>
                <w:szCs w:val="18"/>
              </w:rPr>
              <w:t>Item</w:t>
            </w:r>
          </w:p>
        </w:tc>
        <w:tc>
          <w:tcPr>
            <w:tcW w:w="4110" w:type="dxa"/>
          </w:tcPr>
          <w:p w14:paraId="17C7CB89" w14:textId="77777777" w:rsidR="00543D47" w:rsidRPr="0057193B" w:rsidRDefault="00543D47" w:rsidP="00D9610A">
            <w:pPr>
              <w:rPr>
                <w:b/>
                <w:sz w:val="18"/>
                <w:szCs w:val="18"/>
                <w:lang w:eastAsia="en-US"/>
              </w:rPr>
            </w:pPr>
            <w:r w:rsidRPr="0057193B">
              <w:rPr>
                <w:b/>
                <w:sz w:val="18"/>
                <w:szCs w:val="18"/>
              </w:rPr>
              <w:t>Current item descriptor</w:t>
            </w:r>
          </w:p>
        </w:tc>
        <w:tc>
          <w:tcPr>
            <w:tcW w:w="4110" w:type="dxa"/>
          </w:tcPr>
          <w:p w14:paraId="66D7F3A6" w14:textId="77777777" w:rsidR="00543D47" w:rsidRPr="0057193B" w:rsidRDefault="00543D47" w:rsidP="00D9610A">
            <w:pPr>
              <w:rPr>
                <w:b/>
                <w:sz w:val="18"/>
                <w:szCs w:val="18"/>
                <w:lang w:eastAsia="en-US"/>
              </w:rPr>
            </w:pPr>
            <w:r w:rsidRPr="0057193B">
              <w:rPr>
                <w:b/>
                <w:sz w:val="18"/>
                <w:szCs w:val="18"/>
              </w:rPr>
              <w:t>Proposed new item descriptor</w:t>
            </w:r>
          </w:p>
        </w:tc>
      </w:tr>
      <w:tr w:rsidR="00543D47" w:rsidRPr="0057193B" w14:paraId="61BFE58F" w14:textId="77777777" w:rsidTr="00D9610A">
        <w:tc>
          <w:tcPr>
            <w:tcW w:w="1134" w:type="dxa"/>
          </w:tcPr>
          <w:p w14:paraId="10F524F7" w14:textId="77777777" w:rsidR="00543D47" w:rsidRPr="0057193B" w:rsidRDefault="00543D47" w:rsidP="00D9610A">
            <w:pPr>
              <w:rPr>
                <w:sz w:val="18"/>
                <w:szCs w:val="18"/>
                <w:lang w:eastAsia="en-US"/>
              </w:rPr>
            </w:pPr>
            <w:r w:rsidRPr="0057193B">
              <w:rPr>
                <w:sz w:val="18"/>
                <w:szCs w:val="18"/>
              </w:rPr>
              <w:t>66674</w:t>
            </w:r>
          </w:p>
        </w:tc>
        <w:tc>
          <w:tcPr>
            <w:tcW w:w="4110" w:type="dxa"/>
          </w:tcPr>
          <w:p w14:paraId="2797C4FD" w14:textId="77777777" w:rsidR="00543D47" w:rsidRPr="0057193B" w:rsidRDefault="00543D47" w:rsidP="00D9610A">
            <w:pPr>
              <w:rPr>
                <w:sz w:val="18"/>
                <w:szCs w:val="18"/>
                <w:lang w:eastAsia="en-US"/>
              </w:rPr>
            </w:pPr>
            <w:r w:rsidRPr="0057193B">
              <w:rPr>
                <w:sz w:val="18"/>
                <w:szCs w:val="18"/>
              </w:rPr>
              <w:t>Quantitation of: (a) faecal fat; or (b) breath hydrogen in response to loading with disaccharides; 1 or more tests within a 28</w:t>
            </w:r>
            <w:r>
              <w:rPr>
                <w:sz w:val="18"/>
                <w:szCs w:val="18"/>
              </w:rPr>
              <w:t>-</w:t>
            </w:r>
            <w:r w:rsidRPr="0057193B">
              <w:rPr>
                <w:sz w:val="18"/>
                <w:szCs w:val="18"/>
              </w:rPr>
              <w:t>day period</w:t>
            </w:r>
          </w:p>
        </w:tc>
        <w:tc>
          <w:tcPr>
            <w:tcW w:w="4110" w:type="dxa"/>
          </w:tcPr>
          <w:p w14:paraId="046CECAA" w14:textId="77777777" w:rsidR="00543D47" w:rsidRPr="00035958" w:rsidRDefault="00543D47" w:rsidP="00D9610A">
            <w:pPr>
              <w:rPr>
                <w:sz w:val="18"/>
                <w:szCs w:val="18"/>
                <w:lang w:eastAsia="en-US"/>
              </w:rPr>
            </w:pPr>
            <w:r w:rsidRPr="000721C1">
              <w:rPr>
                <w:sz w:val="18"/>
                <w:szCs w:val="18"/>
              </w:rPr>
              <w:t xml:space="preserve">Quantitation of: (a) faecal fat or </w:t>
            </w:r>
            <w:r w:rsidRPr="000721C1">
              <w:rPr>
                <w:i/>
                <w:sz w:val="18"/>
                <w:szCs w:val="18"/>
              </w:rPr>
              <w:t>faecal elastase in the investigation of pancreatic insufficiency</w:t>
            </w:r>
            <w:r w:rsidRPr="000721C1">
              <w:rPr>
                <w:sz w:val="18"/>
                <w:szCs w:val="18"/>
              </w:rPr>
              <w:t xml:space="preserve">; (b) breath hydrogen </w:t>
            </w:r>
            <w:r w:rsidRPr="000721C1">
              <w:rPr>
                <w:i/>
                <w:sz w:val="18"/>
                <w:szCs w:val="18"/>
              </w:rPr>
              <w:t>and/or methane</w:t>
            </w:r>
            <w:r w:rsidRPr="000721C1">
              <w:rPr>
                <w:sz w:val="18"/>
                <w:szCs w:val="18"/>
              </w:rPr>
              <w:t xml:space="preserve"> in response to loading with disaccharides </w:t>
            </w:r>
            <w:r w:rsidRPr="000721C1">
              <w:rPr>
                <w:i/>
                <w:sz w:val="18"/>
                <w:szCs w:val="18"/>
              </w:rPr>
              <w:t>or monosaccharides</w:t>
            </w:r>
            <w:r w:rsidRPr="000721C1">
              <w:rPr>
                <w:sz w:val="18"/>
                <w:szCs w:val="18"/>
              </w:rPr>
              <w:t>; 1 or more tests</w:t>
            </w:r>
          </w:p>
        </w:tc>
      </w:tr>
    </w:tbl>
    <w:p w14:paraId="19D69ACF" w14:textId="77777777" w:rsidR="00543D47" w:rsidRPr="00370DFD" w:rsidRDefault="00543D47" w:rsidP="00543D47">
      <w:pPr>
        <w:pStyle w:val="Heading4"/>
        <w:rPr>
          <w:lang w:val="en-AU"/>
        </w:rPr>
      </w:pPr>
      <w:r w:rsidRPr="0057193B">
        <w:rPr>
          <w:lang w:val="en-AU"/>
        </w:rPr>
        <w:t>Rationale</w:t>
      </w:r>
      <w:r>
        <w:rPr>
          <w:lang w:val="en-AU"/>
        </w:rPr>
        <w:t xml:space="preserve"> </w:t>
      </w:r>
    </w:p>
    <w:p w14:paraId="58FDB457" w14:textId="77777777" w:rsidR="00543D47" w:rsidRDefault="00543D47" w:rsidP="00543D47">
      <w:pPr>
        <w:pStyle w:val="NormalBulleted"/>
      </w:pPr>
      <w:r>
        <w:rPr>
          <w:lang w:eastAsia="en-US"/>
        </w:rPr>
        <w:t xml:space="preserve">Item 66674 covers faecal fats or breath hydrogen tests used to detect malabsorption in patients. </w:t>
      </w:r>
    </w:p>
    <w:p w14:paraId="17FC4FD7" w14:textId="77777777" w:rsidR="00543D47" w:rsidRDefault="00543D47" w:rsidP="00543D47">
      <w:pPr>
        <w:pStyle w:val="NormalBulleted"/>
      </w:pPr>
      <w:r>
        <w:rPr>
          <w:lang w:eastAsia="en-US"/>
        </w:rPr>
        <w:lastRenderedPageBreak/>
        <w:t>The Committee recommended the inclusion of methane in the item descriptor as some people don’t produce a measurable breath hydrogen, and methane is more useful in these cases.</w:t>
      </w:r>
    </w:p>
    <w:p w14:paraId="458FA39A" w14:textId="77777777" w:rsidR="00543D47" w:rsidRDefault="00543D47" w:rsidP="00543D47">
      <w:pPr>
        <w:pStyle w:val="NormalBulleted"/>
      </w:pPr>
      <w:r>
        <w:rPr>
          <w:lang w:eastAsia="en-US"/>
        </w:rPr>
        <w:t>Monosaccharides are included in the item descriptor because lactulose can be used as a positive control in breath hydrogen testing to determine whether an individual is a hydrogen producer or a methane producer, or to determine how vigorous the breath hydrogen response is in an individual (or a basal response to lactose).</w:t>
      </w:r>
    </w:p>
    <w:p w14:paraId="32842323" w14:textId="77777777" w:rsidR="00543D47" w:rsidRDefault="00543D47" w:rsidP="00543D47">
      <w:pPr>
        <w:pStyle w:val="NormalBulleted"/>
      </w:pPr>
      <w:r>
        <w:rPr>
          <w:lang w:eastAsia="en-US"/>
        </w:rPr>
        <w:t xml:space="preserve">In a number of pathology laboratories, faecal elastase has replaced faecal fat testing as it allows a shorter collection instead of the </w:t>
      </w:r>
      <w:proofErr w:type="gramStart"/>
      <w:r>
        <w:rPr>
          <w:lang w:eastAsia="en-US"/>
        </w:rPr>
        <w:t>72 hour</w:t>
      </w:r>
      <w:proofErr w:type="gramEnd"/>
      <w:r>
        <w:rPr>
          <w:lang w:eastAsia="en-US"/>
        </w:rPr>
        <w:t xml:space="preserve"> stool collection for faecal fats and offers good diagnostic performance for fat malabsorption.</w:t>
      </w:r>
    </w:p>
    <w:p w14:paraId="1244C78A" w14:textId="77777777" w:rsidR="00543D47" w:rsidRPr="00525A47" w:rsidRDefault="00543D47" w:rsidP="00543D47">
      <w:pPr>
        <w:pStyle w:val="NormalBulleted"/>
        <w:numPr>
          <w:ilvl w:val="0"/>
          <w:numId w:val="0"/>
        </w:numPr>
        <w:ind w:left="431"/>
      </w:pPr>
    </w:p>
    <w:p w14:paraId="73A7BA18" w14:textId="77777777" w:rsidR="00543D47" w:rsidRDefault="00543D47" w:rsidP="00543D47">
      <w:pPr>
        <w:pStyle w:val="Heading2"/>
        <w:rPr>
          <w:lang w:val="en-AU"/>
        </w:rPr>
      </w:pPr>
      <w:bookmarkStart w:id="105" w:name="_Toc514247622"/>
      <w:r>
        <w:rPr>
          <w:lang w:val="en-AU"/>
        </w:rPr>
        <w:t>Vitamins</w:t>
      </w:r>
      <w:bookmarkEnd w:id="105"/>
    </w:p>
    <w:p w14:paraId="049B1712" w14:textId="77777777" w:rsidR="00543D47" w:rsidRPr="00503EF9" w:rsidRDefault="00543D47" w:rsidP="00543D47">
      <w:pPr>
        <w:pStyle w:val="Heading3Numbered"/>
      </w:pPr>
      <w:r w:rsidRPr="00503EF9">
        <w:t>Vitamins B1, B3, B6 or C</w:t>
      </w:r>
    </w:p>
    <w:p w14:paraId="4CD0B3D4" w14:textId="77777777" w:rsidR="00543D47" w:rsidRDefault="00543D47" w:rsidP="00543D47">
      <w:pPr>
        <w:pStyle w:val="Caption"/>
      </w:pPr>
      <w:bookmarkStart w:id="106" w:name="_Toc534374924"/>
      <w:r>
        <w:t>Table 22. Item introduction for items 66605, 66606</w:t>
      </w:r>
      <w:bookmarkEnd w:id="106"/>
    </w:p>
    <w:tbl>
      <w:tblPr>
        <w:tblStyle w:val="TableGrid"/>
        <w:tblW w:w="903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Table 22. Item introduction for items 66605, 66606"/>
        <w:tblDescription w:val="Table 22 is a 7 column table. Column 1 lists the item number, column 2 describes the item, column 3 lists the schedule fee, column 4 shows benefits paid in the 2014/15 financial year, column 5 shows the number of services claimed in the 2014/15 financial year, column 6 is the patient count and column 7 is the 5 year service change represented as a percentage"/>
      </w:tblPr>
      <w:tblGrid>
        <w:gridCol w:w="703"/>
        <w:gridCol w:w="2857"/>
        <w:gridCol w:w="1066"/>
        <w:gridCol w:w="1219"/>
        <w:gridCol w:w="1071"/>
        <w:gridCol w:w="1060"/>
        <w:gridCol w:w="1054"/>
      </w:tblGrid>
      <w:tr w:rsidR="00543D47" w14:paraId="7F1BCE6D" w14:textId="77777777" w:rsidTr="00D9610A">
        <w:trPr>
          <w:tblHeader/>
        </w:trPr>
        <w:tc>
          <w:tcPr>
            <w:tcW w:w="703" w:type="dxa"/>
            <w:vAlign w:val="center"/>
          </w:tcPr>
          <w:p w14:paraId="7D8F9EE2" w14:textId="77777777" w:rsidR="00543D47" w:rsidRDefault="00543D47" w:rsidP="00D9610A">
            <w:r w:rsidRPr="005C4D2C">
              <w:rPr>
                <w:rFonts w:cs="Arial"/>
                <w:b/>
                <w:color w:val="000000"/>
                <w:sz w:val="18"/>
                <w:szCs w:val="18"/>
              </w:rPr>
              <w:t>Item</w:t>
            </w:r>
          </w:p>
        </w:tc>
        <w:tc>
          <w:tcPr>
            <w:tcW w:w="2857" w:type="dxa"/>
            <w:vAlign w:val="center"/>
          </w:tcPr>
          <w:p w14:paraId="09CF4043" w14:textId="77777777" w:rsidR="00543D47" w:rsidRDefault="00543D47" w:rsidP="00D9610A">
            <w:r w:rsidRPr="005C4D2C">
              <w:rPr>
                <w:rFonts w:cs="Arial"/>
                <w:b/>
                <w:color w:val="000000"/>
                <w:sz w:val="18"/>
                <w:szCs w:val="18"/>
              </w:rPr>
              <w:t>Long item descriptor</w:t>
            </w:r>
          </w:p>
        </w:tc>
        <w:tc>
          <w:tcPr>
            <w:tcW w:w="1066" w:type="dxa"/>
            <w:vAlign w:val="center"/>
          </w:tcPr>
          <w:p w14:paraId="6EE0FD10" w14:textId="77777777" w:rsidR="00543D47" w:rsidRDefault="00543D47" w:rsidP="00D9610A">
            <w:pPr>
              <w:spacing w:after="0" w:line="240" w:lineRule="auto"/>
            </w:pPr>
            <w:r w:rsidRPr="005C4D2C">
              <w:rPr>
                <w:rFonts w:cs="Arial"/>
                <w:b/>
                <w:color w:val="000000"/>
                <w:sz w:val="18"/>
                <w:szCs w:val="18"/>
              </w:rPr>
              <w:t>Schedule</w:t>
            </w:r>
            <w:r>
              <w:rPr>
                <w:rFonts w:cs="Arial"/>
                <w:b/>
                <w:color w:val="000000"/>
                <w:sz w:val="18"/>
                <w:szCs w:val="18"/>
              </w:rPr>
              <w:t xml:space="preserve"> f</w:t>
            </w:r>
            <w:r w:rsidRPr="005C4D2C">
              <w:rPr>
                <w:rFonts w:cs="Arial"/>
                <w:b/>
                <w:color w:val="000000"/>
                <w:sz w:val="18"/>
                <w:szCs w:val="18"/>
              </w:rPr>
              <w:t>ee</w:t>
            </w:r>
          </w:p>
        </w:tc>
        <w:tc>
          <w:tcPr>
            <w:tcW w:w="1219" w:type="dxa"/>
            <w:vAlign w:val="center"/>
          </w:tcPr>
          <w:p w14:paraId="48594DE4" w14:textId="77777777" w:rsidR="00543D47" w:rsidRDefault="00543D47" w:rsidP="00D9610A">
            <w:r w:rsidRPr="005C4D2C">
              <w:rPr>
                <w:rFonts w:cs="Arial"/>
                <w:b/>
                <w:color w:val="000000"/>
                <w:sz w:val="18"/>
                <w:szCs w:val="18"/>
              </w:rPr>
              <w:t xml:space="preserve">Benefits </w:t>
            </w:r>
            <w:r>
              <w:rPr>
                <w:rFonts w:cs="Arial"/>
                <w:b/>
                <w:color w:val="000000"/>
                <w:sz w:val="18"/>
                <w:szCs w:val="18"/>
              </w:rPr>
              <w:br/>
            </w:r>
            <w:r w:rsidRPr="005C4D2C">
              <w:rPr>
                <w:rFonts w:cs="Arial"/>
                <w:b/>
                <w:color w:val="000000"/>
                <w:sz w:val="18"/>
                <w:szCs w:val="18"/>
              </w:rPr>
              <w:t>FY</w:t>
            </w:r>
            <w:r>
              <w:rPr>
                <w:rFonts w:cs="Arial"/>
                <w:b/>
                <w:color w:val="000000"/>
                <w:sz w:val="18"/>
                <w:szCs w:val="18"/>
              </w:rPr>
              <w:t xml:space="preserve"> 2014–</w:t>
            </w:r>
            <w:r w:rsidRPr="005C4D2C">
              <w:rPr>
                <w:rFonts w:cs="Arial"/>
                <w:b/>
                <w:color w:val="000000"/>
                <w:sz w:val="18"/>
                <w:szCs w:val="18"/>
              </w:rPr>
              <w:t>15</w:t>
            </w:r>
          </w:p>
        </w:tc>
        <w:tc>
          <w:tcPr>
            <w:tcW w:w="1071" w:type="dxa"/>
            <w:vAlign w:val="center"/>
          </w:tcPr>
          <w:p w14:paraId="250E0011" w14:textId="77777777" w:rsidR="00543D47" w:rsidRDefault="00543D47" w:rsidP="00D9610A">
            <w:r w:rsidRPr="005C4D2C">
              <w:rPr>
                <w:rFonts w:cs="Arial"/>
                <w:b/>
                <w:color w:val="000000"/>
                <w:sz w:val="18"/>
                <w:szCs w:val="18"/>
              </w:rPr>
              <w:t xml:space="preserve">Services </w:t>
            </w:r>
            <w:r>
              <w:rPr>
                <w:rFonts w:cs="Arial"/>
                <w:b/>
                <w:color w:val="000000"/>
                <w:sz w:val="18"/>
                <w:szCs w:val="18"/>
              </w:rPr>
              <w:br/>
            </w:r>
            <w:r w:rsidRPr="005C4D2C">
              <w:rPr>
                <w:rFonts w:cs="Arial"/>
                <w:b/>
                <w:color w:val="000000"/>
                <w:sz w:val="18"/>
                <w:szCs w:val="18"/>
              </w:rPr>
              <w:t>FY</w:t>
            </w:r>
            <w:r>
              <w:rPr>
                <w:rFonts w:cs="Arial"/>
                <w:b/>
                <w:color w:val="000000"/>
                <w:sz w:val="18"/>
                <w:szCs w:val="18"/>
              </w:rPr>
              <w:t xml:space="preserve"> 2014–</w:t>
            </w:r>
            <w:r w:rsidRPr="005C4D2C">
              <w:rPr>
                <w:rFonts w:cs="Arial"/>
                <w:b/>
                <w:color w:val="000000"/>
                <w:sz w:val="18"/>
                <w:szCs w:val="18"/>
              </w:rPr>
              <w:t>15</w:t>
            </w:r>
          </w:p>
        </w:tc>
        <w:tc>
          <w:tcPr>
            <w:tcW w:w="1060" w:type="dxa"/>
            <w:vAlign w:val="center"/>
          </w:tcPr>
          <w:p w14:paraId="252556A8" w14:textId="77777777" w:rsidR="00543D47" w:rsidRDefault="00543D47" w:rsidP="00D9610A">
            <w:r>
              <w:rPr>
                <w:rFonts w:cs="Arial"/>
                <w:b/>
                <w:color w:val="000000"/>
                <w:sz w:val="18"/>
                <w:szCs w:val="18"/>
              </w:rPr>
              <w:t>Patient count 2014–</w:t>
            </w:r>
            <w:r w:rsidRPr="005C4D2C">
              <w:rPr>
                <w:rFonts w:cs="Arial"/>
                <w:b/>
                <w:color w:val="000000"/>
                <w:sz w:val="18"/>
                <w:szCs w:val="18"/>
              </w:rPr>
              <w:t>15</w:t>
            </w:r>
          </w:p>
        </w:tc>
        <w:tc>
          <w:tcPr>
            <w:tcW w:w="1054" w:type="dxa"/>
            <w:vAlign w:val="center"/>
          </w:tcPr>
          <w:p w14:paraId="247A33A4" w14:textId="77777777" w:rsidR="00543D47" w:rsidRDefault="00543D47" w:rsidP="00D9610A">
            <w:r>
              <w:rPr>
                <w:rFonts w:cs="Arial"/>
                <w:b/>
                <w:color w:val="000000"/>
                <w:sz w:val="18"/>
                <w:szCs w:val="18"/>
              </w:rPr>
              <w:t>5-year service</w:t>
            </w:r>
            <w:r w:rsidRPr="005C4D2C">
              <w:rPr>
                <w:rFonts w:cs="Arial"/>
                <w:b/>
                <w:color w:val="000000"/>
                <w:sz w:val="18"/>
                <w:szCs w:val="18"/>
              </w:rPr>
              <w:t xml:space="preserve"> change % (CAGR)</w:t>
            </w:r>
          </w:p>
        </w:tc>
      </w:tr>
      <w:tr w:rsidR="00543D47" w14:paraId="1E29483F" w14:textId="77777777" w:rsidTr="00D9610A">
        <w:tc>
          <w:tcPr>
            <w:tcW w:w="703" w:type="dxa"/>
            <w:vAlign w:val="center"/>
          </w:tcPr>
          <w:p w14:paraId="68CB201C" w14:textId="77777777" w:rsidR="00543D47" w:rsidRDefault="00543D47" w:rsidP="00D9610A">
            <w:r w:rsidRPr="005C4D2C">
              <w:rPr>
                <w:rFonts w:cs="Arial"/>
                <w:sz w:val="18"/>
                <w:szCs w:val="18"/>
              </w:rPr>
              <w:t>66605</w:t>
            </w:r>
          </w:p>
        </w:tc>
        <w:tc>
          <w:tcPr>
            <w:tcW w:w="2857" w:type="dxa"/>
          </w:tcPr>
          <w:p w14:paraId="539BBD65" w14:textId="77777777" w:rsidR="00543D47" w:rsidRDefault="00543D47" w:rsidP="00D9610A">
            <w:r w:rsidRPr="005C4D2C">
              <w:rPr>
                <w:rFonts w:cs="Arial"/>
                <w:sz w:val="18"/>
                <w:szCs w:val="18"/>
              </w:rPr>
              <w:t>vitamins - quantitation of vitamins B1, B2, B3, B6 or C in blood, urine or other body fluid - 1 or more tests</w:t>
            </w:r>
          </w:p>
        </w:tc>
        <w:tc>
          <w:tcPr>
            <w:tcW w:w="1066" w:type="dxa"/>
          </w:tcPr>
          <w:p w14:paraId="18BDA2C3" w14:textId="77777777" w:rsidR="00543D47" w:rsidRDefault="00543D47" w:rsidP="00D9610A">
            <w:r w:rsidRPr="005C4D2C">
              <w:rPr>
                <w:rFonts w:cs="Arial"/>
                <w:sz w:val="18"/>
                <w:szCs w:val="18"/>
              </w:rPr>
              <w:t>30.60</w:t>
            </w:r>
          </w:p>
        </w:tc>
        <w:tc>
          <w:tcPr>
            <w:tcW w:w="1219" w:type="dxa"/>
          </w:tcPr>
          <w:p w14:paraId="3E19C8DD" w14:textId="77777777" w:rsidR="00543D47" w:rsidRDefault="00543D47" w:rsidP="00D9610A">
            <w:r w:rsidRPr="005C4D2C">
              <w:rPr>
                <w:rFonts w:cs="Arial"/>
                <w:sz w:val="18"/>
                <w:szCs w:val="18"/>
              </w:rPr>
              <w:t>$667,269</w:t>
            </w:r>
          </w:p>
        </w:tc>
        <w:tc>
          <w:tcPr>
            <w:tcW w:w="1071" w:type="dxa"/>
          </w:tcPr>
          <w:p w14:paraId="7E3B9EB2" w14:textId="77777777" w:rsidR="00543D47" w:rsidRDefault="00543D47" w:rsidP="00D9610A">
            <w:r w:rsidRPr="005C4D2C">
              <w:rPr>
                <w:rFonts w:cs="Arial"/>
                <w:sz w:val="18"/>
                <w:szCs w:val="18"/>
              </w:rPr>
              <w:t>25,613</w:t>
            </w:r>
          </w:p>
        </w:tc>
        <w:tc>
          <w:tcPr>
            <w:tcW w:w="1060" w:type="dxa"/>
          </w:tcPr>
          <w:p w14:paraId="50441FC1" w14:textId="77777777" w:rsidR="00543D47" w:rsidRDefault="00543D47" w:rsidP="00D9610A">
            <w:r w:rsidRPr="005C4D2C">
              <w:rPr>
                <w:rFonts w:cs="Arial"/>
                <w:sz w:val="18"/>
                <w:szCs w:val="18"/>
              </w:rPr>
              <w:t>23,885</w:t>
            </w:r>
          </w:p>
        </w:tc>
        <w:tc>
          <w:tcPr>
            <w:tcW w:w="1054" w:type="dxa"/>
          </w:tcPr>
          <w:p w14:paraId="60830A26" w14:textId="77777777" w:rsidR="00543D47" w:rsidRDefault="00543D47" w:rsidP="00D9610A">
            <w:r w:rsidRPr="005C4D2C">
              <w:rPr>
                <w:rFonts w:cs="Arial"/>
                <w:sz w:val="18"/>
                <w:szCs w:val="18"/>
              </w:rPr>
              <w:t>23.2%</w:t>
            </w:r>
          </w:p>
        </w:tc>
      </w:tr>
      <w:tr w:rsidR="00543D47" w14:paraId="485B27A3" w14:textId="77777777" w:rsidTr="00D9610A">
        <w:tc>
          <w:tcPr>
            <w:tcW w:w="703" w:type="dxa"/>
            <w:vAlign w:val="center"/>
          </w:tcPr>
          <w:p w14:paraId="30C556B4" w14:textId="77777777" w:rsidR="00543D47" w:rsidRDefault="00543D47" w:rsidP="00D9610A">
            <w:r w:rsidRPr="005C4D2C">
              <w:rPr>
                <w:rFonts w:cs="Arial"/>
                <w:sz w:val="18"/>
                <w:szCs w:val="18"/>
              </w:rPr>
              <w:t>66606</w:t>
            </w:r>
          </w:p>
        </w:tc>
        <w:tc>
          <w:tcPr>
            <w:tcW w:w="2857" w:type="dxa"/>
          </w:tcPr>
          <w:p w14:paraId="1D9C0B9D" w14:textId="77777777" w:rsidR="00543D47" w:rsidRDefault="00543D47" w:rsidP="00D9610A">
            <w:r w:rsidRPr="005C4D2C">
              <w:rPr>
                <w:rFonts w:cs="Arial"/>
                <w:sz w:val="18"/>
                <w:szCs w:val="18"/>
              </w:rPr>
              <w:t xml:space="preserve">A test described in item 66605 if rendered by a receiving APP - 1 or more </w:t>
            </w:r>
            <w:proofErr w:type="gramStart"/>
            <w:r w:rsidRPr="005C4D2C">
              <w:rPr>
                <w:rFonts w:cs="Arial"/>
                <w:sz w:val="18"/>
                <w:szCs w:val="18"/>
              </w:rPr>
              <w:t>tests(</w:t>
            </w:r>
            <w:proofErr w:type="gramEnd"/>
            <w:r w:rsidRPr="005C4D2C">
              <w:rPr>
                <w:rFonts w:cs="Arial"/>
                <w:sz w:val="18"/>
                <w:szCs w:val="18"/>
              </w:rPr>
              <w:t>Item is subject to rule 18 and 25)</w:t>
            </w:r>
          </w:p>
        </w:tc>
        <w:tc>
          <w:tcPr>
            <w:tcW w:w="1066" w:type="dxa"/>
          </w:tcPr>
          <w:p w14:paraId="06763FCF" w14:textId="77777777" w:rsidR="00543D47" w:rsidRDefault="00543D47" w:rsidP="00D9610A">
            <w:r w:rsidRPr="005C4D2C">
              <w:rPr>
                <w:rFonts w:cs="Arial"/>
                <w:sz w:val="18"/>
                <w:szCs w:val="18"/>
              </w:rPr>
              <w:t>30.60</w:t>
            </w:r>
          </w:p>
        </w:tc>
        <w:tc>
          <w:tcPr>
            <w:tcW w:w="1219" w:type="dxa"/>
          </w:tcPr>
          <w:p w14:paraId="017A9D67" w14:textId="77777777" w:rsidR="00543D47" w:rsidRDefault="00543D47" w:rsidP="00D9610A">
            <w:r w:rsidRPr="005C4D2C">
              <w:rPr>
                <w:rFonts w:cs="Arial"/>
                <w:sz w:val="18"/>
                <w:szCs w:val="18"/>
              </w:rPr>
              <w:t>$102,466</w:t>
            </w:r>
          </w:p>
        </w:tc>
        <w:tc>
          <w:tcPr>
            <w:tcW w:w="1071" w:type="dxa"/>
          </w:tcPr>
          <w:p w14:paraId="57F52A8B" w14:textId="77777777" w:rsidR="00543D47" w:rsidRDefault="00543D47" w:rsidP="00D9610A">
            <w:r w:rsidRPr="005C4D2C">
              <w:rPr>
                <w:rFonts w:cs="Arial"/>
                <w:sz w:val="18"/>
                <w:szCs w:val="18"/>
              </w:rPr>
              <w:t>3,945</w:t>
            </w:r>
          </w:p>
        </w:tc>
        <w:tc>
          <w:tcPr>
            <w:tcW w:w="1060" w:type="dxa"/>
          </w:tcPr>
          <w:p w14:paraId="736E0431" w14:textId="77777777" w:rsidR="00543D47" w:rsidRDefault="00543D47" w:rsidP="00D9610A">
            <w:r w:rsidRPr="005C4D2C">
              <w:rPr>
                <w:rFonts w:cs="Arial"/>
                <w:sz w:val="18"/>
                <w:szCs w:val="18"/>
              </w:rPr>
              <w:t>3,719</w:t>
            </w:r>
          </w:p>
        </w:tc>
        <w:tc>
          <w:tcPr>
            <w:tcW w:w="1054" w:type="dxa"/>
          </w:tcPr>
          <w:p w14:paraId="5EA3AE1B" w14:textId="77777777" w:rsidR="00543D47" w:rsidRDefault="00543D47" w:rsidP="00D9610A">
            <w:r w:rsidRPr="005C4D2C">
              <w:rPr>
                <w:rFonts w:cs="Arial"/>
                <w:sz w:val="18"/>
                <w:szCs w:val="18"/>
              </w:rPr>
              <w:t>-13.3%</w:t>
            </w:r>
          </w:p>
        </w:tc>
      </w:tr>
    </w:tbl>
    <w:p w14:paraId="6C0C6C48" w14:textId="77777777" w:rsidR="00543D47" w:rsidRPr="00503EF9" w:rsidRDefault="00543D47" w:rsidP="00543D47"/>
    <w:p w14:paraId="33A2FEB8" w14:textId="77777777" w:rsidR="00543D47" w:rsidRDefault="00543D47" w:rsidP="00543D47">
      <w:pPr>
        <w:pStyle w:val="Heading4"/>
      </w:pPr>
      <w:r>
        <w:t>Recommendation</w:t>
      </w:r>
    </w:p>
    <w:p w14:paraId="0F12965D" w14:textId="77777777" w:rsidR="00543D47" w:rsidRPr="003A33AC" w:rsidRDefault="00543D47" w:rsidP="00543D47">
      <w:pPr>
        <w:pStyle w:val="NormalBulleted"/>
        <w:rPr>
          <w:lang w:val="en-US" w:eastAsia="en-US"/>
        </w:rPr>
      </w:pPr>
      <w:r w:rsidRPr="003A33AC">
        <w:rPr>
          <w:lang w:val="en-US" w:eastAsia="en-US"/>
        </w:rPr>
        <w:t>The Committee did not recommend any changes to these items.</w:t>
      </w:r>
    </w:p>
    <w:p w14:paraId="571F2621" w14:textId="77777777" w:rsidR="00543D47" w:rsidRPr="003A33AC" w:rsidRDefault="00543D47" w:rsidP="00543D47">
      <w:pPr>
        <w:pStyle w:val="Heading4"/>
      </w:pPr>
      <w:r w:rsidRPr="003A33AC">
        <w:t>Rationale</w:t>
      </w:r>
    </w:p>
    <w:p w14:paraId="6106B09B" w14:textId="77777777" w:rsidR="00543D47" w:rsidRDefault="00543D47" w:rsidP="00543D47">
      <w:pPr>
        <w:pStyle w:val="NormalBulleted"/>
        <w:rPr>
          <w:lang w:val="en-US" w:eastAsia="en-US"/>
        </w:rPr>
      </w:pPr>
      <w:r w:rsidRPr="003A33AC">
        <w:rPr>
          <w:lang w:val="en-US" w:eastAsia="en-US"/>
        </w:rPr>
        <w:t xml:space="preserve">Items 66605 and 66606 are tests for vitamins B1, B2, B3, B6 and C in blood or urine. There has been a </w:t>
      </w:r>
      <w:r>
        <w:rPr>
          <w:lang w:val="en-US" w:eastAsia="en-US"/>
        </w:rPr>
        <w:t>marked</w:t>
      </w:r>
      <w:r w:rsidRPr="003A33AC">
        <w:rPr>
          <w:lang w:val="en-US" w:eastAsia="en-US"/>
        </w:rPr>
        <w:t xml:space="preserve"> increase in the </w:t>
      </w:r>
      <w:proofErr w:type="spellStart"/>
      <w:r w:rsidRPr="003A33AC">
        <w:rPr>
          <w:lang w:val="en-US" w:eastAsia="en-US"/>
        </w:rPr>
        <w:t>utilisation</w:t>
      </w:r>
      <w:proofErr w:type="spellEnd"/>
      <w:r w:rsidRPr="003A33AC">
        <w:rPr>
          <w:lang w:val="en-US" w:eastAsia="en-US"/>
        </w:rPr>
        <w:t xml:space="preserve"> of item 66605 over 5 years. The tests for vitamin B and C are grouped together and the Committee were unable to distinguish the requests for the different tests. As there was a steady increase in </w:t>
      </w:r>
      <w:proofErr w:type="spellStart"/>
      <w:r w:rsidRPr="003A33AC">
        <w:rPr>
          <w:lang w:val="en-US" w:eastAsia="en-US"/>
        </w:rPr>
        <w:t>utilisation</w:t>
      </w:r>
      <w:proofErr w:type="spellEnd"/>
      <w:r w:rsidRPr="003A33AC">
        <w:rPr>
          <w:lang w:val="en-US" w:eastAsia="en-US"/>
        </w:rPr>
        <w:t>, the Committee queried the clinical utility of vitamin C testing among the Australian population as true deficiency is diminishing. The Committee requested a literature review on vitamin C testing.</w:t>
      </w:r>
      <w:r>
        <w:rPr>
          <w:lang w:val="en-US" w:eastAsia="en-US"/>
        </w:rPr>
        <w:fldChar w:fldCharType="begin"/>
      </w:r>
      <w:r>
        <w:rPr>
          <w:lang w:val="en-US" w:eastAsia="en-US"/>
        </w:rPr>
        <w:instrText xml:space="preserve"> ADDIN EN.CITE &lt;EndNote&gt;&lt;Cite&gt;&lt;Author&gt;Health&lt;/Author&gt;&lt;Year&gt;2017&lt;/Year&gt;&lt;RecNum&gt;22&lt;/RecNum&gt;&lt;DisplayText&gt;&lt;style face="superscript"&gt;6&lt;/style&gt;&lt;/DisplayText&gt;&lt;record&gt;&lt;rec-number&gt;22&lt;/rec-number&gt;&lt;foreign-keys&gt;&lt;key app="EN" db-id="axta02z59p0tzoext0jprf27f2a5pp2era22" timestamp="1503537474"&gt;22&lt;/key&gt;&lt;/foreign-keys&gt;&lt;ref-type name="Report"&gt;27&lt;/ref-type&gt;&lt;contributors&gt;&lt;authors&gt;&lt;author&gt;NPS MedicineWise for Department of Health&lt;/author&gt;&lt;/authors&gt;&lt;tertiary-authors&gt;&lt;author&gt;NPS MedicineWise&lt;/author&gt;&lt;/tertiary-authors&gt;&lt;/contributors&gt;&lt;titles&gt;&lt;title&gt;Vitamin C testing: A review for the Medicare Review Taskforce&lt;/title&gt;&lt;/titles&gt;&lt;dates&gt;&lt;year&gt;2017&lt;/year&gt;&lt;/dates&gt;&lt;pub-location&gt;Sydney, NSW&lt;/pub-location&gt;&lt;urls&gt;&lt;/urls&gt;&lt;/record&gt;&lt;/Cite&gt;&lt;/EndNote&gt;</w:instrText>
      </w:r>
      <w:r>
        <w:rPr>
          <w:lang w:val="en-US" w:eastAsia="en-US"/>
        </w:rPr>
        <w:fldChar w:fldCharType="separate"/>
      </w:r>
      <w:r w:rsidRPr="00811642">
        <w:rPr>
          <w:noProof/>
          <w:vertAlign w:val="superscript"/>
          <w:lang w:val="en-US" w:eastAsia="en-US"/>
        </w:rPr>
        <w:t>6</w:t>
      </w:r>
      <w:r>
        <w:rPr>
          <w:lang w:val="en-US" w:eastAsia="en-US"/>
        </w:rPr>
        <w:fldChar w:fldCharType="end"/>
      </w:r>
    </w:p>
    <w:p w14:paraId="58B2045F" w14:textId="77777777" w:rsidR="00543D47" w:rsidRDefault="00543D47" w:rsidP="00543D47">
      <w:pPr>
        <w:spacing w:before="0" w:after="0" w:line="240" w:lineRule="auto"/>
        <w:rPr>
          <w:lang w:val="en-US" w:eastAsia="en-US"/>
        </w:rPr>
      </w:pPr>
      <w:r>
        <w:rPr>
          <w:lang w:val="en-US" w:eastAsia="en-US"/>
        </w:rPr>
        <w:br w:type="page"/>
      </w:r>
    </w:p>
    <w:p w14:paraId="405E9717" w14:textId="77777777" w:rsidR="00543D47" w:rsidRPr="003A33AC" w:rsidRDefault="00543D47" w:rsidP="00543D47">
      <w:pPr>
        <w:pStyle w:val="NormalBulleted"/>
        <w:rPr>
          <w:lang w:val="en-US" w:eastAsia="en-US"/>
        </w:rPr>
      </w:pPr>
      <w:r w:rsidRPr="003A33AC">
        <w:rPr>
          <w:lang w:val="en-US" w:eastAsia="en-US"/>
        </w:rPr>
        <w:lastRenderedPageBreak/>
        <w:t xml:space="preserve">The literature review aimed to answer the following questions: </w:t>
      </w:r>
    </w:p>
    <w:p w14:paraId="07D71A63" w14:textId="77777777" w:rsidR="00543D47" w:rsidRPr="003664D8" w:rsidRDefault="00543D47" w:rsidP="00543D47">
      <w:pPr>
        <w:pStyle w:val="NormalBulleted"/>
        <w:numPr>
          <w:ilvl w:val="1"/>
          <w:numId w:val="7"/>
        </w:numPr>
        <w:ind w:left="1276" w:hanging="425"/>
      </w:pPr>
      <w:r w:rsidRPr="003664D8">
        <w:t>What is the prevalence of vitamin C deficiency in the community?</w:t>
      </w:r>
    </w:p>
    <w:p w14:paraId="621BF0F3" w14:textId="77777777" w:rsidR="00543D47" w:rsidRPr="003664D8" w:rsidRDefault="00543D47" w:rsidP="00543D47">
      <w:pPr>
        <w:pStyle w:val="NormalBulleted"/>
        <w:numPr>
          <w:ilvl w:val="1"/>
          <w:numId w:val="7"/>
        </w:numPr>
        <w:ind w:left="1276" w:hanging="425"/>
      </w:pPr>
      <w:r w:rsidRPr="003664D8">
        <w:t>What are the health consequences of vitamin C deficiency?</w:t>
      </w:r>
    </w:p>
    <w:p w14:paraId="64F781D4" w14:textId="77777777" w:rsidR="00543D47" w:rsidRPr="003664D8" w:rsidRDefault="00543D47" w:rsidP="00543D47">
      <w:pPr>
        <w:pStyle w:val="NormalBulleted"/>
        <w:numPr>
          <w:ilvl w:val="1"/>
          <w:numId w:val="7"/>
        </w:numPr>
        <w:ind w:left="1276" w:hanging="425"/>
      </w:pPr>
      <w:r w:rsidRPr="003664D8">
        <w:t>What pre-analytical problems impact on the accuracy of vitamin C testing? What is the likelihood of vitamin C testing being reported incorrectly as deficient?</w:t>
      </w:r>
    </w:p>
    <w:p w14:paraId="063C7CE8" w14:textId="77777777" w:rsidR="00543D47" w:rsidRDefault="00543D47" w:rsidP="00543D47">
      <w:pPr>
        <w:pStyle w:val="NormalBulleted"/>
        <w:rPr>
          <w:lang w:val="en-US" w:eastAsia="en-US"/>
        </w:rPr>
      </w:pPr>
      <w:r w:rsidRPr="003A33AC">
        <w:rPr>
          <w:lang w:val="en-US" w:eastAsia="en-US"/>
        </w:rPr>
        <w:t>The literature review identified that there was a lack of epidemiological studies specific to Australia and therefore the prevalence of vitamin C deficiency is unknown. The prevalence was inferred from international survey data based on nutrient intake</w:t>
      </w:r>
      <w:r>
        <w:rPr>
          <w:lang w:val="en-US" w:eastAsia="en-US"/>
        </w:rPr>
        <w:t>. V</w:t>
      </w:r>
      <w:r w:rsidRPr="003A33AC">
        <w:rPr>
          <w:lang w:val="en-US" w:eastAsia="en-US"/>
        </w:rPr>
        <w:t>itamin C deficiency for men could range 8</w:t>
      </w:r>
      <w:r>
        <w:rPr>
          <w:lang w:val="en-US" w:eastAsia="en-US"/>
        </w:rPr>
        <w:t>%</w:t>
      </w:r>
      <w:r w:rsidRPr="003A33AC">
        <w:rPr>
          <w:lang w:val="en-US" w:eastAsia="en-US"/>
        </w:rPr>
        <w:t>–25% and 6</w:t>
      </w:r>
      <w:r>
        <w:rPr>
          <w:lang w:val="en-US" w:eastAsia="en-US"/>
        </w:rPr>
        <w:t>%</w:t>
      </w:r>
      <w:r w:rsidRPr="003A33AC">
        <w:rPr>
          <w:lang w:val="en-US" w:eastAsia="en-US"/>
        </w:rPr>
        <w:t xml:space="preserve">–16% for women and is less prevalent in children and adolescents. </w:t>
      </w:r>
    </w:p>
    <w:p w14:paraId="5990906B" w14:textId="77777777" w:rsidR="00543D47" w:rsidRDefault="00543D47" w:rsidP="00543D47">
      <w:pPr>
        <w:pStyle w:val="NormalBulleted"/>
        <w:rPr>
          <w:lang w:val="en-US" w:eastAsia="en-US"/>
        </w:rPr>
      </w:pPr>
      <w:r w:rsidRPr="003A33AC">
        <w:rPr>
          <w:lang w:val="en-US" w:eastAsia="en-US"/>
        </w:rPr>
        <w:t xml:space="preserve">The literature review identified research data that suggests that vitamin C deficiency is associated with greater risk of mortality from CVD. Patients with poor glomerular filtration rate (GFR) or patients undergoing dialysis are at </w:t>
      </w:r>
      <w:r>
        <w:rPr>
          <w:lang w:val="en-US" w:eastAsia="en-US"/>
        </w:rPr>
        <w:t xml:space="preserve">higher </w:t>
      </w:r>
      <w:r w:rsidRPr="003A33AC">
        <w:rPr>
          <w:lang w:val="en-US" w:eastAsia="en-US"/>
        </w:rPr>
        <w:t>risk of deficiency; lower vitamin C levels in these patients predict fatal and non</w:t>
      </w:r>
      <w:r>
        <w:rPr>
          <w:lang w:val="en-US" w:eastAsia="en-US"/>
        </w:rPr>
        <w:t>-</w:t>
      </w:r>
      <w:r w:rsidRPr="003A33AC">
        <w:rPr>
          <w:lang w:val="en-US" w:eastAsia="en-US"/>
        </w:rPr>
        <w:t xml:space="preserve">fatal major cardiac outcomes. Plasma concentrations of vitamin C are positively correlated with cognitive performance and are significantly reduced in elderly patients with dementia. </w:t>
      </w:r>
    </w:p>
    <w:p w14:paraId="1A01454C" w14:textId="77777777" w:rsidR="00543D47" w:rsidRPr="006F0F90" w:rsidRDefault="00543D47" w:rsidP="00543D47">
      <w:pPr>
        <w:pStyle w:val="NormalBulleted"/>
        <w:rPr>
          <w:lang w:val="en-US" w:eastAsia="en-US"/>
        </w:rPr>
      </w:pPr>
      <w:r w:rsidRPr="003A33AC">
        <w:rPr>
          <w:lang w:val="en-US" w:eastAsia="en-US"/>
        </w:rPr>
        <w:t xml:space="preserve">The literature review also concluded that the oxidation and degradation of ascorbic acid may occur due to delays or technical shortcomings in blood sampling, handling, preservation or the analysis procedure. Degradation of dehydroascorbic acid following oxidation of ascorbic acid can potentially result in underestimation of vitamin C concentrations. A diagnosis of vitamin C deficiency should not be made </w:t>
      </w:r>
      <w:proofErr w:type="gramStart"/>
      <w:r w:rsidRPr="003A33AC">
        <w:rPr>
          <w:lang w:val="en-US" w:eastAsia="en-US"/>
        </w:rPr>
        <w:t>on the basis of</w:t>
      </w:r>
      <w:proofErr w:type="gramEnd"/>
      <w:r w:rsidRPr="003A33AC">
        <w:rPr>
          <w:lang w:val="en-US" w:eastAsia="en-US"/>
        </w:rPr>
        <w:t xml:space="preserve"> the pathology test result alone but in conjunction with a detailed history of dietary inadequacy and clinical signs and symptoms. Based on the conclusions, the Committee recommended that no changes be made to items 66605 and 66606.</w:t>
      </w:r>
    </w:p>
    <w:p w14:paraId="3DCC21B7" w14:textId="77777777" w:rsidR="00543D47" w:rsidRDefault="00543D47" w:rsidP="00543D47">
      <w:pPr>
        <w:pStyle w:val="Heading3Numbered"/>
      </w:pPr>
      <w:r>
        <w:t>Vitamin A and E</w:t>
      </w:r>
    </w:p>
    <w:p w14:paraId="5B3650A8" w14:textId="77777777" w:rsidR="00543D47" w:rsidRDefault="00543D47" w:rsidP="00543D47">
      <w:pPr>
        <w:pStyle w:val="Caption"/>
      </w:pPr>
      <w:bookmarkStart w:id="107" w:name="_Toc534374925"/>
      <w:r>
        <w:t>Table 23: Item introduction table for items 66607, 66610</w:t>
      </w:r>
      <w:bookmarkEnd w:id="107"/>
    </w:p>
    <w:tbl>
      <w:tblPr>
        <w:tblStyle w:val="TableGrid"/>
        <w:tblW w:w="8935" w:type="dxa"/>
        <w:tblBorders>
          <w:insideV w:val="single" w:sz="4" w:space="0" w:color="984806" w:themeColor="accent6" w:themeShade="80"/>
        </w:tblBorders>
        <w:tblLook w:val="04A0" w:firstRow="1" w:lastRow="0" w:firstColumn="1" w:lastColumn="0" w:noHBand="0" w:noVBand="1"/>
        <w:tblCaption w:val="Introduction table for items 66607 and 66610"/>
        <w:tblDescription w:val="Table 23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3"/>
        <w:gridCol w:w="2857"/>
        <w:gridCol w:w="1066"/>
        <w:gridCol w:w="1124"/>
        <w:gridCol w:w="1071"/>
        <w:gridCol w:w="1060"/>
        <w:gridCol w:w="1054"/>
      </w:tblGrid>
      <w:tr w:rsidR="00543D47" w:rsidRPr="00370DFD" w14:paraId="5A121302" w14:textId="77777777" w:rsidTr="00D9610A">
        <w:trPr>
          <w:tblHeader/>
        </w:trPr>
        <w:tc>
          <w:tcPr>
            <w:tcW w:w="703" w:type="dxa"/>
            <w:vAlign w:val="center"/>
          </w:tcPr>
          <w:p w14:paraId="4DC11B71" w14:textId="77777777" w:rsidR="00543D47" w:rsidRPr="00370DFD" w:rsidRDefault="00543D47" w:rsidP="00D9610A">
            <w:pPr>
              <w:rPr>
                <w:sz w:val="18"/>
                <w:szCs w:val="18"/>
              </w:rPr>
            </w:pPr>
            <w:r w:rsidRPr="00370DFD">
              <w:rPr>
                <w:b/>
                <w:sz w:val="18"/>
                <w:szCs w:val="18"/>
              </w:rPr>
              <w:t>Item</w:t>
            </w:r>
          </w:p>
        </w:tc>
        <w:tc>
          <w:tcPr>
            <w:tcW w:w="2857" w:type="dxa"/>
            <w:vAlign w:val="center"/>
          </w:tcPr>
          <w:p w14:paraId="044692CC"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227A604C"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124" w:type="dxa"/>
            <w:vAlign w:val="center"/>
          </w:tcPr>
          <w:p w14:paraId="4BCD0253"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12DF0545"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10D9D6C0" w14:textId="77777777" w:rsidR="00543D47" w:rsidRPr="00370DFD" w:rsidRDefault="00543D47" w:rsidP="00D9610A">
            <w:pPr>
              <w:pStyle w:val="BodyText"/>
              <w:rPr>
                <w:sz w:val="18"/>
                <w:szCs w:val="18"/>
              </w:rPr>
            </w:pPr>
            <w:r w:rsidRPr="00370DFD">
              <w:rPr>
                <w:b/>
                <w:sz w:val="18"/>
                <w:szCs w:val="18"/>
              </w:rPr>
              <w:t>Patient count</w:t>
            </w:r>
            <w:r>
              <w:rPr>
                <w:b/>
                <w:sz w:val="18"/>
                <w:szCs w:val="18"/>
              </w:rPr>
              <w:t xml:space="preserve"> </w:t>
            </w:r>
            <w:r w:rsidRPr="00370DFD">
              <w:rPr>
                <w:b/>
                <w:sz w:val="18"/>
                <w:szCs w:val="18"/>
              </w:rPr>
              <w:t>2014–15</w:t>
            </w:r>
          </w:p>
        </w:tc>
        <w:tc>
          <w:tcPr>
            <w:tcW w:w="1054" w:type="dxa"/>
            <w:vAlign w:val="center"/>
          </w:tcPr>
          <w:p w14:paraId="10103D73"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036849" w14:paraId="6EF74DBC" w14:textId="77777777" w:rsidTr="00D9610A">
        <w:tc>
          <w:tcPr>
            <w:tcW w:w="703" w:type="dxa"/>
            <w:vAlign w:val="center"/>
          </w:tcPr>
          <w:p w14:paraId="02701058" w14:textId="77777777" w:rsidR="00543D47" w:rsidRPr="00370DFD" w:rsidRDefault="00543D47" w:rsidP="00D9610A">
            <w:pPr>
              <w:rPr>
                <w:sz w:val="18"/>
                <w:szCs w:val="18"/>
              </w:rPr>
            </w:pPr>
            <w:r w:rsidRPr="005C4D2C">
              <w:rPr>
                <w:rFonts w:cs="Arial"/>
                <w:sz w:val="18"/>
                <w:szCs w:val="18"/>
              </w:rPr>
              <w:t>66607</w:t>
            </w:r>
          </w:p>
        </w:tc>
        <w:tc>
          <w:tcPr>
            <w:tcW w:w="2857" w:type="dxa"/>
          </w:tcPr>
          <w:p w14:paraId="202FA091" w14:textId="77777777" w:rsidR="00543D47" w:rsidRPr="00036849" w:rsidRDefault="00543D47" w:rsidP="00D9610A">
            <w:pPr>
              <w:spacing w:line="240" w:lineRule="auto"/>
              <w:rPr>
                <w:sz w:val="18"/>
                <w:szCs w:val="18"/>
              </w:rPr>
            </w:pPr>
            <w:r>
              <w:rPr>
                <w:rFonts w:cs="Arial"/>
                <w:sz w:val="18"/>
                <w:szCs w:val="18"/>
              </w:rPr>
              <w:t>V</w:t>
            </w:r>
            <w:r w:rsidRPr="005C4D2C">
              <w:rPr>
                <w:rFonts w:cs="Arial"/>
                <w:sz w:val="18"/>
                <w:szCs w:val="18"/>
              </w:rPr>
              <w:t xml:space="preserve">itamins - quantitation of vitamins </w:t>
            </w:r>
            <w:r>
              <w:rPr>
                <w:rFonts w:cs="Arial"/>
                <w:sz w:val="18"/>
                <w:szCs w:val="18"/>
              </w:rPr>
              <w:t>A</w:t>
            </w:r>
            <w:r w:rsidRPr="005C4D2C">
              <w:rPr>
                <w:rFonts w:cs="Arial"/>
                <w:sz w:val="18"/>
                <w:szCs w:val="18"/>
              </w:rPr>
              <w:t xml:space="preserve"> or </w:t>
            </w:r>
            <w:r>
              <w:rPr>
                <w:rFonts w:cs="Arial"/>
                <w:sz w:val="18"/>
                <w:szCs w:val="18"/>
              </w:rPr>
              <w:t xml:space="preserve">E </w:t>
            </w:r>
            <w:r w:rsidRPr="005C4D2C">
              <w:rPr>
                <w:rFonts w:cs="Arial"/>
                <w:sz w:val="18"/>
                <w:szCs w:val="18"/>
              </w:rPr>
              <w:t xml:space="preserve">in blood, urine or other body fluid - 1 or more tests within a </w:t>
            </w:r>
            <w:r>
              <w:rPr>
                <w:rFonts w:cs="Arial"/>
                <w:sz w:val="18"/>
                <w:szCs w:val="18"/>
              </w:rPr>
              <w:t>6-month period</w:t>
            </w:r>
          </w:p>
        </w:tc>
        <w:tc>
          <w:tcPr>
            <w:tcW w:w="1066" w:type="dxa"/>
          </w:tcPr>
          <w:p w14:paraId="5E2F8EAD" w14:textId="77777777" w:rsidR="00543D47" w:rsidRPr="00036849" w:rsidRDefault="00543D47" w:rsidP="00D9610A">
            <w:pPr>
              <w:rPr>
                <w:sz w:val="18"/>
                <w:szCs w:val="18"/>
              </w:rPr>
            </w:pPr>
            <w:r w:rsidRPr="005C4D2C">
              <w:rPr>
                <w:rFonts w:cs="Arial"/>
                <w:sz w:val="18"/>
                <w:szCs w:val="18"/>
              </w:rPr>
              <w:t>75.75</w:t>
            </w:r>
          </w:p>
        </w:tc>
        <w:tc>
          <w:tcPr>
            <w:tcW w:w="1124" w:type="dxa"/>
          </w:tcPr>
          <w:p w14:paraId="618175F0" w14:textId="77777777" w:rsidR="00543D47" w:rsidRPr="00036849" w:rsidRDefault="00543D47" w:rsidP="00D9610A">
            <w:pPr>
              <w:rPr>
                <w:sz w:val="18"/>
                <w:szCs w:val="18"/>
              </w:rPr>
            </w:pPr>
            <w:r w:rsidRPr="005C4D2C">
              <w:rPr>
                <w:rFonts w:cs="Arial"/>
                <w:sz w:val="18"/>
                <w:szCs w:val="18"/>
              </w:rPr>
              <w:t>$1,041,806</w:t>
            </w:r>
          </w:p>
        </w:tc>
        <w:tc>
          <w:tcPr>
            <w:tcW w:w="1071" w:type="dxa"/>
          </w:tcPr>
          <w:p w14:paraId="3E965207" w14:textId="77777777" w:rsidR="00543D47" w:rsidRPr="00036849" w:rsidRDefault="00543D47" w:rsidP="00D9610A">
            <w:pPr>
              <w:rPr>
                <w:sz w:val="18"/>
                <w:szCs w:val="18"/>
              </w:rPr>
            </w:pPr>
            <w:r w:rsidRPr="005C4D2C">
              <w:rPr>
                <w:rFonts w:cs="Arial"/>
                <w:sz w:val="18"/>
                <w:szCs w:val="18"/>
              </w:rPr>
              <w:t>16,003</w:t>
            </w:r>
          </w:p>
        </w:tc>
        <w:tc>
          <w:tcPr>
            <w:tcW w:w="1060" w:type="dxa"/>
          </w:tcPr>
          <w:p w14:paraId="27D5A837" w14:textId="77777777" w:rsidR="00543D47" w:rsidRPr="00036849" w:rsidRDefault="00543D47" w:rsidP="00D9610A">
            <w:pPr>
              <w:rPr>
                <w:sz w:val="18"/>
                <w:szCs w:val="18"/>
              </w:rPr>
            </w:pPr>
            <w:r w:rsidRPr="005C4D2C">
              <w:rPr>
                <w:rFonts w:cs="Arial"/>
                <w:sz w:val="18"/>
                <w:szCs w:val="18"/>
              </w:rPr>
              <w:t>15,455</w:t>
            </w:r>
          </w:p>
        </w:tc>
        <w:tc>
          <w:tcPr>
            <w:tcW w:w="1054" w:type="dxa"/>
          </w:tcPr>
          <w:p w14:paraId="4AA31F5F" w14:textId="77777777" w:rsidR="00543D47" w:rsidRPr="00036849" w:rsidRDefault="00543D47" w:rsidP="00D9610A">
            <w:pPr>
              <w:rPr>
                <w:sz w:val="18"/>
                <w:szCs w:val="18"/>
              </w:rPr>
            </w:pPr>
            <w:r w:rsidRPr="005C4D2C">
              <w:rPr>
                <w:rFonts w:cs="Arial"/>
                <w:sz w:val="18"/>
                <w:szCs w:val="18"/>
              </w:rPr>
              <w:t>11.5%</w:t>
            </w:r>
          </w:p>
        </w:tc>
      </w:tr>
      <w:tr w:rsidR="00543D47" w:rsidRPr="00036849" w14:paraId="1C1D8F05" w14:textId="77777777" w:rsidTr="00D9610A">
        <w:tc>
          <w:tcPr>
            <w:tcW w:w="703" w:type="dxa"/>
            <w:vAlign w:val="center"/>
          </w:tcPr>
          <w:p w14:paraId="206E176A" w14:textId="77777777" w:rsidR="00543D47" w:rsidRDefault="00543D47" w:rsidP="00D9610A">
            <w:pPr>
              <w:rPr>
                <w:sz w:val="18"/>
                <w:szCs w:val="18"/>
              </w:rPr>
            </w:pPr>
            <w:r w:rsidRPr="005C4D2C">
              <w:rPr>
                <w:rFonts w:cs="Arial"/>
                <w:sz w:val="18"/>
                <w:szCs w:val="18"/>
              </w:rPr>
              <w:t>66610</w:t>
            </w:r>
          </w:p>
        </w:tc>
        <w:tc>
          <w:tcPr>
            <w:tcW w:w="2857" w:type="dxa"/>
          </w:tcPr>
          <w:p w14:paraId="3A850990" w14:textId="77777777" w:rsidR="00543D47" w:rsidRPr="000721C1" w:rsidRDefault="00543D47" w:rsidP="00D9610A">
            <w:pPr>
              <w:spacing w:line="240" w:lineRule="auto"/>
              <w:rPr>
                <w:rFonts w:ascii="Calibri" w:hAnsi="Calibri"/>
                <w:color w:val="000000"/>
                <w:sz w:val="18"/>
                <w:szCs w:val="18"/>
              </w:rPr>
            </w:pPr>
            <w:r>
              <w:rPr>
                <w:rFonts w:cs="Arial"/>
                <w:sz w:val="18"/>
                <w:szCs w:val="18"/>
              </w:rPr>
              <w:t>A</w:t>
            </w:r>
            <w:r w:rsidRPr="005C4D2C">
              <w:rPr>
                <w:rFonts w:cs="Arial"/>
                <w:sz w:val="18"/>
                <w:szCs w:val="18"/>
              </w:rPr>
              <w:t xml:space="preserve"> test described in item 66607 if rendered by a receiving </w:t>
            </w:r>
            <w:r>
              <w:rPr>
                <w:rFonts w:cs="Arial"/>
                <w:sz w:val="18"/>
                <w:szCs w:val="18"/>
              </w:rPr>
              <w:t>APP</w:t>
            </w:r>
            <w:r w:rsidRPr="005C4D2C">
              <w:rPr>
                <w:rFonts w:cs="Arial"/>
                <w:sz w:val="18"/>
                <w:szCs w:val="18"/>
              </w:rPr>
              <w:t xml:space="preserve"> - 1 or more tests</w:t>
            </w:r>
          </w:p>
        </w:tc>
        <w:tc>
          <w:tcPr>
            <w:tcW w:w="1066" w:type="dxa"/>
          </w:tcPr>
          <w:p w14:paraId="1CCC9ACD" w14:textId="77777777" w:rsidR="00543D47" w:rsidRPr="000721C1" w:rsidRDefault="00543D47" w:rsidP="00D9610A">
            <w:pPr>
              <w:rPr>
                <w:rFonts w:ascii="Calibri" w:hAnsi="Calibri"/>
                <w:color w:val="000000"/>
                <w:sz w:val="18"/>
                <w:szCs w:val="18"/>
              </w:rPr>
            </w:pPr>
            <w:r w:rsidRPr="005C4D2C">
              <w:rPr>
                <w:rFonts w:cs="Arial"/>
                <w:sz w:val="18"/>
                <w:szCs w:val="18"/>
              </w:rPr>
              <w:t>75.75</w:t>
            </w:r>
          </w:p>
        </w:tc>
        <w:tc>
          <w:tcPr>
            <w:tcW w:w="1124" w:type="dxa"/>
          </w:tcPr>
          <w:p w14:paraId="705B7ADE" w14:textId="77777777" w:rsidR="00543D47" w:rsidRPr="000721C1" w:rsidRDefault="00543D47" w:rsidP="00D9610A">
            <w:pPr>
              <w:rPr>
                <w:rFonts w:ascii="Calibri" w:hAnsi="Calibri"/>
                <w:color w:val="000000"/>
                <w:sz w:val="18"/>
                <w:szCs w:val="18"/>
              </w:rPr>
            </w:pPr>
            <w:r w:rsidRPr="005C4D2C">
              <w:rPr>
                <w:rFonts w:cs="Arial"/>
                <w:sz w:val="18"/>
                <w:szCs w:val="18"/>
              </w:rPr>
              <w:t>$92,578</w:t>
            </w:r>
          </w:p>
        </w:tc>
        <w:tc>
          <w:tcPr>
            <w:tcW w:w="1071" w:type="dxa"/>
          </w:tcPr>
          <w:p w14:paraId="00859309" w14:textId="77777777" w:rsidR="00543D47" w:rsidRPr="000721C1" w:rsidRDefault="00543D47" w:rsidP="00D9610A">
            <w:pPr>
              <w:rPr>
                <w:rFonts w:ascii="Calibri" w:hAnsi="Calibri"/>
                <w:color w:val="000000"/>
                <w:sz w:val="18"/>
                <w:szCs w:val="18"/>
              </w:rPr>
            </w:pPr>
            <w:r w:rsidRPr="005C4D2C">
              <w:rPr>
                <w:rFonts w:cs="Arial"/>
                <w:sz w:val="18"/>
                <w:szCs w:val="18"/>
              </w:rPr>
              <w:t>1,440</w:t>
            </w:r>
          </w:p>
        </w:tc>
        <w:tc>
          <w:tcPr>
            <w:tcW w:w="1060" w:type="dxa"/>
          </w:tcPr>
          <w:p w14:paraId="1F666177" w14:textId="77777777" w:rsidR="00543D47" w:rsidRPr="000721C1" w:rsidRDefault="00543D47" w:rsidP="00D9610A">
            <w:pPr>
              <w:rPr>
                <w:rFonts w:ascii="Calibri" w:hAnsi="Calibri"/>
                <w:color w:val="000000"/>
                <w:sz w:val="18"/>
                <w:szCs w:val="18"/>
              </w:rPr>
            </w:pPr>
            <w:r w:rsidRPr="005C4D2C">
              <w:rPr>
                <w:rFonts w:cs="Arial"/>
                <w:sz w:val="18"/>
                <w:szCs w:val="18"/>
              </w:rPr>
              <w:t>1,401</w:t>
            </w:r>
          </w:p>
        </w:tc>
        <w:tc>
          <w:tcPr>
            <w:tcW w:w="1054" w:type="dxa"/>
          </w:tcPr>
          <w:p w14:paraId="35B5D79E" w14:textId="77777777" w:rsidR="00543D47" w:rsidRPr="000721C1" w:rsidRDefault="00543D47" w:rsidP="00D9610A">
            <w:pPr>
              <w:rPr>
                <w:rFonts w:ascii="Calibri" w:hAnsi="Calibri"/>
                <w:color w:val="000000"/>
                <w:sz w:val="18"/>
                <w:szCs w:val="18"/>
              </w:rPr>
            </w:pPr>
            <w:r w:rsidRPr="005C4D2C">
              <w:rPr>
                <w:rFonts w:cs="Arial"/>
                <w:sz w:val="18"/>
                <w:szCs w:val="18"/>
              </w:rPr>
              <w:t>-</w:t>
            </w:r>
          </w:p>
        </w:tc>
      </w:tr>
    </w:tbl>
    <w:p w14:paraId="3504810B" w14:textId="77777777" w:rsidR="00543D47" w:rsidRPr="0085000E" w:rsidRDefault="00543D47" w:rsidP="00543D47"/>
    <w:p w14:paraId="08D74EC1" w14:textId="77777777" w:rsidR="00543D47" w:rsidRDefault="00543D47" w:rsidP="00543D47">
      <w:pPr>
        <w:pStyle w:val="Heading4"/>
      </w:pPr>
      <w:r>
        <w:t>Recommendation</w:t>
      </w:r>
    </w:p>
    <w:p w14:paraId="46F4E7BA" w14:textId="77777777" w:rsidR="00543D47" w:rsidRDefault="00543D47" w:rsidP="00543D47">
      <w:pPr>
        <w:pStyle w:val="NormalBulleted"/>
        <w:rPr>
          <w:lang w:val="en-US" w:eastAsia="en-US"/>
        </w:rPr>
      </w:pPr>
      <w:r>
        <w:rPr>
          <w:lang w:val="en-US" w:eastAsia="en-US"/>
        </w:rPr>
        <w:t>The Committee did not recommend any changes to these items.</w:t>
      </w:r>
    </w:p>
    <w:p w14:paraId="3C6AAB74" w14:textId="77777777" w:rsidR="00543D47" w:rsidRPr="00503EF9" w:rsidRDefault="00543D47" w:rsidP="00543D47">
      <w:pPr>
        <w:pStyle w:val="Heading4"/>
      </w:pPr>
      <w:r>
        <w:lastRenderedPageBreak/>
        <w:t xml:space="preserve">Rationale </w:t>
      </w:r>
    </w:p>
    <w:p w14:paraId="634055A8" w14:textId="77777777" w:rsidR="00543D47" w:rsidRDefault="00543D47" w:rsidP="00543D47">
      <w:pPr>
        <w:pStyle w:val="NormalBulleted"/>
        <w:rPr>
          <w:lang w:val="en-US" w:eastAsia="en-US"/>
        </w:rPr>
      </w:pPr>
      <w:r>
        <w:rPr>
          <w:lang w:val="en-US" w:eastAsia="en-US"/>
        </w:rPr>
        <w:t xml:space="preserve"> Items 66607 and 66610 are tests used to measure vitamin A or E in blood, urine or other body fluid. They are mainly determined in patients with fat malabsorption. The </w:t>
      </w:r>
      <w:proofErr w:type="spellStart"/>
      <w:r>
        <w:rPr>
          <w:lang w:val="en-US" w:eastAsia="en-US"/>
        </w:rPr>
        <w:t>utilisation</w:t>
      </w:r>
      <w:proofErr w:type="spellEnd"/>
      <w:r>
        <w:rPr>
          <w:lang w:val="en-US" w:eastAsia="en-US"/>
        </w:rPr>
        <w:t xml:space="preserve"> of these items is </w:t>
      </w:r>
      <w:proofErr w:type="gramStart"/>
      <w:r>
        <w:rPr>
          <w:lang w:val="en-US" w:eastAsia="en-US"/>
        </w:rPr>
        <w:t>fairly evenly</w:t>
      </w:r>
      <w:proofErr w:type="gramEnd"/>
      <w:r>
        <w:rPr>
          <w:lang w:val="en-US" w:eastAsia="en-US"/>
        </w:rPr>
        <w:t xml:space="preserve"> distributed across the different states in Australia and 65% of these tests are requested by specialists. The </w:t>
      </w:r>
      <w:proofErr w:type="spellStart"/>
      <w:r>
        <w:rPr>
          <w:lang w:val="en-US" w:eastAsia="en-US"/>
        </w:rPr>
        <w:t>utilisation</w:t>
      </w:r>
      <w:proofErr w:type="spellEnd"/>
      <w:r>
        <w:rPr>
          <w:lang w:val="en-US" w:eastAsia="en-US"/>
        </w:rPr>
        <w:t xml:space="preserve"> seems clinically appropriate.</w:t>
      </w:r>
    </w:p>
    <w:p w14:paraId="36230A0A" w14:textId="77777777" w:rsidR="00543D47" w:rsidRDefault="00543D47" w:rsidP="00543D47">
      <w:pPr>
        <w:pStyle w:val="Heading2"/>
        <w:rPr>
          <w:lang w:val="en-AU"/>
        </w:rPr>
      </w:pPr>
      <w:bookmarkStart w:id="108" w:name="_Toc514247623"/>
      <w:r>
        <w:rPr>
          <w:lang w:val="en-AU"/>
        </w:rPr>
        <w:t>Drugs</w:t>
      </w:r>
      <w:bookmarkEnd w:id="108"/>
      <w:r w:rsidRPr="00035958">
        <w:rPr>
          <w:highlight w:val="yellow"/>
          <w:lang w:val="en-AU"/>
        </w:rPr>
        <w:t xml:space="preserve"> </w:t>
      </w:r>
    </w:p>
    <w:p w14:paraId="7944ECB5" w14:textId="77777777" w:rsidR="00543D47" w:rsidRPr="00CA38FE" w:rsidRDefault="00543D47" w:rsidP="00543D47">
      <w:pPr>
        <w:pStyle w:val="Heading3Numbered"/>
      </w:pPr>
      <w:r w:rsidRPr="00CA38FE">
        <w:t>Drugs of abuse: items 66623, 66626</w:t>
      </w:r>
    </w:p>
    <w:p w14:paraId="6439DC1B" w14:textId="77777777" w:rsidR="00543D47" w:rsidRPr="007B492F" w:rsidRDefault="00543D47" w:rsidP="00543D47">
      <w:pPr>
        <w:pStyle w:val="Caption"/>
      </w:pPr>
      <w:bookmarkStart w:id="109" w:name="_Toc534374926"/>
      <w:r w:rsidRPr="00370DFD">
        <w:t xml:space="preserve">Table </w:t>
      </w:r>
      <w:r>
        <w:t>24</w:t>
      </w:r>
      <w:r w:rsidRPr="00370DFD">
        <w:t>. Item introduction</w:t>
      </w:r>
      <w:r>
        <w:t xml:space="preserve"> table for items 66623 and 66626</w:t>
      </w:r>
      <w:bookmarkEnd w:id="109"/>
    </w:p>
    <w:tbl>
      <w:tblPr>
        <w:tblStyle w:val="TableGrid"/>
        <w:tblW w:w="9030" w:type="dxa"/>
        <w:tblBorders>
          <w:insideV w:val="single" w:sz="4" w:space="0" w:color="984806" w:themeColor="accent6" w:themeShade="80"/>
        </w:tblBorders>
        <w:tblLook w:val="04A0" w:firstRow="1" w:lastRow="0" w:firstColumn="1" w:lastColumn="0" w:noHBand="0" w:noVBand="1"/>
        <w:tblCaption w:val="Introduction table for items 66623 and 66626"/>
        <w:tblDescription w:val="Table 24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3"/>
        <w:gridCol w:w="2857"/>
        <w:gridCol w:w="1066"/>
        <w:gridCol w:w="1219"/>
        <w:gridCol w:w="1071"/>
        <w:gridCol w:w="1060"/>
        <w:gridCol w:w="1054"/>
      </w:tblGrid>
      <w:tr w:rsidR="00543D47" w:rsidRPr="00370DFD" w14:paraId="45D4EF56" w14:textId="77777777" w:rsidTr="00D9610A">
        <w:trPr>
          <w:tblHeader/>
        </w:trPr>
        <w:tc>
          <w:tcPr>
            <w:tcW w:w="703" w:type="dxa"/>
            <w:vAlign w:val="center"/>
          </w:tcPr>
          <w:p w14:paraId="1ABDD77F" w14:textId="77777777" w:rsidR="00543D47" w:rsidRPr="00370DFD" w:rsidRDefault="00543D47" w:rsidP="00D9610A">
            <w:pPr>
              <w:rPr>
                <w:sz w:val="18"/>
                <w:szCs w:val="18"/>
              </w:rPr>
            </w:pPr>
            <w:r w:rsidRPr="00370DFD">
              <w:rPr>
                <w:b/>
                <w:sz w:val="18"/>
                <w:szCs w:val="18"/>
              </w:rPr>
              <w:t>Item</w:t>
            </w:r>
          </w:p>
        </w:tc>
        <w:tc>
          <w:tcPr>
            <w:tcW w:w="2857" w:type="dxa"/>
            <w:vAlign w:val="center"/>
          </w:tcPr>
          <w:p w14:paraId="0000D4E5"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3AF3F9AF"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219" w:type="dxa"/>
            <w:vAlign w:val="center"/>
          </w:tcPr>
          <w:p w14:paraId="3CBE73A9"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7167EDC9"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3B1A3E97" w14:textId="77777777" w:rsidR="00543D47" w:rsidRPr="00370DFD" w:rsidRDefault="00543D47" w:rsidP="00D9610A">
            <w:pPr>
              <w:pStyle w:val="BodyText"/>
              <w:rPr>
                <w:sz w:val="18"/>
                <w:szCs w:val="18"/>
              </w:rPr>
            </w:pPr>
            <w:r w:rsidRPr="00370DFD">
              <w:rPr>
                <w:b/>
                <w:sz w:val="18"/>
                <w:szCs w:val="18"/>
              </w:rPr>
              <w:t>Patient count</w:t>
            </w:r>
            <w:r>
              <w:rPr>
                <w:b/>
                <w:sz w:val="18"/>
                <w:szCs w:val="18"/>
              </w:rPr>
              <w:t xml:space="preserve"> </w:t>
            </w:r>
            <w:r w:rsidRPr="00370DFD">
              <w:rPr>
                <w:b/>
                <w:sz w:val="18"/>
                <w:szCs w:val="18"/>
              </w:rPr>
              <w:t>2014–15</w:t>
            </w:r>
          </w:p>
        </w:tc>
        <w:tc>
          <w:tcPr>
            <w:tcW w:w="1054" w:type="dxa"/>
            <w:vAlign w:val="center"/>
          </w:tcPr>
          <w:p w14:paraId="78E00962"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38C6680C" w14:textId="77777777" w:rsidTr="00D9610A">
        <w:tc>
          <w:tcPr>
            <w:tcW w:w="703" w:type="dxa"/>
          </w:tcPr>
          <w:p w14:paraId="14EE7E1A" w14:textId="77777777" w:rsidR="00543D47" w:rsidRPr="00370DFD" w:rsidRDefault="00543D47" w:rsidP="00D9610A">
            <w:pPr>
              <w:rPr>
                <w:sz w:val="18"/>
                <w:szCs w:val="18"/>
              </w:rPr>
            </w:pPr>
            <w:r>
              <w:rPr>
                <w:sz w:val="18"/>
                <w:szCs w:val="18"/>
              </w:rPr>
              <w:t>66623</w:t>
            </w:r>
          </w:p>
        </w:tc>
        <w:tc>
          <w:tcPr>
            <w:tcW w:w="2857" w:type="dxa"/>
            <w:vAlign w:val="center"/>
          </w:tcPr>
          <w:p w14:paraId="1C686657" w14:textId="77777777" w:rsidR="00543D47" w:rsidRPr="00036849" w:rsidRDefault="00543D47" w:rsidP="00D9610A">
            <w:pPr>
              <w:spacing w:line="240" w:lineRule="auto"/>
              <w:rPr>
                <w:sz w:val="18"/>
                <w:szCs w:val="18"/>
              </w:rPr>
            </w:pPr>
            <w:r w:rsidRPr="000721C1">
              <w:rPr>
                <w:rFonts w:ascii="Calibri" w:hAnsi="Calibri"/>
                <w:color w:val="000000"/>
                <w:sz w:val="18"/>
                <w:szCs w:val="18"/>
              </w:rPr>
              <w:t>All qualitative and quantitative tests on blood, urine or other body fluid for: (a) a drug or drugs of abuse (including illegal drugs and legally available drugs taken other than in appropriate dosage); or (b) ingested or absorbed toxic chemicals; including a service described in item 66800, 66803, 66806, 66812 or 66815 (if performed), but excluding: (c) the surveillance of sports people and athletes for performance improving substances; and (d) the monitoring of patients participating in a drug abuse treatment program</w:t>
            </w:r>
          </w:p>
        </w:tc>
        <w:tc>
          <w:tcPr>
            <w:tcW w:w="1066" w:type="dxa"/>
          </w:tcPr>
          <w:p w14:paraId="6C2AE89A" w14:textId="77777777" w:rsidR="00543D47" w:rsidRPr="00036849" w:rsidRDefault="00543D47" w:rsidP="00D9610A">
            <w:pPr>
              <w:rPr>
                <w:sz w:val="18"/>
                <w:szCs w:val="18"/>
              </w:rPr>
            </w:pPr>
            <w:r w:rsidRPr="000721C1">
              <w:rPr>
                <w:rFonts w:ascii="Calibri" w:hAnsi="Calibri"/>
                <w:color w:val="000000"/>
                <w:sz w:val="18"/>
                <w:szCs w:val="18"/>
              </w:rPr>
              <w:t>41.50</w:t>
            </w:r>
          </w:p>
        </w:tc>
        <w:tc>
          <w:tcPr>
            <w:tcW w:w="1219" w:type="dxa"/>
          </w:tcPr>
          <w:p w14:paraId="452A4359" w14:textId="77777777" w:rsidR="00543D47" w:rsidRPr="00036849" w:rsidRDefault="00543D47" w:rsidP="00D9610A">
            <w:pPr>
              <w:rPr>
                <w:sz w:val="18"/>
                <w:szCs w:val="18"/>
              </w:rPr>
            </w:pPr>
            <w:r w:rsidRPr="000721C1">
              <w:rPr>
                <w:rFonts w:ascii="Calibri" w:hAnsi="Calibri"/>
                <w:color w:val="000000"/>
                <w:sz w:val="18"/>
                <w:szCs w:val="18"/>
              </w:rPr>
              <w:t>$3,714,612</w:t>
            </w:r>
          </w:p>
        </w:tc>
        <w:tc>
          <w:tcPr>
            <w:tcW w:w="1071" w:type="dxa"/>
          </w:tcPr>
          <w:p w14:paraId="01667A4A" w14:textId="77777777" w:rsidR="00543D47" w:rsidRPr="00036849" w:rsidRDefault="00543D47" w:rsidP="00D9610A">
            <w:pPr>
              <w:rPr>
                <w:sz w:val="18"/>
                <w:szCs w:val="18"/>
              </w:rPr>
            </w:pPr>
            <w:r w:rsidRPr="000721C1">
              <w:rPr>
                <w:rFonts w:ascii="Calibri" w:hAnsi="Calibri"/>
                <w:color w:val="000000"/>
                <w:sz w:val="18"/>
                <w:szCs w:val="18"/>
              </w:rPr>
              <w:t>105,956</w:t>
            </w:r>
          </w:p>
        </w:tc>
        <w:tc>
          <w:tcPr>
            <w:tcW w:w="1060" w:type="dxa"/>
          </w:tcPr>
          <w:p w14:paraId="536E0AE6" w14:textId="77777777" w:rsidR="00543D47" w:rsidRPr="00036849" w:rsidRDefault="00543D47" w:rsidP="00D9610A">
            <w:pPr>
              <w:rPr>
                <w:sz w:val="18"/>
                <w:szCs w:val="18"/>
              </w:rPr>
            </w:pPr>
            <w:r w:rsidRPr="000721C1">
              <w:rPr>
                <w:rFonts w:ascii="Calibri" w:hAnsi="Calibri"/>
                <w:color w:val="000000"/>
                <w:sz w:val="18"/>
                <w:szCs w:val="18"/>
              </w:rPr>
              <w:t>53,533</w:t>
            </w:r>
          </w:p>
        </w:tc>
        <w:tc>
          <w:tcPr>
            <w:tcW w:w="1054" w:type="dxa"/>
          </w:tcPr>
          <w:p w14:paraId="3FA5053A" w14:textId="77777777" w:rsidR="00543D47" w:rsidRPr="00036849" w:rsidRDefault="00543D47" w:rsidP="00D9610A">
            <w:pPr>
              <w:rPr>
                <w:sz w:val="18"/>
                <w:szCs w:val="18"/>
              </w:rPr>
            </w:pPr>
            <w:r w:rsidRPr="000721C1">
              <w:rPr>
                <w:rFonts w:ascii="Calibri" w:hAnsi="Calibri"/>
                <w:color w:val="000000"/>
                <w:sz w:val="18"/>
                <w:szCs w:val="18"/>
              </w:rPr>
              <w:t>13.4%</w:t>
            </w:r>
          </w:p>
        </w:tc>
      </w:tr>
      <w:tr w:rsidR="00543D47" w:rsidRPr="00370DFD" w14:paraId="16219536" w14:textId="77777777" w:rsidTr="00D9610A">
        <w:tc>
          <w:tcPr>
            <w:tcW w:w="703" w:type="dxa"/>
          </w:tcPr>
          <w:p w14:paraId="2E92765E" w14:textId="77777777" w:rsidR="00543D47" w:rsidRPr="00370DFD" w:rsidRDefault="00543D47" w:rsidP="00D9610A">
            <w:pPr>
              <w:rPr>
                <w:sz w:val="18"/>
                <w:szCs w:val="18"/>
              </w:rPr>
            </w:pPr>
            <w:r>
              <w:rPr>
                <w:sz w:val="18"/>
                <w:szCs w:val="18"/>
              </w:rPr>
              <w:t>66626</w:t>
            </w:r>
          </w:p>
        </w:tc>
        <w:tc>
          <w:tcPr>
            <w:tcW w:w="2857" w:type="dxa"/>
            <w:vAlign w:val="center"/>
          </w:tcPr>
          <w:p w14:paraId="43D3BE1A" w14:textId="77777777" w:rsidR="00543D47" w:rsidRPr="00036849" w:rsidRDefault="00543D47" w:rsidP="00D9610A">
            <w:pPr>
              <w:spacing w:line="240" w:lineRule="auto"/>
              <w:rPr>
                <w:sz w:val="18"/>
                <w:szCs w:val="18"/>
              </w:rPr>
            </w:pPr>
            <w:r w:rsidRPr="000721C1">
              <w:rPr>
                <w:rFonts w:ascii="Calibri" w:hAnsi="Calibri"/>
                <w:color w:val="000000"/>
                <w:sz w:val="18"/>
                <w:szCs w:val="18"/>
              </w:rPr>
              <w:t>Detection or quantitation or both (not including the detection of nicotine and metabolites in smoking withdrawal programs) of a drug, or drugs, of abuse or a therapeutic drug, on a sample collected from a patient participating in a drug abuse treatment program; but excluding the surveillance of sports people and athletes for performance improving substances; including all tests on blood, urine or other body fluid (Item is subject to rule 25)</w:t>
            </w:r>
          </w:p>
        </w:tc>
        <w:tc>
          <w:tcPr>
            <w:tcW w:w="1066" w:type="dxa"/>
          </w:tcPr>
          <w:p w14:paraId="2D30D000" w14:textId="77777777" w:rsidR="00543D47" w:rsidRPr="00036849" w:rsidRDefault="00543D47" w:rsidP="00D9610A">
            <w:pPr>
              <w:rPr>
                <w:sz w:val="18"/>
                <w:szCs w:val="18"/>
              </w:rPr>
            </w:pPr>
            <w:r w:rsidRPr="000721C1">
              <w:rPr>
                <w:rFonts w:ascii="Calibri" w:hAnsi="Calibri"/>
                <w:color w:val="000000"/>
                <w:sz w:val="18"/>
                <w:szCs w:val="18"/>
              </w:rPr>
              <w:t>24.10</w:t>
            </w:r>
          </w:p>
        </w:tc>
        <w:tc>
          <w:tcPr>
            <w:tcW w:w="1219" w:type="dxa"/>
          </w:tcPr>
          <w:p w14:paraId="44A860B3" w14:textId="77777777" w:rsidR="00543D47" w:rsidRPr="00036849" w:rsidRDefault="00543D47" w:rsidP="00D9610A">
            <w:pPr>
              <w:rPr>
                <w:sz w:val="18"/>
                <w:szCs w:val="18"/>
              </w:rPr>
            </w:pPr>
            <w:r w:rsidRPr="000721C1">
              <w:rPr>
                <w:rFonts w:ascii="Calibri" w:hAnsi="Calibri"/>
                <w:color w:val="000000"/>
                <w:sz w:val="18"/>
                <w:szCs w:val="18"/>
              </w:rPr>
              <w:t>$2,478,036</w:t>
            </w:r>
          </w:p>
        </w:tc>
        <w:tc>
          <w:tcPr>
            <w:tcW w:w="1071" w:type="dxa"/>
          </w:tcPr>
          <w:p w14:paraId="0A927E8F" w14:textId="77777777" w:rsidR="00543D47" w:rsidRPr="00036849" w:rsidRDefault="00543D47" w:rsidP="00D9610A">
            <w:pPr>
              <w:rPr>
                <w:sz w:val="18"/>
                <w:szCs w:val="18"/>
              </w:rPr>
            </w:pPr>
            <w:r w:rsidRPr="000721C1">
              <w:rPr>
                <w:rFonts w:ascii="Calibri" w:hAnsi="Calibri"/>
                <w:color w:val="000000"/>
                <w:sz w:val="18"/>
                <w:szCs w:val="18"/>
              </w:rPr>
              <w:t>121,830</w:t>
            </w:r>
          </w:p>
        </w:tc>
        <w:tc>
          <w:tcPr>
            <w:tcW w:w="1060" w:type="dxa"/>
          </w:tcPr>
          <w:p w14:paraId="310DEB06" w14:textId="77777777" w:rsidR="00543D47" w:rsidRPr="00036849" w:rsidRDefault="00543D47" w:rsidP="00D9610A">
            <w:pPr>
              <w:rPr>
                <w:sz w:val="18"/>
                <w:szCs w:val="18"/>
              </w:rPr>
            </w:pPr>
            <w:r w:rsidRPr="000721C1">
              <w:rPr>
                <w:rFonts w:ascii="Calibri" w:hAnsi="Calibri"/>
                <w:color w:val="000000"/>
                <w:sz w:val="18"/>
                <w:szCs w:val="18"/>
              </w:rPr>
              <w:t>29,232</w:t>
            </w:r>
          </w:p>
        </w:tc>
        <w:tc>
          <w:tcPr>
            <w:tcW w:w="1054" w:type="dxa"/>
          </w:tcPr>
          <w:p w14:paraId="7DFE0C0F" w14:textId="77777777" w:rsidR="00543D47" w:rsidRPr="00036849" w:rsidRDefault="00543D47" w:rsidP="00D9610A">
            <w:pPr>
              <w:rPr>
                <w:sz w:val="18"/>
                <w:szCs w:val="18"/>
              </w:rPr>
            </w:pPr>
            <w:r w:rsidRPr="000721C1">
              <w:rPr>
                <w:rFonts w:ascii="Calibri" w:hAnsi="Calibri"/>
                <w:color w:val="000000"/>
                <w:sz w:val="18"/>
                <w:szCs w:val="18"/>
              </w:rPr>
              <w:t>-1.4%</w:t>
            </w:r>
          </w:p>
        </w:tc>
      </w:tr>
    </w:tbl>
    <w:p w14:paraId="2165F28A" w14:textId="77777777" w:rsidR="00543D47" w:rsidRPr="00370DFD" w:rsidRDefault="00543D47" w:rsidP="00543D47">
      <w:pPr>
        <w:pStyle w:val="Heading4"/>
        <w:rPr>
          <w:lang w:val="en-AU"/>
        </w:rPr>
      </w:pPr>
      <w:r w:rsidRPr="00370DFD">
        <w:rPr>
          <w:lang w:val="en-AU"/>
        </w:rPr>
        <w:t>Recommendation</w:t>
      </w:r>
    </w:p>
    <w:p w14:paraId="5F165B44" w14:textId="77777777" w:rsidR="00543D47" w:rsidRPr="0054223A" w:rsidRDefault="00543D47" w:rsidP="00543D47">
      <w:pPr>
        <w:pStyle w:val="NormalBulleted"/>
        <w:rPr>
          <w:lang w:eastAsia="en-US"/>
        </w:rPr>
      </w:pPr>
      <w:r w:rsidRPr="0054223A">
        <w:rPr>
          <w:lang w:eastAsia="en-US"/>
        </w:rPr>
        <w:t xml:space="preserve">The </w:t>
      </w:r>
      <w:r>
        <w:rPr>
          <w:lang w:eastAsia="en-US"/>
        </w:rPr>
        <w:t>Committee</w:t>
      </w:r>
      <w:r w:rsidRPr="0054223A">
        <w:rPr>
          <w:lang w:eastAsia="en-US"/>
        </w:rPr>
        <w:t xml:space="preserve"> did not recommend any changes to these items.</w:t>
      </w:r>
    </w:p>
    <w:p w14:paraId="77B83650" w14:textId="77777777" w:rsidR="00543D47" w:rsidRDefault="00543D47" w:rsidP="00543D47">
      <w:pPr>
        <w:pStyle w:val="Heading4"/>
        <w:rPr>
          <w:lang w:val="en-AU"/>
        </w:rPr>
      </w:pPr>
      <w:r w:rsidRPr="0057193B">
        <w:rPr>
          <w:lang w:val="en-AU"/>
        </w:rPr>
        <w:lastRenderedPageBreak/>
        <w:t>Rationale</w:t>
      </w:r>
      <w:r>
        <w:rPr>
          <w:lang w:val="en-AU"/>
        </w:rPr>
        <w:t xml:space="preserve"> </w:t>
      </w:r>
    </w:p>
    <w:p w14:paraId="71088981" w14:textId="77777777" w:rsidR="00543D47" w:rsidRPr="00407409" w:rsidRDefault="00543D47" w:rsidP="00543D47">
      <w:pPr>
        <w:pStyle w:val="NormalBulleted"/>
      </w:pPr>
      <w:r>
        <w:rPr>
          <w:lang w:eastAsia="en-US"/>
        </w:rPr>
        <w:t xml:space="preserve">These tests remain clinically appropriate and cover a range of testing when drugs are taken illicitly or where there is concern about drug toxicity usually following accidental or intentional drug overdose. </w:t>
      </w:r>
      <w:r w:rsidRPr="00687684">
        <w:t>The annual increase in 5 years of utilisation of item 66623 is over 13%.</w:t>
      </w:r>
      <w:r>
        <w:t xml:space="preserve"> However, it is noted that drug testing has been introduced in number of work (non-MBS) and other settings. T</w:t>
      </w:r>
      <w:r w:rsidRPr="00407409">
        <w:t xml:space="preserve">here is </w:t>
      </w:r>
      <w:r>
        <w:t>some</w:t>
      </w:r>
      <w:r w:rsidRPr="00407409">
        <w:t xml:space="preserve"> state variation in the utilisation of item 6662</w:t>
      </w:r>
      <w:r>
        <w:t>3</w:t>
      </w:r>
      <w:r w:rsidRPr="00407409">
        <w:t xml:space="preserve"> with </w:t>
      </w:r>
      <w:r>
        <w:t>VIC,</w:t>
      </w:r>
      <w:r w:rsidRPr="00407409">
        <w:t xml:space="preserve"> NSW</w:t>
      </w:r>
      <w:r>
        <w:t xml:space="preserve">, </w:t>
      </w:r>
      <w:r w:rsidRPr="00407409">
        <w:t>SA</w:t>
      </w:r>
      <w:r>
        <w:t xml:space="preserve"> </w:t>
      </w:r>
      <w:r w:rsidRPr="00407409">
        <w:t xml:space="preserve">and NT having </w:t>
      </w:r>
      <w:r>
        <w:t xml:space="preserve">relatively </w:t>
      </w:r>
      <w:r w:rsidRPr="00407409">
        <w:t>high</w:t>
      </w:r>
      <w:r>
        <w:t>er</w:t>
      </w:r>
      <w:r w:rsidRPr="00407409">
        <w:t xml:space="preserve"> utilisation rates</w:t>
      </w:r>
      <w:r>
        <w:t xml:space="preserve"> (see Figure 4). The utilisation of item 66626 has decreased slightly over the last 5 years</w:t>
      </w:r>
      <w:r w:rsidRPr="00687684">
        <w:t>, and there is a wide variation between states in the utilisation of this item. NSW, WA and the NT hav</w:t>
      </w:r>
      <w:r>
        <w:t>e the highest utilisation rates (Figure 5)</w:t>
      </w:r>
      <w:r w:rsidRPr="00687684">
        <w:t xml:space="preserve"> </w:t>
      </w:r>
    </w:p>
    <w:p w14:paraId="6F90102C" w14:textId="77777777" w:rsidR="00543D47" w:rsidRDefault="00543D47" w:rsidP="00543D47">
      <w:pPr>
        <w:pStyle w:val="Caption"/>
      </w:pPr>
      <w:bookmarkStart w:id="110" w:name="_Toc534374927"/>
      <w:r>
        <w:t>Figure 4. State utilisation for item 66623 services per 100,000 people</w:t>
      </w:r>
      <w:bookmarkEnd w:id="110"/>
    </w:p>
    <w:p w14:paraId="04C960FF" w14:textId="77777777" w:rsidR="00543D47" w:rsidRDefault="00543D47" w:rsidP="00543D47">
      <w:pPr>
        <w:rPr>
          <w:lang w:eastAsia="en-US"/>
        </w:rPr>
      </w:pPr>
      <w:r>
        <w:rPr>
          <w:noProof/>
        </w:rPr>
        <w:drawing>
          <wp:inline distT="0" distB="0" distL="0" distR="0" wp14:anchorId="2EBB9C1B" wp14:editId="6E608309">
            <wp:extent cx="5273040" cy="2933700"/>
            <wp:effectExtent l="0" t="0" r="3810" b="0"/>
            <wp:docPr id="1" name="Chart 1" descr="Figure 4 is graphical representation showing utilisation of item 66623 in the 2014/15 financial year. The y axis displays number of services, the x axis displays the state / territory" title="Usage of item 666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9AD79A" w14:textId="77777777" w:rsidR="00543D47" w:rsidRDefault="00543D47" w:rsidP="00543D47">
      <w:pPr>
        <w:pStyle w:val="Caption"/>
      </w:pPr>
      <w:bookmarkStart w:id="111" w:name="_Toc534374928"/>
      <w:r>
        <w:lastRenderedPageBreak/>
        <w:t>Figure 5. State utilisation for item 66626 services per 100,000 people</w:t>
      </w:r>
      <w:bookmarkEnd w:id="111"/>
    </w:p>
    <w:p w14:paraId="1B4DF4EE" w14:textId="77777777" w:rsidR="00543D47" w:rsidRDefault="00543D47" w:rsidP="00543D47">
      <w:pPr>
        <w:rPr>
          <w:lang w:eastAsia="en-US"/>
        </w:rPr>
      </w:pPr>
      <w:r>
        <w:rPr>
          <w:noProof/>
        </w:rPr>
        <w:drawing>
          <wp:inline distT="0" distB="0" distL="0" distR="0" wp14:anchorId="078FD833" wp14:editId="3465CD9B">
            <wp:extent cx="5250180" cy="3200400"/>
            <wp:effectExtent l="0" t="0" r="7620" b="0"/>
            <wp:docPr id="6" name="Chart 6" descr="Figure 5 displays the utilisation of item 66626 in the 2014/15 financial year by state / territory. Axis y displays the number of services, axis x displays the state / territory" title="Usage of item 666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BA1AF7" w14:textId="77777777" w:rsidR="00543D47" w:rsidRPr="00044F3D" w:rsidRDefault="00543D47" w:rsidP="00543D47">
      <w:pPr>
        <w:pStyle w:val="Heading3Numbered"/>
      </w:pPr>
      <w:r w:rsidRPr="00044F3D">
        <w:t>Therapeutic drug monitoring: items 66800, 66803, 66804, 66805, 66806</w:t>
      </w:r>
    </w:p>
    <w:p w14:paraId="36A93AAA" w14:textId="77777777" w:rsidR="00543D47" w:rsidRPr="00BD4D2A" w:rsidRDefault="00543D47" w:rsidP="00543D47">
      <w:pPr>
        <w:pStyle w:val="Caption"/>
      </w:pPr>
      <w:bookmarkStart w:id="112" w:name="_Toc534374929"/>
      <w:r w:rsidRPr="00370DFD">
        <w:t xml:space="preserve">Table </w:t>
      </w:r>
      <w:r>
        <w:t>25</w:t>
      </w:r>
      <w:r w:rsidRPr="00370DFD">
        <w:t>. Item introduction</w:t>
      </w:r>
      <w:r>
        <w:t xml:space="preserve"> table for items </w:t>
      </w:r>
      <w:r w:rsidRPr="00BD4D2A">
        <w:t>66800, 66803, 66804, 66805, 66806</w:t>
      </w:r>
      <w:bookmarkEnd w:id="112"/>
    </w:p>
    <w:tbl>
      <w:tblPr>
        <w:tblStyle w:val="TableGrid"/>
        <w:tblW w:w="9031" w:type="dxa"/>
        <w:tblBorders>
          <w:insideV w:val="single" w:sz="4" w:space="0" w:color="984806" w:themeColor="accent6" w:themeShade="80"/>
        </w:tblBorders>
        <w:tblLook w:val="04A0" w:firstRow="1" w:lastRow="0" w:firstColumn="1" w:lastColumn="0" w:noHBand="0" w:noVBand="1"/>
        <w:tblCaption w:val="Introduction table for items 66800, 66803, 66804, 66805 and 66806"/>
        <w:tblDescription w:val="Table 25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4"/>
        <w:gridCol w:w="2857"/>
        <w:gridCol w:w="1066"/>
        <w:gridCol w:w="1219"/>
        <w:gridCol w:w="1071"/>
        <w:gridCol w:w="1060"/>
        <w:gridCol w:w="1054"/>
      </w:tblGrid>
      <w:tr w:rsidR="00543D47" w:rsidRPr="00370DFD" w14:paraId="329D8A16" w14:textId="77777777" w:rsidTr="00D9610A">
        <w:trPr>
          <w:tblHeader/>
        </w:trPr>
        <w:tc>
          <w:tcPr>
            <w:tcW w:w="704" w:type="dxa"/>
            <w:vAlign w:val="center"/>
          </w:tcPr>
          <w:p w14:paraId="153C69CC" w14:textId="77777777" w:rsidR="00543D47" w:rsidRPr="00370DFD" w:rsidRDefault="00543D47" w:rsidP="00D9610A">
            <w:pPr>
              <w:rPr>
                <w:sz w:val="18"/>
                <w:szCs w:val="18"/>
              </w:rPr>
            </w:pPr>
            <w:r w:rsidRPr="00370DFD">
              <w:rPr>
                <w:b/>
                <w:sz w:val="18"/>
                <w:szCs w:val="18"/>
              </w:rPr>
              <w:t>Item</w:t>
            </w:r>
          </w:p>
        </w:tc>
        <w:tc>
          <w:tcPr>
            <w:tcW w:w="2857" w:type="dxa"/>
            <w:vAlign w:val="center"/>
          </w:tcPr>
          <w:p w14:paraId="49B36903"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02D070E2"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219" w:type="dxa"/>
            <w:vAlign w:val="center"/>
          </w:tcPr>
          <w:p w14:paraId="11874AF2"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0E52EC47"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1E3F196A" w14:textId="77777777" w:rsidR="00543D47" w:rsidRPr="00370DFD" w:rsidRDefault="00543D47" w:rsidP="00D9610A">
            <w:pPr>
              <w:pStyle w:val="BodyText"/>
              <w:rPr>
                <w:sz w:val="18"/>
                <w:szCs w:val="18"/>
              </w:rPr>
            </w:pPr>
            <w:r w:rsidRPr="00370DFD">
              <w:rPr>
                <w:b/>
                <w:sz w:val="18"/>
                <w:szCs w:val="18"/>
              </w:rPr>
              <w:t>Patient count</w:t>
            </w:r>
            <w:r>
              <w:rPr>
                <w:b/>
                <w:sz w:val="18"/>
                <w:szCs w:val="18"/>
              </w:rPr>
              <w:t xml:space="preserve"> </w:t>
            </w:r>
            <w:r>
              <w:rPr>
                <w:b/>
                <w:sz w:val="18"/>
                <w:szCs w:val="18"/>
              </w:rPr>
              <w:br/>
            </w:r>
            <w:r w:rsidRPr="00370DFD">
              <w:rPr>
                <w:b/>
                <w:sz w:val="18"/>
                <w:szCs w:val="18"/>
              </w:rPr>
              <w:t>2014–15</w:t>
            </w:r>
          </w:p>
        </w:tc>
        <w:tc>
          <w:tcPr>
            <w:tcW w:w="1054" w:type="dxa"/>
            <w:vAlign w:val="center"/>
          </w:tcPr>
          <w:p w14:paraId="75BEC521"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4146E090" w14:textId="77777777" w:rsidTr="00D9610A">
        <w:tc>
          <w:tcPr>
            <w:tcW w:w="704" w:type="dxa"/>
          </w:tcPr>
          <w:p w14:paraId="60C734A6" w14:textId="77777777" w:rsidR="00543D47" w:rsidRPr="00D22494" w:rsidRDefault="00543D47" w:rsidP="00D9610A">
            <w:pPr>
              <w:rPr>
                <w:sz w:val="18"/>
                <w:szCs w:val="18"/>
              </w:rPr>
            </w:pPr>
            <w:r w:rsidRPr="00D22494">
              <w:rPr>
                <w:sz w:val="18"/>
                <w:szCs w:val="18"/>
              </w:rPr>
              <w:t>66800</w:t>
            </w:r>
          </w:p>
        </w:tc>
        <w:tc>
          <w:tcPr>
            <w:tcW w:w="2857" w:type="dxa"/>
          </w:tcPr>
          <w:p w14:paraId="553BA928" w14:textId="77777777" w:rsidR="00543D47" w:rsidRPr="00D22494" w:rsidRDefault="00543D47" w:rsidP="00D9610A">
            <w:pPr>
              <w:rPr>
                <w:sz w:val="18"/>
                <w:szCs w:val="18"/>
              </w:rPr>
            </w:pPr>
            <w:r w:rsidRPr="000721C1">
              <w:rPr>
                <w:rFonts w:ascii="Calibri" w:hAnsi="Calibri"/>
                <w:color w:val="000000"/>
                <w:sz w:val="18"/>
                <w:szCs w:val="18"/>
              </w:rPr>
              <w:t>Quantitation in blood, urine or other body fluid by any method (except reagent tablet or reagent strip) of any of the following being used therapeutically by the patient from whom the specimen was taken: amikacin, carbamazepine, digoxin, disopyramide, ethanol, ethosuximide, gentamicin, lithium, lignocaine, netilmicin, paracetamol, phen</w:t>
            </w:r>
            <w:r>
              <w:rPr>
                <w:rFonts w:ascii="Calibri" w:hAnsi="Calibri"/>
                <w:color w:val="000000"/>
                <w:sz w:val="18"/>
                <w:szCs w:val="18"/>
              </w:rPr>
              <w:t>o</w:t>
            </w:r>
            <w:r w:rsidRPr="000721C1">
              <w:rPr>
                <w:rFonts w:ascii="Calibri" w:hAnsi="Calibri"/>
                <w:color w:val="000000"/>
                <w:sz w:val="18"/>
                <w:szCs w:val="18"/>
              </w:rPr>
              <w:t>barbitone, primidone, phenytoin, procainamide, quinidine, salicylate, theophylline, tobramycin, valproate or vancomycin - 1 test</w:t>
            </w:r>
            <w:r w:rsidRPr="000721C1">
              <w:rPr>
                <w:rFonts w:ascii="Calibri" w:hAnsi="Calibri"/>
                <w:color w:val="000000"/>
                <w:sz w:val="18"/>
                <w:szCs w:val="18"/>
              </w:rPr>
              <w:br/>
              <w:t>(Item to be subject to rule 6)</w:t>
            </w:r>
          </w:p>
        </w:tc>
        <w:tc>
          <w:tcPr>
            <w:tcW w:w="1066" w:type="dxa"/>
          </w:tcPr>
          <w:p w14:paraId="6CD5501A" w14:textId="77777777" w:rsidR="00543D47" w:rsidRPr="00D22494" w:rsidRDefault="00543D47" w:rsidP="00D9610A">
            <w:pPr>
              <w:rPr>
                <w:sz w:val="18"/>
                <w:szCs w:val="18"/>
              </w:rPr>
            </w:pPr>
            <w:r w:rsidRPr="000721C1">
              <w:rPr>
                <w:rFonts w:ascii="Calibri" w:hAnsi="Calibri"/>
                <w:color w:val="000000"/>
                <w:sz w:val="18"/>
                <w:szCs w:val="18"/>
              </w:rPr>
              <w:t>18.15</w:t>
            </w:r>
          </w:p>
        </w:tc>
        <w:tc>
          <w:tcPr>
            <w:tcW w:w="1219" w:type="dxa"/>
          </w:tcPr>
          <w:p w14:paraId="4E6ED6DA" w14:textId="77777777" w:rsidR="00543D47" w:rsidRPr="00D22494" w:rsidRDefault="00543D47" w:rsidP="00D9610A">
            <w:pPr>
              <w:rPr>
                <w:sz w:val="18"/>
                <w:szCs w:val="18"/>
              </w:rPr>
            </w:pPr>
            <w:r w:rsidRPr="000721C1">
              <w:rPr>
                <w:rFonts w:ascii="Calibri" w:hAnsi="Calibri"/>
                <w:color w:val="000000"/>
                <w:sz w:val="18"/>
                <w:szCs w:val="18"/>
              </w:rPr>
              <w:t>$4,953,203</w:t>
            </w:r>
          </w:p>
        </w:tc>
        <w:tc>
          <w:tcPr>
            <w:tcW w:w="1071" w:type="dxa"/>
          </w:tcPr>
          <w:p w14:paraId="0D354822" w14:textId="77777777" w:rsidR="00543D47" w:rsidRPr="00D22494" w:rsidRDefault="00543D47" w:rsidP="00D9610A">
            <w:pPr>
              <w:rPr>
                <w:sz w:val="18"/>
                <w:szCs w:val="18"/>
              </w:rPr>
            </w:pPr>
            <w:r w:rsidRPr="000721C1">
              <w:rPr>
                <w:rFonts w:ascii="Calibri" w:hAnsi="Calibri"/>
                <w:color w:val="000000"/>
                <w:sz w:val="18"/>
                <w:szCs w:val="18"/>
              </w:rPr>
              <w:t>332,469</w:t>
            </w:r>
          </w:p>
        </w:tc>
        <w:tc>
          <w:tcPr>
            <w:tcW w:w="1060" w:type="dxa"/>
          </w:tcPr>
          <w:p w14:paraId="501CF926" w14:textId="77777777" w:rsidR="00543D47" w:rsidRPr="00D22494" w:rsidRDefault="00543D47" w:rsidP="00D9610A">
            <w:pPr>
              <w:rPr>
                <w:sz w:val="18"/>
                <w:szCs w:val="18"/>
              </w:rPr>
            </w:pPr>
            <w:r w:rsidRPr="000721C1">
              <w:rPr>
                <w:rFonts w:ascii="Calibri" w:hAnsi="Calibri"/>
                <w:color w:val="000000"/>
                <w:sz w:val="18"/>
                <w:szCs w:val="18"/>
              </w:rPr>
              <w:t>164,128</w:t>
            </w:r>
          </w:p>
        </w:tc>
        <w:tc>
          <w:tcPr>
            <w:tcW w:w="1054" w:type="dxa"/>
          </w:tcPr>
          <w:p w14:paraId="028EF482" w14:textId="77777777" w:rsidR="00543D47" w:rsidRPr="00D22494" w:rsidRDefault="00543D47" w:rsidP="00D9610A">
            <w:pPr>
              <w:rPr>
                <w:sz w:val="18"/>
                <w:szCs w:val="18"/>
              </w:rPr>
            </w:pPr>
            <w:r w:rsidRPr="000721C1">
              <w:rPr>
                <w:rFonts w:ascii="Calibri" w:hAnsi="Calibri"/>
                <w:color w:val="000000"/>
                <w:sz w:val="18"/>
                <w:szCs w:val="18"/>
              </w:rPr>
              <w:t>-2.0%</w:t>
            </w:r>
          </w:p>
        </w:tc>
      </w:tr>
      <w:tr w:rsidR="00543D47" w:rsidRPr="00370DFD" w14:paraId="05B75005" w14:textId="77777777" w:rsidTr="00D9610A">
        <w:tc>
          <w:tcPr>
            <w:tcW w:w="704" w:type="dxa"/>
          </w:tcPr>
          <w:p w14:paraId="5721DD23" w14:textId="77777777" w:rsidR="00543D47" w:rsidRPr="00D22494" w:rsidRDefault="00543D47" w:rsidP="00D9610A">
            <w:pPr>
              <w:rPr>
                <w:sz w:val="18"/>
                <w:szCs w:val="18"/>
              </w:rPr>
            </w:pPr>
            <w:r w:rsidRPr="00D22494">
              <w:rPr>
                <w:sz w:val="18"/>
                <w:szCs w:val="18"/>
              </w:rPr>
              <w:t>66803</w:t>
            </w:r>
          </w:p>
        </w:tc>
        <w:tc>
          <w:tcPr>
            <w:tcW w:w="2857" w:type="dxa"/>
          </w:tcPr>
          <w:p w14:paraId="492D7CFA" w14:textId="77777777" w:rsidR="00543D47" w:rsidRPr="00D22494" w:rsidRDefault="00543D47" w:rsidP="00D9610A">
            <w:pPr>
              <w:rPr>
                <w:sz w:val="18"/>
                <w:szCs w:val="18"/>
              </w:rPr>
            </w:pPr>
            <w:r w:rsidRPr="000721C1">
              <w:rPr>
                <w:rFonts w:ascii="Calibri" w:hAnsi="Calibri"/>
                <w:color w:val="000000"/>
                <w:sz w:val="18"/>
                <w:szCs w:val="18"/>
              </w:rPr>
              <w:t>2 tests described in item 66800</w:t>
            </w:r>
            <w:r w:rsidRPr="000721C1">
              <w:rPr>
                <w:rFonts w:ascii="Calibri" w:hAnsi="Calibri"/>
                <w:color w:val="000000"/>
                <w:sz w:val="18"/>
                <w:szCs w:val="18"/>
              </w:rPr>
              <w:br/>
              <w:t>(Item is subject to rule 6)</w:t>
            </w:r>
          </w:p>
        </w:tc>
        <w:tc>
          <w:tcPr>
            <w:tcW w:w="1066" w:type="dxa"/>
          </w:tcPr>
          <w:p w14:paraId="712066EC" w14:textId="77777777" w:rsidR="00543D47" w:rsidRPr="00D22494" w:rsidRDefault="00543D47" w:rsidP="00D9610A">
            <w:pPr>
              <w:rPr>
                <w:sz w:val="18"/>
                <w:szCs w:val="18"/>
              </w:rPr>
            </w:pPr>
            <w:r w:rsidRPr="000721C1">
              <w:rPr>
                <w:rFonts w:ascii="Calibri" w:hAnsi="Calibri"/>
                <w:color w:val="000000"/>
                <w:sz w:val="18"/>
                <w:szCs w:val="18"/>
              </w:rPr>
              <w:t>30.50</w:t>
            </w:r>
          </w:p>
        </w:tc>
        <w:tc>
          <w:tcPr>
            <w:tcW w:w="1219" w:type="dxa"/>
          </w:tcPr>
          <w:p w14:paraId="03195F5A" w14:textId="77777777" w:rsidR="00543D47" w:rsidRPr="00D22494" w:rsidRDefault="00543D47" w:rsidP="00D9610A">
            <w:pPr>
              <w:rPr>
                <w:sz w:val="18"/>
                <w:szCs w:val="18"/>
              </w:rPr>
            </w:pPr>
            <w:r w:rsidRPr="000721C1">
              <w:rPr>
                <w:rFonts w:ascii="Calibri" w:hAnsi="Calibri"/>
                <w:color w:val="000000"/>
                <w:sz w:val="18"/>
                <w:szCs w:val="18"/>
              </w:rPr>
              <w:t>$512,679</w:t>
            </w:r>
          </w:p>
        </w:tc>
        <w:tc>
          <w:tcPr>
            <w:tcW w:w="1071" w:type="dxa"/>
          </w:tcPr>
          <w:p w14:paraId="7F6BBDA8" w14:textId="77777777" w:rsidR="00543D47" w:rsidRPr="00D22494" w:rsidRDefault="00543D47" w:rsidP="00D9610A">
            <w:pPr>
              <w:rPr>
                <w:sz w:val="18"/>
                <w:szCs w:val="18"/>
              </w:rPr>
            </w:pPr>
            <w:r w:rsidRPr="000721C1">
              <w:rPr>
                <w:rFonts w:ascii="Calibri" w:hAnsi="Calibri"/>
                <w:color w:val="000000"/>
                <w:sz w:val="18"/>
                <w:szCs w:val="18"/>
              </w:rPr>
              <w:t>20,358</w:t>
            </w:r>
          </w:p>
        </w:tc>
        <w:tc>
          <w:tcPr>
            <w:tcW w:w="1060" w:type="dxa"/>
          </w:tcPr>
          <w:p w14:paraId="6357DE8D" w14:textId="77777777" w:rsidR="00543D47" w:rsidRPr="00D22494" w:rsidRDefault="00543D47" w:rsidP="00D9610A">
            <w:pPr>
              <w:rPr>
                <w:sz w:val="18"/>
                <w:szCs w:val="18"/>
              </w:rPr>
            </w:pPr>
            <w:r w:rsidRPr="000721C1">
              <w:rPr>
                <w:rFonts w:ascii="Calibri" w:hAnsi="Calibri"/>
                <w:color w:val="000000"/>
                <w:sz w:val="18"/>
                <w:szCs w:val="18"/>
              </w:rPr>
              <w:t>12,514</w:t>
            </w:r>
          </w:p>
        </w:tc>
        <w:tc>
          <w:tcPr>
            <w:tcW w:w="1054" w:type="dxa"/>
          </w:tcPr>
          <w:p w14:paraId="3D01B631" w14:textId="77777777" w:rsidR="00543D47" w:rsidRPr="00D22494" w:rsidRDefault="00543D47" w:rsidP="00D9610A">
            <w:pPr>
              <w:rPr>
                <w:sz w:val="18"/>
                <w:szCs w:val="18"/>
              </w:rPr>
            </w:pPr>
            <w:r w:rsidRPr="000721C1">
              <w:rPr>
                <w:rFonts w:ascii="Calibri" w:hAnsi="Calibri"/>
                <w:color w:val="000000"/>
                <w:sz w:val="18"/>
                <w:szCs w:val="18"/>
              </w:rPr>
              <w:t>-7.4%</w:t>
            </w:r>
          </w:p>
        </w:tc>
      </w:tr>
      <w:tr w:rsidR="00543D47" w:rsidRPr="00370DFD" w14:paraId="3DFE6ECB" w14:textId="77777777" w:rsidTr="00D9610A">
        <w:tc>
          <w:tcPr>
            <w:tcW w:w="704" w:type="dxa"/>
          </w:tcPr>
          <w:p w14:paraId="6485779A" w14:textId="77777777" w:rsidR="00543D47" w:rsidRPr="00D22494" w:rsidRDefault="00543D47" w:rsidP="00D9610A">
            <w:pPr>
              <w:rPr>
                <w:sz w:val="18"/>
                <w:szCs w:val="18"/>
              </w:rPr>
            </w:pPr>
            <w:r w:rsidRPr="00D22494">
              <w:rPr>
                <w:sz w:val="18"/>
                <w:szCs w:val="18"/>
              </w:rPr>
              <w:lastRenderedPageBreak/>
              <w:t>66804</w:t>
            </w:r>
          </w:p>
        </w:tc>
        <w:tc>
          <w:tcPr>
            <w:tcW w:w="2857" w:type="dxa"/>
          </w:tcPr>
          <w:p w14:paraId="6F4A3A17" w14:textId="77777777" w:rsidR="00543D47" w:rsidRPr="00D22494" w:rsidRDefault="00543D47" w:rsidP="00D9610A">
            <w:pPr>
              <w:rPr>
                <w:sz w:val="18"/>
                <w:szCs w:val="18"/>
              </w:rPr>
            </w:pPr>
            <w:r w:rsidRPr="000721C1">
              <w:rPr>
                <w:rFonts w:ascii="Calibri" w:hAnsi="Calibri"/>
                <w:color w:val="000000"/>
                <w:sz w:val="18"/>
                <w:szCs w:val="18"/>
              </w:rPr>
              <w:t xml:space="preserve">A test described in item 66800 if rendered by a receiving APP, where no tests in the item have been rendered by the referring APP - 1 </w:t>
            </w:r>
            <w:proofErr w:type="gramStart"/>
            <w:r w:rsidRPr="000721C1">
              <w:rPr>
                <w:rFonts w:ascii="Calibri" w:hAnsi="Calibri"/>
                <w:color w:val="000000"/>
                <w:sz w:val="18"/>
                <w:szCs w:val="18"/>
              </w:rPr>
              <w:t>test(</w:t>
            </w:r>
            <w:proofErr w:type="gramEnd"/>
            <w:r w:rsidRPr="000721C1">
              <w:rPr>
                <w:rFonts w:ascii="Calibri" w:hAnsi="Calibri"/>
                <w:color w:val="000000"/>
                <w:sz w:val="18"/>
                <w:szCs w:val="18"/>
              </w:rPr>
              <w:t>Item is subject to rule 6 and 18)</w:t>
            </w:r>
          </w:p>
        </w:tc>
        <w:tc>
          <w:tcPr>
            <w:tcW w:w="1066" w:type="dxa"/>
          </w:tcPr>
          <w:p w14:paraId="0DA37AD2" w14:textId="77777777" w:rsidR="00543D47" w:rsidRPr="00D22494" w:rsidRDefault="00543D47" w:rsidP="00D9610A">
            <w:pPr>
              <w:rPr>
                <w:sz w:val="18"/>
                <w:szCs w:val="18"/>
              </w:rPr>
            </w:pPr>
            <w:r w:rsidRPr="000721C1">
              <w:rPr>
                <w:rFonts w:ascii="Calibri" w:hAnsi="Calibri"/>
                <w:color w:val="000000"/>
                <w:sz w:val="18"/>
                <w:szCs w:val="18"/>
              </w:rPr>
              <w:t>18.15</w:t>
            </w:r>
          </w:p>
        </w:tc>
        <w:tc>
          <w:tcPr>
            <w:tcW w:w="1219" w:type="dxa"/>
          </w:tcPr>
          <w:p w14:paraId="53AB8482" w14:textId="77777777" w:rsidR="00543D47" w:rsidRPr="00D22494" w:rsidRDefault="00543D47" w:rsidP="00D9610A">
            <w:pPr>
              <w:rPr>
                <w:sz w:val="18"/>
                <w:szCs w:val="18"/>
              </w:rPr>
            </w:pPr>
            <w:r w:rsidRPr="000721C1">
              <w:rPr>
                <w:rFonts w:ascii="Calibri" w:hAnsi="Calibri"/>
                <w:color w:val="000000"/>
                <w:sz w:val="18"/>
                <w:szCs w:val="18"/>
              </w:rPr>
              <w:t>$25,916</w:t>
            </w:r>
          </w:p>
        </w:tc>
        <w:tc>
          <w:tcPr>
            <w:tcW w:w="1071" w:type="dxa"/>
          </w:tcPr>
          <w:p w14:paraId="76074E3C" w14:textId="77777777" w:rsidR="00543D47" w:rsidRPr="00D22494" w:rsidRDefault="00543D47" w:rsidP="00D9610A">
            <w:pPr>
              <w:rPr>
                <w:sz w:val="18"/>
                <w:szCs w:val="18"/>
              </w:rPr>
            </w:pPr>
            <w:r w:rsidRPr="000721C1">
              <w:rPr>
                <w:rFonts w:ascii="Calibri" w:hAnsi="Calibri"/>
                <w:color w:val="000000"/>
                <w:sz w:val="18"/>
                <w:szCs w:val="18"/>
              </w:rPr>
              <w:t>1,705</w:t>
            </w:r>
          </w:p>
        </w:tc>
        <w:tc>
          <w:tcPr>
            <w:tcW w:w="1060" w:type="dxa"/>
          </w:tcPr>
          <w:p w14:paraId="115139ED" w14:textId="77777777" w:rsidR="00543D47" w:rsidRPr="00D22494" w:rsidRDefault="00543D47" w:rsidP="00D9610A">
            <w:pPr>
              <w:rPr>
                <w:sz w:val="18"/>
                <w:szCs w:val="18"/>
              </w:rPr>
            </w:pPr>
            <w:r w:rsidRPr="000721C1">
              <w:rPr>
                <w:rFonts w:ascii="Calibri" w:hAnsi="Calibri"/>
                <w:color w:val="000000"/>
                <w:sz w:val="18"/>
                <w:szCs w:val="18"/>
              </w:rPr>
              <w:t>1,007</w:t>
            </w:r>
          </w:p>
        </w:tc>
        <w:tc>
          <w:tcPr>
            <w:tcW w:w="1054" w:type="dxa"/>
          </w:tcPr>
          <w:p w14:paraId="742802C0" w14:textId="77777777" w:rsidR="00543D47" w:rsidRPr="00D22494" w:rsidRDefault="00543D47" w:rsidP="00D9610A">
            <w:pPr>
              <w:rPr>
                <w:sz w:val="18"/>
                <w:szCs w:val="18"/>
              </w:rPr>
            </w:pPr>
            <w:r w:rsidRPr="000721C1">
              <w:rPr>
                <w:rFonts w:ascii="Calibri" w:hAnsi="Calibri"/>
                <w:color w:val="000000"/>
                <w:sz w:val="18"/>
                <w:szCs w:val="18"/>
              </w:rPr>
              <w:t>-3.6%</w:t>
            </w:r>
          </w:p>
        </w:tc>
      </w:tr>
      <w:tr w:rsidR="00543D47" w:rsidRPr="00370DFD" w14:paraId="0089BE65" w14:textId="77777777" w:rsidTr="00D9610A">
        <w:tc>
          <w:tcPr>
            <w:tcW w:w="704" w:type="dxa"/>
          </w:tcPr>
          <w:p w14:paraId="64ED4313" w14:textId="77777777" w:rsidR="00543D47" w:rsidRPr="00D22494" w:rsidRDefault="00543D47" w:rsidP="00D9610A">
            <w:pPr>
              <w:rPr>
                <w:sz w:val="18"/>
                <w:szCs w:val="18"/>
              </w:rPr>
            </w:pPr>
            <w:r w:rsidRPr="00D22494">
              <w:rPr>
                <w:sz w:val="18"/>
                <w:szCs w:val="18"/>
              </w:rPr>
              <w:t>66805</w:t>
            </w:r>
          </w:p>
        </w:tc>
        <w:tc>
          <w:tcPr>
            <w:tcW w:w="2857" w:type="dxa"/>
          </w:tcPr>
          <w:p w14:paraId="7D332E3A" w14:textId="77777777" w:rsidR="00543D47" w:rsidRPr="00D22494" w:rsidRDefault="00543D47" w:rsidP="00D9610A">
            <w:pPr>
              <w:rPr>
                <w:sz w:val="18"/>
                <w:szCs w:val="18"/>
              </w:rPr>
            </w:pPr>
            <w:r w:rsidRPr="000721C1">
              <w:rPr>
                <w:rFonts w:ascii="Calibri" w:hAnsi="Calibri"/>
                <w:color w:val="000000"/>
                <w:sz w:val="18"/>
                <w:szCs w:val="18"/>
              </w:rPr>
              <w:t xml:space="preserve">A test described in item 66800 other than that described in 66804, if rendered by a receiving APP - each test to a maximum of 2 </w:t>
            </w:r>
            <w:proofErr w:type="gramStart"/>
            <w:r w:rsidRPr="000721C1">
              <w:rPr>
                <w:rFonts w:ascii="Calibri" w:hAnsi="Calibri"/>
                <w:color w:val="000000"/>
                <w:sz w:val="18"/>
                <w:szCs w:val="18"/>
              </w:rPr>
              <w:t>tests(</w:t>
            </w:r>
            <w:proofErr w:type="gramEnd"/>
            <w:r w:rsidRPr="000721C1">
              <w:rPr>
                <w:rFonts w:ascii="Calibri" w:hAnsi="Calibri"/>
                <w:color w:val="000000"/>
                <w:sz w:val="18"/>
                <w:szCs w:val="18"/>
              </w:rPr>
              <w:t>Item is subject to rule 6 and 18)</w:t>
            </w:r>
          </w:p>
        </w:tc>
        <w:tc>
          <w:tcPr>
            <w:tcW w:w="1066" w:type="dxa"/>
          </w:tcPr>
          <w:p w14:paraId="2F8170B7" w14:textId="77777777" w:rsidR="00543D47" w:rsidRPr="00D22494" w:rsidRDefault="00543D47" w:rsidP="00D9610A">
            <w:pPr>
              <w:rPr>
                <w:sz w:val="18"/>
                <w:szCs w:val="18"/>
              </w:rPr>
            </w:pPr>
            <w:r w:rsidRPr="000721C1">
              <w:rPr>
                <w:rFonts w:ascii="Calibri" w:hAnsi="Calibri"/>
                <w:color w:val="000000"/>
                <w:sz w:val="18"/>
                <w:szCs w:val="18"/>
              </w:rPr>
              <w:t>12.35</w:t>
            </w:r>
          </w:p>
        </w:tc>
        <w:tc>
          <w:tcPr>
            <w:tcW w:w="1219" w:type="dxa"/>
          </w:tcPr>
          <w:p w14:paraId="13CDE9E2" w14:textId="77777777" w:rsidR="00543D47" w:rsidRPr="00D22494" w:rsidRDefault="00543D47" w:rsidP="00D9610A">
            <w:pPr>
              <w:rPr>
                <w:sz w:val="18"/>
                <w:szCs w:val="18"/>
              </w:rPr>
            </w:pPr>
            <w:r w:rsidRPr="000721C1">
              <w:rPr>
                <w:rFonts w:ascii="Calibri" w:hAnsi="Calibri"/>
                <w:color w:val="000000"/>
                <w:sz w:val="18"/>
                <w:szCs w:val="18"/>
              </w:rPr>
              <w:t>$4,940</w:t>
            </w:r>
          </w:p>
        </w:tc>
        <w:tc>
          <w:tcPr>
            <w:tcW w:w="1071" w:type="dxa"/>
          </w:tcPr>
          <w:p w14:paraId="5D924EED" w14:textId="77777777" w:rsidR="00543D47" w:rsidRPr="00D22494" w:rsidRDefault="00543D47" w:rsidP="00D9610A">
            <w:pPr>
              <w:rPr>
                <w:sz w:val="18"/>
                <w:szCs w:val="18"/>
              </w:rPr>
            </w:pPr>
            <w:r w:rsidRPr="000721C1">
              <w:rPr>
                <w:rFonts w:ascii="Calibri" w:hAnsi="Calibri"/>
                <w:color w:val="000000"/>
                <w:sz w:val="18"/>
                <w:szCs w:val="18"/>
              </w:rPr>
              <w:t>478</w:t>
            </w:r>
          </w:p>
        </w:tc>
        <w:tc>
          <w:tcPr>
            <w:tcW w:w="1060" w:type="dxa"/>
          </w:tcPr>
          <w:p w14:paraId="50EAD368" w14:textId="77777777" w:rsidR="00543D47" w:rsidRPr="00D22494" w:rsidRDefault="00543D47" w:rsidP="00D9610A">
            <w:pPr>
              <w:rPr>
                <w:sz w:val="18"/>
                <w:szCs w:val="18"/>
              </w:rPr>
            </w:pPr>
            <w:r w:rsidRPr="000721C1">
              <w:rPr>
                <w:rFonts w:ascii="Calibri" w:hAnsi="Calibri"/>
                <w:color w:val="000000"/>
                <w:sz w:val="18"/>
                <w:szCs w:val="18"/>
              </w:rPr>
              <w:t>351</w:t>
            </w:r>
          </w:p>
        </w:tc>
        <w:tc>
          <w:tcPr>
            <w:tcW w:w="1054" w:type="dxa"/>
          </w:tcPr>
          <w:p w14:paraId="5BBD198B" w14:textId="77777777" w:rsidR="00543D47" w:rsidRPr="00D22494" w:rsidRDefault="00543D47" w:rsidP="00D9610A">
            <w:pPr>
              <w:rPr>
                <w:sz w:val="18"/>
                <w:szCs w:val="18"/>
              </w:rPr>
            </w:pPr>
            <w:r w:rsidRPr="000721C1">
              <w:rPr>
                <w:rFonts w:ascii="Calibri" w:hAnsi="Calibri"/>
                <w:color w:val="000000"/>
                <w:sz w:val="18"/>
                <w:szCs w:val="18"/>
              </w:rPr>
              <w:t>6.3%</w:t>
            </w:r>
          </w:p>
        </w:tc>
      </w:tr>
      <w:tr w:rsidR="00543D47" w:rsidRPr="00370DFD" w14:paraId="34BD96B1" w14:textId="77777777" w:rsidTr="00D9610A">
        <w:tc>
          <w:tcPr>
            <w:tcW w:w="704" w:type="dxa"/>
          </w:tcPr>
          <w:p w14:paraId="3F59D473" w14:textId="77777777" w:rsidR="00543D47" w:rsidRPr="00D22494" w:rsidRDefault="00543D47" w:rsidP="00D9610A">
            <w:pPr>
              <w:rPr>
                <w:sz w:val="18"/>
                <w:szCs w:val="18"/>
              </w:rPr>
            </w:pPr>
            <w:r w:rsidRPr="00D22494">
              <w:rPr>
                <w:sz w:val="18"/>
                <w:szCs w:val="18"/>
              </w:rPr>
              <w:t>66806</w:t>
            </w:r>
          </w:p>
        </w:tc>
        <w:tc>
          <w:tcPr>
            <w:tcW w:w="2857" w:type="dxa"/>
          </w:tcPr>
          <w:p w14:paraId="74381C9D" w14:textId="77777777" w:rsidR="00543D47" w:rsidRPr="00D22494" w:rsidRDefault="00543D47" w:rsidP="00D9610A">
            <w:pPr>
              <w:rPr>
                <w:sz w:val="18"/>
                <w:szCs w:val="18"/>
              </w:rPr>
            </w:pPr>
            <w:r w:rsidRPr="000721C1">
              <w:rPr>
                <w:rFonts w:ascii="Calibri" w:hAnsi="Calibri"/>
                <w:color w:val="000000"/>
                <w:sz w:val="18"/>
                <w:szCs w:val="18"/>
              </w:rPr>
              <w:t>3 tests described in item 66800</w:t>
            </w:r>
            <w:r w:rsidRPr="000721C1">
              <w:rPr>
                <w:rFonts w:ascii="Calibri" w:hAnsi="Calibri"/>
                <w:color w:val="000000"/>
                <w:sz w:val="18"/>
                <w:szCs w:val="18"/>
              </w:rPr>
              <w:br/>
              <w:t>(Item is subject to rule 6)</w:t>
            </w:r>
          </w:p>
        </w:tc>
        <w:tc>
          <w:tcPr>
            <w:tcW w:w="1066" w:type="dxa"/>
          </w:tcPr>
          <w:p w14:paraId="27AE9A5D" w14:textId="77777777" w:rsidR="00543D47" w:rsidRPr="00D22494" w:rsidRDefault="00543D47" w:rsidP="00D9610A">
            <w:pPr>
              <w:rPr>
                <w:sz w:val="18"/>
                <w:szCs w:val="18"/>
              </w:rPr>
            </w:pPr>
            <w:r w:rsidRPr="000721C1">
              <w:rPr>
                <w:rFonts w:ascii="Calibri" w:hAnsi="Calibri"/>
                <w:color w:val="000000"/>
                <w:sz w:val="18"/>
                <w:szCs w:val="18"/>
              </w:rPr>
              <w:t>41.85</w:t>
            </w:r>
          </w:p>
        </w:tc>
        <w:tc>
          <w:tcPr>
            <w:tcW w:w="1219" w:type="dxa"/>
          </w:tcPr>
          <w:p w14:paraId="7064A7D7" w14:textId="77777777" w:rsidR="00543D47" w:rsidRPr="00D22494" w:rsidRDefault="00543D47" w:rsidP="00D9610A">
            <w:pPr>
              <w:rPr>
                <w:sz w:val="18"/>
                <w:szCs w:val="18"/>
              </w:rPr>
            </w:pPr>
            <w:r w:rsidRPr="000721C1">
              <w:rPr>
                <w:rFonts w:ascii="Calibri" w:hAnsi="Calibri"/>
                <w:color w:val="000000"/>
                <w:sz w:val="18"/>
                <w:szCs w:val="18"/>
              </w:rPr>
              <w:t>$36,186</w:t>
            </w:r>
          </w:p>
        </w:tc>
        <w:tc>
          <w:tcPr>
            <w:tcW w:w="1071" w:type="dxa"/>
          </w:tcPr>
          <w:p w14:paraId="6087DCF0" w14:textId="77777777" w:rsidR="00543D47" w:rsidRPr="00D22494" w:rsidRDefault="00543D47" w:rsidP="00D9610A">
            <w:pPr>
              <w:rPr>
                <w:sz w:val="18"/>
                <w:szCs w:val="18"/>
              </w:rPr>
            </w:pPr>
            <w:r w:rsidRPr="000721C1">
              <w:rPr>
                <w:rFonts w:ascii="Calibri" w:hAnsi="Calibri"/>
                <w:color w:val="000000"/>
                <w:sz w:val="18"/>
                <w:szCs w:val="18"/>
              </w:rPr>
              <w:t>1,085</w:t>
            </w:r>
          </w:p>
        </w:tc>
        <w:tc>
          <w:tcPr>
            <w:tcW w:w="1060" w:type="dxa"/>
          </w:tcPr>
          <w:p w14:paraId="5733CA83" w14:textId="77777777" w:rsidR="00543D47" w:rsidRPr="00D22494" w:rsidRDefault="00543D47" w:rsidP="00D9610A">
            <w:pPr>
              <w:rPr>
                <w:sz w:val="18"/>
                <w:szCs w:val="18"/>
              </w:rPr>
            </w:pPr>
            <w:r w:rsidRPr="000721C1">
              <w:rPr>
                <w:rFonts w:ascii="Calibri" w:hAnsi="Calibri"/>
                <w:color w:val="000000"/>
                <w:sz w:val="18"/>
                <w:szCs w:val="18"/>
              </w:rPr>
              <w:t>811</w:t>
            </w:r>
          </w:p>
        </w:tc>
        <w:tc>
          <w:tcPr>
            <w:tcW w:w="1054" w:type="dxa"/>
          </w:tcPr>
          <w:p w14:paraId="78ECEFEF" w14:textId="77777777" w:rsidR="00543D47" w:rsidRPr="00D22494" w:rsidRDefault="00543D47" w:rsidP="00D9610A">
            <w:pPr>
              <w:rPr>
                <w:sz w:val="18"/>
                <w:szCs w:val="18"/>
              </w:rPr>
            </w:pPr>
            <w:r w:rsidRPr="000721C1">
              <w:rPr>
                <w:rFonts w:ascii="Calibri" w:hAnsi="Calibri"/>
                <w:color w:val="000000"/>
                <w:sz w:val="18"/>
                <w:szCs w:val="18"/>
              </w:rPr>
              <w:t>-14.0%</w:t>
            </w:r>
          </w:p>
        </w:tc>
      </w:tr>
    </w:tbl>
    <w:p w14:paraId="684AC94F" w14:textId="77777777" w:rsidR="00543D47" w:rsidRPr="000721C1" w:rsidRDefault="00543D47" w:rsidP="00543D47">
      <w:pPr>
        <w:pStyle w:val="Heading4"/>
        <w:rPr>
          <w:bCs w:val="0"/>
          <w:i w:val="0"/>
        </w:rPr>
      </w:pPr>
      <w:r w:rsidRPr="006F0F90">
        <w:rPr>
          <w:lang w:val="en-AU"/>
        </w:rPr>
        <w:t>Recommendation</w:t>
      </w:r>
    </w:p>
    <w:p w14:paraId="1819C0B5" w14:textId="77777777" w:rsidR="00543D47" w:rsidRDefault="00543D47" w:rsidP="00543D47">
      <w:pPr>
        <w:pStyle w:val="NormalBulleted"/>
        <w:rPr>
          <w:lang w:eastAsia="en-US"/>
        </w:rPr>
      </w:pPr>
      <w:r>
        <w:rPr>
          <w:lang w:eastAsia="en-US"/>
        </w:rPr>
        <w:t>The Committee recommended that the following drugs be removed from the item descriptor of item 66800:</w:t>
      </w:r>
    </w:p>
    <w:p w14:paraId="2F028D89" w14:textId="77777777" w:rsidR="00543D47" w:rsidRDefault="00543D47" w:rsidP="00543D47">
      <w:pPr>
        <w:pStyle w:val="NormalBulleted"/>
        <w:numPr>
          <w:ilvl w:val="1"/>
          <w:numId w:val="7"/>
        </w:numPr>
        <w:ind w:left="1276" w:hanging="425"/>
        <w:rPr>
          <w:lang w:eastAsia="en-US"/>
        </w:rPr>
      </w:pPr>
      <w:r w:rsidRPr="00947474">
        <w:t>disopyramide</w:t>
      </w:r>
      <w:r w:rsidRPr="00947474">
        <w:rPr>
          <w:lang w:eastAsia="en-US"/>
        </w:rPr>
        <w:t>, ethosuximide, lignocaine, netilmicin, procainamide, quinidine, salicylate</w:t>
      </w:r>
    </w:p>
    <w:p w14:paraId="0FFC99F0" w14:textId="77777777" w:rsidR="00543D47" w:rsidRDefault="00543D47" w:rsidP="00543D47">
      <w:pPr>
        <w:pStyle w:val="NormalBulleted"/>
        <w:rPr>
          <w:lang w:eastAsia="en-US"/>
        </w:rPr>
      </w:pPr>
      <w:r>
        <w:rPr>
          <w:lang w:eastAsia="en-US"/>
        </w:rPr>
        <w:t>The Committee recommended that the following drugs remain in the item descriptor:</w:t>
      </w:r>
    </w:p>
    <w:p w14:paraId="68AA4581" w14:textId="77777777" w:rsidR="00543D47" w:rsidRDefault="00543D47" w:rsidP="00543D47">
      <w:pPr>
        <w:pStyle w:val="NormalBulleted"/>
        <w:numPr>
          <w:ilvl w:val="1"/>
          <w:numId w:val="7"/>
        </w:numPr>
        <w:ind w:left="1276" w:hanging="425"/>
        <w:rPr>
          <w:lang w:eastAsia="en-US"/>
        </w:rPr>
      </w:pPr>
      <w:r>
        <w:t>a</w:t>
      </w:r>
      <w:r w:rsidRPr="00A926E7">
        <w:t>ntibiotics</w:t>
      </w:r>
      <w:r w:rsidRPr="00A926E7">
        <w:rPr>
          <w:lang w:eastAsia="en-US"/>
        </w:rPr>
        <w:t>: amikacin, gentamicin, tobramycin, vancomycin</w:t>
      </w:r>
    </w:p>
    <w:p w14:paraId="67396457" w14:textId="77777777" w:rsidR="00543D47" w:rsidRDefault="00543D47" w:rsidP="00543D47">
      <w:pPr>
        <w:pStyle w:val="NormalBulleted"/>
        <w:numPr>
          <w:ilvl w:val="1"/>
          <w:numId w:val="7"/>
        </w:numPr>
        <w:ind w:left="1276" w:hanging="425"/>
        <w:rPr>
          <w:lang w:eastAsia="en-US"/>
        </w:rPr>
      </w:pPr>
      <w:r>
        <w:t>a</w:t>
      </w:r>
      <w:r w:rsidRPr="00A926E7">
        <w:t>ntiepileptic</w:t>
      </w:r>
      <w:r w:rsidRPr="00A926E7">
        <w:rPr>
          <w:lang w:eastAsia="en-US"/>
        </w:rPr>
        <w:t xml:space="preserve"> drugs: carbamazepine, phenytoin, phenobarbitone, primidone, valproate</w:t>
      </w:r>
    </w:p>
    <w:p w14:paraId="1FCB4ED3" w14:textId="77777777" w:rsidR="00543D47" w:rsidRDefault="00543D47" w:rsidP="00543D47">
      <w:pPr>
        <w:pStyle w:val="NormalBulleted"/>
        <w:numPr>
          <w:ilvl w:val="1"/>
          <w:numId w:val="7"/>
        </w:numPr>
        <w:ind w:left="1276" w:hanging="425"/>
        <w:rPr>
          <w:rFonts w:cs="Arial"/>
        </w:rPr>
      </w:pPr>
      <w:r w:rsidRPr="0020164E">
        <w:rPr>
          <w:rFonts w:cs="Arial"/>
        </w:rPr>
        <w:t>digoxin, ethanol, lithium, paracetamol, theophylline</w:t>
      </w:r>
    </w:p>
    <w:p w14:paraId="559BB9BC" w14:textId="77777777" w:rsidR="00543D47" w:rsidRPr="0057193B" w:rsidRDefault="00543D47" w:rsidP="00543D47">
      <w:pPr>
        <w:pStyle w:val="Caption"/>
      </w:pPr>
      <w:bookmarkStart w:id="113" w:name="_Toc534374930"/>
      <w:r w:rsidRPr="00370DFD">
        <w:t xml:space="preserve">Table </w:t>
      </w:r>
      <w:r>
        <w:t>26</w:t>
      </w:r>
      <w:r w:rsidRPr="00370DFD">
        <w:t>: Current and proposed new item descriptor for item 66</w:t>
      </w:r>
      <w:r>
        <w:t>800</w:t>
      </w:r>
      <w:bookmarkEnd w:id="113"/>
    </w:p>
    <w:tbl>
      <w:tblPr>
        <w:tblStyle w:val="TableGrid"/>
        <w:tblW w:w="9354" w:type="dxa"/>
        <w:tblBorders>
          <w:insideV w:val="single" w:sz="4" w:space="0" w:color="984806" w:themeColor="accent6" w:themeShade="80"/>
        </w:tblBorders>
        <w:tblLook w:val="04A0" w:firstRow="1" w:lastRow="0" w:firstColumn="1" w:lastColumn="0" w:noHBand="0" w:noVBand="1"/>
        <w:tblCaption w:val="66800 item descriptor"/>
        <w:tblDescription w:val="Table 26 is a 3 column table. Column 1 lists the item number, column 2 displays the current item descriptor and column 3 dispays the proposed new item descriptor"/>
      </w:tblPr>
      <w:tblGrid>
        <w:gridCol w:w="1134"/>
        <w:gridCol w:w="4110"/>
        <w:gridCol w:w="4110"/>
      </w:tblGrid>
      <w:tr w:rsidR="00543D47" w:rsidRPr="0057193B" w14:paraId="67538C5A" w14:textId="77777777" w:rsidTr="00D9610A">
        <w:trPr>
          <w:tblHeader/>
        </w:trPr>
        <w:tc>
          <w:tcPr>
            <w:tcW w:w="1134" w:type="dxa"/>
          </w:tcPr>
          <w:p w14:paraId="52314D45" w14:textId="77777777" w:rsidR="00543D47" w:rsidRPr="0057193B" w:rsidRDefault="00543D47" w:rsidP="00D9610A">
            <w:pPr>
              <w:rPr>
                <w:b/>
                <w:sz w:val="18"/>
                <w:szCs w:val="18"/>
                <w:lang w:eastAsia="en-US"/>
              </w:rPr>
            </w:pPr>
            <w:r w:rsidRPr="0057193B">
              <w:rPr>
                <w:b/>
                <w:sz w:val="18"/>
                <w:szCs w:val="18"/>
              </w:rPr>
              <w:t>Item</w:t>
            </w:r>
          </w:p>
        </w:tc>
        <w:tc>
          <w:tcPr>
            <w:tcW w:w="4110" w:type="dxa"/>
          </w:tcPr>
          <w:p w14:paraId="486E2017" w14:textId="77777777" w:rsidR="00543D47" w:rsidRPr="0057193B" w:rsidRDefault="00543D47" w:rsidP="00D9610A">
            <w:pPr>
              <w:rPr>
                <w:b/>
                <w:sz w:val="18"/>
                <w:szCs w:val="18"/>
                <w:lang w:eastAsia="en-US"/>
              </w:rPr>
            </w:pPr>
            <w:r w:rsidRPr="0057193B">
              <w:rPr>
                <w:b/>
                <w:sz w:val="18"/>
                <w:szCs w:val="18"/>
              </w:rPr>
              <w:t>Current item descriptor</w:t>
            </w:r>
          </w:p>
        </w:tc>
        <w:tc>
          <w:tcPr>
            <w:tcW w:w="4110" w:type="dxa"/>
          </w:tcPr>
          <w:p w14:paraId="43D1EBE5" w14:textId="77777777" w:rsidR="00543D47" w:rsidRPr="0057193B" w:rsidRDefault="00543D47" w:rsidP="00D9610A">
            <w:pPr>
              <w:rPr>
                <w:b/>
                <w:sz w:val="18"/>
                <w:szCs w:val="18"/>
                <w:lang w:eastAsia="en-US"/>
              </w:rPr>
            </w:pPr>
            <w:r w:rsidRPr="0057193B">
              <w:rPr>
                <w:b/>
                <w:sz w:val="18"/>
                <w:szCs w:val="18"/>
              </w:rPr>
              <w:t>Proposed new item descriptor</w:t>
            </w:r>
          </w:p>
        </w:tc>
      </w:tr>
      <w:tr w:rsidR="00543D47" w:rsidRPr="0057193B" w14:paraId="6A8B4BAA" w14:textId="77777777" w:rsidTr="00D9610A">
        <w:tc>
          <w:tcPr>
            <w:tcW w:w="1134" w:type="dxa"/>
          </w:tcPr>
          <w:p w14:paraId="0B3C4293" w14:textId="77777777" w:rsidR="00543D47" w:rsidRPr="0057193B" w:rsidRDefault="00543D47" w:rsidP="00D9610A">
            <w:pPr>
              <w:rPr>
                <w:sz w:val="18"/>
                <w:szCs w:val="18"/>
                <w:lang w:eastAsia="en-US"/>
              </w:rPr>
            </w:pPr>
            <w:r>
              <w:rPr>
                <w:sz w:val="18"/>
                <w:szCs w:val="18"/>
              </w:rPr>
              <w:t>66800</w:t>
            </w:r>
          </w:p>
        </w:tc>
        <w:tc>
          <w:tcPr>
            <w:tcW w:w="4110" w:type="dxa"/>
          </w:tcPr>
          <w:p w14:paraId="21D2A7C5" w14:textId="77777777" w:rsidR="00543D47" w:rsidRPr="0057193B" w:rsidRDefault="00543D47" w:rsidP="00D9610A">
            <w:pPr>
              <w:rPr>
                <w:sz w:val="18"/>
                <w:szCs w:val="18"/>
                <w:lang w:eastAsia="en-US"/>
              </w:rPr>
            </w:pPr>
            <w:r w:rsidRPr="000721C1">
              <w:rPr>
                <w:rFonts w:ascii="Calibri" w:hAnsi="Calibri"/>
                <w:color w:val="000000"/>
                <w:sz w:val="18"/>
                <w:szCs w:val="18"/>
              </w:rPr>
              <w:t xml:space="preserve">Quantitation in blood, urine or other body fluid by any method (except reagent tablet or reagent strip) of any of the following being used therapeutically by the patient from whom the specimen was taken: amikacin, carbamazepine, digoxin, disopyramide, ethanol, ethosuximide, gentamicin, lithium, lignocaine, netilmicin, paracetamol, </w:t>
            </w:r>
            <w:proofErr w:type="spellStart"/>
            <w:r w:rsidRPr="000721C1">
              <w:rPr>
                <w:rFonts w:ascii="Calibri" w:hAnsi="Calibri"/>
                <w:color w:val="000000"/>
                <w:sz w:val="18"/>
                <w:szCs w:val="18"/>
              </w:rPr>
              <w:t>phenabarbitone</w:t>
            </w:r>
            <w:proofErr w:type="spellEnd"/>
            <w:r w:rsidRPr="000721C1">
              <w:rPr>
                <w:rFonts w:ascii="Calibri" w:hAnsi="Calibri"/>
                <w:color w:val="000000"/>
                <w:sz w:val="18"/>
                <w:szCs w:val="18"/>
              </w:rPr>
              <w:t>, primidone, phenytoin, procainamide, quinidine, salicylate, theophylline, tobramycin, v</w:t>
            </w:r>
            <w:r>
              <w:rPr>
                <w:rFonts w:ascii="Calibri" w:hAnsi="Calibri"/>
                <w:color w:val="000000"/>
                <w:sz w:val="18"/>
                <w:szCs w:val="18"/>
              </w:rPr>
              <w:t xml:space="preserve">alproate or vancomycin - 1 test </w:t>
            </w:r>
            <w:r w:rsidRPr="000721C1">
              <w:rPr>
                <w:rFonts w:ascii="Calibri" w:hAnsi="Calibri"/>
                <w:color w:val="000000"/>
                <w:sz w:val="18"/>
                <w:szCs w:val="18"/>
              </w:rPr>
              <w:t>(Item to be subject to rule 6)</w:t>
            </w:r>
          </w:p>
        </w:tc>
        <w:tc>
          <w:tcPr>
            <w:tcW w:w="4110" w:type="dxa"/>
          </w:tcPr>
          <w:p w14:paraId="297AE40B" w14:textId="77777777" w:rsidR="00543D47" w:rsidRPr="001575DC" w:rsidRDefault="00543D47" w:rsidP="00D9610A">
            <w:pPr>
              <w:rPr>
                <w:rFonts w:cs="Arial"/>
                <w:sz w:val="18"/>
                <w:szCs w:val="18"/>
              </w:rPr>
            </w:pPr>
            <w:r w:rsidRPr="00947474">
              <w:rPr>
                <w:rFonts w:cs="Arial"/>
                <w:sz w:val="18"/>
                <w:szCs w:val="18"/>
              </w:rPr>
              <w:t xml:space="preserve">Quantitation in blood, urine or other body fluid by any method (except reagent tablet or reagent strip) of any of the following being used therapeutically by the patient from whom the specimen was taken: amikacin, carbamazepine, digoxin, ethanol, gentamicin, lithium, paracetamol, </w:t>
            </w:r>
            <w:proofErr w:type="spellStart"/>
            <w:r w:rsidRPr="00947474">
              <w:rPr>
                <w:rFonts w:cs="Arial"/>
                <w:sz w:val="18"/>
                <w:szCs w:val="18"/>
              </w:rPr>
              <w:t>phenabarbitone</w:t>
            </w:r>
            <w:proofErr w:type="spellEnd"/>
            <w:r w:rsidRPr="00947474">
              <w:rPr>
                <w:rFonts w:cs="Arial"/>
                <w:sz w:val="18"/>
                <w:szCs w:val="18"/>
              </w:rPr>
              <w:t>, primidone, phenytoin, theophylline, tobramycin, valproate or vancomycin - 1 test</w:t>
            </w:r>
            <w:r>
              <w:rPr>
                <w:rFonts w:cs="Arial"/>
                <w:sz w:val="18"/>
                <w:szCs w:val="18"/>
              </w:rPr>
              <w:t xml:space="preserve"> </w:t>
            </w:r>
            <w:r w:rsidRPr="00947474">
              <w:rPr>
                <w:rFonts w:cs="Arial"/>
                <w:sz w:val="18"/>
                <w:szCs w:val="18"/>
              </w:rPr>
              <w:t>(Item to be subject to rule 6)</w:t>
            </w:r>
          </w:p>
        </w:tc>
      </w:tr>
    </w:tbl>
    <w:p w14:paraId="7CE2B882" w14:textId="77777777" w:rsidR="00543D47" w:rsidRPr="00947474" w:rsidRDefault="00543D47" w:rsidP="00543D47">
      <w:pPr>
        <w:pStyle w:val="Heading4"/>
        <w:rPr>
          <w:bCs w:val="0"/>
          <w:i w:val="0"/>
        </w:rPr>
      </w:pPr>
      <w:r w:rsidRPr="006F0F90">
        <w:rPr>
          <w:lang w:val="en-AU"/>
        </w:rPr>
        <w:lastRenderedPageBreak/>
        <w:t>Rationale</w:t>
      </w:r>
    </w:p>
    <w:p w14:paraId="20CD47D1" w14:textId="77777777" w:rsidR="00543D47" w:rsidRPr="00947474" w:rsidRDefault="00543D47" w:rsidP="00543D47">
      <w:pPr>
        <w:pStyle w:val="NormalBulleted"/>
        <w:rPr>
          <w:lang w:eastAsia="en-US"/>
        </w:rPr>
      </w:pPr>
      <w:r w:rsidRPr="00687684">
        <w:rPr>
          <w:lang w:eastAsia="en-US"/>
        </w:rPr>
        <w:t xml:space="preserve">The utilisation of items 66800, 66803 and 66806 is relatively </w:t>
      </w:r>
      <w:proofErr w:type="gramStart"/>
      <w:r w:rsidRPr="00687684">
        <w:rPr>
          <w:lang w:eastAsia="en-US"/>
        </w:rPr>
        <w:t>evenly-distributed</w:t>
      </w:r>
      <w:proofErr w:type="gramEnd"/>
      <w:r w:rsidRPr="00687684">
        <w:rPr>
          <w:lang w:eastAsia="en-US"/>
        </w:rPr>
        <w:t xml:space="preserve"> across the states, centred in the major cities, and is declining. This may be due to increased use of drugs that do not require monitoring, and because some of the drugs listed in item 66800 may not be currently used in clinical practice.</w:t>
      </w:r>
      <w:r>
        <w:rPr>
          <w:lang w:eastAsia="en-US"/>
        </w:rPr>
        <w:t xml:space="preserve"> Several</w:t>
      </w:r>
      <w:r w:rsidRPr="00947474">
        <w:rPr>
          <w:lang w:eastAsia="en-US"/>
        </w:rPr>
        <w:t xml:space="preserve"> of the drugs </w:t>
      </w:r>
      <w:r>
        <w:rPr>
          <w:lang w:eastAsia="en-US"/>
        </w:rPr>
        <w:t>described</w:t>
      </w:r>
      <w:r w:rsidRPr="00947474">
        <w:rPr>
          <w:lang w:eastAsia="en-US"/>
        </w:rPr>
        <w:t xml:space="preserve"> in</w:t>
      </w:r>
      <w:r>
        <w:rPr>
          <w:lang w:eastAsia="en-US"/>
        </w:rPr>
        <w:t xml:space="preserve"> item</w:t>
      </w:r>
      <w:r w:rsidRPr="00947474">
        <w:rPr>
          <w:lang w:eastAsia="en-US"/>
        </w:rPr>
        <w:t xml:space="preserve"> </w:t>
      </w:r>
      <w:r>
        <w:rPr>
          <w:lang w:eastAsia="en-US"/>
        </w:rPr>
        <w:t>66800</w:t>
      </w:r>
      <w:r w:rsidRPr="00947474">
        <w:rPr>
          <w:lang w:eastAsia="en-US"/>
        </w:rPr>
        <w:t xml:space="preserve"> are no longer </w:t>
      </w:r>
      <w:r>
        <w:rPr>
          <w:lang w:eastAsia="en-US"/>
        </w:rPr>
        <w:t>or very rarely measured</w:t>
      </w:r>
      <w:r w:rsidRPr="00947474">
        <w:rPr>
          <w:lang w:eastAsia="en-US"/>
        </w:rPr>
        <w:t xml:space="preserve"> in patients – the drugs are not used and/or outdated, or drug monitoring is not helpful.</w:t>
      </w:r>
    </w:p>
    <w:p w14:paraId="7E48E8AD" w14:textId="77777777" w:rsidR="00543D47" w:rsidRDefault="00543D47" w:rsidP="00543D47">
      <w:pPr>
        <w:pStyle w:val="NormalBulleted"/>
        <w:rPr>
          <w:lang w:eastAsia="en-US"/>
        </w:rPr>
      </w:pPr>
      <w:r>
        <w:rPr>
          <w:lang w:eastAsia="en-US"/>
        </w:rPr>
        <w:t>These</w:t>
      </w:r>
      <w:r w:rsidRPr="0020164E">
        <w:rPr>
          <w:lang w:eastAsia="en-US"/>
        </w:rPr>
        <w:t xml:space="preserve"> drugs are tested under item</w:t>
      </w:r>
      <w:r>
        <w:rPr>
          <w:lang w:eastAsia="en-US"/>
        </w:rPr>
        <w:t xml:space="preserve"> 66800</w:t>
      </w:r>
      <w:r w:rsidRPr="0020164E">
        <w:rPr>
          <w:lang w:eastAsia="en-US"/>
        </w:rPr>
        <w:t xml:space="preserve"> for a therapeutic purpose, and not for toxicity. </w:t>
      </w:r>
      <w:r>
        <w:rPr>
          <w:lang w:eastAsia="en-US"/>
        </w:rPr>
        <w:t>Tests for toxicity, including s</w:t>
      </w:r>
      <w:r w:rsidRPr="0020164E">
        <w:rPr>
          <w:lang w:eastAsia="en-US"/>
        </w:rPr>
        <w:t>alicylate toxicity</w:t>
      </w:r>
      <w:r>
        <w:rPr>
          <w:lang w:eastAsia="en-US"/>
        </w:rPr>
        <w:t>,</w:t>
      </w:r>
      <w:r w:rsidRPr="0020164E">
        <w:rPr>
          <w:lang w:eastAsia="en-US"/>
        </w:rPr>
        <w:t xml:space="preserve"> </w:t>
      </w:r>
      <w:r>
        <w:rPr>
          <w:lang w:eastAsia="en-US"/>
        </w:rPr>
        <w:t>are</w:t>
      </w:r>
      <w:r w:rsidRPr="0020164E">
        <w:rPr>
          <w:lang w:eastAsia="en-US"/>
        </w:rPr>
        <w:t xml:space="preserve"> covered under item 66623. </w:t>
      </w:r>
    </w:p>
    <w:p w14:paraId="4E132730" w14:textId="77777777" w:rsidR="00543D47" w:rsidRPr="00947474" w:rsidRDefault="00543D47" w:rsidP="00543D47">
      <w:pPr>
        <w:pStyle w:val="NormalBulleted"/>
        <w:rPr>
          <w:lang w:eastAsia="en-US"/>
        </w:rPr>
      </w:pPr>
      <w:r w:rsidRPr="00947474">
        <w:rPr>
          <w:lang w:eastAsia="en-US"/>
        </w:rPr>
        <w:t>Tests for therapeutic m</w:t>
      </w:r>
      <w:r>
        <w:rPr>
          <w:lang w:eastAsia="en-US"/>
        </w:rPr>
        <w:t>onitoring of</w:t>
      </w:r>
      <w:r w:rsidRPr="00947474">
        <w:rPr>
          <w:lang w:eastAsia="en-US"/>
        </w:rPr>
        <w:t xml:space="preserve"> </w:t>
      </w:r>
      <w:r>
        <w:rPr>
          <w:lang w:eastAsia="en-US"/>
        </w:rPr>
        <w:t xml:space="preserve">drugs removed from the list covered under 66800 </w:t>
      </w:r>
      <w:r w:rsidRPr="00947474">
        <w:rPr>
          <w:lang w:eastAsia="en-US"/>
        </w:rPr>
        <w:t xml:space="preserve">are rarely requested </w:t>
      </w:r>
      <w:r>
        <w:rPr>
          <w:lang w:eastAsia="en-US"/>
        </w:rPr>
        <w:t xml:space="preserve">and /or do require therapeutic monitoring. Testing </w:t>
      </w:r>
      <w:r w:rsidRPr="00947474">
        <w:rPr>
          <w:lang w:eastAsia="en-US"/>
        </w:rPr>
        <w:t xml:space="preserve">may be helpful </w:t>
      </w:r>
      <w:r>
        <w:rPr>
          <w:lang w:eastAsia="en-US"/>
        </w:rPr>
        <w:t xml:space="preserve">rarely </w:t>
      </w:r>
      <w:proofErr w:type="gramStart"/>
      <w:r>
        <w:rPr>
          <w:lang w:eastAsia="en-US"/>
        </w:rPr>
        <w:t>and in these instances</w:t>
      </w:r>
      <w:proofErr w:type="gramEnd"/>
      <w:r>
        <w:rPr>
          <w:lang w:eastAsia="en-US"/>
        </w:rPr>
        <w:t xml:space="preserve"> can be </w:t>
      </w:r>
      <w:r w:rsidRPr="00947474">
        <w:rPr>
          <w:lang w:eastAsia="en-US"/>
        </w:rPr>
        <w:t>provided i</w:t>
      </w:r>
      <w:r>
        <w:rPr>
          <w:lang w:eastAsia="en-US"/>
        </w:rPr>
        <w:t>n specialised laboratories with quality assurance.</w:t>
      </w:r>
    </w:p>
    <w:p w14:paraId="4FD33D78" w14:textId="77777777" w:rsidR="00543D47" w:rsidRDefault="00543D47" w:rsidP="00543D47">
      <w:pPr>
        <w:pStyle w:val="Heading3Numbered"/>
      </w:pPr>
      <w:r>
        <w:t>Special therapeutic drug monitoring: items 66812, 66815, 66816, 66817</w:t>
      </w:r>
    </w:p>
    <w:p w14:paraId="75EA070C" w14:textId="77777777" w:rsidR="00543D47" w:rsidRPr="007B492F" w:rsidRDefault="00543D47" w:rsidP="00543D47">
      <w:pPr>
        <w:pStyle w:val="Caption"/>
      </w:pPr>
      <w:bookmarkStart w:id="114" w:name="_Toc534374931"/>
      <w:r w:rsidRPr="00370DFD">
        <w:t xml:space="preserve">Table </w:t>
      </w:r>
      <w:r>
        <w:t>27</w:t>
      </w:r>
      <w:r w:rsidRPr="00370DFD">
        <w:t>. Item introduction</w:t>
      </w:r>
      <w:r>
        <w:t xml:space="preserve"> table for items 66812, 66815, 66816, 66817</w:t>
      </w:r>
      <w:bookmarkEnd w:id="114"/>
    </w:p>
    <w:tbl>
      <w:tblPr>
        <w:tblStyle w:val="TableGrid"/>
        <w:tblW w:w="9069" w:type="dxa"/>
        <w:tblBorders>
          <w:insideV w:val="single" w:sz="4" w:space="0" w:color="984806" w:themeColor="accent6" w:themeShade="80"/>
        </w:tblBorders>
        <w:tblLook w:val="04A0" w:firstRow="1" w:lastRow="0" w:firstColumn="1" w:lastColumn="0" w:noHBand="0" w:noVBand="1"/>
        <w:tblCaption w:val="Introduction table for items 66812, 66815, 66816 and 66817"/>
        <w:tblDescription w:val="Table 27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699"/>
        <w:gridCol w:w="2808"/>
        <w:gridCol w:w="1156"/>
        <w:gridCol w:w="1219"/>
        <w:gridCol w:w="1071"/>
        <w:gridCol w:w="1062"/>
        <w:gridCol w:w="1054"/>
      </w:tblGrid>
      <w:tr w:rsidR="00543D47" w:rsidRPr="00370DFD" w14:paraId="57486B23" w14:textId="77777777" w:rsidTr="00D9610A">
        <w:trPr>
          <w:tblHeader/>
        </w:trPr>
        <w:tc>
          <w:tcPr>
            <w:tcW w:w="699" w:type="dxa"/>
            <w:vAlign w:val="center"/>
          </w:tcPr>
          <w:p w14:paraId="2E1D4B20" w14:textId="77777777" w:rsidR="00543D47" w:rsidRPr="00370DFD" w:rsidRDefault="00543D47" w:rsidP="00D9610A">
            <w:pPr>
              <w:rPr>
                <w:sz w:val="18"/>
                <w:szCs w:val="18"/>
              </w:rPr>
            </w:pPr>
            <w:r w:rsidRPr="00370DFD">
              <w:rPr>
                <w:b/>
                <w:sz w:val="18"/>
                <w:szCs w:val="18"/>
              </w:rPr>
              <w:t>Item</w:t>
            </w:r>
          </w:p>
        </w:tc>
        <w:tc>
          <w:tcPr>
            <w:tcW w:w="2808" w:type="dxa"/>
            <w:vAlign w:val="center"/>
          </w:tcPr>
          <w:p w14:paraId="34D7D687" w14:textId="77777777" w:rsidR="00543D47" w:rsidRPr="00370DFD" w:rsidRDefault="00543D47" w:rsidP="00D9610A">
            <w:pPr>
              <w:rPr>
                <w:sz w:val="18"/>
                <w:szCs w:val="18"/>
              </w:rPr>
            </w:pPr>
            <w:r w:rsidRPr="00370DFD">
              <w:rPr>
                <w:b/>
                <w:sz w:val="18"/>
                <w:szCs w:val="18"/>
              </w:rPr>
              <w:t>Long item descriptor</w:t>
            </w:r>
          </w:p>
        </w:tc>
        <w:tc>
          <w:tcPr>
            <w:tcW w:w="1156" w:type="dxa"/>
            <w:vAlign w:val="center"/>
          </w:tcPr>
          <w:p w14:paraId="574DD2F5" w14:textId="77777777" w:rsidR="00543D47" w:rsidRPr="00370DFD" w:rsidRDefault="00543D47" w:rsidP="00D9610A">
            <w:pPr>
              <w:rPr>
                <w:sz w:val="18"/>
                <w:szCs w:val="18"/>
              </w:rPr>
            </w:pPr>
            <w:r>
              <w:rPr>
                <w:b/>
                <w:sz w:val="18"/>
                <w:szCs w:val="18"/>
              </w:rPr>
              <w:t>Schedule fee</w:t>
            </w:r>
          </w:p>
        </w:tc>
        <w:tc>
          <w:tcPr>
            <w:tcW w:w="1219" w:type="dxa"/>
            <w:vAlign w:val="center"/>
          </w:tcPr>
          <w:p w14:paraId="5FA2D9A4"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05846437"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2" w:type="dxa"/>
            <w:vAlign w:val="center"/>
          </w:tcPr>
          <w:p w14:paraId="43053A38"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54" w:type="dxa"/>
            <w:vAlign w:val="center"/>
          </w:tcPr>
          <w:p w14:paraId="3A973E93"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431F8FC6" w14:textId="77777777" w:rsidTr="00D9610A">
        <w:tc>
          <w:tcPr>
            <w:tcW w:w="699" w:type="dxa"/>
          </w:tcPr>
          <w:p w14:paraId="10430079" w14:textId="77777777" w:rsidR="00543D47" w:rsidRPr="00F13F76" w:rsidRDefault="00543D47" w:rsidP="00D9610A">
            <w:pPr>
              <w:rPr>
                <w:sz w:val="18"/>
                <w:szCs w:val="18"/>
              </w:rPr>
            </w:pPr>
            <w:r w:rsidRPr="00F13F76">
              <w:rPr>
                <w:sz w:val="18"/>
                <w:szCs w:val="18"/>
              </w:rPr>
              <w:t>66812</w:t>
            </w:r>
          </w:p>
        </w:tc>
        <w:tc>
          <w:tcPr>
            <w:tcW w:w="2808" w:type="dxa"/>
          </w:tcPr>
          <w:p w14:paraId="7575E4DD" w14:textId="77777777" w:rsidR="00543D47" w:rsidRPr="00F13F76" w:rsidRDefault="00543D47" w:rsidP="00D9610A">
            <w:pPr>
              <w:rPr>
                <w:sz w:val="18"/>
                <w:szCs w:val="18"/>
              </w:rPr>
            </w:pPr>
            <w:r w:rsidRPr="000721C1">
              <w:rPr>
                <w:rFonts w:ascii="Calibri" w:hAnsi="Calibri"/>
                <w:color w:val="000000"/>
                <w:sz w:val="18"/>
                <w:szCs w:val="18"/>
              </w:rPr>
              <w:t xml:space="preserve">Quantitation, not elsewhere described in this Table by any method or methods, in blood, urine or other body fluid, of a drug being used therapeutically by the patient from whom </w:t>
            </w:r>
            <w:r>
              <w:rPr>
                <w:rFonts w:ascii="Calibri" w:hAnsi="Calibri"/>
                <w:color w:val="000000"/>
                <w:sz w:val="18"/>
                <w:szCs w:val="18"/>
              </w:rPr>
              <w:t>the specimen was taken - 1 test</w:t>
            </w:r>
            <w:r w:rsidRPr="000721C1">
              <w:rPr>
                <w:rFonts w:ascii="Calibri" w:hAnsi="Calibri"/>
                <w:color w:val="000000"/>
                <w:sz w:val="18"/>
                <w:szCs w:val="18"/>
              </w:rPr>
              <w:br/>
              <w:t xml:space="preserve">(This fee applies where 1 laboratory performs the only test specified on the request form or performs 1 test and refers the rest to the laboratory of a separate </w:t>
            </w:r>
            <w:r>
              <w:rPr>
                <w:rFonts w:ascii="Calibri" w:hAnsi="Calibri"/>
                <w:color w:val="000000"/>
                <w:sz w:val="18"/>
                <w:szCs w:val="18"/>
              </w:rPr>
              <w:t>APA</w:t>
            </w:r>
            <w:r w:rsidRPr="000721C1">
              <w:rPr>
                <w:rFonts w:ascii="Calibri" w:hAnsi="Calibri"/>
                <w:color w:val="000000"/>
                <w:sz w:val="18"/>
                <w:szCs w:val="18"/>
              </w:rPr>
              <w:t xml:space="preserve"> (Item is subject to rule 6)</w:t>
            </w:r>
          </w:p>
        </w:tc>
        <w:tc>
          <w:tcPr>
            <w:tcW w:w="1156" w:type="dxa"/>
          </w:tcPr>
          <w:p w14:paraId="46D9FA5B" w14:textId="77777777" w:rsidR="00543D47" w:rsidRPr="00F13F76" w:rsidRDefault="00543D47" w:rsidP="00D9610A">
            <w:pPr>
              <w:rPr>
                <w:sz w:val="18"/>
                <w:szCs w:val="18"/>
              </w:rPr>
            </w:pPr>
            <w:r w:rsidRPr="000721C1">
              <w:rPr>
                <w:rFonts w:ascii="Calibri" w:hAnsi="Calibri"/>
                <w:color w:val="000000"/>
                <w:sz w:val="18"/>
                <w:szCs w:val="18"/>
              </w:rPr>
              <w:t>34.80</w:t>
            </w:r>
          </w:p>
        </w:tc>
        <w:tc>
          <w:tcPr>
            <w:tcW w:w="1219" w:type="dxa"/>
          </w:tcPr>
          <w:p w14:paraId="33664981" w14:textId="77777777" w:rsidR="00543D47" w:rsidRPr="00F13F76" w:rsidRDefault="00543D47" w:rsidP="00D9610A">
            <w:pPr>
              <w:rPr>
                <w:sz w:val="18"/>
                <w:szCs w:val="18"/>
              </w:rPr>
            </w:pPr>
            <w:r w:rsidRPr="000721C1">
              <w:rPr>
                <w:rFonts w:ascii="Calibri" w:hAnsi="Calibri"/>
                <w:color w:val="000000"/>
                <w:sz w:val="18"/>
                <w:szCs w:val="18"/>
              </w:rPr>
              <w:t>$4,276,391</w:t>
            </w:r>
          </w:p>
        </w:tc>
        <w:tc>
          <w:tcPr>
            <w:tcW w:w="1071" w:type="dxa"/>
          </w:tcPr>
          <w:p w14:paraId="761EA889" w14:textId="77777777" w:rsidR="00543D47" w:rsidRPr="00F13F76" w:rsidRDefault="00543D47" w:rsidP="00D9610A">
            <w:pPr>
              <w:rPr>
                <w:sz w:val="18"/>
                <w:szCs w:val="18"/>
              </w:rPr>
            </w:pPr>
            <w:r w:rsidRPr="000721C1">
              <w:rPr>
                <w:rFonts w:ascii="Calibri" w:hAnsi="Calibri"/>
                <w:color w:val="000000"/>
                <w:sz w:val="18"/>
                <w:szCs w:val="18"/>
              </w:rPr>
              <w:t>145,824</w:t>
            </w:r>
          </w:p>
        </w:tc>
        <w:tc>
          <w:tcPr>
            <w:tcW w:w="1062" w:type="dxa"/>
          </w:tcPr>
          <w:p w14:paraId="11348556" w14:textId="77777777" w:rsidR="00543D47" w:rsidRPr="00F13F76" w:rsidRDefault="00543D47" w:rsidP="00D9610A">
            <w:pPr>
              <w:rPr>
                <w:sz w:val="18"/>
                <w:szCs w:val="18"/>
              </w:rPr>
            </w:pPr>
            <w:r w:rsidRPr="000721C1">
              <w:rPr>
                <w:rFonts w:ascii="Calibri" w:hAnsi="Calibri"/>
                <w:color w:val="000000"/>
                <w:sz w:val="18"/>
                <w:szCs w:val="18"/>
              </w:rPr>
              <w:t>36,763</w:t>
            </w:r>
          </w:p>
        </w:tc>
        <w:tc>
          <w:tcPr>
            <w:tcW w:w="1054" w:type="dxa"/>
          </w:tcPr>
          <w:p w14:paraId="26EBE792" w14:textId="77777777" w:rsidR="00543D47" w:rsidRPr="00F13F76" w:rsidRDefault="00543D47" w:rsidP="00D9610A">
            <w:pPr>
              <w:rPr>
                <w:sz w:val="18"/>
                <w:szCs w:val="18"/>
              </w:rPr>
            </w:pPr>
            <w:r w:rsidRPr="000721C1">
              <w:rPr>
                <w:rFonts w:ascii="Calibri" w:hAnsi="Calibri"/>
                <w:color w:val="000000"/>
                <w:sz w:val="18"/>
                <w:szCs w:val="18"/>
              </w:rPr>
              <w:t>7.4%</w:t>
            </w:r>
          </w:p>
        </w:tc>
      </w:tr>
      <w:tr w:rsidR="00543D47" w:rsidRPr="00370DFD" w14:paraId="36B4F7F0" w14:textId="77777777" w:rsidTr="00D9610A">
        <w:tc>
          <w:tcPr>
            <w:tcW w:w="699" w:type="dxa"/>
          </w:tcPr>
          <w:p w14:paraId="2CDB8090" w14:textId="77777777" w:rsidR="00543D47" w:rsidRPr="00F13F76" w:rsidRDefault="00543D47" w:rsidP="00D9610A">
            <w:pPr>
              <w:rPr>
                <w:sz w:val="18"/>
                <w:szCs w:val="18"/>
              </w:rPr>
            </w:pPr>
            <w:r w:rsidRPr="00F13F76">
              <w:rPr>
                <w:sz w:val="18"/>
                <w:szCs w:val="18"/>
              </w:rPr>
              <w:t>66815</w:t>
            </w:r>
          </w:p>
        </w:tc>
        <w:tc>
          <w:tcPr>
            <w:tcW w:w="2808" w:type="dxa"/>
          </w:tcPr>
          <w:p w14:paraId="7BDFE1C9" w14:textId="77777777" w:rsidR="00543D47" w:rsidRPr="00F13F76" w:rsidRDefault="00543D47" w:rsidP="00D9610A">
            <w:pPr>
              <w:rPr>
                <w:sz w:val="18"/>
                <w:szCs w:val="18"/>
              </w:rPr>
            </w:pPr>
            <w:r>
              <w:rPr>
                <w:rFonts w:ascii="Calibri" w:hAnsi="Calibri"/>
                <w:color w:val="000000"/>
                <w:sz w:val="18"/>
                <w:szCs w:val="18"/>
              </w:rPr>
              <w:t>2 tests described in item 66812</w:t>
            </w:r>
            <w:r w:rsidRPr="000721C1">
              <w:rPr>
                <w:rFonts w:ascii="Calibri" w:hAnsi="Calibri"/>
                <w:color w:val="000000"/>
                <w:sz w:val="18"/>
                <w:szCs w:val="18"/>
              </w:rPr>
              <w:br/>
              <w:t xml:space="preserve">(This fee applies where 1 laboratory, or more than 1 laboratory belonging to the same </w:t>
            </w:r>
            <w:r>
              <w:rPr>
                <w:rFonts w:ascii="Calibri" w:hAnsi="Calibri"/>
                <w:color w:val="000000"/>
                <w:sz w:val="18"/>
                <w:szCs w:val="18"/>
              </w:rPr>
              <w:t>APA</w:t>
            </w:r>
            <w:r w:rsidRPr="000721C1">
              <w:rPr>
                <w:rFonts w:ascii="Calibri" w:hAnsi="Calibri"/>
                <w:color w:val="000000"/>
                <w:sz w:val="18"/>
                <w:szCs w:val="18"/>
              </w:rPr>
              <w:t xml:space="preserve">, performs the only 2 tests specified on the request form or performs 2 tests and refers the rest to the laboratory of a separate </w:t>
            </w:r>
            <w:r>
              <w:rPr>
                <w:rFonts w:ascii="Calibri" w:hAnsi="Calibri"/>
                <w:color w:val="000000"/>
                <w:sz w:val="18"/>
                <w:szCs w:val="18"/>
              </w:rPr>
              <w:t>APA</w:t>
            </w:r>
            <w:r w:rsidRPr="000721C1">
              <w:rPr>
                <w:rFonts w:ascii="Calibri" w:hAnsi="Calibri"/>
                <w:color w:val="000000"/>
                <w:sz w:val="18"/>
                <w:szCs w:val="18"/>
              </w:rPr>
              <w:t>) (Item is subject to rule 6)</w:t>
            </w:r>
          </w:p>
        </w:tc>
        <w:tc>
          <w:tcPr>
            <w:tcW w:w="1156" w:type="dxa"/>
          </w:tcPr>
          <w:p w14:paraId="56E5D52D" w14:textId="77777777" w:rsidR="00543D47" w:rsidRPr="00F13F76" w:rsidRDefault="00543D47" w:rsidP="00D9610A">
            <w:pPr>
              <w:rPr>
                <w:sz w:val="18"/>
                <w:szCs w:val="18"/>
              </w:rPr>
            </w:pPr>
            <w:r w:rsidRPr="000721C1">
              <w:rPr>
                <w:rFonts w:ascii="Calibri" w:hAnsi="Calibri"/>
                <w:color w:val="000000"/>
                <w:sz w:val="18"/>
                <w:szCs w:val="18"/>
              </w:rPr>
              <w:t>59.55</w:t>
            </w:r>
          </w:p>
        </w:tc>
        <w:tc>
          <w:tcPr>
            <w:tcW w:w="1219" w:type="dxa"/>
          </w:tcPr>
          <w:p w14:paraId="4A30149C" w14:textId="77777777" w:rsidR="00543D47" w:rsidRPr="00F13F76" w:rsidRDefault="00543D47" w:rsidP="00D9610A">
            <w:pPr>
              <w:rPr>
                <w:sz w:val="18"/>
                <w:szCs w:val="18"/>
              </w:rPr>
            </w:pPr>
            <w:r w:rsidRPr="000721C1">
              <w:rPr>
                <w:rFonts w:ascii="Calibri" w:hAnsi="Calibri"/>
                <w:color w:val="000000"/>
                <w:sz w:val="18"/>
                <w:szCs w:val="18"/>
              </w:rPr>
              <w:t>$478,067</w:t>
            </w:r>
          </w:p>
        </w:tc>
        <w:tc>
          <w:tcPr>
            <w:tcW w:w="1071" w:type="dxa"/>
          </w:tcPr>
          <w:p w14:paraId="319388C7" w14:textId="77777777" w:rsidR="00543D47" w:rsidRPr="00F13F76" w:rsidRDefault="00543D47" w:rsidP="00D9610A">
            <w:pPr>
              <w:rPr>
                <w:sz w:val="18"/>
                <w:szCs w:val="18"/>
              </w:rPr>
            </w:pPr>
            <w:r w:rsidRPr="000721C1">
              <w:rPr>
                <w:rFonts w:ascii="Calibri" w:hAnsi="Calibri"/>
                <w:color w:val="000000"/>
                <w:sz w:val="18"/>
                <w:szCs w:val="18"/>
              </w:rPr>
              <w:t>9,527</w:t>
            </w:r>
          </w:p>
        </w:tc>
        <w:tc>
          <w:tcPr>
            <w:tcW w:w="1062" w:type="dxa"/>
          </w:tcPr>
          <w:p w14:paraId="03F3078C" w14:textId="77777777" w:rsidR="00543D47" w:rsidRPr="00F13F76" w:rsidRDefault="00543D47" w:rsidP="00D9610A">
            <w:pPr>
              <w:rPr>
                <w:sz w:val="18"/>
                <w:szCs w:val="18"/>
              </w:rPr>
            </w:pPr>
            <w:r w:rsidRPr="000721C1">
              <w:rPr>
                <w:rFonts w:ascii="Calibri" w:hAnsi="Calibri"/>
                <w:color w:val="000000"/>
                <w:sz w:val="18"/>
                <w:szCs w:val="18"/>
              </w:rPr>
              <w:t>3,902</w:t>
            </w:r>
          </w:p>
        </w:tc>
        <w:tc>
          <w:tcPr>
            <w:tcW w:w="1054" w:type="dxa"/>
          </w:tcPr>
          <w:p w14:paraId="1D7543C1" w14:textId="77777777" w:rsidR="00543D47" w:rsidRPr="00F13F76" w:rsidRDefault="00543D47" w:rsidP="00D9610A">
            <w:pPr>
              <w:rPr>
                <w:sz w:val="18"/>
                <w:szCs w:val="18"/>
              </w:rPr>
            </w:pPr>
            <w:r w:rsidRPr="000721C1">
              <w:rPr>
                <w:rFonts w:ascii="Calibri" w:hAnsi="Calibri"/>
                <w:color w:val="000000"/>
                <w:sz w:val="18"/>
                <w:szCs w:val="18"/>
              </w:rPr>
              <w:t>3.2%</w:t>
            </w:r>
          </w:p>
        </w:tc>
      </w:tr>
      <w:tr w:rsidR="00543D47" w:rsidRPr="00370DFD" w14:paraId="3FF3499F" w14:textId="77777777" w:rsidTr="00D9610A">
        <w:tc>
          <w:tcPr>
            <w:tcW w:w="699" w:type="dxa"/>
          </w:tcPr>
          <w:p w14:paraId="57988E33" w14:textId="77777777" w:rsidR="00543D47" w:rsidRPr="00F13F76" w:rsidRDefault="00543D47" w:rsidP="00D9610A">
            <w:pPr>
              <w:rPr>
                <w:sz w:val="18"/>
                <w:szCs w:val="18"/>
              </w:rPr>
            </w:pPr>
            <w:r w:rsidRPr="00F13F76">
              <w:rPr>
                <w:sz w:val="18"/>
                <w:szCs w:val="18"/>
              </w:rPr>
              <w:lastRenderedPageBreak/>
              <w:t>66816</w:t>
            </w:r>
          </w:p>
        </w:tc>
        <w:tc>
          <w:tcPr>
            <w:tcW w:w="2808" w:type="dxa"/>
          </w:tcPr>
          <w:p w14:paraId="12941678" w14:textId="77777777" w:rsidR="00543D47" w:rsidRPr="00F13F76" w:rsidRDefault="00543D47" w:rsidP="00D9610A">
            <w:pPr>
              <w:rPr>
                <w:sz w:val="18"/>
                <w:szCs w:val="18"/>
              </w:rPr>
            </w:pPr>
            <w:r w:rsidRPr="000721C1">
              <w:rPr>
                <w:rFonts w:ascii="Calibri" w:hAnsi="Calibri"/>
                <w:color w:val="000000"/>
                <w:sz w:val="18"/>
                <w:szCs w:val="18"/>
              </w:rPr>
              <w:t xml:space="preserve">A test described in item 66812 if rendered by a receiving APP, where no tests in the item have been rendered by the referring APP - 1 </w:t>
            </w:r>
            <w:proofErr w:type="gramStart"/>
            <w:r w:rsidRPr="000721C1">
              <w:rPr>
                <w:rFonts w:ascii="Calibri" w:hAnsi="Calibri"/>
                <w:color w:val="000000"/>
                <w:sz w:val="18"/>
                <w:szCs w:val="18"/>
              </w:rPr>
              <w:t>test(</w:t>
            </w:r>
            <w:proofErr w:type="gramEnd"/>
            <w:r w:rsidRPr="000721C1">
              <w:rPr>
                <w:rFonts w:ascii="Calibri" w:hAnsi="Calibri"/>
                <w:color w:val="000000"/>
                <w:sz w:val="18"/>
                <w:szCs w:val="18"/>
              </w:rPr>
              <w:t>Item is subject to rule 6 and 18)</w:t>
            </w:r>
          </w:p>
        </w:tc>
        <w:tc>
          <w:tcPr>
            <w:tcW w:w="1156" w:type="dxa"/>
          </w:tcPr>
          <w:p w14:paraId="562EA833" w14:textId="77777777" w:rsidR="00543D47" w:rsidRPr="00F13F76" w:rsidRDefault="00543D47" w:rsidP="00D9610A">
            <w:pPr>
              <w:rPr>
                <w:sz w:val="18"/>
                <w:szCs w:val="18"/>
              </w:rPr>
            </w:pPr>
            <w:r w:rsidRPr="000721C1">
              <w:rPr>
                <w:rFonts w:ascii="Calibri" w:hAnsi="Calibri"/>
                <w:color w:val="000000"/>
                <w:sz w:val="18"/>
                <w:szCs w:val="18"/>
              </w:rPr>
              <w:t>34.80</w:t>
            </w:r>
          </w:p>
        </w:tc>
        <w:tc>
          <w:tcPr>
            <w:tcW w:w="1219" w:type="dxa"/>
          </w:tcPr>
          <w:p w14:paraId="56F7859E" w14:textId="77777777" w:rsidR="00543D47" w:rsidRPr="00F13F76" w:rsidRDefault="00543D47" w:rsidP="00D9610A">
            <w:pPr>
              <w:rPr>
                <w:sz w:val="18"/>
                <w:szCs w:val="18"/>
              </w:rPr>
            </w:pPr>
            <w:r w:rsidRPr="000721C1">
              <w:rPr>
                <w:rFonts w:ascii="Calibri" w:hAnsi="Calibri"/>
                <w:color w:val="000000"/>
                <w:sz w:val="18"/>
                <w:szCs w:val="18"/>
              </w:rPr>
              <w:t>$736,244</w:t>
            </w:r>
          </w:p>
        </w:tc>
        <w:tc>
          <w:tcPr>
            <w:tcW w:w="1071" w:type="dxa"/>
          </w:tcPr>
          <w:p w14:paraId="70CDD71C" w14:textId="77777777" w:rsidR="00543D47" w:rsidRPr="00F13F76" w:rsidRDefault="00543D47" w:rsidP="00D9610A">
            <w:pPr>
              <w:rPr>
                <w:sz w:val="18"/>
                <w:szCs w:val="18"/>
              </w:rPr>
            </w:pPr>
            <w:r w:rsidRPr="000721C1">
              <w:rPr>
                <w:rFonts w:ascii="Calibri" w:hAnsi="Calibri"/>
                <w:color w:val="000000"/>
                <w:sz w:val="18"/>
                <w:szCs w:val="18"/>
              </w:rPr>
              <w:t>24,999</w:t>
            </w:r>
          </w:p>
        </w:tc>
        <w:tc>
          <w:tcPr>
            <w:tcW w:w="1062" w:type="dxa"/>
          </w:tcPr>
          <w:p w14:paraId="23C24FC6" w14:textId="77777777" w:rsidR="00543D47" w:rsidRPr="00F13F76" w:rsidRDefault="00543D47" w:rsidP="00D9610A">
            <w:pPr>
              <w:rPr>
                <w:sz w:val="18"/>
                <w:szCs w:val="18"/>
              </w:rPr>
            </w:pPr>
            <w:r w:rsidRPr="000721C1">
              <w:rPr>
                <w:rFonts w:ascii="Calibri" w:hAnsi="Calibri"/>
                <w:color w:val="000000"/>
                <w:sz w:val="18"/>
                <w:szCs w:val="18"/>
              </w:rPr>
              <w:t>11,841</w:t>
            </w:r>
          </w:p>
        </w:tc>
        <w:tc>
          <w:tcPr>
            <w:tcW w:w="1054" w:type="dxa"/>
          </w:tcPr>
          <w:p w14:paraId="707B297B" w14:textId="77777777" w:rsidR="00543D47" w:rsidRPr="00F13F76" w:rsidRDefault="00543D47" w:rsidP="00D9610A">
            <w:pPr>
              <w:rPr>
                <w:sz w:val="18"/>
                <w:szCs w:val="18"/>
              </w:rPr>
            </w:pPr>
            <w:r w:rsidRPr="000721C1">
              <w:rPr>
                <w:rFonts w:ascii="Calibri" w:hAnsi="Calibri"/>
                <w:color w:val="000000"/>
                <w:sz w:val="18"/>
                <w:szCs w:val="18"/>
              </w:rPr>
              <w:t>10.0%</w:t>
            </w:r>
          </w:p>
        </w:tc>
      </w:tr>
      <w:tr w:rsidR="00543D47" w:rsidRPr="00370DFD" w14:paraId="27405D6F" w14:textId="77777777" w:rsidTr="00D9610A">
        <w:tc>
          <w:tcPr>
            <w:tcW w:w="699" w:type="dxa"/>
          </w:tcPr>
          <w:p w14:paraId="735C2F00" w14:textId="77777777" w:rsidR="00543D47" w:rsidRPr="00F13F76" w:rsidRDefault="00543D47" w:rsidP="00D9610A">
            <w:pPr>
              <w:rPr>
                <w:sz w:val="18"/>
                <w:szCs w:val="18"/>
              </w:rPr>
            </w:pPr>
            <w:r w:rsidRPr="00F13F76">
              <w:rPr>
                <w:sz w:val="18"/>
                <w:szCs w:val="18"/>
              </w:rPr>
              <w:t>66817</w:t>
            </w:r>
          </w:p>
        </w:tc>
        <w:tc>
          <w:tcPr>
            <w:tcW w:w="2808" w:type="dxa"/>
          </w:tcPr>
          <w:p w14:paraId="328415D3" w14:textId="77777777" w:rsidR="00543D47" w:rsidRPr="00F13F76" w:rsidRDefault="00543D47" w:rsidP="00D9610A">
            <w:pPr>
              <w:rPr>
                <w:sz w:val="18"/>
                <w:szCs w:val="18"/>
              </w:rPr>
            </w:pPr>
            <w:r w:rsidRPr="000721C1">
              <w:rPr>
                <w:rFonts w:ascii="Calibri" w:hAnsi="Calibri"/>
                <w:color w:val="000000"/>
                <w:sz w:val="18"/>
                <w:szCs w:val="18"/>
              </w:rPr>
              <w:t>A test described in item 66812, other than that described in 66816, if rendered by a receiving APP - to a maximum of 1 test</w:t>
            </w:r>
            <w:r>
              <w:rPr>
                <w:rFonts w:ascii="Calibri" w:hAnsi="Calibri"/>
                <w:color w:val="000000"/>
                <w:sz w:val="18"/>
                <w:szCs w:val="18"/>
              </w:rPr>
              <w:t xml:space="preserve"> </w:t>
            </w:r>
            <w:r w:rsidRPr="000721C1">
              <w:rPr>
                <w:rFonts w:ascii="Calibri" w:hAnsi="Calibri"/>
                <w:color w:val="000000"/>
                <w:sz w:val="18"/>
                <w:szCs w:val="18"/>
              </w:rPr>
              <w:t>(Item is subject to rule 6 and 18)</w:t>
            </w:r>
          </w:p>
        </w:tc>
        <w:tc>
          <w:tcPr>
            <w:tcW w:w="1156" w:type="dxa"/>
          </w:tcPr>
          <w:p w14:paraId="10461F30" w14:textId="77777777" w:rsidR="00543D47" w:rsidRPr="00F13F76" w:rsidRDefault="00543D47" w:rsidP="00D9610A">
            <w:pPr>
              <w:rPr>
                <w:sz w:val="18"/>
                <w:szCs w:val="18"/>
              </w:rPr>
            </w:pPr>
            <w:r w:rsidRPr="000721C1">
              <w:rPr>
                <w:rFonts w:ascii="Calibri" w:hAnsi="Calibri"/>
                <w:color w:val="000000"/>
                <w:sz w:val="18"/>
                <w:szCs w:val="18"/>
              </w:rPr>
              <w:t>24.75</w:t>
            </w:r>
          </w:p>
        </w:tc>
        <w:tc>
          <w:tcPr>
            <w:tcW w:w="1219" w:type="dxa"/>
          </w:tcPr>
          <w:p w14:paraId="6D273E9D" w14:textId="77777777" w:rsidR="00543D47" w:rsidRPr="00F13F76" w:rsidRDefault="00543D47" w:rsidP="00D9610A">
            <w:pPr>
              <w:rPr>
                <w:sz w:val="18"/>
                <w:szCs w:val="18"/>
              </w:rPr>
            </w:pPr>
            <w:r w:rsidRPr="000721C1">
              <w:rPr>
                <w:rFonts w:ascii="Calibri" w:hAnsi="Calibri"/>
                <w:color w:val="000000"/>
                <w:sz w:val="18"/>
                <w:szCs w:val="18"/>
              </w:rPr>
              <w:t>$171,770</w:t>
            </w:r>
          </w:p>
        </w:tc>
        <w:tc>
          <w:tcPr>
            <w:tcW w:w="1071" w:type="dxa"/>
          </w:tcPr>
          <w:p w14:paraId="159A067F" w14:textId="77777777" w:rsidR="00543D47" w:rsidRPr="00F13F76" w:rsidRDefault="00543D47" w:rsidP="00D9610A">
            <w:pPr>
              <w:rPr>
                <w:sz w:val="18"/>
                <w:szCs w:val="18"/>
              </w:rPr>
            </w:pPr>
            <w:r w:rsidRPr="000721C1">
              <w:rPr>
                <w:rFonts w:ascii="Calibri" w:hAnsi="Calibri"/>
                <w:color w:val="000000"/>
                <w:sz w:val="18"/>
                <w:szCs w:val="18"/>
              </w:rPr>
              <w:t>8,199</w:t>
            </w:r>
          </w:p>
        </w:tc>
        <w:tc>
          <w:tcPr>
            <w:tcW w:w="1062" w:type="dxa"/>
          </w:tcPr>
          <w:p w14:paraId="50F7FA8C" w14:textId="77777777" w:rsidR="00543D47" w:rsidRPr="00F13F76" w:rsidRDefault="00543D47" w:rsidP="00D9610A">
            <w:pPr>
              <w:rPr>
                <w:sz w:val="18"/>
                <w:szCs w:val="18"/>
              </w:rPr>
            </w:pPr>
            <w:r w:rsidRPr="000721C1">
              <w:rPr>
                <w:rFonts w:ascii="Calibri" w:hAnsi="Calibri"/>
                <w:color w:val="000000"/>
                <w:sz w:val="18"/>
                <w:szCs w:val="18"/>
              </w:rPr>
              <w:t>5,102</w:t>
            </w:r>
          </w:p>
        </w:tc>
        <w:tc>
          <w:tcPr>
            <w:tcW w:w="1054" w:type="dxa"/>
          </w:tcPr>
          <w:p w14:paraId="5453A07A" w14:textId="77777777" w:rsidR="00543D47" w:rsidRPr="00F13F76" w:rsidRDefault="00543D47" w:rsidP="00D9610A">
            <w:pPr>
              <w:rPr>
                <w:sz w:val="18"/>
                <w:szCs w:val="18"/>
              </w:rPr>
            </w:pPr>
            <w:r w:rsidRPr="000721C1">
              <w:rPr>
                <w:rFonts w:ascii="Calibri" w:hAnsi="Calibri"/>
                <w:color w:val="000000"/>
                <w:sz w:val="18"/>
                <w:szCs w:val="18"/>
              </w:rPr>
              <w:t>8.6%</w:t>
            </w:r>
          </w:p>
        </w:tc>
      </w:tr>
    </w:tbl>
    <w:p w14:paraId="6B4D417D" w14:textId="77777777" w:rsidR="00543D47" w:rsidRPr="00F13F76" w:rsidRDefault="00543D47" w:rsidP="00543D47">
      <w:pPr>
        <w:pStyle w:val="Heading4"/>
        <w:rPr>
          <w:bCs w:val="0"/>
          <w:i w:val="0"/>
        </w:rPr>
      </w:pPr>
      <w:r w:rsidRPr="00F13F76">
        <w:rPr>
          <w:lang w:val="en-AU"/>
        </w:rPr>
        <w:t>Recommendation</w:t>
      </w:r>
    </w:p>
    <w:p w14:paraId="0DD65445" w14:textId="77777777" w:rsidR="00543D47" w:rsidRDefault="00543D47" w:rsidP="00543D47">
      <w:pPr>
        <w:pStyle w:val="NormalBulleted"/>
      </w:pPr>
      <w:r>
        <w:rPr>
          <w:lang w:eastAsia="en-US"/>
        </w:rPr>
        <w:t xml:space="preserve">The Committee recommended that these items be left unchanged. </w:t>
      </w:r>
    </w:p>
    <w:p w14:paraId="726B9848" w14:textId="77777777" w:rsidR="00543D47" w:rsidRDefault="00543D47" w:rsidP="00543D47">
      <w:pPr>
        <w:pStyle w:val="Heading4"/>
        <w:rPr>
          <w:lang w:val="en-AU"/>
        </w:rPr>
      </w:pPr>
      <w:r w:rsidRPr="0057193B">
        <w:rPr>
          <w:lang w:val="en-AU"/>
        </w:rPr>
        <w:t>Rationale</w:t>
      </w:r>
      <w:r>
        <w:rPr>
          <w:lang w:val="en-AU"/>
        </w:rPr>
        <w:t xml:space="preserve"> </w:t>
      </w:r>
    </w:p>
    <w:p w14:paraId="24BDEB5C" w14:textId="77777777" w:rsidR="00543D47" w:rsidRDefault="00543D47" w:rsidP="00543D47">
      <w:pPr>
        <w:pStyle w:val="NormalBulleted"/>
        <w:rPr>
          <w:lang w:eastAsia="en-US"/>
        </w:rPr>
      </w:pPr>
      <w:r w:rsidRPr="00AA6ED6">
        <w:rPr>
          <w:lang w:eastAsia="en-US"/>
        </w:rPr>
        <w:t xml:space="preserve">Utilisation of item 66812 increased by 10% over the last 12 months. Some of these tests are performed on an auto-analyser, others by high performance liquid chromatography (HPLC) or by </w:t>
      </w:r>
      <w:r>
        <w:rPr>
          <w:lang w:eastAsia="en-US"/>
        </w:rPr>
        <w:t>l</w:t>
      </w:r>
      <w:r w:rsidRPr="00AA6ED6">
        <w:rPr>
          <w:lang w:eastAsia="en-US"/>
        </w:rPr>
        <w:t>iquid chromatography tandem mass spectrometry (LC</w:t>
      </w:r>
      <w:r>
        <w:rPr>
          <w:lang w:eastAsia="en-US"/>
        </w:rPr>
        <w:t>-</w:t>
      </w:r>
      <w:r w:rsidRPr="00AA6ED6">
        <w:rPr>
          <w:lang w:eastAsia="en-US"/>
        </w:rPr>
        <w:t>MS</w:t>
      </w:r>
      <w:r>
        <w:rPr>
          <w:lang w:eastAsia="en-US"/>
        </w:rPr>
        <w:t>/</w:t>
      </w:r>
      <w:r w:rsidRPr="00AA6ED6">
        <w:rPr>
          <w:lang w:eastAsia="en-US"/>
        </w:rPr>
        <w:t>MS).</w:t>
      </w:r>
      <w:r>
        <w:rPr>
          <w:lang w:eastAsia="en-US"/>
        </w:rPr>
        <w:t xml:space="preserve"> These are relatively low volume items and there is no concern about clinically inappropriate use. The items 66812 and 66815 are tests that are used frequently to monitor immunosuppressant drugs in </w:t>
      </w:r>
      <w:proofErr w:type="gramStart"/>
      <w:r>
        <w:rPr>
          <w:lang w:eastAsia="en-US"/>
        </w:rPr>
        <w:t>transplantation, and</w:t>
      </w:r>
      <w:proofErr w:type="gramEnd"/>
      <w:r>
        <w:rPr>
          <w:lang w:eastAsia="en-US"/>
        </w:rPr>
        <w:t xml:space="preserve"> are mainly requested by nephrologists. Items 66816 and 66817 are requested by both gastroenterologists and nephrologists.</w:t>
      </w:r>
    </w:p>
    <w:p w14:paraId="24FADCCC" w14:textId="77777777" w:rsidR="00543D47" w:rsidRPr="00745865" w:rsidRDefault="00543D47" w:rsidP="00543D47">
      <w:pPr>
        <w:pStyle w:val="NormalBulleted"/>
      </w:pPr>
      <w:r w:rsidRPr="00745865">
        <w:t>The tests in items 66812 can be performed by either immunoassay or mass spectrometry, and were currently billed at the same rate, regardless of methodology. While mass spectrometry is a more accurate method of testing than immunoassay, it is often more important to have test results rapidly, which immunoassay can provide. For patients who are undergoing organ transplant</w:t>
      </w:r>
      <w:r>
        <w:t>ation</w:t>
      </w:r>
      <w:r w:rsidRPr="00745865">
        <w:t xml:space="preserve"> highly accurate results are required, and mass spectrometry might be preferable. </w:t>
      </w:r>
    </w:p>
    <w:p w14:paraId="46F556AD" w14:textId="77777777" w:rsidR="00543D47" w:rsidRPr="00745865" w:rsidRDefault="00543D47" w:rsidP="00543D47">
      <w:pPr>
        <w:pStyle w:val="Heading2"/>
      </w:pPr>
      <w:bookmarkStart w:id="115" w:name="_Toc514247624"/>
      <w:r w:rsidRPr="00745865">
        <w:lastRenderedPageBreak/>
        <w:t>Proteins and electrophoresis</w:t>
      </w:r>
      <w:bookmarkEnd w:id="115"/>
    </w:p>
    <w:p w14:paraId="4D0AF926" w14:textId="77777777" w:rsidR="00543D47" w:rsidRDefault="00543D47" w:rsidP="00543D47">
      <w:pPr>
        <w:pStyle w:val="Heading3Numbered"/>
      </w:pPr>
      <w:r w:rsidRPr="000721C1">
        <w:t>Caeruloplasmin, haptoglobins, or prealbumin</w:t>
      </w:r>
      <w:r>
        <w:t>: Item 66632</w:t>
      </w:r>
    </w:p>
    <w:p w14:paraId="3904F987" w14:textId="77777777" w:rsidR="00543D47" w:rsidRPr="007B492F" w:rsidRDefault="00543D47" w:rsidP="00543D47">
      <w:pPr>
        <w:pStyle w:val="Caption"/>
        <w:rPr>
          <w:b/>
        </w:rPr>
      </w:pPr>
      <w:bookmarkStart w:id="116" w:name="_Toc534374932"/>
      <w:r w:rsidRPr="00370DFD">
        <w:t xml:space="preserve">Table </w:t>
      </w:r>
      <w:r>
        <w:t>28</w:t>
      </w:r>
      <w:r w:rsidRPr="00370DFD">
        <w:t>. Item introduction</w:t>
      </w:r>
      <w:r>
        <w:t xml:space="preserve"> table for item 66632</w:t>
      </w:r>
      <w:bookmarkEnd w:id="116"/>
    </w:p>
    <w:tbl>
      <w:tblPr>
        <w:tblStyle w:val="TableGrid"/>
        <w:tblW w:w="9028" w:type="dxa"/>
        <w:tblBorders>
          <w:insideV w:val="single" w:sz="4" w:space="0" w:color="984806" w:themeColor="accent6" w:themeShade="80"/>
        </w:tblBorders>
        <w:tblLook w:val="04A0" w:firstRow="1" w:lastRow="0" w:firstColumn="1" w:lastColumn="0" w:noHBand="0" w:noVBand="1"/>
        <w:tblCaption w:val="Introduction table for item 66632"/>
        <w:tblDescription w:val="Table 28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2"/>
        <w:gridCol w:w="2857"/>
        <w:gridCol w:w="1066"/>
        <w:gridCol w:w="1218"/>
        <w:gridCol w:w="1071"/>
        <w:gridCol w:w="1060"/>
        <w:gridCol w:w="1054"/>
      </w:tblGrid>
      <w:tr w:rsidR="00543D47" w:rsidRPr="00370DFD" w14:paraId="2C9F1D7A" w14:textId="77777777" w:rsidTr="00D9610A">
        <w:trPr>
          <w:tblHeader/>
        </w:trPr>
        <w:tc>
          <w:tcPr>
            <w:tcW w:w="702" w:type="dxa"/>
            <w:vAlign w:val="center"/>
          </w:tcPr>
          <w:p w14:paraId="0EE577E7" w14:textId="77777777" w:rsidR="00543D47" w:rsidRPr="00370DFD" w:rsidRDefault="00543D47" w:rsidP="00D9610A">
            <w:pPr>
              <w:rPr>
                <w:sz w:val="18"/>
                <w:szCs w:val="18"/>
              </w:rPr>
            </w:pPr>
            <w:r w:rsidRPr="00370DFD">
              <w:rPr>
                <w:b/>
                <w:sz w:val="18"/>
                <w:szCs w:val="18"/>
              </w:rPr>
              <w:t>Item</w:t>
            </w:r>
          </w:p>
        </w:tc>
        <w:tc>
          <w:tcPr>
            <w:tcW w:w="2857" w:type="dxa"/>
            <w:vAlign w:val="center"/>
          </w:tcPr>
          <w:p w14:paraId="143593D1"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6674638F"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218" w:type="dxa"/>
            <w:vAlign w:val="center"/>
          </w:tcPr>
          <w:p w14:paraId="1A1C4C5A"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4AA9E5A5"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72DBD9AF"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54" w:type="dxa"/>
            <w:vAlign w:val="center"/>
          </w:tcPr>
          <w:p w14:paraId="773AFA3E"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73446D79" w14:textId="77777777" w:rsidTr="00D9610A">
        <w:tc>
          <w:tcPr>
            <w:tcW w:w="702" w:type="dxa"/>
          </w:tcPr>
          <w:p w14:paraId="6F3A9C05" w14:textId="77777777" w:rsidR="00543D47" w:rsidRPr="00AB4B3D" w:rsidRDefault="00543D47" w:rsidP="00D9610A">
            <w:pPr>
              <w:rPr>
                <w:sz w:val="18"/>
                <w:szCs w:val="18"/>
              </w:rPr>
            </w:pPr>
            <w:r w:rsidRPr="00AB4B3D">
              <w:rPr>
                <w:sz w:val="18"/>
                <w:szCs w:val="18"/>
              </w:rPr>
              <w:t>66632</w:t>
            </w:r>
          </w:p>
        </w:tc>
        <w:tc>
          <w:tcPr>
            <w:tcW w:w="2857" w:type="dxa"/>
          </w:tcPr>
          <w:p w14:paraId="36806FB1" w14:textId="77777777" w:rsidR="00543D47" w:rsidRPr="00AB4B3D" w:rsidRDefault="00543D47" w:rsidP="00D9610A">
            <w:pPr>
              <w:rPr>
                <w:sz w:val="18"/>
                <w:szCs w:val="18"/>
              </w:rPr>
            </w:pPr>
            <w:r w:rsidRPr="000721C1">
              <w:rPr>
                <w:rFonts w:ascii="Calibri" w:hAnsi="Calibri"/>
                <w:color w:val="000000"/>
                <w:sz w:val="18"/>
                <w:szCs w:val="18"/>
              </w:rPr>
              <w:t>Caeruloplasmin, haptoglobins, or prealbumin - quantitation in serum, urine or other body fluids - 1 or more tests</w:t>
            </w:r>
          </w:p>
        </w:tc>
        <w:tc>
          <w:tcPr>
            <w:tcW w:w="1066" w:type="dxa"/>
          </w:tcPr>
          <w:p w14:paraId="7849A726" w14:textId="77777777" w:rsidR="00543D47" w:rsidRPr="00AB4B3D" w:rsidRDefault="00543D47" w:rsidP="00D9610A">
            <w:pPr>
              <w:rPr>
                <w:sz w:val="18"/>
                <w:szCs w:val="18"/>
              </w:rPr>
            </w:pPr>
            <w:r w:rsidRPr="000721C1">
              <w:rPr>
                <w:rFonts w:ascii="Calibri" w:hAnsi="Calibri"/>
                <w:color w:val="000000"/>
                <w:sz w:val="18"/>
                <w:szCs w:val="18"/>
              </w:rPr>
              <w:t>20.10</w:t>
            </w:r>
          </w:p>
        </w:tc>
        <w:tc>
          <w:tcPr>
            <w:tcW w:w="1218" w:type="dxa"/>
          </w:tcPr>
          <w:p w14:paraId="3C9E5271" w14:textId="77777777" w:rsidR="00543D47" w:rsidRPr="00AB4B3D" w:rsidRDefault="00543D47" w:rsidP="00D9610A">
            <w:pPr>
              <w:rPr>
                <w:sz w:val="18"/>
                <w:szCs w:val="18"/>
              </w:rPr>
            </w:pPr>
            <w:r w:rsidRPr="000721C1">
              <w:rPr>
                <w:rFonts w:ascii="Calibri" w:hAnsi="Calibri"/>
                <w:color w:val="000000"/>
                <w:sz w:val="18"/>
                <w:szCs w:val="18"/>
              </w:rPr>
              <w:t>$996,907</w:t>
            </w:r>
          </w:p>
        </w:tc>
        <w:tc>
          <w:tcPr>
            <w:tcW w:w="1071" w:type="dxa"/>
          </w:tcPr>
          <w:p w14:paraId="20CD99C9" w14:textId="77777777" w:rsidR="00543D47" w:rsidRPr="00AB4B3D" w:rsidRDefault="00543D47" w:rsidP="00D9610A">
            <w:pPr>
              <w:rPr>
                <w:sz w:val="18"/>
                <w:szCs w:val="18"/>
              </w:rPr>
            </w:pPr>
            <w:r w:rsidRPr="000721C1">
              <w:rPr>
                <w:rFonts w:ascii="Calibri" w:hAnsi="Calibri"/>
                <w:color w:val="000000"/>
                <w:sz w:val="18"/>
                <w:szCs w:val="18"/>
              </w:rPr>
              <w:t>59,454</w:t>
            </w:r>
          </w:p>
        </w:tc>
        <w:tc>
          <w:tcPr>
            <w:tcW w:w="1060" w:type="dxa"/>
          </w:tcPr>
          <w:p w14:paraId="0A917A9B" w14:textId="77777777" w:rsidR="00543D47" w:rsidRPr="00AB4B3D" w:rsidRDefault="00543D47" w:rsidP="00D9610A">
            <w:pPr>
              <w:rPr>
                <w:sz w:val="18"/>
                <w:szCs w:val="18"/>
              </w:rPr>
            </w:pPr>
            <w:r w:rsidRPr="000721C1">
              <w:rPr>
                <w:rFonts w:ascii="Calibri" w:hAnsi="Calibri"/>
                <w:color w:val="000000"/>
                <w:sz w:val="18"/>
                <w:szCs w:val="18"/>
              </w:rPr>
              <w:t>46,439</w:t>
            </w:r>
          </w:p>
        </w:tc>
        <w:tc>
          <w:tcPr>
            <w:tcW w:w="1054" w:type="dxa"/>
          </w:tcPr>
          <w:p w14:paraId="0A1943D6" w14:textId="77777777" w:rsidR="00543D47" w:rsidRDefault="00543D47" w:rsidP="00D9610A">
            <w:pPr>
              <w:spacing w:before="0" w:after="0" w:line="240" w:lineRule="auto"/>
              <w:rPr>
                <w:rFonts w:ascii="Calibri" w:hAnsi="Calibri"/>
                <w:color w:val="000000"/>
                <w:sz w:val="18"/>
                <w:szCs w:val="18"/>
              </w:rPr>
            </w:pPr>
          </w:p>
          <w:p w14:paraId="064C0CB6" w14:textId="77777777" w:rsidR="00543D47" w:rsidRPr="000721C1" w:rsidRDefault="00543D47" w:rsidP="00D9610A">
            <w:pPr>
              <w:spacing w:before="0" w:after="0" w:line="240" w:lineRule="auto"/>
              <w:rPr>
                <w:rFonts w:ascii="Calibri" w:hAnsi="Calibri"/>
                <w:color w:val="000000"/>
                <w:sz w:val="18"/>
                <w:szCs w:val="18"/>
              </w:rPr>
            </w:pPr>
            <w:r w:rsidRPr="000721C1">
              <w:rPr>
                <w:rFonts w:ascii="Calibri" w:hAnsi="Calibri"/>
                <w:color w:val="000000"/>
                <w:sz w:val="18"/>
                <w:szCs w:val="18"/>
              </w:rPr>
              <w:t>6.0%</w:t>
            </w:r>
          </w:p>
          <w:p w14:paraId="2E905CCA" w14:textId="77777777" w:rsidR="00543D47" w:rsidRPr="00AB4B3D" w:rsidRDefault="00543D47" w:rsidP="00D9610A">
            <w:pPr>
              <w:rPr>
                <w:sz w:val="18"/>
                <w:szCs w:val="18"/>
              </w:rPr>
            </w:pPr>
          </w:p>
        </w:tc>
      </w:tr>
    </w:tbl>
    <w:p w14:paraId="2328AEB9" w14:textId="77777777" w:rsidR="00543D47" w:rsidRPr="007B492F" w:rsidRDefault="00543D47" w:rsidP="00543D47">
      <w:pPr>
        <w:pStyle w:val="Heading4"/>
        <w:rPr>
          <w:lang w:val="en-AU"/>
        </w:rPr>
      </w:pPr>
      <w:r w:rsidRPr="007B492F">
        <w:rPr>
          <w:lang w:val="en-AU"/>
        </w:rPr>
        <w:t>Recommendation</w:t>
      </w:r>
    </w:p>
    <w:p w14:paraId="6AC3BB1B" w14:textId="77777777" w:rsidR="00543D47" w:rsidRDefault="00543D47" w:rsidP="00543D47">
      <w:pPr>
        <w:pStyle w:val="NormalBulleted"/>
      </w:pPr>
      <w:r>
        <w:rPr>
          <w:lang w:eastAsia="en-US"/>
        </w:rPr>
        <w:t xml:space="preserve">The Committee recommended that this item be left unchanged. </w:t>
      </w:r>
    </w:p>
    <w:p w14:paraId="71EDFB15" w14:textId="77777777" w:rsidR="00543D47" w:rsidRDefault="00543D47" w:rsidP="00543D47">
      <w:pPr>
        <w:pStyle w:val="Heading4"/>
        <w:rPr>
          <w:lang w:val="en-AU"/>
        </w:rPr>
      </w:pPr>
      <w:r w:rsidRPr="0057193B">
        <w:rPr>
          <w:lang w:val="en-AU"/>
        </w:rPr>
        <w:t>Rationale</w:t>
      </w:r>
      <w:r>
        <w:rPr>
          <w:lang w:val="en-AU"/>
        </w:rPr>
        <w:t xml:space="preserve"> </w:t>
      </w:r>
    </w:p>
    <w:p w14:paraId="51C653A2" w14:textId="77777777" w:rsidR="00543D47" w:rsidRDefault="00543D47" w:rsidP="00543D47">
      <w:pPr>
        <w:pStyle w:val="NormalBulleted"/>
      </w:pPr>
      <w:r>
        <w:t>Covered under item 66632 are multiple tests used for different purposes: caeruloplasmin to detect Wilson’s disease, haptoglobin to detect intravascular haemolysis and prealbumin to determine nutritional status. There has been a steady increase in the utilisation of this item, with the highest utilisation in NSW. The main requestors of item 66632 are haematologists and gastroenterologists.</w:t>
      </w:r>
    </w:p>
    <w:p w14:paraId="40834332" w14:textId="77777777" w:rsidR="00543D47" w:rsidRDefault="00543D47" w:rsidP="00543D47">
      <w:pPr>
        <w:pStyle w:val="NormalBulleted"/>
        <w:rPr>
          <w:lang w:eastAsia="en-US"/>
        </w:rPr>
      </w:pPr>
      <w:r>
        <w:rPr>
          <w:lang w:eastAsia="en-US"/>
        </w:rPr>
        <w:t xml:space="preserve">There were no issues identified in the use of this item although steady growth was noted. </w:t>
      </w:r>
    </w:p>
    <w:p w14:paraId="06B5AABC" w14:textId="77777777" w:rsidR="00543D47" w:rsidRDefault="00543D47" w:rsidP="00543D47">
      <w:pPr>
        <w:spacing w:before="0" w:after="0" w:line="240" w:lineRule="auto"/>
        <w:rPr>
          <w:lang w:eastAsia="en-US"/>
        </w:rPr>
      </w:pPr>
      <w:r>
        <w:rPr>
          <w:lang w:eastAsia="en-US"/>
        </w:rPr>
        <w:br w:type="page"/>
      </w:r>
    </w:p>
    <w:p w14:paraId="0263B269" w14:textId="77777777" w:rsidR="00543D47" w:rsidRDefault="00543D47" w:rsidP="00543D47">
      <w:pPr>
        <w:pStyle w:val="Heading3Numbered"/>
      </w:pPr>
      <w:r>
        <w:lastRenderedPageBreak/>
        <w:t>Alpha</w:t>
      </w:r>
      <w:r w:rsidRPr="00E44559">
        <w:t>-1-antitrypsin</w:t>
      </w:r>
      <w:r>
        <w:t xml:space="preserve">: </w:t>
      </w:r>
      <w:r w:rsidRPr="000721C1">
        <w:t>item</w:t>
      </w:r>
      <w:r>
        <w:t>s</w:t>
      </w:r>
      <w:r w:rsidRPr="000721C1">
        <w:t xml:space="preserve"> 66635, 66638, </w:t>
      </w:r>
      <w:r>
        <w:t xml:space="preserve">and </w:t>
      </w:r>
      <w:r w:rsidRPr="000721C1">
        <w:t>66639</w:t>
      </w:r>
    </w:p>
    <w:p w14:paraId="45C01DE4" w14:textId="77777777" w:rsidR="00543D47" w:rsidRPr="007B492F" w:rsidRDefault="00543D47" w:rsidP="00543D47">
      <w:pPr>
        <w:pStyle w:val="Caption"/>
      </w:pPr>
      <w:bookmarkStart w:id="117" w:name="_Toc534374933"/>
      <w:r w:rsidRPr="00370DFD">
        <w:t xml:space="preserve">Table </w:t>
      </w:r>
      <w:r>
        <w:t>29</w:t>
      </w:r>
      <w:r w:rsidRPr="00370DFD">
        <w:t>. Item introduction</w:t>
      </w:r>
      <w:r>
        <w:t xml:space="preserve"> table for item 66635, 66638 and 66639</w:t>
      </w:r>
      <w:bookmarkEnd w:id="117"/>
    </w:p>
    <w:tbl>
      <w:tblPr>
        <w:tblStyle w:val="TableGrid"/>
        <w:tblW w:w="9028" w:type="dxa"/>
        <w:tblBorders>
          <w:insideV w:val="single" w:sz="4" w:space="0" w:color="984806" w:themeColor="accent6" w:themeShade="80"/>
        </w:tblBorders>
        <w:tblLook w:val="04A0" w:firstRow="1" w:lastRow="0" w:firstColumn="1" w:lastColumn="0" w:noHBand="0" w:noVBand="1"/>
        <w:tblCaption w:val="Introduction table for items 66635, 66638 and 66639"/>
        <w:tblDescription w:val="Table 29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2"/>
        <w:gridCol w:w="2857"/>
        <w:gridCol w:w="1066"/>
        <w:gridCol w:w="1218"/>
        <w:gridCol w:w="1071"/>
        <w:gridCol w:w="1060"/>
        <w:gridCol w:w="1054"/>
      </w:tblGrid>
      <w:tr w:rsidR="00543D47" w:rsidRPr="00370DFD" w14:paraId="5BDFCD77" w14:textId="77777777" w:rsidTr="00D9610A">
        <w:trPr>
          <w:tblHeader/>
        </w:trPr>
        <w:tc>
          <w:tcPr>
            <w:tcW w:w="702" w:type="dxa"/>
            <w:vAlign w:val="center"/>
          </w:tcPr>
          <w:p w14:paraId="76479310" w14:textId="77777777" w:rsidR="00543D47" w:rsidRPr="00370DFD" w:rsidRDefault="00543D47" w:rsidP="00D9610A">
            <w:pPr>
              <w:rPr>
                <w:sz w:val="18"/>
                <w:szCs w:val="18"/>
              </w:rPr>
            </w:pPr>
            <w:r w:rsidRPr="00370DFD">
              <w:rPr>
                <w:b/>
                <w:sz w:val="18"/>
                <w:szCs w:val="18"/>
              </w:rPr>
              <w:t>Item</w:t>
            </w:r>
          </w:p>
        </w:tc>
        <w:tc>
          <w:tcPr>
            <w:tcW w:w="2857" w:type="dxa"/>
            <w:vAlign w:val="center"/>
          </w:tcPr>
          <w:p w14:paraId="32E1B87C"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186F47A3"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218" w:type="dxa"/>
            <w:vAlign w:val="center"/>
          </w:tcPr>
          <w:p w14:paraId="001C02D9"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4DA5EF03"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71CF180F"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54" w:type="dxa"/>
            <w:vAlign w:val="center"/>
          </w:tcPr>
          <w:p w14:paraId="30DAFB19"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265FECD5" w14:textId="77777777" w:rsidTr="00D9610A">
        <w:tc>
          <w:tcPr>
            <w:tcW w:w="702" w:type="dxa"/>
          </w:tcPr>
          <w:p w14:paraId="33DA30D6" w14:textId="77777777" w:rsidR="00543D47" w:rsidRPr="005B2FE2" w:rsidRDefault="00543D47" w:rsidP="00D9610A">
            <w:pPr>
              <w:rPr>
                <w:sz w:val="18"/>
                <w:szCs w:val="18"/>
              </w:rPr>
            </w:pPr>
            <w:r w:rsidRPr="005B2FE2">
              <w:rPr>
                <w:sz w:val="18"/>
                <w:szCs w:val="18"/>
              </w:rPr>
              <w:t>66635</w:t>
            </w:r>
          </w:p>
        </w:tc>
        <w:tc>
          <w:tcPr>
            <w:tcW w:w="2857" w:type="dxa"/>
          </w:tcPr>
          <w:p w14:paraId="54905D14" w14:textId="77777777" w:rsidR="00543D47" w:rsidRPr="005B2FE2" w:rsidRDefault="00543D47" w:rsidP="00D9610A">
            <w:pPr>
              <w:rPr>
                <w:sz w:val="18"/>
                <w:szCs w:val="18"/>
              </w:rPr>
            </w:pPr>
            <w:r w:rsidRPr="000721C1">
              <w:rPr>
                <w:rFonts w:ascii="Calibri" w:hAnsi="Calibri"/>
                <w:color w:val="000000"/>
                <w:sz w:val="18"/>
                <w:szCs w:val="18"/>
              </w:rPr>
              <w:t>Alpha-1-antitrypsin - quantitation in serum, urine or other body fluid - 1 or more tests</w:t>
            </w:r>
          </w:p>
        </w:tc>
        <w:tc>
          <w:tcPr>
            <w:tcW w:w="1066" w:type="dxa"/>
          </w:tcPr>
          <w:p w14:paraId="414FB237" w14:textId="77777777" w:rsidR="00543D47" w:rsidRPr="005B2FE2" w:rsidRDefault="00543D47" w:rsidP="00D9610A">
            <w:pPr>
              <w:rPr>
                <w:sz w:val="18"/>
                <w:szCs w:val="18"/>
              </w:rPr>
            </w:pPr>
            <w:r w:rsidRPr="000721C1">
              <w:rPr>
                <w:rFonts w:ascii="Calibri" w:hAnsi="Calibri"/>
                <w:color w:val="000000"/>
                <w:sz w:val="18"/>
                <w:szCs w:val="18"/>
              </w:rPr>
              <w:t>20.10</w:t>
            </w:r>
          </w:p>
        </w:tc>
        <w:tc>
          <w:tcPr>
            <w:tcW w:w="1218" w:type="dxa"/>
          </w:tcPr>
          <w:p w14:paraId="2974BBAD" w14:textId="77777777" w:rsidR="00543D47" w:rsidRPr="005B2FE2" w:rsidRDefault="00543D47" w:rsidP="00D9610A">
            <w:pPr>
              <w:rPr>
                <w:sz w:val="18"/>
                <w:szCs w:val="18"/>
              </w:rPr>
            </w:pPr>
            <w:r w:rsidRPr="000721C1">
              <w:rPr>
                <w:rFonts w:ascii="Calibri" w:hAnsi="Calibri"/>
                <w:color w:val="000000"/>
                <w:sz w:val="18"/>
                <w:szCs w:val="18"/>
              </w:rPr>
              <w:t>$368,956</w:t>
            </w:r>
          </w:p>
        </w:tc>
        <w:tc>
          <w:tcPr>
            <w:tcW w:w="1071" w:type="dxa"/>
          </w:tcPr>
          <w:p w14:paraId="7E50B190" w14:textId="77777777" w:rsidR="00543D47" w:rsidRPr="005B2FE2" w:rsidRDefault="00543D47" w:rsidP="00D9610A">
            <w:pPr>
              <w:rPr>
                <w:sz w:val="18"/>
                <w:szCs w:val="18"/>
              </w:rPr>
            </w:pPr>
            <w:r w:rsidRPr="000721C1">
              <w:rPr>
                <w:rFonts w:ascii="Calibri" w:hAnsi="Calibri"/>
                <w:color w:val="000000"/>
                <w:sz w:val="18"/>
                <w:szCs w:val="18"/>
              </w:rPr>
              <w:t>21,745</w:t>
            </w:r>
          </w:p>
        </w:tc>
        <w:tc>
          <w:tcPr>
            <w:tcW w:w="1060" w:type="dxa"/>
          </w:tcPr>
          <w:p w14:paraId="78B8D9B8" w14:textId="77777777" w:rsidR="00543D47" w:rsidRPr="005B2FE2" w:rsidRDefault="00543D47" w:rsidP="00D9610A">
            <w:pPr>
              <w:rPr>
                <w:sz w:val="18"/>
                <w:szCs w:val="18"/>
              </w:rPr>
            </w:pPr>
            <w:r w:rsidRPr="000721C1">
              <w:rPr>
                <w:rFonts w:ascii="Calibri" w:hAnsi="Calibri"/>
                <w:color w:val="000000"/>
                <w:sz w:val="18"/>
                <w:szCs w:val="18"/>
              </w:rPr>
              <w:t>20,513</w:t>
            </w:r>
          </w:p>
        </w:tc>
        <w:tc>
          <w:tcPr>
            <w:tcW w:w="1054" w:type="dxa"/>
          </w:tcPr>
          <w:p w14:paraId="66856426" w14:textId="77777777" w:rsidR="00543D47" w:rsidRPr="005B2FE2" w:rsidRDefault="00543D47" w:rsidP="00D9610A">
            <w:pPr>
              <w:rPr>
                <w:sz w:val="18"/>
                <w:szCs w:val="18"/>
              </w:rPr>
            </w:pPr>
            <w:r w:rsidRPr="000721C1">
              <w:rPr>
                <w:rFonts w:ascii="Calibri" w:hAnsi="Calibri"/>
                <w:color w:val="000000"/>
                <w:sz w:val="18"/>
                <w:szCs w:val="18"/>
              </w:rPr>
              <w:t>2.2%</w:t>
            </w:r>
          </w:p>
        </w:tc>
      </w:tr>
      <w:tr w:rsidR="00543D47" w:rsidRPr="00370DFD" w14:paraId="70477F7B" w14:textId="77777777" w:rsidTr="00D9610A">
        <w:tc>
          <w:tcPr>
            <w:tcW w:w="702" w:type="dxa"/>
          </w:tcPr>
          <w:p w14:paraId="490D77DA" w14:textId="77777777" w:rsidR="00543D47" w:rsidRPr="005B2FE2" w:rsidRDefault="00543D47" w:rsidP="00D9610A">
            <w:pPr>
              <w:rPr>
                <w:sz w:val="18"/>
                <w:szCs w:val="18"/>
              </w:rPr>
            </w:pPr>
            <w:r w:rsidRPr="005B2FE2">
              <w:rPr>
                <w:sz w:val="18"/>
                <w:szCs w:val="18"/>
              </w:rPr>
              <w:t>66638</w:t>
            </w:r>
          </w:p>
        </w:tc>
        <w:tc>
          <w:tcPr>
            <w:tcW w:w="2857" w:type="dxa"/>
          </w:tcPr>
          <w:p w14:paraId="24BBC32F" w14:textId="77777777" w:rsidR="00543D47" w:rsidRPr="005B2FE2" w:rsidRDefault="00543D47" w:rsidP="00D9610A">
            <w:pPr>
              <w:rPr>
                <w:sz w:val="18"/>
                <w:szCs w:val="18"/>
              </w:rPr>
            </w:pPr>
            <w:r w:rsidRPr="000721C1">
              <w:rPr>
                <w:rFonts w:ascii="Calibri" w:hAnsi="Calibri"/>
                <w:color w:val="000000"/>
                <w:sz w:val="18"/>
                <w:szCs w:val="18"/>
              </w:rPr>
              <w:t>Isoelectric focussing or similar methods for determination of alpha-1-antitrypsin phenotype in serum - 1 or more tests</w:t>
            </w:r>
          </w:p>
        </w:tc>
        <w:tc>
          <w:tcPr>
            <w:tcW w:w="1066" w:type="dxa"/>
          </w:tcPr>
          <w:p w14:paraId="523BA582" w14:textId="77777777" w:rsidR="00543D47" w:rsidRPr="005B2FE2" w:rsidRDefault="00543D47" w:rsidP="00D9610A">
            <w:pPr>
              <w:rPr>
                <w:sz w:val="18"/>
                <w:szCs w:val="18"/>
              </w:rPr>
            </w:pPr>
            <w:r w:rsidRPr="000721C1">
              <w:rPr>
                <w:rFonts w:ascii="Calibri" w:hAnsi="Calibri"/>
                <w:color w:val="000000"/>
                <w:sz w:val="18"/>
                <w:szCs w:val="18"/>
              </w:rPr>
              <w:t>49.05</w:t>
            </w:r>
          </w:p>
        </w:tc>
        <w:tc>
          <w:tcPr>
            <w:tcW w:w="1218" w:type="dxa"/>
          </w:tcPr>
          <w:p w14:paraId="55495859" w14:textId="77777777" w:rsidR="00543D47" w:rsidRPr="005B2FE2" w:rsidRDefault="00543D47" w:rsidP="00D9610A">
            <w:pPr>
              <w:rPr>
                <w:sz w:val="18"/>
                <w:szCs w:val="18"/>
              </w:rPr>
            </w:pPr>
            <w:r w:rsidRPr="000721C1">
              <w:rPr>
                <w:rFonts w:ascii="Calibri" w:hAnsi="Calibri"/>
                <w:color w:val="000000"/>
                <w:sz w:val="18"/>
                <w:szCs w:val="18"/>
              </w:rPr>
              <w:t>$49,068</w:t>
            </w:r>
          </w:p>
        </w:tc>
        <w:tc>
          <w:tcPr>
            <w:tcW w:w="1071" w:type="dxa"/>
          </w:tcPr>
          <w:p w14:paraId="79CF2C4A" w14:textId="77777777" w:rsidR="00543D47" w:rsidRPr="005B2FE2" w:rsidRDefault="00543D47" w:rsidP="00D9610A">
            <w:pPr>
              <w:rPr>
                <w:sz w:val="18"/>
                <w:szCs w:val="18"/>
              </w:rPr>
            </w:pPr>
            <w:r w:rsidRPr="000721C1">
              <w:rPr>
                <w:rFonts w:ascii="Calibri" w:hAnsi="Calibri"/>
                <w:color w:val="000000"/>
                <w:sz w:val="18"/>
                <w:szCs w:val="18"/>
              </w:rPr>
              <w:t>1,186</w:t>
            </w:r>
          </w:p>
        </w:tc>
        <w:tc>
          <w:tcPr>
            <w:tcW w:w="1060" w:type="dxa"/>
          </w:tcPr>
          <w:p w14:paraId="1BE30A8C" w14:textId="77777777" w:rsidR="00543D47" w:rsidRPr="005B2FE2" w:rsidRDefault="00543D47" w:rsidP="00D9610A">
            <w:pPr>
              <w:rPr>
                <w:sz w:val="18"/>
                <w:szCs w:val="18"/>
              </w:rPr>
            </w:pPr>
            <w:r w:rsidRPr="000721C1">
              <w:rPr>
                <w:rFonts w:ascii="Calibri" w:hAnsi="Calibri"/>
                <w:color w:val="000000"/>
                <w:sz w:val="18"/>
                <w:szCs w:val="18"/>
              </w:rPr>
              <w:t>1,173</w:t>
            </w:r>
          </w:p>
        </w:tc>
        <w:tc>
          <w:tcPr>
            <w:tcW w:w="1054" w:type="dxa"/>
          </w:tcPr>
          <w:p w14:paraId="7018537B" w14:textId="77777777" w:rsidR="00543D47" w:rsidRPr="005B2FE2" w:rsidRDefault="00543D47" w:rsidP="00D9610A">
            <w:pPr>
              <w:rPr>
                <w:sz w:val="18"/>
                <w:szCs w:val="18"/>
              </w:rPr>
            </w:pPr>
            <w:r w:rsidRPr="000721C1">
              <w:rPr>
                <w:rFonts w:ascii="Calibri" w:hAnsi="Calibri"/>
                <w:color w:val="000000"/>
                <w:sz w:val="18"/>
                <w:szCs w:val="18"/>
              </w:rPr>
              <w:t>-2.3%</w:t>
            </w:r>
          </w:p>
        </w:tc>
      </w:tr>
      <w:tr w:rsidR="00543D47" w:rsidRPr="00370DFD" w14:paraId="03E93113" w14:textId="77777777" w:rsidTr="00D9610A">
        <w:tc>
          <w:tcPr>
            <w:tcW w:w="702" w:type="dxa"/>
          </w:tcPr>
          <w:p w14:paraId="01F27DCF" w14:textId="77777777" w:rsidR="00543D47" w:rsidRPr="005B2FE2" w:rsidRDefault="00543D47" w:rsidP="00D9610A">
            <w:pPr>
              <w:rPr>
                <w:sz w:val="18"/>
                <w:szCs w:val="18"/>
              </w:rPr>
            </w:pPr>
            <w:r w:rsidRPr="005B2FE2">
              <w:rPr>
                <w:sz w:val="18"/>
                <w:szCs w:val="18"/>
              </w:rPr>
              <w:t>66639</w:t>
            </w:r>
          </w:p>
        </w:tc>
        <w:tc>
          <w:tcPr>
            <w:tcW w:w="2857" w:type="dxa"/>
          </w:tcPr>
          <w:p w14:paraId="4ED125DF" w14:textId="77777777" w:rsidR="00543D47" w:rsidRPr="005B2FE2" w:rsidRDefault="00543D47" w:rsidP="00D9610A">
            <w:pPr>
              <w:rPr>
                <w:sz w:val="18"/>
                <w:szCs w:val="18"/>
              </w:rPr>
            </w:pPr>
            <w:r w:rsidRPr="000721C1">
              <w:rPr>
                <w:rFonts w:ascii="Calibri" w:hAnsi="Calibri"/>
                <w:color w:val="000000"/>
                <w:sz w:val="18"/>
                <w:szCs w:val="18"/>
              </w:rPr>
              <w:t>A test described in item 66638 if rendered by a receiving APP - 1 or more tests (Item is subject to rule 18)</w:t>
            </w:r>
          </w:p>
        </w:tc>
        <w:tc>
          <w:tcPr>
            <w:tcW w:w="1066" w:type="dxa"/>
          </w:tcPr>
          <w:p w14:paraId="48A6B448" w14:textId="77777777" w:rsidR="00543D47" w:rsidRPr="005B2FE2" w:rsidRDefault="00543D47" w:rsidP="00D9610A">
            <w:pPr>
              <w:rPr>
                <w:sz w:val="18"/>
                <w:szCs w:val="18"/>
              </w:rPr>
            </w:pPr>
            <w:r w:rsidRPr="000721C1">
              <w:rPr>
                <w:rFonts w:ascii="Calibri" w:hAnsi="Calibri"/>
                <w:color w:val="000000"/>
                <w:sz w:val="18"/>
                <w:szCs w:val="18"/>
              </w:rPr>
              <w:t>29.20</w:t>
            </w:r>
          </w:p>
        </w:tc>
        <w:tc>
          <w:tcPr>
            <w:tcW w:w="1218" w:type="dxa"/>
          </w:tcPr>
          <w:p w14:paraId="3E5EF796" w14:textId="77777777" w:rsidR="00543D47" w:rsidRPr="005B2FE2" w:rsidRDefault="00543D47" w:rsidP="00D9610A">
            <w:pPr>
              <w:rPr>
                <w:sz w:val="18"/>
                <w:szCs w:val="18"/>
              </w:rPr>
            </w:pPr>
            <w:r w:rsidRPr="000721C1">
              <w:rPr>
                <w:rFonts w:ascii="Calibri" w:hAnsi="Calibri"/>
                <w:color w:val="000000"/>
                <w:sz w:val="18"/>
                <w:szCs w:val="18"/>
              </w:rPr>
              <w:t>$34,003</w:t>
            </w:r>
          </w:p>
        </w:tc>
        <w:tc>
          <w:tcPr>
            <w:tcW w:w="1071" w:type="dxa"/>
          </w:tcPr>
          <w:p w14:paraId="5C4D0FA1" w14:textId="77777777" w:rsidR="00543D47" w:rsidRPr="005B2FE2" w:rsidRDefault="00543D47" w:rsidP="00D9610A">
            <w:pPr>
              <w:rPr>
                <w:sz w:val="18"/>
                <w:szCs w:val="18"/>
              </w:rPr>
            </w:pPr>
            <w:r w:rsidRPr="000721C1">
              <w:rPr>
                <w:rFonts w:ascii="Calibri" w:hAnsi="Calibri"/>
                <w:color w:val="000000"/>
                <w:sz w:val="18"/>
                <w:szCs w:val="18"/>
              </w:rPr>
              <w:t>1,371</w:t>
            </w:r>
          </w:p>
        </w:tc>
        <w:tc>
          <w:tcPr>
            <w:tcW w:w="1060" w:type="dxa"/>
          </w:tcPr>
          <w:p w14:paraId="135D8109" w14:textId="77777777" w:rsidR="00543D47" w:rsidRPr="005B2FE2" w:rsidRDefault="00543D47" w:rsidP="00D9610A">
            <w:pPr>
              <w:rPr>
                <w:sz w:val="18"/>
                <w:szCs w:val="18"/>
              </w:rPr>
            </w:pPr>
            <w:r w:rsidRPr="000721C1">
              <w:rPr>
                <w:rFonts w:ascii="Calibri" w:hAnsi="Calibri"/>
                <w:color w:val="000000"/>
                <w:sz w:val="18"/>
                <w:szCs w:val="18"/>
              </w:rPr>
              <w:t>1,360</w:t>
            </w:r>
          </w:p>
        </w:tc>
        <w:tc>
          <w:tcPr>
            <w:tcW w:w="1054" w:type="dxa"/>
          </w:tcPr>
          <w:p w14:paraId="052BFF2E" w14:textId="77777777" w:rsidR="00543D47" w:rsidRPr="005B2FE2" w:rsidRDefault="00543D47" w:rsidP="00D9610A">
            <w:pPr>
              <w:rPr>
                <w:sz w:val="18"/>
                <w:szCs w:val="18"/>
              </w:rPr>
            </w:pPr>
            <w:r w:rsidRPr="000721C1">
              <w:rPr>
                <w:rFonts w:ascii="Calibri" w:hAnsi="Calibri"/>
                <w:color w:val="000000"/>
                <w:sz w:val="18"/>
                <w:szCs w:val="18"/>
              </w:rPr>
              <w:t>3.9%</w:t>
            </w:r>
          </w:p>
        </w:tc>
      </w:tr>
    </w:tbl>
    <w:p w14:paraId="240C6392" w14:textId="77777777" w:rsidR="00543D47" w:rsidRPr="007B492F" w:rsidRDefault="00543D47" w:rsidP="00543D47">
      <w:pPr>
        <w:pStyle w:val="Heading4"/>
        <w:rPr>
          <w:lang w:val="en-AU"/>
        </w:rPr>
      </w:pPr>
      <w:r w:rsidRPr="007B492F">
        <w:rPr>
          <w:lang w:val="en-AU"/>
        </w:rPr>
        <w:t>Recommendation</w:t>
      </w:r>
    </w:p>
    <w:p w14:paraId="0A549E53" w14:textId="77777777" w:rsidR="00543D47" w:rsidRPr="00370DFD" w:rsidRDefault="00543D47" w:rsidP="00543D47">
      <w:pPr>
        <w:pStyle w:val="NormalBulleted"/>
        <w:numPr>
          <w:ilvl w:val="0"/>
          <w:numId w:val="0"/>
        </w:numPr>
        <w:ind w:left="431" w:hanging="431"/>
      </w:pPr>
      <w:r w:rsidRPr="00370DFD">
        <w:t xml:space="preserve">The </w:t>
      </w:r>
      <w:r>
        <w:t>Committee</w:t>
      </w:r>
      <w:r w:rsidRPr="00370DFD">
        <w:t xml:space="preserve"> proposes the following:</w:t>
      </w:r>
    </w:p>
    <w:p w14:paraId="6B4A9829" w14:textId="77777777" w:rsidR="00543D47" w:rsidRPr="0054223A" w:rsidRDefault="00543D47" w:rsidP="00543D47">
      <w:pPr>
        <w:pStyle w:val="NormalBulleted"/>
      </w:pPr>
      <w:r w:rsidRPr="0054223A">
        <w:t>Leave item 66635 unchanged.</w:t>
      </w:r>
    </w:p>
    <w:p w14:paraId="27BC5E13" w14:textId="77777777" w:rsidR="00543D47" w:rsidRDefault="00543D47" w:rsidP="00543D47">
      <w:pPr>
        <w:pStyle w:val="NormalBulleted"/>
      </w:pPr>
      <w:r>
        <w:t>Change the item descriptor of item 66638 (and subsequently 66639) to require abnormal alpha-1-antitrypsin levels or a family history of alpha-1-antitrypsin deficiency for the phenotype testing.</w:t>
      </w:r>
    </w:p>
    <w:p w14:paraId="0071B814" w14:textId="77777777" w:rsidR="00543D47" w:rsidRPr="00DF216E" w:rsidRDefault="00543D47" w:rsidP="00543D47">
      <w:pPr>
        <w:pStyle w:val="Caption"/>
        <w:rPr>
          <w:b/>
        </w:rPr>
      </w:pPr>
      <w:bookmarkStart w:id="118" w:name="_Toc534374934"/>
      <w:r w:rsidRPr="008501FA">
        <w:t xml:space="preserve">Table </w:t>
      </w:r>
      <w:r>
        <w:t>30</w:t>
      </w:r>
      <w:r w:rsidRPr="008501FA">
        <w:t>.</w:t>
      </w:r>
      <w:r>
        <w:rPr>
          <w:b/>
        </w:rPr>
        <w:t xml:space="preserve"> </w:t>
      </w:r>
      <w:r w:rsidRPr="00370DFD">
        <w:t>Current and proposed new item descriptor for items 66</w:t>
      </w:r>
      <w:r>
        <w:t>638 and 66639</w:t>
      </w:r>
      <w:bookmarkEnd w:id="118"/>
    </w:p>
    <w:tbl>
      <w:tblPr>
        <w:tblStyle w:val="TableGrid"/>
        <w:tblW w:w="935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Item descriptors for 66638 and 66639"/>
        <w:tblDescription w:val="Table 30 is a 3 column table. Column 1 lists the item, column 2 displays the current item descriptor and column 3 displays the proposed new item descriptor"/>
      </w:tblPr>
      <w:tblGrid>
        <w:gridCol w:w="1134"/>
        <w:gridCol w:w="4110"/>
        <w:gridCol w:w="4110"/>
      </w:tblGrid>
      <w:tr w:rsidR="00543D47" w:rsidRPr="00E709C2" w14:paraId="4A05230B" w14:textId="77777777" w:rsidTr="00D9610A">
        <w:trPr>
          <w:tblHeader/>
        </w:trPr>
        <w:tc>
          <w:tcPr>
            <w:tcW w:w="1134" w:type="dxa"/>
          </w:tcPr>
          <w:p w14:paraId="25AF7B15" w14:textId="77777777" w:rsidR="00543D47" w:rsidRPr="000721C1" w:rsidRDefault="00543D47" w:rsidP="00D9610A">
            <w:pPr>
              <w:pStyle w:val="BodyText1"/>
              <w:rPr>
                <w:rFonts w:asciiTheme="minorHAnsi" w:hAnsiTheme="minorHAnsi"/>
                <w:b/>
                <w:sz w:val="18"/>
                <w:szCs w:val="18"/>
              </w:rPr>
            </w:pPr>
            <w:r w:rsidRPr="000721C1">
              <w:rPr>
                <w:rFonts w:asciiTheme="minorHAnsi" w:hAnsiTheme="minorHAnsi"/>
                <w:b/>
                <w:sz w:val="18"/>
                <w:szCs w:val="18"/>
              </w:rPr>
              <w:t>Item</w:t>
            </w:r>
          </w:p>
        </w:tc>
        <w:tc>
          <w:tcPr>
            <w:tcW w:w="4110" w:type="dxa"/>
          </w:tcPr>
          <w:p w14:paraId="5811A7B9" w14:textId="77777777" w:rsidR="00543D47" w:rsidRPr="000721C1" w:rsidRDefault="00543D47" w:rsidP="00D9610A">
            <w:pPr>
              <w:pStyle w:val="BodyText1"/>
              <w:rPr>
                <w:rFonts w:asciiTheme="minorHAnsi" w:hAnsiTheme="minorHAnsi"/>
                <w:b/>
                <w:sz w:val="18"/>
                <w:szCs w:val="18"/>
              </w:rPr>
            </w:pPr>
            <w:r w:rsidRPr="000721C1">
              <w:rPr>
                <w:rFonts w:asciiTheme="minorHAnsi" w:hAnsiTheme="minorHAnsi"/>
                <w:b/>
                <w:sz w:val="18"/>
                <w:szCs w:val="18"/>
              </w:rPr>
              <w:t>Current item descriptor</w:t>
            </w:r>
          </w:p>
        </w:tc>
        <w:tc>
          <w:tcPr>
            <w:tcW w:w="4110" w:type="dxa"/>
          </w:tcPr>
          <w:p w14:paraId="385C5A68" w14:textId="77777777" w:rsidR="00543D47" w:rsidRPr="000721C1" w:rsidRDefault="00543D47" w:rsidP="00D9610A">
            <w:pPr>
              <w:pStyle w:val="BodyText1"/>
              <w:rPr>
                <w:rFonts w:asciiTheme="minorHAnsi" w:hAnsiTheme="minorHAnsi"/>
                <w:b/>
                <w:sz w:val="18"/>
                <w:szCs w:val="18"/>
              </w:rPr>
            </w:pPr>
            <w:r w:rsidRPr="000721C1">
              <w:rPr>
                <w:rFonts w:asciiTheme="minorHAnsi" w:hAnsiTheme="minorHAnsi"/>
                <w:b/>
                <w:sz w:val="18"/>
                <w:szCs w:val="18"/>
              </w:rPr>
              <w:t>Proposed item descriptor</w:t>
            </w:r>
          </w:p>
        </w:tc>
      </w:tr>
      <w:tr w:rsidR="00543D47" w:rsidRPr="00E709C2" w14:paraId="085BB685" w14:textId="77777777" w:rsidTr="00D9610A">
        <w:trPr>
          <w:trHeight w:val="58"/>
        </w:trPr>
        <w:tc>
          <w:tcPr>
            <w:tcW w:w="1134" w:type="dxa"/>
          </w:tcPr>
          <w:p w14:paraId="421E3FFA" w14:textId="77777777" w:rsidR="00543D47" w:rsidRPr="000721C1" w:rsidRDefault="00543D47" w:rsidP="00D9610A">
            <w:pPr>
              <w:pStyle w:val="BodyText1"/>
              <w:rPr>
                <w:rFonts w:asciiTheme="minorHAnsi" w:hAnsiTheme="minorHAnsi"/>
                <w:sz w:val="18"/>
                <w:szCs w:val="18"/>
              </w:rPr>
            </w:pPr>
            <w:r w:rsidRPr="000721C1">
              <w:rPr>
                <w:rFonts w:asciiTheme="minorHAnsi" w:hAnsiTheme="minorHAnsi"/>
                <w:sz w:val="18"/>
                <w:szCs w:val="18"/>
              </w:rPr>
              <w:t>66638</w:t>
            </w:r>
          </w:p>
        </w:tc>
        <w:tc>
          <w:tcPr>
            <w:tcW w:w="4110" w:type="dxa"/>
          </w:tcPr>
          <w:p w14:paraId="1D8931A4" w14:textId="77777777" w:rsidR="00543D47" w:rsidRPr="000721C1" w:rsidRDefault="00543D47" w:rsidP="00D9610A">
            <w:pPr>
              <w:pStyle w:val="BodyText1"/>
              <w:rPr>
                <w:rFonts w:asciiTheme="minorHAnsi" w:hAnsiTheme="minorHAnsi"/>
                <w:sz w:val="18"/>
                <w:szCs w:val="18"/>
              </w:rPr>
            </w:pPr>
            <w:r w:rsidRPr="000721C1">
              <w:rPr>
                <w:rFonts w:asciiTheme="minorHAnsi" w:hAnsiTheme="minorHAnsi"/>
                <w:sz w:val="18"/>
                <w:szCs w:val="18"/>
              </w:rPr>
              <w:t>Isoelectric focussing or similar methods for determination of alpha-1-antitrypsin phenotype in serum - 1 or more tests</w:t>
            </w:r>
          </w:p>
        </w:tc>
        <w:tc>
          <w:tcPr>
            <w:tcW w:w="4110" w:type="dxa"/>
          </w:tcPr>
          <w:p w14:paraId="33420F8F" w14:textId="77777777" w:rsidR="00543D47" w:rsidRPr="000721C1" w:rsidRDefault="00543D47" w:rsidP="00D9610A">
            <w:pPr>
              <w:pStyle w:val="BodyText1"/>
              <w:rPr>
                <w:rFonts w:asciiTheme="minorHAnsi" w:hAnsiTheme="minorHAnsi"/>
                <w:sz w:val="18"/>
                <w:szCs w:val="18"/>
              </w:rPr>
            </w:pPr>
            <w:r w:rsidRPr="000721C1">
              <w:rPr>
                <w:rFonts w:asciiTheme="minorHAnsi" w:hAnsiTheme="minorHAnsi"/>
                <w:sz w:val="18"/>
                <w:szCs w:val="18"/>
              </w:rPr>
              <w:t xml:space="preserve">Isoelectric focussing or similar methods for determination of alpha-1-antitrypsin phenotype in serum </w:t>
            </w:r>
            <w:r w:rsidRPr="000721C1">
              <w:rPr>
                <w:rFonts w:asciiTheme="minorHAnsi" w:hAnsiTheme="minorHAnsi"/>
                <w:i/>
                <w:sz w:val="18"/>
                <w:szCs w:val="18"/>
              </w:rPr>
              <w:t xml:space="preserve">where alpha-1-antitrypsin levels are abnormally low or there is a family history of alpha-1-antitrypsin deficiency </w:t>
            </w:r>
            <w:r w:rsidRPr="000721C1">
              <w:rPr>
                <w:rFonts w:asciiTheme="minorHAnsi" w:hAnsiTheme="minorHAnsi"/>
                <w:sz w:val="18"/>
                <w:szCs w:val="18"/>
              </w:rPr>
              <w:t>-1 or more tests</w:t>
            </w:r>
          </w:p>
        </w:tc>
      </w:tr>
      <w:tr w:rsidR="00543D47" w:rsidRPr="00E709C2" w14:paraId="0FCF1F95" w14:textId="77777777" w:rsidTr="00D9610A">
        <w:trPr>
          <w:trHeight w:val="58"/>
        </w:trPr>
        <w:tc>
          <w:tcPr>
            <w:tcW w:w="1134" w:type="dxa"/>
          </w:tcPr>
          <w:p w14:paraId="4175D06D" w14:textId="77777777" w:rsidR="00543D47" w:rsidRPr="000721C1" w:rsidRDefault="00543D47" w:rsidP="00D9610A">
            <w:pPr>
              <w:pStyle w:val="BodyText1"/>
              <w:rPr>
                <w:rFonts w:asciiTheme="minorHAnsi" w:hAnsiTheme="minorHAnsi"/>
                <w:sz w:val="18"/>
                <w:szCs w:val="18"/>
              </w:rPr>
            </w:pPr>
            <w:r w:rsidRPr="000721C1">
              <w:rPr>
                <w:rFonts w:asciiTheme="minorHAnsi" w:hAnsiTheme="minorHAnsi"/>
                <w:sz w:val="18"/>
                <w:szCs w:val="18"/>
              </w:rPr>
              <w:t>66639</w:t>
            </w:r>
          </w:p>
        </w:tc>
        <w:tc>
          <w:tcPr>
            <w:tcW w:w="4110" w:type="dxa"/>
          </w:tcPr>
          <w:p w14:paraId="5FC9C3B5" w14:textId="77777777" w:rsidR="00543D47" w:rsidRPr="000721C1" w:rsidRDefault="00543D47" w:rsidP="00D9610A">
            <w:pPr>
              <w:pStyle w:val="BodyText1"/>
              <w:rPr>
                <w:rFonts w:asciiTheme="minorHAnsi" w:hAnsiTheme="minorHAnsi"/>
                <w:sz w:val="18"/>
                <w:szCs w:val="18"/>
              </w:rPr>
            </w:pPr>
            <w:r w:rsidRPr="000721C1">
              <w:rPr>
                <w:rFonts w:asciiTheme="minorHAnsi" w:hAnsiTheme="minorHAnsi"/>
                <w:sz w:val="18"/>
                <w:szCs w:val="18"/>
              </w:rPr>
              <w:t>A test described in item 66638 if rendered by a receiving APP - 1 or more tests (Item is subject to rule 18)</w:t>
            </w:r>
          </w:p>
        </w:tc>
        <w:tc>
          <w:tcPr>
            <w:tcW w:w="4110" w:type="dxa"/>
          </w:tcPr>
          <w:p w14:paraId="5A65D5FD" w14:textId="77777777" w:rsidR="00543D47" w:rsidRPr="000721C1" w:rsidRDefault="00543D47" w:rsidP="00D9610A">
            <w:pPr>
              <w:pStyle w:val="BodyText1"/>
              <w:rPr>
                <w:rFonts w:asciiTheme="minorHAnsi" w:hAnsiTheme="minorHAnsi"/>
                <w:sz w:val="18"/>
                <w:szCs w:val="18"/>
              </w:rPr>
            </w:pPr>
          </w:p>
        </w:tc>
      </w:tr>
    </w:tbl>
    <w:p w14:paraId="17FB5459" w14:textId="77777777" w:rsidR="00543D47" w:rsidRDefault="00543D47" w:rsidP="00543D47">
      <w:pPr>
        <w:pStyle w:val="NormalBulleted"/>
        <w:numPr>
          <w:ilvl w:val="0"/>
          <w:numId w:val="0"/>
        </w:numPr>
        <w:rPr>
          <w:sz w:val="18"/>
          <w:szCs w:val="18"/>
        </w:rPr>
      </w:pPr>
    </w:p>
    <w:p w14:paraId="1FDF9D2C" w14:textId="77777777" w:rsidR="00543D47" w:rsidRPr="00525A47" w:rsidRDefault="00543D47" w:rsidP="00543D47">
      <w:pPr>
        <w:pStyle w:val="NormalBulleted"/>
        <w:numPr>
          <w:ilvl w:val="0"/>
          <w:numId w:val="0"/>
        </w:numPr>
        <w:rPr>
          <w:sz w:val="18"/>
          <w:szCs w:val="18"/>
        </w:rPr>
      </w:pPr>
    </w:p>
    <w:p w14:paraId="609D555C" w14:textId="77777777" w:rsidR="00543D47" w:rsidRDefault="00543D47" w:rsidP="00543D47">
      <w:pPr>
        <w:pStyle w:val="Heading4"/>
        <w:rPr>
          <w:lang w:val="en-AU"/>
        </w:rPr>
      </w:pPr>
      <w:r w:rsidRPr="0057193B">
        <w:rPr>
          <w:lang w:val="en-AU"/>
        </w:rPr>
        <w:lastRenderedPageBreak/>
        <w:t>Rationale</w:t>
      </w:r>
      <w:r>
        <w:rPr>
          <w:lang w:val="en-AU"/>
        </w:rPr>
        <w:t xml:space="preserve"> </w:t>
      </w:r>
    </w:p>
    <w:p w14:paraId="0EE082FE" w14:textId="77777777" w:rsidR="00543D47" w:rsidRDefault="00543D47" w:rsidP="00543D47">
      <w:pPr>
        <w:pStyle w:val="NormalBulleted"/>
      </w:pPr>
      <w:r>
        <w:t xml:space="preserve"> Items 66635, 66638 and 66639 are tests used to detect alpha-1-antitrypsin. Alpha-1-antitrypsin testing is used in patients with airway disease, and it </w:t>
      </w:r>
      <w:r w:rsidRPr="00D931AB">
        <w:t>is under-tested within the population</w:t>
      </w:r>
      <w:r>
        <w:t xml:space="preserve">. This may contribute to </w:t>
      </w:r>
      <w:proofErr w:type="gramStart"/>
      <w:r>
        <w:t>a number of</w:t>
      </w:r>
      <w:proofErr w:type="gramEnd"/>
      <w:r>
        <w:t xml:space="preserve"> COPD/emphysema patients undiagnosed with this deficiency. G</w:t>
      </w:r>
      <w:r w:rsidRPr="00D931AB">
        <w:t xml:space="preserve">enetic studies indicate that ~ 10% of the Australian population </w:t>
      </w:r>
      <w:r>
        <w:t xml:space="preserve">are </w:t>
      </w:r>
      <w:r w:rsidRPr="00D931AB">
        <w:t xml:space="preserve">at risk of adverse effects of </w:t>
      </w:r>
      <w:r>
        <w:t>alpha-1-antitrypsin</w:t>
      </w:r>
      <w:r w:rsidRPr="00D931AB">
        <w:t xml:space="preserve"> deficiency</w:t>
      </w:r>
      <w:r>
        <w:t>.</w:t>
      </w:r>
      <w:r>
        <w:fldChar w:fldCharType="begin"/>
      </w:r>
      <w:r>
        <w:instrText xml:space="preserve"> ADDIN EN.CITE &lt;EndNote&gt;&lt;Cite&gt;&lt;Author&gt;De Serres&lt;/Author&gt;&lt;Year&gt;2003&lt;/Year&gt;&lt;RecNum&gt;34&lt;/RecNum&gt;&lt;DisplayText&gt;&lt;style face="superscript"&gt;7&lt;/style&gt;&lt;/DisplayText&gt;&lt;record&gt;&lt;rec-number&gt;34&lt;/rec-number&gt;&lt;foreign-keys&gt;&lt;key app="EN" db-id="dfs5xeapdpddpyexds6ppreypt5sp9spp2a5" timestamp="1497504698"&gt;34&lt;/key&gt;&lt;/foreign-keys&gt;&lt;ref-type name="Journal Article"&gt;17&lt;/ref-type&gt;&lt;contributors&gt;&lt;authors&gt;&lt;author&gt;De Serres, F. J.&lt;/author&gt;&lt;author&gt;Blanco, I.&lt;/author&gt;&lt;author&gt;Fernández-Bustillo, E.&lt;/author&gt;&lt;/authors&gt;&lt;/contributors&gt;&lt;titles&gt;&lt;title&gt;Genetic epidemiology of alpha-1 antitrypsin deficiency in North America and Australia/New Zealand: Australia, Canada, New Zealand and the United States of America&lt;/title&gt;&lt;secondary-title&gt;Clinical Genetics&lt;/secondary-title&gt;&lt;/titles&gt;&lt;periodical&gt;&lt;full-title&gt;Clinical Genetics&lt;/full-title&gt;&lt;/periodical&gt;&lt;pages&gt;382-397&lt;/pages&gt;&lt;volume&gt;64&lt;/volume&gt;&lt;number&gt;5&lt;/number&gt;&lt;keywords&gt;&lt;keyword&gt;alpha-1 antitrypsin deficiency&lt;/keyword&gt;&lt;keyword&gt;alpha-1 protease inhibitor&lt;/keyword&gt;&lt;keyword&gt;alpha-1 protease&lt;/keyword&gt;&lt;keyword&gt;Australia&lt;/keyword&gt;&lt;keyword&gt;Canada&lt;/keyword&gt;&lt;keyword&gt;genetic epidemiology&lt;/keyword&gt;&lt;keyword&gt;New Zealand&lt;/keyword&gt;&lt;keyword&gt;Pi phenotypes&lt;/keyword&gt;&lt;keyword&gt;Pi subtypes&lt;/keyword&gt;&lt;keyword&gt;population genetics&lt;/keyword&gt;&lt;keyword&gt;United States of America&lt;/keyword&gt;&lt;/keywords&gt;&lt;dates&gt;&lt;year&gt;2003&lt;/year&gt;&lt;/dates&gt;&lt;publisher&gt;Munksgaard International Publishers&lt;/publisher&gt;&lt;isbn&gt;1399-0004&lt;/isbn&gt;&lt;urls&gt;&lt;related-urls&gt;&lt;url&gt;http://dx.doi.org/10.1034/j.1399-0004.2003.00143.x&lt;/url&gt;&lt;/related-urls&gt;&lt;/urls&gt;&lt;electronic-resource-num&gt;10.1034/j.1399-0004.2003.00143.x&lt;/electronic-resource-num&gt;&lt;/record&gt;&lt;/Cite&gt;&lt;/EndNote&gt;</w:instrText>
      </w:r>
      <w:r>
        <w:fldChar w:fldCharType="separate"/>
      </w:r>
      <w:r w:rsidRPr="00811642">
        <w:rPr>
          <w:noProof/>
          <w:vertAlign w:val="superscript"/>
        </w:rPr>
        <w:t>7</w:t>
      </w:r>
      <w:r>
        <w:fldChar w:fldCharType="end"/>
      </w:r>
    </w:p>
    <w:p w14:paraId="560DF236" w14:textId="77777777" w:rsidR="00543D47" w:rsidRDefault="00543D47" w:rsidP="00543D47">
      <w:pPr>
        <w:pStyle w:val="NormalBulleted"/>
      </w:pPr>
      <w:r w:rsidRPr="00F23D64">
        <w:t xml:space="preserve">The utilisation of item 66638 is evenly distributed between major cities and remote and rural Australia </w:t>
      </w:r>
      <w:proofErr w:type="gramStart"/>
      <w:r w:rsidRPr="00F23D64">
        <w:t>with the exception of</w:t>
      </w:r>
      <w:proofErr w:type="gramEnd"/>
      <w:r w:rsidRPr="00F23D64">
        <w:t xml:space="preserve"> T</w:t>
      </w:r>
      <w:r>
        <w:t>AS</w:t>
      </w:r>
      <w:r w:rsidRPr="00F23D64">
        <w:t>, where there is a much higher utilisation</w:t>
      </w:r>
      <w:r>
        <w:t xml:space="preserve"> (Figure 6)</w:t>
      </w:r>
      <w:r w:rsidRPr="00F23D64">
        <w:t>.</w:t>
      </w:r>
    </w:p>
    <w:p w14:paraId="7011D456" w14:textId="77777777" w:rsidR="00543D47" w:rsidRDefault="00543D47" w:rsidP="00543D47">
      <w:pPr>
        <w:pStyle w:val="NormalBulleted"/>
      </w:pPr>
      <w:r>
        <w:t>The rare a</w:t>
      </w:r>
      <w:r w:rsidRPr="00D931AB">
        <w:t>lpha-1-antitrypsin deficiency with abnormal genotype X and M (</w:t>
      </w:r>
      <w:proofErr w:type="spellStart"/>
      <w:r w:rsidRPr="00D931AB">
        <w:t>malton</w:t>
      </w:r>
      <w:proofErr w:type="spellEnd"/>
      <w:r w:rsidRPr="00D931AB">
        <w:t>) ha</w:t>
      </w:r>
      <w:r>
        <w:t>s</w:t>
      </w:r>
      <w:r w:rsidRPr="00D931AB">
        <w:t xml:space="preserve"> been associated with chronic liver disease and cirrhosis</w:t>
      </w:r>
      <w:r>
        <w:t>.</w:t>
      </w:r>
      <w:r w:rsidRPr="006F1006">
        <w:t xml:space="preserve"> </w:t>
      </w:r>
      <w:r>
        <w:t>This is usually associated with low a</w:t>
      </w:r>
      <w:r w:rsidRPr="00D931AB">
        <w:t>lpha-1-antitrypsin</w:t>
      </w:r>
      <w:r>
        <w:t xml:space="preserve"> levels.</w:t>
      </w:r>
    </w:p>
    <w:p w14:paraId="770BD575" w14:textId="77777777" w:rsidR="00543D47" w:rsidRDefault="00543D47" w:rsidP="00543D47">
      <w:pPr>
        <w:pStyle w:val="NormalBulleted"/>
      </w:pPr>
      <w:r>
        <w:t xml:space="preserve">The Committee noted that antitrypsin levels can be artificially elevated in patients with an inflammatory response, which may mask a true deficiency, and would require clinicians to wait for the acute inflammatory phase to pass prior to retesting. </w:t>
      </w:r>
    </w:p>
    <w:p w14:paraId="1C08F134" w14:textId="77777777" w:rsidR="00543D47" w:rsidRDefault="00543D47" w:rsidP="00543D47">
      <w:pPr>
        <w:pStyle w:val="Caption"/>
      </w:pPr>
      <w:bookmarkStart w:id="119" w:name="_Toc534374935"/>
      <w:r>
        <w:t>Figure 6. State utilisation for item 66638 services per 100,000 people</w:t>
      </w:r>
      <w:bookmarkEnd w:id="119"/>
    </w:p>
    <w:p w14:paraId="1E1A0992" w14:textId="77777777" w:rsidR="00543D47" w:rsidRDefault="00543D47" w:rsidP="00543D47">
      <w:r>
        <w:rPr>
          <w:noProof/>
        </w:rPr>
        <w:drawing>
          <wp:inline distT="0" distB="0" distL="0" distR="0" wp14:anchorId="408D8C2D" wp14:editId="11475E29">
            <wp:extent cx="5318760" cy="2994660"/>
            <wp:effectExtent l="0" t="0" r="15240" b="15240"/>
            <wp:docPr id="11" name="Chart 11" descr="Figure 6 displays the number of services for item 66638 in the 2014/15 financial year by state / territory. Axis y displays the number of services, axis x displays each state / territory" title="Usage of item 666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7EDE9EC" w14:textId="77777777" w:rsidR="00543D47" w:rsidRDefault="00543D47" w:rsidP="00543D47">
      <w:pPr>
        <w:spacing w:before="0" w:after="0" w:line="240" w:lineRule="auto"/>
      </w:pPr>
      <w:r>
        <w:br w:type="page"/>
      </w:r>
    </w:p>
    <w:p w14:paraId="2D33F24E" w14:textId="77777777" w:rsidR="00543D47" w:rsidRPr="00BD4D2A" w:rsidRDefault="00543D47" w:rsidP="00543D47">
      <w:pPr>
        <w:pStyle w:val="Heading3Numbered"/>
      </w:pPr>
      <w:r w:rsidRPr="00BD4D2A">
        <w:lastRenderedPageBreak/>
        <w:t>E</w:t>
      </w:r>
      <w:r w:rsidRPr="00525A47">
        <w:t>lectrophoresis of serum</w:t>
      </w:r>
      <w:r>
        <w:t xml:space="preserve"> isoenzymes</w:t>
      </w:r>
      <w:r w:rsidRPr="00525A47">
        <w:t>: items 66641 and 66642</w:t>
      </w:r>
    </w:p>
    <w:p w14:paraId="3CE35F92" w14:textId="77777777" w:rsidR="00543D47" w:rsidRPr="007B492F" w:rsidRDefault="00543D47" w:rsidP="00543D47">
      <w:pPr>
        <w:pStyle w:val="Caption"/>
        <w:rPr>
          <w:b/>
        </w:rPr>
      </w:pPr>
      <w:bookmarkStart w:id="120" w:name="_Toc534374936"/>
      <w:r w:rsidRPr="00370DFD">
        <w:t xml:space="preserve">Table </w:t>
      </w:r>
      <w:r>
        <w:t>31</w:t>
      </w:r>
      <w:r w:rsidRPr="00370DFD">
        <w:t>. Item introduction</w:t>
      </w:r>
      <w:r>
        <w:t xml:space="preserve"> table for item 66641 and 66642</w:t>
      </w:r>
      <w:bookmarkEnd w:id="120"/>
    </w:p>
    <w:tbl>
      <w:tblPr>
        <w:tblStyle w:val="TableGrid"/>
        <w:tblW w:w="9037" w:type="dxa"/>
        <w:tblBorders>
          <w:insideV w:val="single" w:sz="4" w:space="0" w:color="984806" w:themeColor="accent6" w:themeShade="80"/>
        </w:tblBorders>
        <w:tblLook w:val="04A0" w:firstRow="1" w:lastRow="0" w:firstColumn="1" w:lastColumn="0" w:noHBand="0" w:noVBand="1"/>
        <w:tblCaption w:val="Introduction table for items 66641 and 66642"/>
        <w:tblDescription w:val="Table 31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2"/>
        <w:gridCol w:w="2857"/>
        <w:gridCol w:w="1074"/>
        <w:gridCol w:w="1219"/>
        <w:gridCol w:w="1071"/>
        <w:gridCol w:w="1060"/>
        <w:gridCol w:w="1054"/>
      </w:tblGrid>
      <w:tr w:rsidR="00543D47" w:rsidRPr="00370DFD" w14:paraId="5EC37835" w14:textId="77777777" w:rsidTr="00D9610A">
        <w:trPr>
          <w:tblHeader/>
        </w:trPr>
        <w:tc>
          <w:tcPr>
            <w:tcW w:w="702" w:type="dxa"/>
            <w:vAlign w:val="center"/>
          </w:tcPr>
          <w:p w14:paraId="79D63795" w14:textId="77777777" w:rsidR="00543D47" w:rsidRPr="00370DFD" w:rsidRDefault="00543D47" w:rsidP="00D9610A">
            <w:pPr>
              <w:rPr>
                <w:sz w:val="18"/>
                <w:szCs w:val="18"/>
              </w:rPr>
            </w:pPr>
            <w:r w:rsidRPr="00370DFD">
              <w:rPr>
                <w:b/>
                <w:sz w:val="18"/>
                <w:szCs w:val="18"/>
              </w:rPr>
              <w:t>Item</w:t>
            </w:r>
          </w:p>
        </w:tc>
        <w:tc>
          <w:tcPr>
            <w:tcW w:w="2857" w:type="dxa"/>
            <w:vAlign w:val="center"/>
          </w:tcPr>
          <w:p w14:paraId="2A1F3D46" w14:textId="77777777" w:rsidR="00543D47" w:rsidRPr="00370DFD" w:rsidRDefault="00543D47" w:rsidP="00D9610A">
            <w:pPr>
              <w:rPr>
                <w:sz w:val="18"/>
                <w:szCs w:val="18"/>
              </w:rPr>
            </w:pPr>
            <w:r w:rsidRPr="00370DFD">
              <w:rPr>
                <w:b/>
                <w:sz w:val="18"/>
                <w:szCs w:val="18"/>
              </w:rPr>
              <w:t>Long item descriptor</w:t>
            </w:r>
          </w:p>
        </w:tc>
        <w:tc>
          <w:tcPr>
            <w:tcW w:w="1074" w:type="dxa"/>
            <w:vAlign w:val="center"/>
          </w:tcPr>
          <w:p w14:paraId="0B7E80DF"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219" w:type="dxa"/>
            <w:vAlign w:val="center"/>
          </w:tcPr>
          <w:p w14:paraId="0F22A7B5"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3F88832D"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731D2691"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54" w:type="dxa"/>
            <w:vAlign w:val="center"/>
          </w:tcPr>
          <w:p w14:paraId="405D84FB"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18321F9E" w14:textId="77777777" w:rsidTr="00D9610A">
        <w:tc>
          <w:tcPr>
            <w:tcW w:w="702" w:type="dxa"/>
          </w:tcPr>
          <w:p w14:paraId="0BE78018" w14:textId="77777777" w:rsidR="00543D47" w:rsidRPr="002C6E9F" w:rsidRDefault="00543D47" w:rsidP="00D9610A">
            <w:pPr>
              <w:rPr>
                <w:sz w:val="18"/>
                <w:szCs w:val="18"/>
              </w:rPr>
            </w:pPr>
            <w:r w:rsidRPr="002C6E9F">
              <w:rPr>
                <w:sz w:val="18"/>
                <w:szCs w:val="18"/>
              </w:rPr>
              <w:t>66641</w:t>
            </w:r>
          </w:p>
        </w:tc>
        <w:tc>
          <w:tcPr>
            <w:tcW w:w="2857" w:type="dxa"/>
          </w:tcPr>
          <w:p w14:paraId="4B29CF57" w14:textId="77777777" w:rsidR="00543D47" w:rsidRPr="002C6E9F" w:rsidRDefault="00543D47" w:rsidP="00D9610A">
            <w:pPr>
              <w:rPr>
                <w:sz w:val="18"/>
                <w:szCs w:val="18"/>
              </w:rPr>
            </w:pPr>
            <w:r w:rsidRPr="00525A47">
              <w:rPr>
                <w:rFonts w:ascii="Calibri" w:hAnsi="Calibri"/>
                <w:color w:val="000000"/>
                <w:sz w:val="18"/>
                <w:szCs w:val="18"/>
              </w:rPr>
              <w:t>Electrophoresis of serum or other body fluid to demonstrate: (a) the isoenzymes of lactate dehydrogenase; or (b) the isoenzymes of alkaline phosphatase; including the preliminary quantitation of total relevant enzyme activity - 1 or more tests</w:t>
            </w:r>
          </w:p>
        </w:tc>
        <w:tc>
          <w:tcPr>
            <w:tcW w:w="1074" w:type="dxa"/>
          </w:tcPr>
          <w:p w14:paraId="1E042668" w14:textId="77777777" w:rsidR="00543D47" w:rsidRPr="002C6E9F" w:rsidRDefault="00543D47" w:rsidP="00D9610A">
            <w:pPr>
              <w:rPr>
                <w:sz w:val="18"/>
                <w:szCs w:val="18"/>
              </w:rPr>
            </w:pPr>
            <w:r w:rsidRPr="00525A47">
              <w:rPr>
                <w:rFonts w:ascii="Calibri" w:hAnsi="Calibri"/>
                <w:color w:val="000000"/>
                <w:sz w:val="18"/>
                <w:szCs w:val="18"/>
              </w:rPr>
              <w:t>29.20</w:t>
            </w:r>
          </w:p>
        </w:tc>
        <w:tc>
          <w:tcPr>
            <w:tcW w:w="1219" w:type="dxa"/>
          </w:tcPr>
          <w:p w14:paraId="2042298B" w14:textId="77777777" w:rsidR="00543D47" w:rsidRPr="002C6E9F" w:rsidRDefault="00543D47" w:rsidP="00D9610A">
            <w:pPr>
              <w:rPr>
                <w:sz w:val="18"/>
                <w:szCs w:val="18"/>
              </w:rPr>
            </w:pPr>
            <w:r w:rsidRPr="00525A47">
              <w:rPr>
                <w:rFonts w:ascii="Calibri" w:hAnsi="Calibri"/>
                <w:color w:val="000000"/>
                <w:sz w:val="18"/>
                <w:szCs w:val="18"/>
              </w:rPr>
              <w:t>$130,068</w:t>
            </w:r>
          </w:p>
        </w:tc>
        <w:tc>
          <w:tcPr>
            <w:tcW w:w="1071" w:type="dxa"/>
          </w:tcPr>
          <w:p w14:paraId="25407118" w14:textId="77777777" w:rsidR="00543D47" w:rsidRPr="002C6E9F" w:rsidRDefault="00543D47" w:rsidP="00D9610A">
            <w:pPr>
              <w:rPr>
                <w:sz w:val="18"/>
                <w:szCs w:val="18"/>
              </w:rPr>
            </w:pPr>
            <w:r w:rsidRPr="00525A47">
              <w:rPr>
                <w:rFonts w:ascii="Calibri" w:hAnsi="Calibri"/>
                <w:color w:val="000000"/>
                <w:sz w:val="18"/>
                <w:szCs w:val="18"/>
              </w:rPr>
              <w:t>5,202</w:t>
            </w:r>
          </w:p>
        </w:tc>
        <w:tc>
          <w:tcPr>
            <w:tcW w:w="1060" w:type="dxa"/>
          </w:tcPr>
          <w:p w14:paraId="343F7704" w14:textId="77777777" w:rsidR="00543D47" w:rsidRPr="002C6E9F" w:rsidRDefault="00543D47" w:rsidP="00D9610A">
            <w:pPr>
              <w:rPr>
                <w:sz w:val="18"/>
                <w:szCs w:val="18"/>
              </w:rPr>
            </w:pPr>
            <w:r w:rsidRPr="00525A47">
              <w:rPr>
                <w:rFonts w:ascii="Calibri" w:hAnsi="Calibri"/>
                <w:color w:val="000000"/>
                <w:sz w:val="18"/>
                <w:szCs w:val="18"/>
              </w:rPr>
              <w:t>4,431</w:t>
            </w:r>
          </w:p>
        </w:tc>
        <w:tc>
          <w:tcPr>
            <w:tcW w:w="1054" w:type="dxa"/>
          </w:tcPr>
          <w:p w14:paraId="01C5B15E" w14:textId="77777777" w:rsidR="00543D47" w:rsidRPr="002C6E9F" w:rsidRDefault="00543D47" w:rsidP="00D9610A">
            <w:pPr>
              <w:rPr>
                <w:sz w:val="18"/>
                <w:szCs w:val="18"/>
              </w:rPr>
            </w:pPr>
            <w:r w:rsidRPr="00525A47">
              <w:rPr>
                <w:rFonts w:ascii="Calibri" w:hAnsi="Calibri"/>
                <w:color w:val="000000"/>
                <w:sz w:val="18"/>
                <w:szCs w:val="18"/>
              </w:rPr>
              <w:t>3.9%</w:t>
            </w:r>
          </w:p>
        </w:tc>
      </w:tr>
      <w:tr w:rsidR="00543D47" w:rsidRPr="00370DFD" w14:paraId="20373454" w14:textId="77777777" w:rsidTr="00D9610A">
        <w:tc>
          <w:tcPr>
            <w:tcW w:w="702" w:type="dxa"/>
          </w:tcPr>
          <w:p w14:paraId="55F3BA47" w14:textId="77777777" w:rsidR="00543D47" w:rsidRPr="002C6E9F" w:rsidRDefault="00543D47" w:rsidP="00D9610A">
            <w:pPr>
              <w:rPr>
                <w:sz w:val="18"/>
                <w:szCs w:val="18"/>
              </w:rPr>
            </w:pPr>
            <w:r w:rsidRPr="002C6E9F">
              <w:rPr>
                <w:sz w:val="18"/>
                <w:szCs w:val="18"/>
              </w:rPr>
              <w:t>66642</w:t>
            </w:r>
          </w:p>
        </w:tc>
        <w:tc>
          <w:tcPr>
            <w:tcW w:w="2857" w:type="dxa"/>
          </w:tcPr>
          <w:p w14:paraId="023E2A63" w14:textId="77777777" w:rsidR="00543D47" w:rsidRPr="002C6E9F" w:rsidRDefault="00543D47" w:rsidP="00D9610A">
            <w:pPr>
              <w:rPr>
                <w:sz w:val="18"/>
                <w:szCs w:val="18"/>
              </w:rPr>
            </w:pPr>
            <w:r w:rsidRPr="00525A47">
              <w:rPr>
                <w:rFonts w:ascii="Calibri" w:hAnsi="Calibri"/>
                <w:color w:val="000000"/>
                <w:sz w:val="18"/>
                <w:szCs w:val="18"/>
              </w:rPr>
              <w:t>A test described in item 66641 if rendered by a receiving APP - 1 or more tests (Item is subject to rule 18)</w:t>
            </w:r>
          </w:p>
        </w:tc>
        <w:tc>
          <w:tcPr>
            <w:tcW w:w="1074" w:type="dxa"/>
          </w:tcPr>
          <w:p w14:paraId="25ECBD5B" w14:textId="77777777" w:rsidR="00543D47" w:rsidRPr="002C6E9F" w:rsidRDefault="00543D47" w:rsidP="00D9610A">
            <w:pPr>
              <w:rPr>
                <w:sz w:val="18"/>
                <w:szCs w:val="18"/>
              </w:rPr>
            </w:pPr>
            <w:r w:rsidRPr="00525A47">
              <w:rPr>
                <w:rFonts w:ascii="Calibri" w:hAnsi="Calibri"/>
                <w:color w:val="000000"/>
                <w:sz w:val="18"/>
                <w:szCs w:val="18"/>
              </w:rPr>
              <w:t>29.20</w:t>
            </w:r>
          </w:p>
        </w:tc>
        <w:tc>
          <w:tcPr>
            <w:tcW w:w="1219" w:type="dxa"/>
          </w:tcPr>
          <w:p w14:paraId="0629180B" w14:textId="77777777" w:rsidR="00543D47" w:rsidRPr="002C6E9F" w:rsidRDefault="00543D47" w:rsidP="00D9610A">
            <w:pPr>
              <w:rPr>
                <w:sz w:val="18"/>
                <w:szCs w:val="18"/>
              </w:rPr>
            </w:pPr>
            <w:r w:rsidRPr="00525A47">
              <w:rPr>
                <w:rFonts w:ascii="Calibri" w:hAnsi="Calibri"/>
                <w:color w:val="000000"/>
                <w:sz w:val="18"/>
                <w:szCs w:val="18"/>
              </w:rPr>
              <w:t>$12,511</w:t>
            </w:r>
          </w:p>
        </w:tc>
        <w:tc>
          <w:tcPr>
            <w:tcW w:w="1071" w:type="dxa"/>
          </w:tcPr>
          <w:p w14:paraId="718C0927" w14:textId="77777777" w:rsidR="00543D47" w:rsidRPr="002C6E9F" w:rsidRDefault="00543D47" w:rsidP="00D9610A">
            <w:pPr>
              <w:rPr>
                <w:sz w:val="18"/>
                <w:szCs w:val="18"/>
              </w:rPr>
            </w:pPr>
            <w:r w:rsidRPr="00525A47">
              <w:rPr>
                <w:rFonts w:ascii="Calibri" w:hAnsi="Calibri"/>
                <w:color w:val="000000"/>
                <w:sz w:val="18"/>
                <w:szCs w:val="18"/>
              </w:rPr>
              <w:t>504</w:t>
            </w:r>
          </w:p>
        </w:tc>
        <w:tc>
          <w:tcPr>
            <w:tcW w:w="1060" w:type="dxa"/>
          </w:tcPr>
          <w:p w14:paraId="24480EFC" w14:textId="77777777" w:rsidR="00543D47" w:rsidRPr="002C6E9F" w:rsidRDefault="00543D47" w:rsidP="00D9610A">
            <w:pPr>
              <w:rPr>
                <w:sz w:val="18"/>
                <w:szCs w:val="18"/>
              </w:rPr>
            </w:pPr>
            <w:r w:rsidRPr="00525A47">
              <w:rPr>
                <w:rFonts w:ascii="Calibri" w:hAnsi="Calibri"/>
                <w:color w:val="000000"/>
                <w:sz w:val="18"/>
                <w:szCs w:val="18"/>
              </w:rPr>
              <w:t>485</w:t>
            </w:r>
          </w:p>
        </w:tc>
        <w:tc>
          <w:tcPr>
            <w:tcW w:w="1054" w:type="dxa"/>
          </w:tcPr>
          <w:p w14:paraId="7B73B016" w14:textId="77777777" w:rsidR="00543D47" w:rsidRPr="002C6E9F" w:rsidRDefault="00543D47" w:rsidP="00D9610A">
            <w:pPr>
              <w:rPr>
                <w:sz w:val="18"/>
                <w:szCs w:val="18"/>
              </w:rPr>
            </w:pPr>
            <w:r w:rsidRPr="00525A47">
              <w:rPr>
                <w:rFonts w:ascii="Calibri" w:hAnsi="Calibri"/>
                <w:color w:val="000000"/>
                <w:sz w:val="18"/>
                <w:szCs w:val="18"/>
              </w:rPr>
              <w:t>-1.6%</w:t>
            </w:r>
          </w:p>
        </w:tc>
      </w:tr>
    </w:tbl>
    <w:p w14:paraId="00DF4992" w14:textId="77777777" w:rsidR="00543D47" w:rsidRPr="007B492F" w:rsidRDefault="00543D47" w:rsidP="00543D47">
      <w:pPr>
        <w:pStyle w:val="Heading4"/>
        <w:rPr>
          <w:lang w:val="en-AU"/>
        </w:rPr>
      </w:pPr>
      <w:r w:rsidRPr="007B492F">
        <w:rPr>
          <w:lang w:val="en-AU"/>
        </w:rPr>
        <w:t>Recommendation</w:t>
      </w:r>
    </w:p>
    <w:p w14:paraId="11160B5B" w14:textId="77777777" w:rsidR="00543D47" w:rsidRDefault="00543D47" w:rsidP="00543D47">
      <w:pPr>
        <w:pStyle w:val="NormalBulleted"/>
        <w:numPr>
          <w:ilvl w:val="0"/>
          <w:numId w:val="0"/>
        </w:numPr>
        <w:ind w:left="431" w:hanging="431"/>
      </w:pPr>
      <w:r w:rsidRPr="00370DFD">
        <w:t xml:space="preserve">The </w:t>
      </w:r>
      <w:r>
        <w:t>Committee proposes the following:</w:t>
      </w:r>
    </w:p>
    <w:p w14:paraId="15BE6712" w14:textId="77777777" w:rsidR="00543D47" w:rsidRDefault="00543D47" w:rsidP="00543D47">
      <w:pPr>
        <w:pStyle w:val="NormalBulleted"/>
      </w:pPr>
      <w:r>
        <w:t>Add creatine kinase isoenzymes to the item descriptor 66641.</w:t>
      </w:r>
    </w:p>
    <w:p w14:paraId="4484E7AE" w14:textId="77777777" w:rsidR="00543D47" w:rsidRPr="00DF216E" w:rsidRDefault="00543D47" w:rsidP="00543D47">
      <w:pPr>
        <w:pStyle w:val="Caption"/>
        <w:rPr>
          <w:b/>
        </w:rPr>
      </w:pPr>
      <w:bookmarkStart w:id="121" w:name="_Toc534374937"/>
      <w:r w:rsidRPr="008501FA">
        <w:t xml:space="preserve">Table </w:t>
      </w:r>
      <w:r>
        <w:t>32</w:t>
      </w:r>
      <w:r w:rsidRPr="008501FA">
        <w:t>.</w:t>
      </w:r>
      <w:r>
        <w:rPr>
          <w:b/>
        </w:rPr>
        <w:t xml:space="preserve"> </w:t>
      </w:r>
      <w:r w:rsidRPr="00370DFD">
        <w:t>Current and propose</w:t>
      </w:r>
      <w:r>
        <w:t>d new item descriptor for item 66641</w:t>
      </w:r>
      <w:bookmarkEnd w:id="121"/>
    </w:p>
    <w:tbl>
      <w:tblPr>
        <w:tblStyle w:val="TableGrid"/>
        <w:tblW w:w="935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Item descriptor 66641"/>
        <w:tblDescription w:val="Table 32 is a 3 column table. Column 1 lists the item number, column 2 details the current item descriptor and column 3 is the proposed new item descriptor"/>
      </w:tblPr>
      <w:tblGrid>
        <w:gridCol w:w="1134"/>
        <w:gridCol w:w="4110"/>
        <w:gridCol w:w="4110"/>
      </w:tblGrid>
      <w:tr w:rsidR="00543D47" w:rsidRPr="00105555" w14:paraId="0F8D4109" w14:textId="77777777" w:rsidTr="00D9610A">
        <w:trPr>
          <w:tblHeader/>
        </w:trPr>
        <w:tc>
          <w:tcPr>
            <w:tcW w:w="1134" w:type="dxa"/>
          </w:tcPr>
          <w:p w14:paraId="39B8E101" w14:textId="77777777" w:rsidR="00543D47" w:rsidRPr="00525A47" w:rsidRDefault="00543D47" w:rsidP="00D9610A">
            <w:pPr>
              <w:rPr>
                <w:sz w:val="18"/>
                <w:szCs w:val="18"/>
              </w:rPr>
            </w:pPr>
          </w:p>
        </w:tc>
        <w:tc>
          <w:tcPr>
            <w:tcW w:w="4110" w:type="dxa"/>
          </w:tcPr>
          <w:p w14:paraId="049CBCFB" w14:textId="77777777" w:rsidR="00543D47" w:rsidRPr="00F3451E" w:rsidRDefault="00543D47" w:rsidP="00D9610A">
            <w:pPr>
              <w:rPr>
                <w:b/>
                <w:sz w:val="18"/>
                <w:szCs w:val="18"/>
              </w:rPr>
            </w:pPr>
            <w:r w:rsidRPr="00F3451E">
              <w:rPr>
                <w:b/>
                <w:sz w:val="18"/>
                <w:szCs w:val="18"/>
              </w:rPr>
              <w:t>Current item descriptor</w:t>
            </w:r>
          </w:p>
        </w:tc>
        <w:tc>
          <w:tcPr>
            <w:tcW w:w="4110" w:type="dxa"/>
          </w:tcPr>
          <w:p w14:paraId="0C0AA5F4" w14:textId="77777777" w:rsidR="00543D47" w:rsidRPr="00F3451E" w:rsidRDefault="00543D47" w:rsidP="00D9610A">
            <w:pPr>
              <w:rPr>
                <w:b/>
                <w:sz w:val="18"/>
                <w:szCs w:val="18"/>
              </w:rPr>
            </w:pPr>
            <w:r w:rsidRPr="00F3451E">
              <w:rPr>
                <w:b/>
                <w:sz w:val="18"/>
                <w:szCs w:val="18"/>
              </w:rPr>
              <w:t>Proposed item descriptor</w:t>
            </w:r>
          </w:p>
        </w:tc>
      </w:tr>
      <w:tr w:rsidR="00543D47" w:rsidRPr="00105555" w14:paraId="43A181DD" w14:textId="77777777" w:rsidTr="00D9610A">
        <w:tc>
          <w:tcPr>
            <w:tcW w:w="1134" w:type="dxa"/>
          </w:tcPr>
          <w:p w14:paraId="39049D02" w14:textId="77777777" w:rsidR="00543D47" w:rsidRPr="00525A47" w:rsidRDefault="00543D47" w:rsidP="00D9610A">
            <w:pPr>
              <w:rPr>
                <w:sz w:val="18"/>
                <w:szCs w:val="18"/>
              </w:rPr>
            </w:pPr>
            <w:r w:rsidRPr="00525A47">
              <w:rPr>
                <w:sz w:val="18"/>
                <w:szCs w:val="18"/>
              </w:rPr>
              <w:t>66641</w:t>
            </w:r>
          </w:p>
        </w:tc>
        <w:tc>
          <w:tcPr>
            <w:tcW w:w="4110" w:type="dxa"/>
          </w:tcPr>
          <w:p w14:paraId="01082C0C" w14:textId="77777777" w:rsidR="00543D47" w:rsidRPr="00525A47" w:rsidRDefault="00543D47" w:rsidP="00D9610A">
            <w:pPr>
              <w:rPr>
                <w:sz w:val="18"/>
                <w:szCs w:val="18"/>
              </w:rPr>
            </w:pPr>
            <w:r w:rsidRPr="00525A47">
              <w:rPr>
                <w:sz w:val="18"/>
                <w:szCs w:val="18"/>
              </w:rPr>
              <w:t>Electrophoresis of serum or other body fluid to demonstrate: (a) the isoenzymes of lactate dehydrogenase; or (b) the isoenzymes of alkaline phosphatase; including the preliminary quantitation of total relevant enzyme activity - 1 or more tests</w:t>
            </w:r>
          </w:p>
        </w:tc>
        <w:tc>
          <w:tcPr>
            <w:tcW w:w="4110" w:type="dxa"/>
          </w:tcPr>
          <w:p w14:paraId="318E856D" w14:textId="77777777" w:rsidR="00543D47" w:rsidRPr="00525A47" w:rsidRDefault="00543D47" w:rsidP="00D9610A">
            <w:pPr>
              <w:rPr>
                <w:sz w:val="18"/>
                <w:szCs w:val="18"/>
              </w:rPr>
            </w:pPr>
            <w:r w:rsidRPr="00525A47">
              <w:rPr>
                <w:sz w:val="18"/>
                <w:szCs w:val="18"/>
              </w:rPr>
              <w:t xml:space="preserve">Electrophoresis of serum or other body fluid to demonstrate: </w:t>
            </w:r>
            <w:r>
              <w:rPr>
                <w:sz w:val="18"/>
                <w:szCs w:val="18"/>
              </w:rPr>
              <w:t xml:space="preserve">(a) </w:t>
            </w:r>
            <w:r w:rsidRPr="00525A47">
              <w:rPr>
                <w:sz w:val="18"/>
                <w:szCs w:val="18"/>
              </w:rPr>
              <w:t xml:space="preserve">the isoenzymes of </w:t>
            </w:r>
            <w:r>
              <w:rPr>
                <w:sz w:val="18"/>
                <w:szCs w:val="18"/>
              </w:rPr>
              <w:t>lactate</w:t>
            </w:r>
            <w:r w:rsidRPr="00525A47">
              <w:rPr>
                <w:sz w:val="18"/>
                <w:szCs w:val="18"/>
              </w:rPr>
              <w:t xml:space="preserve"> </w:t>
            </w:r>
            <w:r>
              <w:rPr>
                <w:sz w:val="18"/>
                <w:szCs w:val="18"/>
              </w:rPr>
              <w:t>dehydrogenase</w:t>
            </w:r>
            <w:r w:rsidRPr="00525A47">
              <w:rPr>
                <w:sz w:val="18"/>
                <w:szCs w:val="18"/>
              </w:rPr>
              <w:t xml:space="preserve">; </w:t>
            </w:r>
            <w:r>
              <w:rPr>
                <w:sz w:val="18"/>
                <w:szCs w:val="18"/>
              </w:rPr>
              <w:t xml:space="preserve">(b) creatinine kinase isoenzymes; </w:t>
            </w:r>
            <w:r w:rsidRPr="00525A47">
              <w:rPr>
                <w:sz w:val="18"/>
                <w:szCs w:val="18"/>
              </w:rPr>
              <w:t>including the preliminary quantitation of total relevant enzyme activity - 1 or more tests</w:t>
            </w:r>
          </w:p>
        </w:tc>
      </w:tr>
    </w:tbl>
    <w:p w14:paraId="25FFC368" w14:textId="77777777" w:rsidR="00543D47" w:rsidRPr="00BD4D2A" w:rsidRDefault="00543D47" w:rsidP="00543D47">
      <w:pPr>
        <w:pStyle w:val="Heading4"/>
      </w:pPr>
      <w:r w:rsidRPr="0057193B">
        <w:rPr>
          <w:lang w:val="en-AU"/>
        </w:rPr>
        <w:t>Rationale</w:t>
      </w:r>
      <w:r>
        <w:rPr>
          <w:lang w:val="en-AU"/>
        </w:rPr>
        <w:t xml:space="preserve"> </w:t>
      </w:r>
    </w:p>
    <w:p w14:paraId="5FF82CEB" w14:textId="77777777" w:rsidR="00543D47" w:rsidRDefault="00543D47" w:rsidP="00543D47">
      <w:pPr>
        <w:pStyle w:val="NormalBulleted"/>
        <w:rPr>
          <w:lang w:eastAsia="en-US"/>
        </w:rPr>
      </w:pPr>
      <w:r>
        <w:rPr>
          <w:lang w:eastAsia="en-US"/>
        </w:rPr>
        <w:t xml:space="preserve">Item 66641 is a test used to detect isoenzymes of lactate dehydrogenase and alkaline phosphatase and is mainly requested by vocationally registered GPs. The annual growth rate over 5 years is 3.9%. </w:t>
      </w:r>
      <w:r w:rsidRPr="000A385E">
        <w:rPr>
          <w:lang w:eastAsia="en-US"/>
        </w:rPr>
        <w:t>The rate of use of item 66641 in Queensland is double that of other states (for example, 40 per 100,000 in QLD, compared with 20 per 100,000 in NSW</w:t>
      </w:r>
      <w:r>
        <w:rPr>
          <w:lang w:eastAsia="en-US"/>
        </w:rPr>
        <w:t xml:space="preserve"> [Figure 7]</w:t>
      </w:r>
      <w:r w:rsidRPr="000A385E">
        <w:rPr>
          <w:lang w:eastAsia="en-US"/>
        </w:rPr>
        <w:t xml:space="preserve">). </w:t>
      </w:r>
    </w:p>
    <w:p w14:paraId="4EE01FCB" w14:textId="77777777" w:rsidR="00543D47" w:rsidRDefault="00543D47" w:rsidP="00543D47">
      <w:pPr>
        <w:pStyle w:val="NormalBulleted"/>
        <w:rPr>
          <w:lang w:eastAsia="en-US"/>
        </w:rPr>
      </w:pPr>
      <w:r>
        <w:rPr>
          <w:lang w:eastAsia="en-US"/>
        </w:rPr>
        <w:t xml:space="preserve">Alkaline phosphatase isoenzymes differentiate between bone and liver sources of elevated alkaline phosphatase. Occasionally there are patients in whom the relative contributions of liver or bone or other forms of alkaline phosphatase (intestinal AP and Regan enzyme) to the </w:t>
      </w:r>
      <w:r>
        <w:rPr>
          <w:lang w:eastAsia="en-US"/>
        </w:rPr>
        <w:lastRenderedPageBreak/>
        <w:t>elevated alkaline phosphatase level is unclear and the isoenzyme determination will help to clarify the origin and likely pathology of the underlying disease.</w:t>
      </w:r>
    </w:p>
    <w:p w14:paraId="07308238" w14:textId="77777777" w:rsidR="00543D47" w:rsidRDefault="00543D47" w:rsidP="00543D47">
      <w:pPr>
        <w:pStyle w:val="NormalBulleted"/>
        <w:rPr>
          <w:lang w:eastAsia="en-US"/>
        </w:rPr>
      </w:pPr>
      <w:r>
        <w:rPr>
          <w:lang w:eastAsia="en-US"/>
        </w:rPr>
        <w:t>Previously the isoenzymes for creatine kinase were measured in myocardial infarction and covered under item 66518 and 66519. Due to the improvement in troponin assays there is no longer an indication for CK isoenzymes in that condition. However, there are patients with elevated creatine kinase, where electrophoresis will identify a macro-CK (CK bound to immunoglobulin) with a favourable prognosis or an alternative source. The most appropriate item is 66641, as it uses the same methodology as for alkaline phosphatase isoenzyme identification.</w:t>
      </w:r>
    </w:p>
    <w:p w14:paraId="6B005F28" w14:textId="77777777" w:rsidR="00543D47" w:rsidRDefault="00543D47" w:rsidP="00543D47">
      <w:pPr>
        <w:pStyle w:val="NormalBulleted"/>
        <w:numPr>
          <w:ilvl w:val="0"/>
          <w:numId w:val="0"/>
        </w:numPr>
        <w:ind w:left="431"/>
        <w:rPr>
          <w:lang w:eastAsia="en-US"/>
        </w:rPr>
      </w:pPr>
    </w:p>
    <w:p w14:paraId="084F5FF2" w14:textId="77777777" w:rsidR="00543D47" w:rsidRDefault="00543D47" w:rsidP="00543D47">
      <w:pPr>
        <w:pStyle w:val="Caption"/>
      </w:pPr>
      <w:bookmarkStart w:id="122" w:name="_Toc534374938"/>
      <w:r>
        <w:t>Figure 7. State utilisation for item 66641 services per 100,000 people</w:t>
      </w:r>
      <w:bookmarkEnd w:id="122"/>
    </w:p>
    <w:p w14:paraId="6820754B" w14:textId="77777777" w:rsidR="00543D47" w:rsidRDefault="00543D47" w:rsidP="00543D47">
      <w:pPr>
        <w:rPr>
          <w:lang w:eastAsia="en-US"/>
        </w:rPr>
      </w:pPr>
      <w:r>
        <w:rPr>
          <w:noProof/>
        </w:rPr>
        <w:drawing>
          <wp:inline distT="0" distB="0" distL="0" distR="0" wp14:anchorId="79F40D21" wp14:editId="22A89AB5">
            <wp:extent cx="4899660" cy="3223260"/>
            <wp:effectExtent l="0" t="0" r="15240" b="15240"/>
            <wp:docPr id="9" name="Chart 9" descr="Figure 7 displays utilisation of item 66641 in the 2014/15 financial year by state / territory. Axis y displays the number of services, axis x displays the state / territory" title="Item 66641 us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40A8CB" w14:textId="77777777" w:rsidR="00543D47" w:rsidRDefault="00543D47" w:rsidP="00543D47">
      <w:pPr>
        <w:pStyle w:val="NormalBulleted"/>
        <w:numPr>
          <w:ilvl w:val="0"/>
          <w:numId w:val="0"/>
        </w:numPr>
        <w:ind w:left="431"/>
        <w:rPr>
          <w:lang w:eastAsia="en-US"/>
        </w:rPr>
      </w:pPr>
    </w:p>
    <w:p w14:paraId="0B9858D4" w14:textId="77777777" w:rsidR="00543D47" w:rsidRDefault="00543D47" w:rsidP="00543D47">
      <w:pPr>
        <w:pStyle w:val="Heading3Numbered"/>
      </w:pPr>
      <w:r w:rsidRPr="00BD4D2A">
        <w:t>C1 inhibitor levels</w:t>
      </w:r>
      <w:r>
        <w:t>:</w:t>
      </w:r>
      <w:r w:rsidRPr="00BD4D2A">
        <w:t xml:space="preserve"> </w:t>
      </w:r>
      <w:r w:rsidRPr="00525A47">
        <w:t xml:space="preserve">items 66644, 66647 </w:t>
      </w:r>
    </w:p>
    <w:p w14:paraId="6E9471C3" w14:textId="77777777" w:rsidR="00543D47" w:rsidRPr="007B492F" w:rsidRDefault="00543D47" w:rsidP="00543D47">
      <w:pPr>
        <w:pStyle w:val="Caption"/>
        <w:rPr>
          <w:b/>
        </w:rPr>
      </w:pPr>
      <w:bookmarkStart w:id="123" w:name="_Toc534374939"/>
      <w:r w:rsidRPr="00370DFD">
        <w:t xml:space="preserve">Table </w:t>
      </w:r>
      <w:r>
        <w:t>33</w:t>
      </w:r>
      <w:r w:rsidRPr="00370DFD">
        <w:t>. Item introduction</w:t>
      </w:r>
      <w:r>
        <w:t xml:space="preserve"> table for items 66644 and 66647</w:t>
      </w:r>
      <w:bookmarkEnd w:id="123"/>
    </w:p>
    <w:tbl>
      <w:tblPr>
        <w:tblStyle w:val="TableGrid"/>
        <w:tblW w:w="9037" w:type="dxa"/>
        <w:tblBorders>
          <w:insideV w:val="single" w:sz="4" w:space="0" w:color="984806" w:themeColor="accent6" w:themeShade="80"/>
        </w:tblBorders>
        <w:tblLook w:val="04A0" w:firstRow="1" w:lastRow="0" w:firstColumn="1" w:lastColumn="0" w:noHBand="0" w:noVBand="1"/>
        <w:tblCaption w:val="Table 33. Item introduction table for items 66644 and 66647"/>
        <w:tblDescription w:val="Table 33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w:tblPr>
      <w:tblGrid>
        <w:gridCol w:w="702"/>
        <w:gridCol w:w="2857"/>
        <w:gridCol w:w="1074"/>
        <w:gridCol w:w="1219"/>
        <w:gridCol w:w="1071"/>
        <w:gridCol w:w="1060"/>
        <w:gridCol w:w="1054"/>
      </w:tblGrid>
      <w:tr w:rsidR="00543D47" w:rsidRPr="00370DFD" w14:paraId="3C9F851F" w14:textId="77777777" w:rsidTr="00D9610A">
        <w:trPr>
          <w:tblHeader/>
        </w:trPr>
        <w:tc>
          <w:tcPr>
            <w:tcW w:w="702" w:type="dxa"/>
            <w:vAlign w:val="center"/>
          </w:tcPr>
          <w:p w14:paraId="4FDD413F" w14:textId="77777777" w:rsidR="00543D47" w:rsidRPr="00370DFD" w:rsidRDefault="00543D47" w:rsidP="00D9610A">
            <w:pPr>
              <w:rPr>
                <w:sz w:val="18"/>
                <w:szCs w:val="18"/>
              </w:rPr>
            </w:pPr>
            <w:r w:rsidRPr="00370DFD">
              <w:rPr>
                <w:b/>
                <w:sz w:val="18"/>
                <w:szCs w:val="18"/>
              </w:rPr>
              <w:t>Item</w:t>
            </w:r>
          </w:p>
        </w:tc>
        <w:tc>
          <w:tcPr>
            <w:tcW w:w="2857" w:type="dxa"/>
            <w:vAlign w:val="center"/>
          </w:tcPr>
          <w:p w14:paraId="761CEE04" w14:textId="77777777" w:rsidR="00543D47" w:rsidRPr="00370DFD" w:rsidRDefault="00543D47" w:rsidP="00D9610A">
            <w:pPr>
              <w:rPr>
                <w:sz w:val="18"/>
                <w:szCs w:val="18"/>
              </w:rPr>
            </w:pPr>
            <w:r w:rsidRPr="00370DFD">
              <w:rPr>
                <w:b/>
                <w:sz w:val="18"/>
                <w:szCs w:val="18"/>
              </w:rPr>
              <w:t>Long item descriptor</w:t>
            </w:r>
          </w:p>
        </w:tc>
        <w:tc>
          <w:tcPr>
            <w:tcW w:w="1074" w:type="dxa"/>
            <w:vAlign w:val="center"/>
          </w:tcPr>
          <w:p w14:paraId="4EE41161"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219" w:type="dxa"/>
            <w:vAlign w:val="center"/>
          </w:tcPr>
          <w:p w14:paraId="1E7B8EE1"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05252303"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7CBCD253"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54" w:type="dxa"/>
            <w:vAlign w:val="center"/>
          </w:tcPr>
          <w:p w14:paraId="72DDA8BE"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547C544F" w14:textId="77777777" w:rsidTr="00D9610A">
        <w:tc>
          <w:tcPr>
            <w:tcW w:w="702" w:type="dxa"/>
          </w:tcPr>
          <w:p w14:paraId="4EC2D917" w14:textId="77777777" w:rsidR="00543D47" w:rsidRPr="002C104A" w:rsidRDefault="00543D47" w:rsidP="00D9610A">
            <w:pPr>
              <w:rPr>
                <w:sz w:val="18"/>
                <w:szCs w:val="18"/>
              </w:rPr>
            </w:pPr>
            <w:r w:rsidRPr="002C104A">
              <w:rPr>
                <w:sz w:val="18"/>
                <w:szCs w:val="18"/>
              </w:rPr>
              <w:t>66644</w:t>
            </w:r>
          </w:p>
        </w:tc>
        <w:tc>
          <w:tcPr>
            <w:tcW w:w="2857" w:type="dxa"/>
          </w:tcPr>
          <w:p w14:paraId="240F379A" w14:textId="77777777" w:rsidR="00543D47" w:rsidRPr="002C104A" w:rsidRDefault="00543D47" w:rsidP="00D9610A">
            <w:pPr>
              <w:rPr>
                <w:sz w:val="18"/>
                <w:szCs w:val="18"/>
              </w:rPr>
            </w:pPr>
            <w:r w:rsidRPr="00525A47">
              <w:rPr>
                <w:rFonts w:ascii="Calibri" w:hAnsi="Calibri"/>
                <w:color w:val="000000"/>
                <w:sz w:val="18"/>
                <w:szCs w:val="18"/>
              </w:rPr>
              <w:t>C-1 esterase inhibitor - quantitation</w:t>
            </w:r>
          </w:p>
        </w:tc>
        <w:tc>
          <w:tcPr>
            <w:tcW w:w="1074" w:type="dxa"/>
          </w:tcPr>
          <w:p w14:paraId="76D4C62A" w14:textId="77777777" w:rsidR="00543D47" w:rsidRPr="002C104A" w:rsidRDefault="00543D47" w:rsidP="00D9610A">
            <w:pPr>
              <w:rPr>
                <w:sz w:val="18"/>
                <w:szCs w:val="18"/>
              </w:rPr>
            </w:pPr>
            <w:r w:rsidRPr="00525A47">
              <w:rPr>
                <w:rFonts w:ascii="Calibri" w:hAnsi="Calibri"/>
                <w:color w:val="000000"/>
                <w:sz w:val="18"/>
                <w:szCs w:val="18"/>
              </w:rPr>
              <w:t>20.15</w:t>
            </w:r>
          </w:p>
        </w:tc>
        <w:tc>
          <w:tcPr>
            <w:tcW w:w="1219" w:type="dxa"/>
          </w:tcPr>
          <w:p w14:paraId="5BC33470" w14:textId="77777777" w:rsidR="00543D47" w:rsidRPr="002C104A" w:rsidRDefault="00543D47" w:rsidP="00D9610A">
            <w:pPr>
              <w:rPr>
                <w:sz w:val="18"/>
                <w:szCs w:val="18"/>
              </w:rPr>
            </w:pPr>
            <w:r w:rsidRPr="00525A47">
              <w:rPr>
                <w:rFonts w:ascii="Calibri" w:hAnsi="Calibri"/>
                <w:color w:val="000000"/>
                <w:sz w:val="18"/>
                <w:szCs w:val="18"/>
              </w:rPr>
              <w:t>$43,934</w:t>
            </w:r>
          </w:p>
        </w:tc>
        <w:tc>
          <w:tcPr>
            <w:tcW w:w="1071" w:type="dxa"/>
          </w:tcPr>
          <w:p w14:paraId="6ABF9E34" w14:textId="77777777" w:rsidR="00543D47" w:rsidRPr="002C104A" w:rsidRDefault="00543D47" w:rsidP="00D9610A">
            <w:pPr>
              <w:rPr>
                <w:sz w:val="18"/>
                <w:szCs w:val="18"/>
              </w:rPr>
            </w:pPr>
            <w:r w:rsidRPr="00525A47">
              <w:rPr>
                <w:rFonts w:ascii="Calibri" w:hAnsi="Calibri"/>
                <w:color w:val="000000"/>
                <w:sz w:val="18"/>
                <w:szCs w:val="18"/>
              </w:rPr>
              <w:t>2,569</w:t>
            </w:r>
          </w:p>
        </w:tc>
        <w:tc>
          <w:tcPr>
            <w:tcW w:w="1060" w:type="dxa"/>
          </w:tcPr>
          <w:p w14:paraId="542511D9" w14:textId="77777777" w:rsidR="00543D47" w:rsidRPr="002C104A" w:rsidRDefault="00543D47" w:rsidP="00D9610A">
            <w:pPr>
              <w:rPr>
                <w:sz w:val="18"/>
                <w:szCs w:val="18"/>
              </w:rPr>
            </w:pPr>
            <w:r w:rsidRPr="00525A47">
              <w:rPr>
                <w:rFonts w:ascii="Calibri" w:hAnsi="Calibri"/>
                <w:color w:val="000000"/>
                <w:sz w:val="18"/>
                <w:szCs w:val="18"/>
              </w:rPr>
              <w:t>2,403</w:t>
            </w:r>
          </w:p>
        </w:tc>
        <w:tc>
          <w:tcPr>
            <w:tcW w:w="1054" w:type="dxa"/>
          </w:tcPr>
          <w:p w14:paraId="2D2A8D52" w14:textId="77777777" w:rsidR="00543D47" w:rsidRPr="002C104A" w:rsidRDefault="00543D47" w:rsidP="00D9610A">
            <w:pPr>
              <w:rPr>
                <w:sz w:val="18"/>
                <w:szCs w:val="18"/>
              </w:rPr>
            </w:pPr>
            <w:r w:rsidRPr="00525A47">
              <w:rPr>
                <w:rFonts w:ascii="Calibri" w:hAnsi="Calibri"/>
                <w:color w:val="000000"/>
                <w:sz w:val="18"/>
                <w:szCs w:val="18"/>
              </w:rPr>
              <w:t>7.0%</w:t>
            </w:r>
          </w:p>
        </w:tc>
      </w:tr>
      <w:tr w:rsidR="00543D47" w:rsidRPr="00370DFD" w14:paraId="27BB11A4" w14:textId="77777777" w:rsidTr="00D9610A">
        <w:tc>
          <w:tcPr>
            <w:tcW w:w="702" w:type="dxa"/>
          </w:tcPr>
          <w:p w14:paraId="40BB4C84" w14:textId="77777777" w:rsidR="00543D47" w:rsidRPr="002C104A" w:rsidRDefault="00543D47" w:rsidP="00D9610A">
            <w:pPr>
              <w:rPr>
                <w:sz w:val="18"/>
                <w:szCs w:val="18"/>
              </w:rPr>
            </w:pPr>
            <w:r w:rsidRPr="002C104A">
              <w:rPr>
                <w:sz w:val="18"/>
                <w:szCs w:val="18"/>
              </w:rPr>
              <w:t>66647</w:t>
            </w:r>
          </w:p>
        </w:tc>
        <w:tc>
          <w:tcPr>
            <w:tcW w:w="2857" w:type="dxa"/>
          </w:tcPr>
          <w:p w14:paraId="6C733A6B" w14:textId="77777777" w:rsidR="00543D47" w:rsidRPr="002C104A" w:rsidRDefault="00543D47" w:rsidP="00D9610A">
            <w:pPr>
              <w:rPr>
                <w:rFonts w:ascii="Calibri" w:hAnsi="Calibri"/>
                <w:color w:val="000000"/>
                <w:sz w:val="18"/>
                <w:szCs w:val="18"/>
              </w:rPr>
            </w:pPr>
            <w:r w:rsidRPr="00525A47">
              <w:rPr>
                <w:rFonts w:ascii="Calibri" w:hAnsi="Calibri"/>
                <w:color w:val="000000"/>
                <w:sz w:val="18"/>
                <w:szCs w:val="18"/>
              </w:rPr>
              <w:t>C-1 esterase inhibitor - functional assay</w:t>
            </w:r>
          </w:p>
        </w:tc>
        <w:tc>
          <w:tcPr>
            <w:tcW w:w="1074" w:type="dxa"/>
          </w:tcPr>
          <w:p w14:paraId="1B950C3D" w14:textId="77777777" w:rsidR="00543D47" w:rsidRPr="002C104A" w:rsidRDefault="00543D47" w:rsidP="00D9610A">
            <w:pPr>
              <w:rPr>
                <w:rFonts w:ascii="Calibri" w:hAnsi="Calibri"/>
                <w:color w:val="000000"/>
                <w:sz w:val="18"/>
                <w:szCs w:val="18"/>
              </w:rPr>
            </w:pPr>
            <w:r w:rsidRPr="00525A47">
              <w:rPr>
                <w:rFonts w:ascii="Calibri" w:hAnsi="Calibri"/>
                <w:color w:val="000000"/>
                <w:sz w:val="18"/>
                <w:szCs w:val="18"/>
              </w:rPr>
              <w:t>45.10</w:t>
            </w:r>
          </w:p>
        </w:tc>
        <w:tc>
          <w:tcPr>
            <w:tcW w:w="1219" w:type="dxa"/>
          </w:tcPr>
          <w:p w14:paraId="40035342" w14:textId="77777777" w:rsidR="00543D47" w:rsidRPr="002C104A" w:rsidRDefault="00543D47" w:rsidP="00D9610A">
            <w:pPr>
              <w:rPr>
                <w:rFonts w:ascii="Calibri" w:hAnsi="Calibri"/>
                <w:color w:val="000000"/>
                <w:sz w:val="18"/>
                <w:szCs w:val="18"/>
              </w:rPr>
            </w:pPr>
            <w:r w:rsidRPr="00525A47">
              <w:rPr>
                <w:rFonts w:ascii="Calibri" w:hAnsi="Calibri"/>
                <w:color w:val="000000"/>
                <w:sz w:val="18"/>
                <w:szCs w:val="18"/>
              </w:rPr>
              <w:t>$115,057</w:t>
            </w:r>
          </w:p>
        </w:tc>
        <w:tc>
          <w:tcPr>
            <w:tcW w:w="1071" w:type="dxa"/>
          </w:tcPr>
          <w:p w14:paraId="5A9DCF4F" w14:textId="77777777" w:rsidR="00543D47" w:rsidRPr="002C104A" w:rsidRDefault="00543D47" w:rsidP="00D9610A">
            <w:pPr>
              <w:rPr>
                <w:rFonts w:ascii="Calibri" w:hAnsi="Calibri"/>
                <w:color w:val="000000"/>
                <w:sz w:val="18"/>
                <w:szCs w:val="18"/>
              </w:rPr>
            </w:pPr>
            <w:r w:rsidRPr="00525A47">
              <w:rPr>
                <w:rFonts w:ascii="Calibri" w:hAnsi="Calibri"/>
                <w:color w:val="000000"/>
                <w:sz w:val="18"/>
                <w:szCs w:val="18"/>
              </w:rPr>
              <w:t>2,973</w:t>
            </w:r>
          </w:p>
        </w:tc>
        <w:tc>
          <w:tcPr>
            <w:tcW w:w="1060" w:type="dxa"/>
          </w:tcPr>
          <w:p w14:paraId="7326FCB6" w14:textId="77777777" w:rsidR="00543D47" w:rsidRPr="002C104A" w:rsidRDefault="00543D47" w:rsidP="00D9610A">
            <w:pPr>
              <w:rPr>
                <w:rFonts w:ascii="Calibri" w:hAnsi="Calibri"/>
                <w:color w:val="000000"/>
                <w:sz w:val="18"/>
                <w:szCs w:val="18"/>
              </w:rPr>
            </w:pPr>
            <w:r w:rsidRPr="00525A47">
              <w:rPr>
                <w:rFonts w:ascii="Calibri" w:hAnsi="Calibri"/>
                <w:color w:val="000000"/>
                <w:sz w:val="18"/>
                <w:szCs w:val="18"/>
              </w:rPr>
              <w:t>2,802</w:t>
            </w:r>
          </w:p>
        </w:tc>
        <w:tc>
          <w:tcPr>
            <w:tcW w:w="1054" w:type="dxa"/>
          </w:tcPr>
          <w:p w14:paraId="39B9CB5A" w14:textId="77777777" w:rsidR="00543D47" w:rsidRPr="002C104A" w:rsidRDefault="00543D47" w:rsidP="00D9610A">
            <w:pPr>
              <w:rPr>
                <w:rFonts w:ascii="Calibri" w:hAnsi="Calibri"/>
                <w:color w:val="000000"/>
                <w:sz w:val="18"/>
                <w:szCs w:val="18"/>
              </w:rPr>
            </w:pPr>
            <w:r w:rsidRPr="00525A47">
              <w:rPr>
                <w:rFonts w:ascii="Calibri" w:hAnsi="Calibri"/>
                <w:color w:val="000000"/>
                <w:sz w:val="18"/>
                <w:szCs w:val="18"/>
              </w:rPr>
              <w:t>10.0%</w:t>
            </w:r>
          </w:p>
        </w:tc>
      </w:tr>
    </w:tbl>
    <w:p w14:paraId="4EA0812A" w14:textId="77777777" w:rsidR="00543D47" w:rsidRPr="007B492F" w:rsidRDefault="00543D47" w:rsidP="00543D47">
      <w:pPr>
        <w:pStyle w:val="Heading4"/>
        <w:rPr>
          <w:lang w:val="en-AU"/>
        </w:rPr>
      </w:pPr>
      <w:r w:rsidRPr="007B492F">
        <w:rPr>
          <w:lang w:val="en-AU"/>
        </w:rPr>
        <w:lastRenderedPageBreak/>
        <w:t>Recommendation</w:t>
      </w:r>
    </w:p>
    <w:p w14:paraId="7E88181F" w14:textId="77777777" w:rsidR="00543D47" w:rsidRDefault="00543D47" w:rsidP="00543D47">
      <w:pPr>
        <w:pStyle w:val="NormalBulleted"/>
      </w:pPr>
      <w:r>
        <w:rPr>
          <w:lang w:eastAsia="en-US"/>
        </w:rPr>
        <w:t xml:space="preserve">The Committee recommended that this item be left unchanged. </w:t>
      </w:r>
    </w:p>
    <w:p w14:paraId="461264BB" w14:textId="77777777" w:rsidR="00543D47" w:rsidRDefault="00543D47" w:rsidP="00543D47">
      <w:pPr>
        <w:pStyle w:val="Heading4"/>
        <w:rPr>
          <w:lang w:val="en-AU"/>
        </w:rPr>
      </w:pPr>
      <w:r w:rsidRPr="0057193B">
        <w:rPr>
          <w:lang w:val="en-AU"/>
        </w:rPr>
        <w:t>Rationale</w:t>
      </w:r>
      <w:r>
        <w:rPr>
          <w:lang w:val="en-AU"/>
        </w:rPr>
        <w:t xml:space="preserve"> </w:t>
      </w:r>
    </w:p>
    <w:p w14:paraId="4AAF435B" w14:textId="77777777" w:rsidR="00543D47" w:rsidRDefault="00543D47" w:rsidP="00543D47">
      <w:pPr>
        <w:pStyle w:val="NormalBulleted"/>
        <w:rPr>
          <w:lang w:eastAsia="en-US"/>
        </w:rPr>
      </w:pPr>
      <w:r>
        <w:rPr>
          <w:lang w:eastAsia="en-US"/>
        </w:rPr>
        <w:t xml:space="preserve">Items 66644 and 66647 are used to detect inherited and acquired angioedema with deficient C1 inhibitor levels (and function); item 66647 is a test for C1 esterase inhibitor using the functional assay. The use of these items is </w:t>
      </w:r>
      <w:r w:rsidRPr="00525A47">
        <w:rPr>
          <w:lang w:eastAsia="en-US"/>
        </w:rPr>
        <w:t>clinically appropriate</w:t>
      </w:r>
      <w:r>
        <w:rPr>
          <w:lang w:eastAsia="en-US"/>
        </w:rPr>
        <w:t>, and they are normally requested by immunologists.</w:t>
      </w:r>
    </w:p>
    <w:p w14:paraId="40B7E9B4" w14:textId="77777777" w:rsidR="00543D47" w:rsidRDefault="00543D47" w:rsidP="00543D47">
      <w:pPr>
        <w:pStyle w:val="NormalBulleted"/>
        <w:rPr>
          <w:lang w:eastAsia="en-US"/>
        </w:rPr>
      </w:pPr>
      <w:r>
        <w:rPr>
          <w:lang w:eastAsia="en-US"/>
        </w:rPr>
        <w:t xml:space="preserve">There are high 5-year growth rates for both these items, but overall utilisation is low (see Table 36). </w:t>
      </w:r>
    </w:p>
    <w:p w14:paraId="6A8D6A97" w14:textId="77777777" w:rsidR="00543D47" w:rsidRDefault="00543D47" w:rsidP="00543D47">
      <w:pPr>
        <w:pStyle w:val="Heading3Numbered"/>
      </w:pPr>
      <w:r w:rsidRPr="00525A47">
        <w:t>A</w:t>
      </w:r>
      <w:r w:rsidRPr="00BD4D2A">
        <w:t>ngiotensi</w:t>
      </w:r>
      <w:r w:rsidRPr="00525A47">
        <w:t>n Converting Enzyme</w:t>
      </w:r>
      <w:r>
        <w:t>:</w:t>
      </w:r>
      <w:r w:rsidRPr="00525A47">
        <w:t xml:space="preserve"> item 66758</w:t>
      </w:r>
    </w:p>
    <w:p w14:paraId="4E3F18A4" w14:textId="77777777" w:rsidR="00543D47" w:rsidRPr="007B492F" w:rsidRDefault="00543D47" w:rsidP="00543D47">
      <w:pPr>
        <w:pStyle w:val="Caption"/>
        <w:rPr>
          <w:b/>
        </w:rPr>
      </w:pPr>
      <w:bookmarkStart w:id="124" w:name="_Toc534374940"/>
      <w:r w:rsidRPr="00370DFD">
        <w:t xml:space="preserve">Table </w:t>
      </w:r>
      <w:r>
        <w:t xml:space="preserve">34. </w:t>
      </w:r>
      <w:r w:rsidRPr="00370DFD">
        <w:t>Item introduction</w:t>
      </w:r>
      <w:r>
        <w:t xml:space="preserve"> table for item 66758</w:t>
      </w:r>
      <w:bookmarkEnd w:id="124"/>
    </w:p>
    <w:tbl>
      <w:tblPr>
        <w:tblStyle w:val="TableGrid"/>
        <w:tblW w:w="9037" w:type="dxa"/>
        <w:tblBorders>
          <w:insideV w:val="single" w:sz="4" w:space="0" w:color="984806" w:themeColor="accent6" w:themeShade="80"/>
        </w:tblBorders>
        <w:tblLook w:val="04A0" w:firstRow="1" w:lastRow="0" w:firstColumn="1" w:lastColumn="0" w:noHBand="0" w:noVBand="1"/>
        <w:tblCaption w:val="Table 34. Item introduction table for item 66758"/>
        <w:tblDescription w:val="Table 34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w:tblPr>
      <w:tblGrid>
        <w:gridCol w:w="702"/>
        <w:gridCol w:w="2857"/>
        <w:gridCol w:w="1074"/>
        <w:gridCol w:w="1219"/>
        <w:gridCol w:w="1071"/>
        <w:gridCol w:w="1060"/>
        <w:gridCol w:w="1054"/>
      </w:tblGrid>
      <w:tr w:rsidR="00543D47" w:rsidRPr="00370DFD" w14:paraId="3A07DA88" w14:textId="77777777" w:rsidTr="00D9610A">
        <w:trPr>
          <w:tblHeader/>
        </w:trPr>
        <w:tc>
          <w:tcPr>
            <w:tcW w:w="702" w:type="dxa"/>
            <w:vAlign w:val="center"/>
          </w:tcPr>
          <w:p w14:paraId="65A13A18" w14:textId="77777777" w:rsidR="00543D47" w:rsidRPr="00370DFD" w:rsidRDefault="00543D47" w:rsidP="00D9610A">
            <w:pPr>
              <w:rPr>
                <w:sz w:val="18"/>
                <w:szCs w:val="18"/>
              </w:rPr>
            </w:pPr>
            <w:r w:rsidRPr="00370DFD">
              <w:rPr>
                <w:b/>
                <w:sz w:val="18"/>
                <w:szCs w:val="18"/>
              </w:rPr>
              <w:t>Item</w:t>
            </w:r>
          </w:p>
        </w:tc>
        <w:tc>
          <w:tcPr>
            <w:tcW w:w="2857" w:type="dxa"/>
            <w:vAlign w:val="center"/>
          </w:tcPr>
          <w:p w14:paraId="753EA7D9" w14:textId="77777777" w:rsidR="00543D47" w:rsidRPr="00370DFD" w:rsidRDefault="00543D47" w:rsidP="00D9610A">
            <w:pPr>
              <w:rPr>
                <w:sz w:val="18"/>
                <w:szCs w:val="18"/>
              </w:rPr>
            </w:pPr>
            <w:r w:rsidRPr="00370DFD">
              <w:rPr>
                <w:b/>
                <w:sz w:val="18"/>
                <w:szCs w:val="18"/>
              </w:rPr>
              <w:t>Long item descriptor</w:t>
            </w:r>
          </w:p>
        </w:tc>
        <w:tc>
          <w:tcPr>
            <w:tcW w:w="1074" w:type="dxa"/>
            <w:vAlign w:val="center"/>
          </w:tcPr>
          <w:p w14:paraId="7FBA16B4" w14:textId="77777777" w:rsidR="00543D47" w:rsidRPr="00370DFD" w:rsidRDefault="00543D47" w:rsidP="00D9610A">
            <w:pPr>
              <w:rPr>
                <w:sz w:val="18"/>
                <w:szCs w:val="18"/>
              </w:rPr>
            </w:pPr>
            <w:r w:rsidRPr="00370DFD">
              <w:rPr>
                <w:b/>
                <w:sz w:val="18"/>
                <w:szCs w:val="18"/>
              </w:rPr>
              <w:t xml:space="preserve">Schedule </w:t>
            </w:r>
            <w:r>
              <w:rPr>
                <w:b/>
                <w:sz w:val="18"/>
                <w:szCs w:val="18"/>
              </w:rPr>
              <w:t>fr</w:t>
            </w:r>
            <w:r w:rsidRPr="00370DFD">
              <w:rPr>
                <w:b/>
                <w:sz w:val="18"/>
                <w:szCs w:val="18"/>
              </w:rPr>
              <w:t>ee</w:t>
            </w:r>
          </w:p>
        </w:tc>
        <w:tc>
          <w:tcPr>
            <w:tcW w:w="1219" w:type="dxa"/>
            <w:vAlign w:val="center"/>
          </w:tcPr>
          <w:p w14:paraId="210606BB"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1" w:type="dxa"/>
            <w:vAlign w:val="center"/>
          </w:tcPr>
          <w:p w14:paraId="7F3CF9D7"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61499900"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54" w:type="dxa"/>
            <w:vAlign w:val="center"/>
          </w:tcPr>
          <w:p w14:paraId="5F7F846B"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13EA2494" w14:textId="77777777" w:rsidTr="00D9610A">
        <w:tc>
          <w:tcPr>
            <w:tcW w:w="702" w:type="dxa"/>
          </w:tcPr>
          <w:p w14:paraId="5A576F31" w14:textId="77777777" w:rsidR="00543D47" w:rsidRPr="002C104A" w:rsidRDefault="00543D47" w:rsidP="00D9610A">
            <w:pPr>
              <w:rPr>
                <w:sz w:val="18"/>
                <w:szCs w:val="18"/>
              </w:rPr>
            </w:pPr>
            <w:r w:rsidRPr="002C104A">
              <w:rPr>
                <w:sz w:val="18"/>
                <w:szCs w:val="18"/>
              </w:rPr>
              <w:t>66758</w:t>
            </w:r>
          </w:p>
        </w:tc>
        <w:tc>
          <w:tcPr>
            <w:tcW w:w="2857" w:type="dxa"/>
          </w:tcPr>
          <w:p w14:paraId="67519832" w14:textId="77777777" w:rsidR="00543D47" w:rsidRPr="002C104A" w:rsidRDefault="00543D47" w:rsidP="00D9610A">
            <w:pPr>
              <w:rPr>
                <w:sz w:val="18"/>
                <w:szCs w:val="18"/>
              </w:rPr>
            </w:pPr>
            <w:r w:rsidRPr="00525A47">
              <w:rPr>
                <w:rFonts w:ascii="Calibri" w:hAnsi="Calibri"/>
                <w:color w:val="000000"/>
                <w:sz w:val="18"/>
                <w:szCs w:val="18"/>
              </w:rPr>
              <w:t>Quantitation of angiotensin converting enzyme, or cholinesterase - 1 or more tests</w:t>
            </w:r>
          </w:p>
        </w:tc>
        <w:tc>
          <w:tcPr>
            <w:tcW w:w="1074" w:type="dxa"/>
          </w:tcPr>
          <w:p w14:paraId="4048977F" w14:textId="77777777" w:rsidR="00543D47" w:rsidRPr="002C104A" w:rsidRDefault="00543D47" w:rsidP="00D9610A">
            <w:pPr>
              <w:rPr>
                <w:sz w:val="18"/>
                <w:szCs w:val="18"/>
              </w:rPr>
            </w:pPr>
            <w:r w:rsidRPr="00525A47">
              <w:rPr>
                <w:rFonts w:ascii="Calibri" w:hAnsi="Calibri"/>
                <w:color w:val="000000"/>
                <w:sz w:val="18"/>
                <w:szCs w:val="18"/>
              </w:rPr>
              <w:t>24.70</w:t>
            </w:r>
          </w:p>
        </w:tc>
        <w:tc>
          <w:tcPr>
            <w:tcW w:w="1219" w:type="dxa"/>
          </w:tcPr>
          <w:p w14:paraId="3BE8BB1A" w14:textId="77777777" w:rsidR="00543D47" w:rsidRPr="002C104A" w:rsidRDefault="00543D47" w:rsidP="00D9610A">
            <w:pPr>
              <w:rPr>
                <w:sz w:val="18"/>
                <w:szCs w:val="18"/>
              </w:rPr>
            </w:pPr>
            <w:r w:rsidRPr="00525A47">
              <w:rPr>
                <w:rFonts w:ascii="Calibri" w:hAnsi="Calibri"/>
                <w:color w:val="000000"/>
                <w:sz w:val="18"/>
                <w:szCs w:val="18"/>
              </w:rPr>
              <w:t>$849,866</w:t>
            </w:r>
          </w:p>
        </w:tc>
        <w:tc>
          <w:tcPr>
            <w:tcW w:w="1071" w:type="dxa"/>
          </w:tcPr>
          <w:p w14:paraId="6A5EB7B9" w14:textId="77777777" w:rsidR="00543D47" w:rsidRPr="002C104A" w:rsidRDefault="00543D47" w:rsidP="00D9610A">
            <w:pPr>
              <w:rPr>
                <w:sz w:val="18"/>
                <w:szCs w:val="18"/>
              </w:rPr>
            </w:pPr>
            <w:r w:rsidRPr="00525A47">
              <w:rPr>
                <w:rFonts w:ascii="Calibri" w:hAnsi="Calibri"/>
                <w:color w:val="000000"/>
                <w:sz w:val="18"/>
                <w:szCs w:val="18"/>
              </w:rPr>
              <w:t>40,609</w:t>
            </w:r>
          </w:p>
        </w:tc>
        <w:tc>
          <w:tcPr>
            <w:tcW w:w="1060" w:type="dxa"/>
          </w:tcPr>
          <w:p w14:paraId="4EBB27E5" w14:textId="77777777" w:rsidR="00543D47" w:rsidRPr="002C104A" w:rsidRDefault="00543D47" w:rsidP="00D9610A">
            <w:pPr>
              <w:rPr>
                <w:sz w:val="18"/>
                <w:szCs w:val="18"/>
              </w:rPr>
            </w:pPr>
            <w:r w:rsidRPr="00525A47">
              <w:rPr>
                <w:rFonts w:ascii="Calibri" w:hAnsi="Calibri"/>
                <w:color w:val="000000"/>
                <w:sz w:val="18"/>
                <w:szCs w:val="18"/>
              </w:rPr>
              <w:t>35,838</w:t>
            </w:r>
          </w:p>
        </w:tc>
        <w:tc>
          <w:tcPr>
            <w:tcW w:w="1054" w:type="dxa"/>
          </w:tcPr>
          <w:p w14:paraId="7CF66769" w14:textId="77777777" w:rsidR="00543D47" w:rsidRPr="002C104A" w:rsidRDefault="00543D47" w:rsidP="00D9610A">
            <w:pPr>
              <w:rPr>
                <w:sz w:val="18"/>
                <w:szCs w:val="18"/>
              </w:rPr>
            </w:pPr>
            <w:r>
              <w:rPr>
                <w:sz w:val="18"/>
                <w:szCs w:val="18"/>
              </w:rPr>
              <w:t>5.8%</w:t>
            </w:r>
          </w:p>
        </w:tc>
      </w:tr>
    </w:tbl>
    <w:p w14:paraId="1889F7F1" w14:textId="77777777" w:rsidR="00543D47" w:rsidRPr="007B492F" w:rsidRDefault="00543D47" w:rsidP="00543D47">
      <w:pPr>
        <w:pStyle w:val="Heading4"/>
        <w:rPr>
          <w:lang w:val="en-AU"/>
        </w:rPr>
      </w:pPr>
      <w:r w:rsidRPr="007B492F">
        <w:rPr>
          <w:lang w:val="en-AU"/>
        </w:rPr>
        <w:t>Recommendation</w:t>
      </w:r>
    </w:p>
    <w:p w14:paraId="7FF99889" w14:textId="77777777" w:rsidR="00543D47" w:rsidRDefault="00543D47" w:rsidP="00543D47">
      <w:pPr>
        <w:pStyle w:val="NormalBulleted"/>
      </w:pPr>
      <w:r>
        <w:rPr>
          <w:lang w:eastAsia="en-US"/>
        </w:rPr>
        <w:t xml:space="preserve">The Committee recommended that this item be left unchanged. </w:t>
      </w:r>
    </w:p>
    <w:p w14:paraId="255DC49F" w14:textId="77777777" w:rsidR="00543D47" w:rsidRDefault="00543D47" w:rsidP="00543D47">
      <w:pPr>
        <w:pStyle w:val="Heading4"/>
        <w:rPr>
          <w:lang w:val="en-AU"/>
        </w:rPr>
      </w:pPr>
      <w:r w:rsidRPr="0057193B">
        <w:rPr>
          <w:lang w:val="en-AU"/>
        </w:rPr>
        <w:t>Rationale</w:t>
      </w:r>
      <w:r>
        <w:rPr>
          <w:lang w:val="en-AU"/>
        </w:rPr>
        <w:t xml:space="preserve"> </w:t>
      </w:r>
    </w:p>
    <w:p w14:paraId="194CBD30" w14:textId="77777777" w:rsidR="00543D47" w:rsidRDefault="00543D47" w:rsidP="00543D47">
      <w:pPr>
        <w:pStyle w:val="NormalBulleted"/>
      </w:pPr>
      <w:r>
        <w:t>Angiotensin converting enzyme is used for the diagnosis and monitoring of sarcoid, and it is mainly requested by neurologists and respiratory and sleep specialists.</w:t>
      </w:r>
    </w:p>
    <w:p w14:paraId="3002A179" w14:textId="77777777" w:rsidR="00543D47" w:rsidRPr="005B34AF" w:rsidRDefault="00543D47" w:rsidP="00543D47">
      <w:pPr>
        <w:pStyle w:val="NormalBulleted"/>
        <w:rPr>
          <w:lang w:eastAsia="en-US"/>
        </w:rPr>
      </w:pPr>
      <w:r w:rsidRPr="00C94954">
        <w:t>The test has limited sensitivity and specificity,</w:t>
      </w:r>
      <w:r>
        <w:fldChar w:fldCharType="begin"/>
      </w:r>
      <w:r>
        <w:instrText xml:space="preserve"> ADDIN EN.CITE &lt;EndNote&gt;&lt;Cite&gt;&lt;Author&gt;Ungprasert&lt;/Author&gt;&lt;Year&gt;2016&lt;/Year&gt;&lt;RecNum&gt;31&lt;/RecNum&gt;&lt;DisplayText&gt;&lt;style face="superscript"&gt;8&lt;/style&gt;&lt;/DisplayText&gt;&lt;record&gt;&lt;rec-number&gt;31&lt;/rec-number&gt;&lt;foreign-keys&gt;&lt;key app="EN" db-id="dfs5xeapdpddpyexds6ppreypt5sp9spp2a5" timestamp="1497502185"&gt;31&lt;/key&gt;&lt;/foreign-keys&gt;&lt;ref-type name="Journal Article"&gt;17&lt;/ref-type&gt;&lt;contributors&gt;&lt;authors&gt;&lt;author&gt;Ungprasert, Patompong&lt;/author&gt;&lt;author&gt;Carmona, Eva M.&lt;/author&gt;&lt;author&gt;Crowson, Cynthia S.&lt;/author&gt;&lt;author&gt;Matteson, Eric L.&lt;/author&gt;&lt;/authors&gt;&lt;/contributors&gt;&lt;titles&gt;&lt;title&gt;Diagnostic Utility of Angiotensin Converting Enzyme in Sarcoidosis: A Population-Based Study&lt;/title&gt;&lt;secondary-title&gt;Lung&lt;/secondary-title&gt;&lt;/titles&gt;&lt;periodical&gt;&lt;full-title&gt;Lung&lt;/full-title&gt;&lt;/periodical&gt;&lt;pages&gt;91-95&lt;/pages&gt;&lt;volume&gt;194&lt;/volume&gt;&lt;number&gt;1&lt;/number&gt;&lt;dates&gt;&lt;year&gt;2016&lt;/year&gt;&lt;/dates&gt;&lt;isbn&gt;0341-2040&amp;#xD;1432-1750&lt;/isbn&gt;&lt;accession-num&gt;PMC4768304&lt;/accession-num&gt;&lt;urls&gt;&lt;related-urls&gt;&lt;url&gt;http://www.ncbi.nlm.nih.gov/pmc/articles/PMC4768304/&lt;/url&gt;&lt;/related-urls&gt;&lt;/urls&gt;&lt;electronic-resource-num&gt;10.1007/s00408-015-9826-3&lt;/electronic-resource-num&gt;&lt;remote-database-name&gt;Pmc&lt;/remote-database-name&gt;&lt;/record&gt;&lt;/Cite&gt;&lt;/EndNote&gt;</w:instrText>
      </w:r>
      <w:r>
        <w:fldChar w:fldCharType="separate"/>
      </w:r>
      <w:r w:rsidRPr="00811642">
        <w:rPr>
          <w:noProof/>
          <w:vertAlign w:val="superscript"/>
        </w:rPr>
        <w:t>8</w:t>
      </w:r>
      <w:r>
        <w:fldChar w:fldCharType="end"/>
      </w:r>
      <w:r w:rsidRPr="00C94954">
        <w:t xml:space="preserve"> but </w:t>
      </w:r>
      <w:r w:rsidRPr="005B34AF">
        <w:t>is the only blood test available in the diagnosis of sarcoidosis.</w:t>
      </w:r>
    </w:p>
    <w:p w14:paraId="6FF959EC" w14:textId="77777777" w:rsidR="00543D47" w:rsidRDefault="00543D47" w:rsidP="00543D47">
      <w:pPr>
        <w:pStyle w:val="Heading2"/>
      </w:pPr>
      <w:bookmarkStart w:id="125" w:name="_Toc493598494"/>
      <w:bookmarkStart w:id="126" w:name="_Toc493598539"/>
      <w:bookmarkStart w:id="127" w:name="_Toc493599954"/>
      <w:bookmarkStart w:id="128" w:name="_Toc493604707"/>
      <w:bookmarkStart w:id="129" w:name="_Toc514247625"/>
      <w:bookmarkEnd w:id="125"/>
      <w:bookmarkEnd w:id="126"/>
      <w:bookmarkEnd w:id="127"/>
      <w:bookmarkEnd w:id="128"/>
      <w:r w:rsidRPr="00F7103D">
        <w:lastRenderedPageBreak/>
        <w:t>Immunology items: 71057, 71058, 71059, 71060, 71062, 71064, 71066, 71068, 71069, 71071, 71072, 71073, 71074, 71075, 71076, 71077, 71200</w:t>
      </w:r>
      <w:bookmarkEnd w:id="129"/>
    </w:p>
    <w:p w14:paraId="4BFBB110" w14:textId="77777777" w:rsidR="00543D47" w:rsidRPr="00525A47" w:rsidRDefault="00543D47" w:rsidP="00543D47">
      <w:pPr>
        <w:pStyle w:val="Caption"/>
      </w:pPr>
      <w:bookmarkStart w:id="130" w:name="_Toc534374941"/>
      <w:r w:rsidRPr="00320ABF">
        <w:t xml:space="preserve">Table </w:t>
      </w:r>
      <w:r>
        <w:t xml:space="preserve">35. </w:t>
      </w:r>
      <w:r w:rsidRPr="00320ABF">
        <w:t>Item introduction table for items 71057, 71058, 71059, 71060, 71062, 71064, 71066, 71068, 71069, 71071, 71072, 71073, 71074, 71075, 71076, 71077, 71200</w:t>
      </w:r>
      <w:bookmarkEnd w:id="130"/>
    </w:p>
    <w:tbl>
      <w:tblPr>
        <w:tblStyle w:val="TableGrid"/>
        <w:tblW w:w="0" w:type="auto"/>
        <w:tblBorders>
          <w:insideV w:val="single" w:sz="4" w:space="0" w:color="984806" w:themeColor="accent6" w:themeShade="80"/>
        </w:tblBorders>
        <w:tblLook w:val="04A0" w:firstRow="1" w:lastRow="0" w:firstColumn="1" w:lastColumn="0" w:noHBand="0" w:noVBand="1"/>
        <w:tblCaption w:val="Table 35. Item introduction table for items 71057, 71058, 71059, 71060, 71062, 71064, 71066, 71068, 71069, 71071, 71072, 71073, 71074, 71075, 71076, 71077, 71200"/>
        <w:tblDescription w:val="Table 35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2"/>
        <w:gridCol w:w="2944"/>
        <w:gridCol w:w="1074"/>
        <w:gridCol w:w="1074"/>
        <w:gridCol w:w="1074"/>
        <w:gridCol w:w="1074"/>
        <w:gridCol w:w="1074"/>
      </w:tblGrid>
      <w:tr w:rsidR="00543D47" w:rsidRPr="00370DFD" w14:paraId="10CDB644" w14:textId="77777777" w:rsidTr="00D9610A">
        <w:trPr>
          <w:tblHeader/>
        </w:trPr>
        <w:tc>
          <w:tcPr>
            <w:tcW w:w="702" w:type="dxa"/>
            <w:vAlign w:val="center"/>
          </w:tcPr>
          <w:p w14:paraId="11C4963F" w14:textId="77777777" w:rsidR="00543D47" w:rsidRPr="00370DFD" w:rsidRDefault="00543D47" w:rsidP="00D9610A">
            <w:pPr>
              <w:rPr>
                <w:sz w:val="18"/>
                <w:szCs w:val="18"/>
              </w:rPr>
            </w:pPr>
            <w:r w:rsidRPr="00370DFD">
              <w:rPr>
                <w:b/>
                <w:sz w:val="18"/>
                <w:szCs w:val="18"/>
              </w:rPr>
              <w:t>Item</w:t>
            </w:r>
          </w:p>
        </w:tc>
        <w:tc>
          <w:tcPr>
            <w:tcW w:w="2944" w:type="dxa"/>
            <w:vAlign w:val="center"/>
          </w:tcPr>
          <w:p w14:paraId="3DC4A3C9" w14:textId="77777777" w:rsidR="00543D47" w:rsidRPr="00370DFD" w:rsidRDefault="00543D47" w:rsidP="00D9610A">
            <w:pPr>
              <w:rPr>
                <w:sz w:val="18"/>
                <w:szCs w:val="18"/>
              </w:rPr>
            </w:pPr>
            <w:r w:rsidRPr="00370DFD">
              <w:rPr>
                <w:b/>
                <w:sz w:val="18"/>
                <w:szCs w:val="18"/>
              </w:rPr>
              <w:t>Long item descriptor</w:t>
            </w:r>
          </w:p>
        </w:tc>
        <w:tc>
          <w:tcPr>
            <w:tcW w:w="1074" w:type="dxa"/>
            <w:vAlign w:val="center"/>
          </w:tcPr>
          <w:p w14:paraId="3BCC3900"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074" w:type="dxa"/>
            <w:vAlign w:val="center"/>
          </w:tcPr>
          <w:p w14:paraId="24B38CD1"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4" w:type="dxa"/>
            <w:vAlign w:val="center"/>
          </w:tcPr>
          <w:p w14:paraId="172E0346"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74" w:type="dxa"/>
            <w:vAlign w:val="center"/>
          </w:tcPr>
          <w:p w14:paraId="5B4043A2"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74" w:type="dxa"/>
            <w:vAlign w:val="center"/>
          </w:tcPr>
          <w:p w14:paraId="4B6F8853"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1D932FA5" w14:textId="77777777" w:rsidTr="00D9610A">
        <w:tc>
          <w:tcPr>
            <w:tcW w:w="702" w:type="dxa"/>
          </w:tcPr>
          <w:p w14:paraId="3ED60793" w14:textId="77777777" w:rsidR="00543D47" w:rsidRPr="007B492F" w:rsidRDefault="00543D47" w:rsidP="00D9610A">
            <w:pPr>
              <w:rPr>
                <w:sz w:val="18"/>
                <w:szCs w:val="18"/>
              </w:rPr>
            </w:pPr>
            <w:r>
              <w:rPr>
                <w:sz w:val="18"/>
                <w:szCs w:val="18"/>
              </w:rPr>
              <w:t>71057</w:t>
            </w:r>
          </w:p>
        </w:tc>
        <w:tc>
          <w:tcPr>
            <w:tcW w:w="2944" w:type="dxa"/>
          </w:tcPr>
          <w:p w14:paraId="33ED6713" w14:textId="77777777" w:rsidR="00543D47" w:rsidRPr="007B492F" w:rsidRDefault="00543D47" w:rsidP="00D9610A">
            <w:pPr>
              <w:rPr>
                <w:sz w:val="18"/>
                <w:szCs w:val="18"/>
              </w:rPr>
            </w:pPr>
            <w:r w:rsidRPr="00D57701">
              <w:rPr>
                <w:sz w:val="18"/>
                <w:szCs w:val="18"/>
              </w:rPr>
              <w:t>Electrophoresis, quantitative and qualitative, of serum, urine or other body fluid all collected within a 28</w:t>
            </w:r>
            <w:r>
              <w:rPr>
                <w:sz w:val="18"/>
                <w:szCs w:val="18"/>
              </w:rPr>
              <w:t>-</w:t>
            </w:r>
            <w:r w:rsidRPr="00D57701">
              <w:rPr>
                <w:sz w:val="18"/>
                <w:szCs w:val="18"/>
              </w:rPr>
              <w:t>day period, to demonstrate: (a) protein classes; or (b) presence and amount of paraprotein; including the preliminary quantitation of total protein, albumin and globulin - 1 specimen type</w:t>
            </w:r>
          </w:p>
        </w:tc>
        <w:tc>
          <w:tcPr>
            <w:tcW w:w="1074" w:type="dxa"/>
          </w:tcPr>
          <w:p w14:paraId="3598011F" w14:textId="77777777" w:rsidR="00543D47" w:rsidRPr="007B492F" w:rsidRDefault="00543D47" w:rsidP="00D9610A">
            <w:pPr>
              <w:rPr>
                <w:sz w:val="18"/>
                <w:szCs w:val="18"/>
              </w:rPr>
            </w:pPr>
            <w:r w:rsidRPr="00D57701">
              <w:rPr>
                <w:sz w:val="18"/>
                <w:szCs w:val="18"/>
              </w:rPr>
              <w:t>32.90</w:t>
            </w:r>
          </w:p>
        </w:tc>
        <w:tc>
          <w:tcPr>
            <w:tcW w:w="1074" w:type="dxa"/>
          </w:tcPr>
          <w:p w14:paraId="236FC51A" w14:textId="77777777" w:rsidR="00543D47" w:rsidRPr="007B492F" w:rsidRDefault="00543D47" w:rsidP="00D9610A">
            <w:pPr>
              <w:rPr>
                <w:sz w:val="18"/>
                <w:szCs w:val="18"/>
              </w:rPr>
            </w:pPr>
            <w:r w:rsidRPr="002869DA">
              <w:rPr>
                <w:sz w:val="18"/>
                <w:szCs w:val="18"/>
              </w:rPr>
              <w:t>$7,445,181</w:t>
            </w:r>
          </w:p>
        </w:tc>
        <w:tc>
          <w:tcPr>
            <w:tcW w:w="1074" w:type="dxa"/>
          </w:tcPr>
          <w:p w14:paraId="11E92AD3" w14:textId="77777777" w:rsidR="00543D47" w:rsidRPr="007B492F" w:rsidRDefault="00543D47" w:rsidP="00D9610A">
            <w:pPr>
              <w:rPr>
                <w:sz w:val="18"/>
                <w:szCs w:val="18"/>
              </w:rPr>
            </w:pPr>
            <w:r w:rsidRPr="00D57701">
              <w:rPr>
                <w:sz w:val="18"/>
                <w:szCs w:val="18"/>
              </w:rPr>
              <w:t>266,770</w:t>
            </w:r>
          </w:p>
        </w:tc>
        <w:tc>
          <w:tcPr>
            <w:tcW w:w="1074" w:type="dxa"/>
          </w:tcPr>
          <w:p w14:paraId="391C92DB" w14:textId="77777777" w:rsidR="00543D47" w:rsidRPr="007B492F" w:rsidRDefault="00543D47" w:rsidP="00D9610A">
            <w:pPr>
              <w:rPr>
                <w:sz w:val="18"/>
                <w:szCs w:val="18"/>
              </w:rPr>
            </w:pPr>
            <w:r w:rsidRPr="002869DA">
              <w:rPr>
                <w:sz w:val="18"/>
                <w:szCs w:val="18"/>
              </w:rPr>
              <w:t>198,828</w:t>
            </w:r>
          </w:p>
        </w:tc>
        <w:tc>
          <w:tcPr>
            <w:tcW w:w="1074" w:type="dxa"/>
          </w:tcPr>
          <w:p w14:paraId="183AA9DD" w14:textId="77777777" w:rsidR="00543D47" w:rsidRPr="007B492F" w:rsidRDefault="00543D47" w:rsidP="00D9610A">
            <w:pPr>
              <w:rPr>
                <w:sz w:val="18"/>
                <w:szCs w:val="18"/>
              </w:rPr>
            </w:pPr>
            <w:r>
              <w:rPr>
                <w:sz w:val="18"/>
                <w:szCs w:val="18"/>
              </w:rPr>
              <w:t>5.6</w:t>
            </w:r>
          </w:p>
        </w:tc>
      </w:tr>
      <w:tr w:rsidR="00543D47" w:rsidRPr="00370DFD" w14:paraId="64139DD6" w14:textId="77777777" w:rsidTr="00D9610A">
        <w:tc>
          <w:tcPr>
            <w:tcW w:w="702" w:type="dxa"/>
          </w:tcPr>
          <w:p w14:paraId="329794CC" w14:textId="77777777" w:rsidR="00543D47" w:rsidRDefault="00543D47" w:rsidP="00D9610A">
            <w:pPr>
              <w:rPr>
                <w:sz w:val="18"/>
                <w:szCs w:val="18"/>
              </w:rPr>
            </w:pPr>
            <w:r>
              <w:rPr>
                <w:sz w:val="18"/>
                <w:szCs w:val="18"/>
              </w:rPr>
              <w:t>71058</w:t>
            </w:r>
          </w:p>
        </w:tc>
        <w:tc>
          <w:tcPr>
            <w:tcW w:w="2944" w:type="dxa"/>
          </w:tcPr>
          <w:p w14:paraId="7C34375D"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Examination as described in item 71057 of 2 or more specimen types</w:t>
            </w:r>
          </w:p>
        </w:tc>
        <w:tc>
          <w:tcPr>
            <w:tcW w:w="1074" w:type="dxa"/>
          </w:tcPr>
          <w:p w14:paraId="7A3CE225"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50.50</w:t>
            </w:r>
          </w:p>
        </w:tc>
        <w:tc>
          <w:tcPr>
            <w:tcW w:w="1074" w:type="dxa"/>
          </w:tcPr>
          <w:p w14:paraId="0CBC8CEC"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$1,688,215</w:t>
            </w:r>
          </w:p>
        </w:tc>
        <w:tc>
          <w:tcPr>
            <w:tcW w:w="1074" w:type="dxa"/>
          </w:tcPr>
          <w:p w14:paraId="3876E75E"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39,204</w:t>
            </w:r>
          </w:p>
        </w:tc>
        <w:tc>
          <w:tcPr>
            <w:tcW w:w="1074" w:type="dxa"/>
          </w:tcPr>
          <w:p w14:paraId="4496CC60"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33,921</w:t>
            </w:r>
          </w:p>
        </w:tc>
        <w:tc>
          <w:tcPr>
            <w:tcW w:w="1074" w:type="dxa"/>
          </w:tcPr>
          <w:p w14:paraId="682B66CC" w14:textId="77777777" w:rsidR="00543D47" w:rsidRPr="007B492F" w:rsidRDefault="00543D47" w:rsidP="00D9610A">
            <w:pPr>
              <w:rPr>
                <w:rFonts w:ascii="Calibri" w:hAnsi="Calibri"/>
                <w:color w:val="000000"/>
                <w:sz w:val="18"/>
                <w:szCs w:val="18"/>
              </w:rPr>
            </w:pPr>
            <w:r>
              <w:rPr>
                <w:rFonts w:ascii="Calibri" w:hAnsi="Calibri"/>
                <w:color w:val="000000"/>
                <w:sz w:val="18"/>
                <w:szCs w:val="18"/>
              </w:rPr>
              <w:t>6.6</w:t>
            </w:r>
          </w:p>
        </w:tc>
      </w:tr>
      <w:tr w:rsidR="00543D47" w:rsidRPr="00370DFD" w14:paraId="357C7769" w14:textId="77777777" w:rsidTr="00D9610A">
        <w:tc>
          <w:tcPr>
            <w:tcW w:w="702" w:type="dxa"/>
          </w:tcPr>
          <w:p w14:paraId="5F9B1300" w14:textId="77777777" w:rsidR="00543D47" w:rsidRDefault="00543D47" w:rsidP="00D9610A">
            <w:pPr>
              <w:rPr>
                <w:sz w:val="18"/>
                <w:szCs w:val="18"/>
              </w:rPr>
            </w:pPr>
            <w:r>
              <w:rPr>
                <w:sz w:val="18"/>
                <w:szCs w:val="18"/>
              </w:rPr>
              <w:t>71059</w:t>
            </w:r>
          </w:p>
        </w:tc>
        <w:tc>
          <w:tcPr>
            <w:tcW w:w="2944" w:type="dxa"/>
          </w:tcPr>
          <w:p w14:paraId="5B34D54B"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 xml:space="preserve">Immunofixation or </w:t>
            </w:r>
            <w:proofErr w:type="spellStart"/>
            <w:r w:rsidRPr="00D57701">
              <w:rPr>
                <w:rFonts w:ascii="Calibri" w:hAnsi="Calibri"/>
                <w:color w:val="000000"/>
                <w:sz w:val="18"/>
                <w:szCs w:val="18"/>
              </w:rPr>
              <w:t>immunoelectrophoresis</w:t>
            </w:r>
            <w:proofErr w:type="spellEnd"/>
            <w:r w:rsidRPr="00D57701">
              <w:rPr>
                <w:rFonts w:ascii="Calibri" w:hAnsi="Calibri"/>
                <w:color w:val="000000"/>
                <w:sz w:val="18"/>
                <w:szCs w:val="18"/>
              </w:rPr>
              <w:t xml:space="preserve"> or isoelectric focusing of:(a) urine for detection of </w:t>
            </w:r>
            <w:r>
              <w:rPr>
                <w:rFonts w:ascii="Calibri" w:hAnsi="Calibri"/>
                <w:color w:val="000000"/>
                <w:sz w:val="18"/>
                <w:szCs w:val="18"/>
              </w:rPr>
              <w:t>B</w:t>
            </w:r>
            <w:r w:rsidRPr="00D57701">
              <w:rPr>
                <w:rFonts w:ascii="Calibri" w:hAnsi="Calibri"/>
                <w:color w:val="000000"/>
                <w:sz w:val="18"/>
                <w:szCs w:val="18"/>
              </w:rPr>
              <w:t xml:space="preserve">ence </w:t>
            </w:r>
            <w:r>
              <w:rPr>
                <w:rFonts w:ascii="Calibri" w:hAnsi="Calibri"/>
                <w:color w:val="000000"/>
                <w:sz w:val="18"/>
                <w:szCs w:val="18"/>
              </w:rPr>
              <w:t>J</w:t>
            </w:r>
            <w:r w:rsidRPr="00D57701">
              <w:rPr>
                <w:rFonts w:ascii="Calibri" w:hAnsi="Calibri"/>
                <w:color w:val="000000"/>
                <w:sz w:val="18"/>
                <w:szCs w:val="18"/>
              </w:rPr>
              <w:t>ones proteins; or(b) serum, plasma or other body fluid; and characterisation of a paraprotein or cryoglobulin</w:t>
            </w:r>
            <w:r>
              <w:rPr>
                <w:rFonts w:ascii="Calibri" w:hAnsi="Calibri"/>
                <w:color w:val="000000"/>
                <w:sz w:val="18"/>
                <w:szCs w:val="18"/>
              </w:rPr>
              <w:t xml:space="preserve"> </w:t>
            </w:r>
            <w:r w:rsidRPr="00D57701">
              <w:rPr>
                <w:rFonts w:ascii="Calibri" w:hAnsi="Calibri"/>
                <w:color w:val="000000"/>
                <w:sz w:val="18"/>
                <w:szCs w:val="18"/>
              </w:rPr>
              <w:t>-examination of 1 specimen type (</w:t>
            </w:r>
            <w:proofErr w:type="spellStart"/>
            <w:r w:rsidRPr="00D57701">
              <w:rPr>
                <w:rFonts w:ascii="Calibri" w:hAnsi="Calibri"/>
                <w:color w:val="000000"/>
                <w:sz w:val="18"/>
                <w:szCs w:val="18"/>
              </w:rPr>
              <w:t>eg.</w:t>
            </w:r>
            <w:proofErr w:type="spellEnd"/>
            <w:r w:rsidRPr="00D57701">
              <w:rPr>
                <w:rFonts w:ascii="Calibri" w:hAnsi="Calibri"/>
                <w:color w:val="000000"/>
                <w:sz w:val="18"/>
                <w:szCs w:val="18"/>
              </w:rPr>
              <w:t xml:space="preserve"> serum, urine or </w:t>
            </w:r>
            <w:r>
              <w:rPr>
                <w:rFonts w:ascii="Calibri" w:hAnsi="Calibri"/>
                <w:color w:val="000000"/>
                <w:sz w:val="18"/>
                <w:szCs w:val="18"/>
              </w:rPr>
              <w:t>CSF</w:t>
            </w:r>
            <w:r w:rsidRPr="00D57701">
              <w:rPr>
                <w:rFonts w:ascii="Calibri" w:hAnsi="Calibri"/>
                <w:color w:val="000000"/>
                <w:sz w:val="18"/>
                <w:szCs w:val="18"/>
              </w:rPr>
              <w:t>)</w:t>
            </w:r>
          </w:p>
        </w:tc>
        <w:tc>
          <w:tcPr>
            <w:tcW w:w="1074" w:type="dxa"/>
          </w:tcPr>
          <w:p w14:paraId="14E78679"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35.65</w:t>
            </w:r>
          </w:p>
        </w:tc>
        <w:tc>
          <w:tcPr>
            <w:tcW w:w="1074" w:type="dxa"/>
          </w:tcPr>
          <w:p w14:paraId="111E9CD6"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$4,348,373</w:t>
            </w:r>
          </w:p>
        </w:tc>
        <w:tc>
          <w:tcPr>
            <w:tcW w:w="1074" w:type="dxa"/>
          </w:tcPr>
          <w:p w14:paraId="5E737F27"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143,431</w:t>
            </w:r>
          </w:p>
        </w:tc>
        <w:tc>
          <w:tcPr>
            <w:tcW w:w="1074" w:type="dxa"/>
          </w:tcPr>
          <w:p w14:paraId="0FE1EAF7"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109,409</w:t>
            </w:r>
          </w:p>
        </w:tc>
        <w:tc>
          <w:tcPr>
            <w:tcW w:w="1074" w:type="dxa"/>
          </w:tcPr>
          <w:p w14:paraId="68FFB981" w14:textId="77777777" w:rsidR="00543D47" w:rsidRPr="007B492F" w:rsidRDefault="00543D47" w:rsidP="00D9610A">
            <w:pPr>
              <w:rPr>
                <w:rFonts w:ascii="Calibri" w:hAnsi="Calibri"/>
                <w:color w:val="000000"/>
                <w:sz w:val="18"/>
                <w:szCs w:val="18"/>
              </w:rPr>
            </w:pPr>
            <w:r>
              <w:rPr>
                <w:rFonts w:ascii="Calibri" w:hAnsi="Calibri"/>
                <w:color w:val="000000"/>
                <w:sz w:val="18"/>
                <w:szCs w:val="18"/>
              </w:rPr>
              <w:t>14.4</w:t>
            </w:r>
          </w:p>
        </w:tc>
      </w:tr>
      <w:tr w:rsidR="00543D47" w:rsidRPr="00370DFD" w14:paraId="754BB3BC" w14:textId="77777777" w:rsidTr="00D9610A">
        <w:tc>
          <w:tcPr>
            <w:tcW w:w="702" w:type="dxa"/>
          </w:tcPr>
          <w:p w14:paraId="02FDC00E" w14:textId="77777777" w:rsidR="00543D47" w:rsidRDefault="00543D47" w:rsidP="00D9610A">
            <w:pPr>
              <w:rPr>
                <w:sz w:val="18"/>
                <w:szCs w:val="18"/>
              </w:rPr>
            </w:pPr>
            <w:r>
              <w:rPr>
                <w:sz w:val="18"/>
                <w:szCs w:val="18"/>
              </w:rPr>
              <w:t>71060</w:t>
            </w:r>
          </w:p>
        </w:tc>
        <w:tc>
          <w:tcPr>
            <w:tcW w:w="2944" w:type="dxa"/>
          </w:tcPr>
          <w:p w14:paraId="5BBD8272"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Examination as described in item 71059 of 2 or more specimen types</w:t>
            </w:r>
          </w:p>
        </w:tc>
        <w:tc>
          <w:tcPr>
            <w:tcW w:w="1074" w:type="dxa"/>
          </w:tcPr>
          <w:p w14:paraId="10423373"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44.05</w:t>
            </w:r>
          </w:p>
        </w:tc>
        <w:tc>
          <w:tcPr>
            <w:tcW w:w="1074" w:type="dxa"/>
          </w:tcPr>
          <w:p w14:paraId="56BC79B3"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$899,314</w:t>
            </w:r>
          </w:p>
        </w:tc>
        <w:tc>
          <w:tcPr>
            <w:tcW w:w="1074" w:type="dxa"/>
          </w:tcPr>
          <w:p w14:paraId="1795A757"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24,043</w:t>
            </w:r>
          </w:p>
        </w:tc>
        <w:tc>
          <w:tcPr>
            <w:tcW w:w="1074" w:type="dxa"/>
          </w:tcPr>
          <w:p w14:paraId="634169E1"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19,970</w:t>
            </w:r>
          </w:p>
        </w:tc>
        <w:tc>
          <w:tcPr>
            <w:tcW w:w="1074" w:type="dxa"/>
          </w:tcPr>
          <w:p w14:paraId="5F87BC32" w14:textId="77777777" w:rsidR="00543D47" w:rsidRPr="007B492F" w:rsidRDefault="00543D47" w:rsidP="00D9610A">
            <w:pPr>
              <w:rPr>
                <w:rFonts w:ascii="Calibri" w:hAnsi="Calibri"/>
                <w:color w:val="000000"/>
                <w:sz w:val="18"/>
                <w:szCs w:val="18"/>
              </w:rPr>
            </w:pPr>
            <w:r>
              <w:rPr>
                <w:rFonts w:ascii="Calibri" w:hAnsi="Calibri"/>
                <w:color w:val="000000"/>
                <w:sz w:val="18"/>
                <w:szCs w:val="18"/>
              </w:rPr>
              <w:t>16.1</w:t>
            </w:r>
          </w:p>
        </w:tc>
      </w:tr>
      <w:tr w:rsidR="00543D47" w:rsidRPr="00370DFD" w14:paraId="6CF18580" w14:textId="77777777" w:rsidTr="00D9610A">
        <w:tc>
          <w:tcPr>
            <w:tcW w:w="702" w:type="dxa"/>
          </w:tcPr>
          <w:p w14:paraId="743B30E0" w14:textId="77777777" w:rsidR="00543D47" w:rsidRDefault="00543D47" w:rsidP="00D9610A">
            <w:pPr>
              <w:rPr>
                <w:sz w:val="18"/>
                <w:szCs w:val="18"/>
              </w:rPr>
            </w:pPr>
            <w:r>
              <w:rPr>
                <w:sz w:val="18"/>
                <w:szCs w:val="18"/>
              </w:rPr>
              <w:t>71062</w:t>
            </w:r>
          </w:p>
        </w:tc>
        <w:tc>
          <w:tcPr>
            <w:tcW w:w="2944" w:type="dxa"/>
          </w:tcPr>
          <w:p w14:paraId="1DCEEBB3"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 xml:space="preserve">Electrophoresis and immunofixation or </w:t>
            </w:r>
            <w:proofErr w:type="spellStart"/>
            <w:r w:rsidRPr="00D57701">
              <w:rPr>
                <w:rFonts w:ascii="Calibri" w:hAnsi="Calibri"/>
                <w:color w:val="000000"/>
                <w:sz w:val="18"/>
                <w:szCs w:val="18"/>
              </w:rPr>
              <w:t>immunoelectrophoresis</w:t>
            </w:r>
            <w:proofErr w:type="spellEnd"/>
            <w:r w:rsidRPr="00D57701">
              <w:rPr>
                <w:rFonts w:ascii="Calibri" w:hAnsi="Calibri"/>
                <w:color w:val="000000"/>
                <w:sz w:val="18"/>
                <w:szCs w:val="18"/>
              </w:rPr>
              <w:t xml:space="preserve"> or isoelectric focussing of CSF for the detection of oligoclonal bands and including if required electrophoresis of the patient's serum for comparison purposes - 1 or more tests</w:t>
            </w:r>
          </w:p>
        </w:tc>
        <w:tc>
          <w:tcPr>
            <w:tcW w:w="1074" w:type="dxa"/>
          </w:tcPr>
          <w:p w14:paraId="26350247"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44.05</w:t>
            </w:r>
          </w:p>
        </w:tc>
        <w:tc>
          <w:tcPr>
            <w:tcW w:w="1074" w:type="dxa"/>
          </w:tcPr>
          <w:p w14:paraId="5AA525DF"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$66,069</w:t>
            </w:r>
          </w:p>
        </w:tc>
        <w:tc>
          <w:tcPr>
            <w:tcW w:w="1074" w:type="dxa"/>
          </w:tcPr>
          <w:p w14:paraId="0CAAD22D"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1,873</w:t>
            </w:r>
          </w:p>
        </w:tc>
        <w:tc>
          <w:tcPr>
            <w:tcW w:w="1074" w:type="dxa"/>
          </w:tcPr>
          <w:p w14:paraId="104DCCFC"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1,825</w:t>
            </w:r>
          </w:p>
        </w:tc>
        <w:tc>
          <w:tcPr>
            <w:tcW w:w="1074" w:type="dxa"/>
          </w:tcPr>
          <w:p w14:paraId="13BDA1B6" w14:textId="77777777" w:rsidR="00543D47" w:rsidRPr="007B492F" w:rsidRDefault="00543D47" w:rsidP="00D9610A">
            <w:pPr>
              <w:rPr>
                <w:rFonts w:ascii="Calibri" w:hAnsi="Calibri"/>
                <w:color w:val="000000"/>
                <w:sz w:val="18"/>
                <w:szCs w:val="18"/>
              </w:rPr>
            </w:pPr>
            <w:r>
              <w:rPr>
                <w:rFonts w:ascii="Calibri" w:hAnsi="Calibri"/>
                <w:color w:val="000000"/>
                <w:sz w:val="18"/>
                <w:szCs w:val="18"/>
              </w:rPr>
              <w:t>8.9</w:t>
            </w:r>
          </w:p>
        </w:tc>
      </w:tr>
      <w:tr w:rsidR="00543D47" w:rsidRPr="00370DFD" w14:paraId="3C19FBF1" w14:textId="77777777" w:rsidTr="00D9610A">
        <w:tc>
          <w:tcPr>
            <w:tcW w:w="702" w:type="dxa"/>
          </w:tcPr>
          <w:p w14:paraId="089B7D29" w14:textId="77777777" w:rsidR="00543D47" w:rsidRDefault="00543D47" w:rsidP="00D9610A">
            <w:pPr>
              <w:rPr>
                <w:sz w:val="18"/>
                <w:szCs w:val="18"/>
              </w:rPr>
            </w:pPr>
            <w:r>
              <w:rPr>
                <w:sz w:val="18"/>
                <w:szCs w:val="18"/>
              </w:rPr>
              <w:t>71064</w:t>
            </w:r>
          </w:p>
        </w:tc>
        <w:tc>
          <w:tcPr>
            <w:tcW w:w="2944" w:type="dxa"/>
          </w:tcPr>
          <w:p w14:paraId="501D3289" w14:textId="77777777" w:rsidR="00543D47" w:rsidRPr="007B492F" w:rsidRDefault="00543D47" w:rsidP="00D9610A">
            <w:pPr>
              <w:rPr>
                <w:rFonts w:ascii="Calibri" w:hAnsi="Calibri"/>
                <w:color w:val="000000"/>
                <w:sz w:val="18"/>
                <w:szCs w:val="18"/>
              </w:rPr>
            </w:pPr>
            <w:r w:rsidRPr="00AA6866">
              <w:rPr>
                <w:rFonts w:ascii="Calibri" w:hAnsi="Calibri"/>
                <w:color w:val="000000"/>
                <w:sz w:val="18"/>
                <w:szCs w:val="18"/>
              </w:rPr>
              <w:t xml:space="preserve">Detection and quantitation of cryoglobulins or </w:t>
            </w:r>
            <w:proofErr w:type="spellStart"/>
            <w:r w:rsidRPr="00AA6866">
              <w:rPr>
                <w:rFonts w:ascii="Calibri" w:hAnsi="Calibri"/>
                <w:color w:val="000000"/>
                <w:sz w:val="18"/>
                <w:szCs w:val="18"/>
              </w:rPr>
              <w:t>cryofibrinogen</w:t>
            </w:r>
            <w:proofErr w:type="spellEnd"/>
            <w:r w:rsidRPr="00AA6866">
              <w:rPr>
                <w:rFonts w:ascii="Calibri" w:hAnsi="Calibri"/>
                <w:color w:val="000000"/>
                <w:sz w:val="18"/>
                <w:szCs w:val="18"/>
              </w:rPr>
              <w:t xml:space="preserve"> - 1 or more tests</w:t>
            </w:r>
          </w:p>
        </w:tc>
        <w:tc>
          <w:tcPr>
            <w:tcW w:w="1074" w:type="dxa"/>
          </w:tcPr>
          <w:p w14:paraId="0B2884CB" w14:textId="77777777" w:rsidR="00543D47" w:rsidRPr="007B492F" w:rsidRDefault="00543D47" w:rsidP="00D9610A">
            <w:pPr>
              <w:rPr>
                <w:rFonts w:ascii="Calibri" w:hAnsi="Calibri"/>
                <w:color w:val="000000"/>
                <w:sz w:val="18"/>
                <w:szCs w:val="18"/>
              </w:rPr>
            </w:pPr>
            <w:r w:rsidRPr="00AA6866">
              <w:rPr>
                <w:rFonts w:ascii="Calibri" w:hAnsi="Calibri"/>
                <w:color w:val="000000"/>
                <w:sz w:val="18"/>
                <w:szCs w:val="18"/>
              </w:rPr>
              <w:t>20.75</w:t>
            </w:r>
          </w:p>
        </w:tc>
        <w:tc>
          <w:tcPr>
            <w:tcW w:w="1074" w:type="dxa"/>
          </w:tcPr>
          <w:p w14:paraId="2C7B1D1D" w14:textId="77777777" w:rsidR="00543D47" w:rsidRPr="007B492F" w:rsidRDefault="00543D47" w:rsidP="00D9610A">
            <w:pPr>
              <w:rPr>
                <w:rFonts w:ascii="Calibri" w:hAnsi="Calibri"/>
                <w:color w:val="000000"/>
                <w:sz w:val="18"/>
                <w:szCs w:val="18"/>
              </w:rPr>
            </w:pPr>
            <w:r w:rsidRPr="00AA6866">
              <w:rPr>
                <w:rFonts w:ascii="Calibri" w:hAnsi="Calibri"/>
                <w:color w:val="000000"/>
                <w:sz w:val="18"/>
                <w:szCs w:val="18"/>
              </w:rPr>
              <w:t>$126,810</w:t>
            </w:r>
          </w:p>
        </w:tc>
        <w:tc>
          <w:tcPr>
            <w:tcW w:w="1074" w:type="dxa"/>
          </w:tcPr>
          <w:p w14:paraId="0A18B250" w14:textId="77777777" w:rsidR="00543D47" w:rsidRPr="007B492F" w:rsidRDefault="00543D47" w:rsidP="00D9610A">
            <w:pPr>
              <w:rPr>
                <w:rFonts w:ascii="Calibri" w:hAnsi="Calibri"/>
                <w:color w:val="000000"/>
                <w:sz w:val="18"/>
                <w:szCs w:val="18"/>
              </w:rPr>
            </w:pPr>
            <w:r w:rsidRPr="00AA6866">
              <w:rPr>
                <w:rFonts w:ascii="Calibri" w:hAnsi="Calibri"/>
                <w:color w:val="000000"/>
                <w:sz w:val="18"/>
                <w:szCs w:val="18"/>
              </w:rPr>
              <w:t>7</w:t>
            </w:r>
            <w:r>
              <w:rPr>
                <w:rFonts w:ascii="Calibri" w:hAnsi="Calibri"/>
                <w:color w:val="000000"/>
                <w:sz w:val="18"/>
                <w:szCs w:val="18"/>
              </w:rPr>
              <w:t>,</w:t>
            </w:r>
            <w:r w:rsidRPr="00AA6866">
              <w:rPr>
                <w:rFonts w:ascii="Calibri" w:hAnsi="Calibri"/>
                <w:color w:val="000000"/>
                <w:sz w:val="18"/>
                <w:szCs w:val="18"/>
              </w:rPr>
              <w:t>302</w:t>
            </w:r>
          </w:p>
        </w:tc>
        <w:tc>
          <w:tcPr>
            <w:tcW w:w="1074" w:type="dxa"/>
          </w:tcPr>
          <w:p w14:paraId="707D5331" w14:textId="77777777" w:rsidR="00543D47" w:rsidRPr="007B492F" w:rsidRDefault="00543D47" w:rsidP="00D9610A">
            <w:pPr>
              <w:rPr>
                <w:rFonts w:ascii="Calibri" w:hAnsi="Calibri"/>
                <w:color w:val="000000"/>
                <w:sz w:val="18"/>
                <w:szCs w:val="18"/>
              </w:rPr>
            </w:pPr>
            <w:r w:rsidRPr="00AA6866">
              <w:rPr>
                <w:rFonts w:ascii="Calibri" w:hAnsi="Calibri"/>
                <w:color w:val="000000"/>
                <w:sz w:val="18"/>
                <w:szCs w:val="18"/>
              </w:rPr>
              <w:t>6</w:t>
            </w:r>
            <w:r>
              <w:rPr>
                <w:rFonts w:ascii="Calibri" w:hAnsi="Calibri"/>
                <w:color w:val="000000"/>
                <w:sz w:val="18"/>
                <w:szCs w:val="18"/>
              </w:rPr>
              <w:t>,</w:t>
            </w:r>
            <w:r w:rsidRPr="00AA6866">
              <w:rPr>
                <w:rFonts w:ascii="Calibri" w:hAnsi="Calibri"/>
                <w:color w:val="000000"/>
                <w:sz w:val="18"/>
                <w:szCs w:val="18"/>
              </w:rPr>
              <w:t>579</w:t>
            </w:r>
          </w:p>
        </w:tc>
        <w:tc>
          <w:tcPr>
            <w:tcW w:w="1074" w:type="dxa"/>
          </w:tcPr>
          <w:p w14:paraId="12ED7E7B" w14:textId="77777777" w:rsidR="00543D47" w:rsidRPr="007B492F" w:rsidRDefault="00543D47" w:rsidP="00D9610A">
            <w:pPr>
              <w:rPr>
                <w:rFonts w:ascii="Calibri" w:hAnsi="Calibri"/>
                <w:color w:val="000000"/>
                <w:sz w:val="18"/>
                <w:szCs w:val="18"/>
              </w:rPr>
            </w:pPr>
            <w:r w:rsidRPr="00AA6866">
              <w:rPr>
                <w:rFonts w:ascii="Calibri" w:hAnsi="Calibri"/>
                <w:color w:val="000000"/>
                <w:sz w:val="18"/>
                <w:szCs w:val="18"/>
              </w:rPr>
              <w:t>7.5%</w:t>
            </w:r>
          </w:p>
        </w:tc>
      </w:tr>
      <w:tr w:rsidR="00543D47" w:rsidRPr="00370DFD" w14:paraId="6692A909" w14:textId="77777777" w:rsidTr="00D9610A">
        <w:tc>
          <w:tcPr>
            <w:tcW w:w="702" w:type="dxa"/>
          </w:tcPr>
          <w:p w14:paraId="4BE31C6D" w14:textId="77777777" w:rsidR="00543D47" w:rsidRDefault="00543D47" w:rsidP="00D9610A">
            <w:pPr>
              <w:rPr>
                <w:sz w:val="18"/>
                <w:szCs w:val="18"/>
              </w:rPr>
            </w:pPr>
            <w:r>
              <w:rPr>
                <w:sz w:val="18"/>
                <w:szCs w:val="18"/>
              </w:rPr>
              <w:lastRenderedPageBreak/>
              <w:t>71066</w:t>
            </w:r>
          </w:p>
        </w:tc>
        <w:tc>
          <w:tcPr>
            <w:tcW w:w="2944" w:type="dxa"/>
          </w:tcPr>
          <w:p w14:paraId="62C64D33" w14:textId="77777777" w:rsidR="00543D47" w:rsidRPr="007B492F" w:rsidRDefault="00543D47" w:rsidP="00D9610A">
            <w:pPr>
              <w:rPr>
                <w:rFonts w:ascii="Calibri" w:hAnsi="Calibri"/>
                <w:color w:val="000000"/>
                <w:sz w:val="18"/>
                <w:szCs w:val="18"/>
              </w:rPr>
            </w:pPr>
            <w:r w:rsidRPr="00AA6866">
              <w:rPr>
                <w:rFonts w:ascii="Calibri" w:hAnsi="Calibri"/>
                <w:color w:val="000000"/>
                <w:sz w:val="18"/>
                <w:szCs w:val="18"/>
              </w:rPr>
              <w:t xml:space="preserve">Quantitation of total immunoglobulin </w:t>
            </w:r>
            <w:r>
              <w:rPr>
                <w:rFonts w:ascii="Calibri" w:hAnsi="Calibri"/>
                <w:color w:val="000000"/>
                <w:sz w:val="18"/>
                <w:szCs w:val="18"/>
              </w:rPr>
              <w:t>A</w:t>
            </w:r>
            <w:r w:rsidRPr="00AA6866">
              <w:rPr>
                <w:rFonts w:ascii="Calibri" w:hAnsi="Calibri"/>
                <w:color w:val="000000"/>
                <w:sz w:val="18"/>
                <w:szCs w:val="18"/>
              </w:rPr>
              <w:t xml:space="preserve"> by any method in serum, urine or other body fluid – 1 test</w:t>
            </w:r>
          </w:p>
        </w:tc>
        <w:tc>
          <w:tcPr>
            <w:tcW w:w="1074" w:type="dxa"/>
          </w:tcPr>
          <w:p w14:paraId="6C8C81EE"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14.55</w:t>
            </w:r>
          </w:p>
        </w:tc>
        <w:tc>
          <w:tcPr>
            <w:tcW w:w="1074" w:type="dxa"/>
          </w:tcPr>
          <w:p w14:paraId="65617095"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$63,549</w:t>
            </w:r>
          </w:p>
        </w:tc>
        <w:tc>
          <w:tcPr>
            <w:tcW w:w="1074" w:type="dxa"/>
          </w:tcPr>
          <w:p w14:paraId="6628FE56"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5,150</w:t>
            </w:r>
          </w:p>
        </w:tc>
        <w:tc>
          <w:tcPr>
            <w:tcW w:w="1074" w:type="dxa"/>
          </w:tcPr>
          <w:p w14:paraId="4DB20CE5"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4,867</w:t>
            </w:r>
          </w:p>
        </w:tc>
        <w:tc>
          <w:tcPr>
            <w:tcW w:w="1074" w:type="dxa"/>
          </w:tcPr>
          <w:p w14:paraId="42A59D5C"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–5.5%</w:t>
            </w:r>
          </w:p>
        </w:tc>
      </w:tr>
      <w:tr w:rsidR="00543D47" w:rsidRPr="00370DFD" w14:paraId="243F30D4" w14:textId="77777777" w:rsidTr="00D9610A">
        <w:tc>
          <w:tcPr>
            <w:tcW w:w="702" w:type="dxa"/>
          </w:tcPr>
          <w:p w14:paraId="236BBD93" w14:textId="77777777" w:rsidR="00543D47" w:rsidRDefault="00543D47" w:rsidP="00D9610A">
            <w:pPr>
              <w:rPr>
                <w:sz w:val="18"/>
                <w:szCs w:val="18"/>
              </w:rPr>
            </w:pPr>
            <w:r>
              <w:rPr>
                <w:sz w:val="18"/>
                <w:szCs w:val="18"/>
              </w:rPr>
              <w:t>71068</w:t>
            </w:r>
          </w:p>
        </w:tc>
        <w:tc>
          <w:tcPr>
            <w:tcW w:w="2944" w:type="dxa"/>
          </w:tcPr>
          <w:p w14:paraId="77547B2D" w14:textId="77777777" w:rsidR="00543D47" w:rsidRPr="007B492F" w:rsidRDefault="00543D47" w:rsidP="00D9610A">
            <w:pPr>
              <w:rPr>
                <w:rFonts w:ascii="Calibri" w:hAnsi="Calibri"/>
                <w:color w:val="000000"/>
                <w:sz w:val="18"/>
                <w:szCs w:val="18"/>
              </w:rPr>
            </w:pPr>
            <w:r w:rsidRPr="00D57701">
              <w:rPr>
                <w:rFonts w:ascii="Calibri" w:hAnsi="Calibri"/>
                <w:color w:val="000000"/>
                <w:sz w:val="18"/>
                <w:szCs w:val="18"/>
              </w:rPr>
              <w:t xml:space="preserve">Quantitation of total immunoglobulin </w:t>
            </w:r>
            <w:r>
              <w:rPr>
                <w:rFonts w:ascii="Calibri" w:hAnsi="Calibri"/>
                <w:color w:val="000000"/>
                <w:sz w:val="18"/>
                <w:szCs w:val="18"/>
              </w:rPr>
              <w:t>G</w:t>
            </w:r>
            <w:r w:rsidRPr="00D57701">
              <w:rPr>
                <w:rFonts w:ascii="Calibri" w:hAnsi="Calibri"/>
                <w:color w:val="000000"/>
                <w:sz w:val="18"/>
                <w:szCs w:val="18"/>
              </w:rPr>
              <w:t xml:space="preserve"> by any method in serum, urine or other body fluid - 1 test</w:t>
            </w:r>
          </w:p>
        </w:tc>
        <w:tc>
          <w:tcPr>
            <w:tcW w:w="1074" w:type="dxa"/>
          </w:tcPr>
          <w:p w14:paraId="7F067830"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14.55</w:t>
            </w:r>
          </w:p>
        </w:tc>
        <w:tc>
          <w:tcPr>
            <w:tcW w:w="1074" w:type="dxa"/>
          </w:tcPr>
          <w:p w14:paraId="363DB99B"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$227,826</w:t>
            </w:r>
          </w:p>
        </w:tc>
        <w:tc>
          <w:tcPr>
            <w:tcW w:w="1074" w:type="dxa"/>
          </w:tcPr>
          <w:p w14:paraId="790645FF"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18,765</w:t>
            </w:r>
          </w:p>
        </w:tc>
        <w:tc>
          <w:tcPr>
            <w:tcW w:w="1074" w:type="dxa"/>
          </w:tcPr>
          <w:p w14:paraId="00B84DEA"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13,543</w:t>
            </w:r>
          </w:p>
        </w:tc>
        <w:tc>
          <w:tcPr>
            <w:tcW w:w="1074" w:type="dxa"/>
          </w:tcPr>
          <w:p w14:paraId="3991AA4D" w14:textId="77777777" w:rsidR="00543D47" w:rsidRPr="007B492F" w:rsidRDefault="00543D47" w:rsidP="00D9610A">
            <w:pPr>
              <w:rPr>
                <w:rFonts w:ascii="Calibri" w:hAnsi="Calibri"/>
                <w:color w:val="000000"/>
                <w:sz w:val="18"/>
                <w:szCs w:val="18"/>
              </w:rPr>
            </w:pPr>
            <w:r>
              <w:rPr>
                <w:rFonts w:ascii="Calibri" w:hAnsi="Calibri"/>
                <w:color w:val="000000"/>
                <w:sz w:val="18"/>
                <w:szCs w:val="18"/>
              </w:rPr>
              <w:t>14.2%</w:t>
            </w:r>
          </w:p>
        </w:tc>
      </w:tr>
      <w:tr w:rsidR="00543D47" w:rsidRPr="00370DFD" w14:paraId="30AF59C1" w14:textId="77777777" w:rsidTr="00D9610A">
        <w:tc>
          <w:tcPr>
            <w:tcW w:w="702" w:type="dxa"/>
          </w:tcPr>
          <w:p w14:paraId="274106B0" w14:textId="77777777" w:rsidR="00543D47" w:rsidRDefault="00543D47" w:rsidP="00D9610A">
            <w:pPr>
              <w:rPr>
                <w:sz w:val="18"/>
                <w:szCs w:val="18"/>
              </w:rPr>
            </w:pPr>
            <w:r>
              <w:rPr>
                <w:sz w:val="18"/>
                <w:szCs w:val="18"/>
              </w:rPr>
              <w:t>71069</w:t>
            </w:r>
          </w:p>
        </w:tc>
        <w:tc>
          <w:tcPr>
            <w:tcW w:w="2944" w:type="dxa"/>
          </w:tcPr>
          <w:p w14:paraId="04AA6755"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2 tests described in items 71066, 71068, 71072 or 71074</w:t>
            </w:r>
          </w:p>
        </w:tc>
        <w:tc>
          <w:tcPr>
            <w:tcW w:w="1074" w:type="dxa"/>
          </w:tcPr>
          <w:p w14:paraId="184ACFBE"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22.75</w:t>
            </w:r>
          </w:p>
        </w:tc>
        <w:tc>
          <w:tcPr>
            <w:tcW w:w="1074" w:type="dxa"/>
          </w:tcPr>
          <w:p w14:paraId="091077C8"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$176,206</w:t>
            </w:r>
          </w:p>
        </w:tc>
        <w:tc>
          <w:tcPr>
            <w:tcW w:w="1074" w:type="dxa"/>
          </w:tcPr>
          <w:p w14:paraId="57CFD945"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9,172</w:t>
            </w:r>
          </w:p>
        </w:tc>
        <w:tc>
          <w:tcPr>
            <w:tcW w:w="1074" w:type="dxa"/>
          </w:tcPr>
          <w:p w14:paraId="5BCF0CF3"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7,904</w:t>
            </w:r>
          </w:p>
        </w:tc>
        <w:tc>
          <w:tcPr>
            <w:tcW w:w="1074" w:type="dxa"/>
          </w:tcPr>
          <w:p w14:paraId="31309ACC" w14:textId="77777777" w:rsidR="00543D47" w:rsidRPr="007B492F" w:rsidRDefault="00543D47" w:rsidP="00D9610A">
            <w:pPr>
              <w:rPr>
                <w:rFonts w:ascii="Calibri" w:hAnsi="Calibri"/>
                <w:color w:val="000000"/>
                <w:sz w:val="18"/>
                <w:szCs w:val="18"/>
              </w:rPr>
            </w:pPr>
            <w:r>
              <w:rPr>
                <w:rFonts w:ascii="Calibri" w:hAnsi="Calibri"/>
                <w:color w:val="000000"/>
                <w:sz w:val="18"/>
                <w:szCs w:val="18"/>
              </w:rPr>
              <w:t>1.2%</w:t>
            </w:r>
          </w:p>
        </w:tc>
      </w:tr>
      <w:tr w:rsidR="00543D47" w:rsidRPr="00370DFD" w14:paraId="2252514D" w14:textId="77777777" w:rsidTr="00D9610A">
        <w:tc>
          <w:tcPr>
            <w:tcW w:w="702" w:type="dxa"/>
          </w:tcPr>
          <w:p w14:paraId="52130C31" w14:textId="77777777" w:rsidR="00543D47" w:rsidRDefault="00543D47" w:rsidP="00D9610A">
            <w:pPr>
              <w:rPr>
                <w:sz w:val="18"/>
                <w:szCs w:val="18"/>
              </w:rPr>
            </w:pPr>
            <w:r>
              <w:rPr>
                <w:sz w:val="18"/>
                <w:szCs w:val="18"/>
              </w:rPr>
              <w:t>71071</w:t>
            </w:r>
          </w:p>
        </w:tc>
        <w:tc>
          <w:tcPr>
            <w:tcW w:w="2944" w:type="dxa"/>
          </w:tcPr>
          <w:p w14:paraId="3FC78DCA"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3 or more tests described in items 71066, 71068, 71072 or 71074</w:t>
            </w:r>
          </w:p>
        </w:tc>
        <w:tc>
          <w:tcPr>
            <w:tcW w:w="1074" w:type="dxa"/>
          </w:tcPr>
          <w:p w14:paraId="65975DFD"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30.95</w:t>
            </w:r>
          </w:p>
        </w:tc>
        <w:tc>
          <w:tcPr>
            <w:tcW w:w="1074" w:type="dxa"/>
          </w:tcPr>
          <w:p w14:paraId="7AFDAA6B"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$4,680,461</w:t>
            </w:r>
          </w:p>
        </w:tc>
        <w:tc>
          <w:tcPr>
            <w:tcW w:w="1074" w:type="dxa"/>
          </w:tcPr>
          <w:p w14:paraId="707FC035"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178,803</w:t>
            </w:r>
          </w:p>
        </w:tc>
        <w:tc>
          <w:tcPr>
            <w:tcW w:w="1074" w:type="dxa"/>
          </w:tcPr>
          <w:p w14:paraId="6FFD9C79"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127,637</w:t>
            </w:r>
          </w:p>
        </w:tc>
        <w:tc>
          <w:tcPr>
            <w:tcW w:w="1074" w:type="dxa"/>
          </w:tcPr>
          <w:p w14:paraId="6F68CB76" w14:textId="77777777" w:rsidR="00543D47" w:rsidRPr="007B492F" w:rsidRDefault="00543D47" w:rsidP="00D9610A">
            <w:pPr>
              <w:rPr>
                <w:rFonts w:ascii="Calibri" w:hAnsi="Calibri"/>
                <w:color w:val="000000"/>
                <w:sz w:val="18"/>
                <w:szCs w:val="18"/>
              </w:rPr>
            </w:pPr>
            <w:r>
              <w:rPr>
                <w:rFonts w:ascii="Calibri" w:hAnsi="Calibri"/>
                <w:color w:val="000000"/>
                <w:sz w:val="18"/>
                <w:szCs w:val="18"/>
              </w:rPr>
              <w:t>7.0</w:t>
            </w:r>
          </w:p>
        </w:tc>
      </w:tr>
      <w:tr w:rsidR="00543D47" w:rsidRPr="00370DFD" w14:paraId="42BFE80B" w14:textId="77777777" w:rsidTr="00D9610A">
        <w:tc>
          <w:tcPr>
            <w:tcW w:w="702" w:type="dxa"/>
          </w:tcPr>
          <w:p w14:paraId="4B05ABF2" w14:textId="77777777" w:rsidR="00543D47" w:rsidRDefault="00543D47" w:rsidP="00D9610A">
            <w:pPr>
              <w:rPr>
                <w:sz w:val="18"/>
                <w:szCs w:val="18"/>
              </w:rPr>
            </w:pPr>
            <w:r>
              <w:rPr>
                <w:sz w:val="18"/>
                <w:szCs w:val="18"/>
              </w:rPr>
              <w:t>71072</w:t>
            </w:r>
          </w:p>
        </w:tc>
        <w:tc>
          <w:tcPr>
            <w:tcW w:w="2944" w:type="dxa"/>
          </w:tcPr>
          <w:p w14:paraId="33A24CDD"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 xml:space="preserve">Quantitation of total immunoglobulin </w:t>
            </w:r>
            <w:r>
              <w:rPr>
                <w:rFonts w:ascii="Calibri" w:hAnsi="Calibri"/>
                <w:color w:val="000000"/>
                <w:sz w:val="18"/>
                <w:szCs w:val="18"/>
              </w:rPr>
              <w:t>M</w:t>
            </w:r>
            <w:r w:rsidRPr="009710A5">
              <w:rPr>
                <w:rFonts w:ascii="Calibri" w:hAnsi="Calibri"/>
                <w:color w:val="000000"/>
                <w:sz w:val="18"/>
                <w:szCs w:val="18"/>
              </w:rPr>
              <w:t xml:space="preserve"> by any method in serum, urine or other body fluid - 1 test</w:t>
            </w:r>
          </w:p>
        </w:tc>
        <w:tc>
          <w:tcPr>
            <w:tcW w:w="1074" w:type="dxa"/>
          </w:tcPr>
          <w:p w14:paraId="746B8DFA"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14.55</w:t>
            </w:r>
          </w:p>
        </w:tc>
        <w:tc>
          <w:tcPr>
            <w:tcW w:w="1074" w:type="dxa"/>
          </w:tcPr>
          <w:p w14:paraId="5D32ABE6"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$12,340</w:t>
            </w:r>
          </w:p>
        </w:tc>
        <w:tc>
          <w:tcPr>
            <w:tcW w:w="1074" w:type="dxa"/>
          </w:tcPr>
          <w:p w14:paraId="7BF98EF6"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1,004</w:t>
            </w:r>
          </w:p>
        </w:tc>
        <w:tc>
          <w:tcPr>
            <w:tcW w:w="1074" w:type="dxa"/>
          </w:tcPr>
          <w:p w14:paraId="2FEE6F9A"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708</w:t>
            </w:r>
          </w:p>
        </w:tc>
        <w:tc>
          <w:tcPr>
            <w:tcW w:w="1074" w:type="dxa"/>
          </w:tcPr>
          <w:p w14:paraId="693C20B6"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–17.7%</w:t>
            </w:r>
          </w:p>
        </w:tc>
      </w:tr>
      <w:tr w:rsidR="00543D47" w:rsidRPr="00370DFD" w14:paraId="03EA7359" w14:textId="77777777" w:rsidTr="00D9610A">
        <w:tc>
          <w:tcPr>
            <w:tcW w:w="702" w:type="dxa"/>
          </w:tcPr>
          <w:p w14:paraId="5735C67C" w14:textId="77777777" w:rsidR="00543D47" w:rsidRDefault="00543D47" w:rsidP="00D9610A">
            <w:pPr>
              <w:rPr>
                <w:sz w:val="18"/>
                <w:szCs w:val="18"/>
              </w:rPr>
            </w:pPr>
            <w:r>
              <w:rPr>
                <w:sz w:val="18"/>
                <w:szCs w:val="18"/>
              </w:rPr>
              <w:t>71073</w:t>
            </w:r>
          </w:p>
        </w:tc>
        <w:tc>
          <w:tcPr>
            <w:tcW w:w="2944" w:type="dxa"/>
          </w:tcPr>
          <w:p w14:paraId="450C70BE"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Quantitation of all 4 immunoglobulin G subclasses</w:t>
            </w:r>
          </w:p>
        </w:tc>
        <w:tc>
          <w:tcPr>
            <w:tcW w:w="1074" w:type="dxa"/>
          </w:tcPr>
          <w:p w14:paraId="094DFFDE"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106.15</w:t>
            </w:r>
          </w:p>
        </w:tc>
        <w:tc>
          <w:tcPr>
            <w:tcW w:w="1074" w:type="dxa"/>
          </w:tcPr>
          <w:p w14:paraId="105DAF22"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$1,806,647</w:t>
            </w:r>
          </w:p>
        </w:tc>
        <w:tc>
          <w:tcPr>
            <w:tcW w:w="1074" w:type="dxa"/>
          </w:tcPr>
          <w:p w14:paraId="751469C4"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20,209</w:t>
            </w:r>
          </w:p>
        </w:tc>
        <w:tc>
          <w:tcPr>
            <w:tcW w:w="1074" w:type="dxa"/>
          </w:tcPr>
          <w:p w14:paraId="2B2A69CF"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17,719</w:t>
            </w:r>
          </w:p>
        </w:tc>
        <w:tc>
          <w:tcPr>
            <w:tcW w:w="1074" w:type="dxa"/>
          </w:tcPr>
          <w:p w14:paraId="1529E95E" w14:textId="77777777" w:rsidR="00543D47" w:rsidRPr="007B492F" w:rsidRDefault="00543D47" w:rsidP="00D9610A">
            <w:pPr>
              <w:rPr>
                <w:rFonts w:ascii="Calibri" w:hAnsi="Calibri"/>
                <w:color w:val="000000"/>
                <w:sz w:val="18"/>
                <w:szCs w:val="18"/>
              </w:rPr>
            </w:pPr>
            <w:r>
              <w:rPr>
                <w:rFonts w:ascii="Calibri" w:hAnsi="Calibri"/>
                <w:color w:val="000000"/>
                <w:sz w:val="18"/>
                <w:szCs w:val="18"/>
              </w:rPr>
              <w:t>10.4</w:t>
            </w:r>
          </w:p>
        </w:tc>
      </w:tr>
      <w:tr w:rsidR="00543D47" w:rsidRPr="00370DFD" w14:paraId="74944E33" w14:textId="77777777" w:rsidTr="00D9610A">
        <w:tc>
          <w:tcPr>
            <w:tcW w:w="702" w:type="dxa"/>
          </w:tcPr>
          <w:p w14:paraId="5457D9A6" w14:textId="77777777" w:rsidR="00543D47" w:rsidRDefault="00543D47" w:rsidP="00D9610A">
            <w:pPr>
              <w:rPr>
                <w:sz w:val="18"/>
                <w:szCs w:val="18"/>
              </w:rPr>
            </w:pPr>
            <w:r>
              <w:rPr>
                <w:sz w:val="18"/>
                <w:szCs w:val="18"/>
              </w:rPr>
              <w:t>71074</w:t>
            </w:r>
          </w:p>
        </w:tc>
        <w:tc>
          <w:tcPr>
            <w:tcW w:w="2944" w:type="dxa"/>
          </w:tcPr>
          <w:p w14:paraId="4945979C"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 xml:space="preserve">Quantitation of total immunoglobulin </w:t>
            </w:r>
            <w:r>
              <w:rPr>
                <w:rFonts w:ascii="Calibri" w:hAnsi="Calibri"/>
                <w:color w:val="000000"/>
                <w:sz w:val="18"/>
                <w:szCs w:val="18"/>
              </w:rPr>
              <w:t>D</w:t>
            </w:r>
            <w:r w:rsidRPr="009710A5">
              <w:rPr>
                <w:rFonts w:ascii="Calibri" w:hAnsi="Calibri"/>
                <w:color w:val="000000"/>
                <w:sz w:val="18"/>
                <w:szCs w:val="18"/>
              </w:rPr>
              <w:t xml:space="preserve"> by any method in serum, urine or other body fluid - 1 test</w:t>
            </w:r>
          </w:p>
        </w:tc>
        <w:tc>
          <w:tcPr>
            <w:tcW w:w="1074" w:type="dxa"/>
          </w:tcPr>
          <w:p w14:paraId="0DD62181"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14.55</w:t>
            </w:r>
          </w:p>
        </w:tc>
        <w:tc>
          <w:tcPr>
            <w:tcW w:w="1074" w:type="dxa"/>
          </w:tcPr>
          <w:p w14:paraId="6ACFFF91"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$3,054</w:t>
            </w:r>
          </w:p>
        </w:tc>
        <w:tc>
          <w:tcPr>
            <w:tcW w:w="1074" w:type="dxa"/>
          </w:tcPr>
          <w:p w14:paraId="488C563C"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250</w:t>
            </w:r>
          </w:p>
        </w:tc>
        <w:tc>
          <w:tcPr>
            <w:tcW w:w="1074" w:type="dxa"/>
          </w:tcPr>
          <w:p w14:paraId="4AD51FAD"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226</w:t>
            </w:r>
          </w:p>
        </w:tc>
        <w:tc>
          <w:tcPr>
            <w:tcW w:w="1074" w:type="dxa"/>
          </w:tcPr>
          <w:p w14:paraId="6D2D0E8E"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–0.8%</w:t>
            </w:r>
          </w:p>
        </w:tc>
      </w:tr>
      <w:tr w:rsidR="00543D47" w:rsidRPr="00370DFD" w14:paraId="42C62A80" w14:textId="77777777" w:rsidTr="00D9610A">
        <w:tc>
          <w:tcPr>
            <w:tcW w:w="702" w:type="dxa"/>
          </w:tcPr>
          <w:p w14:paraId="7888FB07" w14:textId="77777777" w:rsidR="00543D47" w:rsidRDefault="00543D47" w:rsidP="00D9610A">
            <w:pPr>
              <w:rPr>
                <w:sz w:val="18"/>
                <w:szCs w:val="18"/>
              </w:rPr>
            </w:pPr>
            <w:r>
              <w:rPr>
                <w:sz w:val="18"/>
                <w:szCs w:val="18"/>
              </w:rPr>
              <w:t>71075</w:t>
            </w:r>
          </w:p>
        </w:tc>
        <w:tc>
          <w:tcPr>
            <w:tcW w:w="2944" w:type="dxa"/>
          </w:tcPr>
          <w:p w14:paraId="3A13292A"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Quantitation of immunoglobulin E (total), (</w:t>
            </w:r>
            <w:proofErr w:type="spellStart"/>
            <w:r w:rsidRPr="009710A5">
              <w:rPr>
                <w:rFonts w:ascii="Calibri" w:hAnsi="Calibri"/>
                <w:color w:val="000000"/>
                <w:sz w:val="18"/>
                <w:szCs w:val="18"/>
              </w:rPr>
              <w:t>IgE</w:t>
            </w:r>
            <w:proofErr w:type="spellEnd"/>
            <w:r w:rsidRPr="009710A5">
              <w:rPr>
                <w:rFonts w:ascii="Calibri" w:hAnsi="Calibri"/>
                <w:color w:val="000000"/>
                <w:sz w:val="18"/>
                <w:szCs w:val="18"/>
              </w:rPr>
              <w:t xml:space="preserve">) </w:t>
            </w:r>
            <w:r>
              <w:rPr>
                <w:rFonts w:ascii="Calibri" w:hAnsi="Calibri"/>
                <w:color w:val="000000"/>
                <w:sz w:val="18"/>
                <w:szCs w:val="18"/>
              </w:rPr>
              <w:t>-</w:t>
            </w:r>
            <w:r w:rsidRPr="009710A5">
              <w:rPr>
                <w:rFonts w:ascii="Calibri" w:hAnsi="Calibri"/>
                <w:color w:val="000000"/>
                <w:sz w:val="18"/>
                <w:szCs w:val="18"/>
              </w:rPr>
              <w:t xml:space="preserve"> 1 test. (Item is subject to rule 25)</w:t>
            </w:r>
          </w:p>
        </w:tc>
        <w:tc>
          <w:tcPr>
            <w:tcW w:w="1074" w:type="dxa"/>
          </w:tcPr>
          <w:p w14:paraId="0C1F0036"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23.00</w:t>
            </w:r>
          </w:p>
        </w:tc>
        <w:tc>
          <w:tcPr>
            <w:tcW w:w="1074" w:type="dxa"/>
          </w:tcPr>
          <w:p w14:paraId="1C57C3D4"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$2,619,828</w:t>
            </w:r>
          </w:p>
        </w:tc>
        <w:tc>
          <w:tcPr>
            <w:tcW w:w="1074" w:type="dxa"/>
          </w:tcPr>
          <w:p w14:paraId="6E0055EF"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133,831</w:t>
            </w:r>
          </w:p>
        </w:tc>
        <w:tc>
          <w:tcPr>
            <w:tcW w:w="1074" w:type="dxa"/>
          </w:tcPr>
          <w:p w14:paraId="1DED9B53"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127,901</w:t>
            </w:r>
          </w:p>
        </w:tc>
        <w:tc>
          <w:tcPr>
            <w:tcW w:w="1074" w:type="dxa"/>
          </w:tcPr>
          <w:p w14:paraId="3F6C8F67"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5.5%</w:t>
            </w:r>
          </w:p>
        </w:tc>
      </w:tr>
      <w:tr w:rsidR="00543D47" w:rsidRPr="00370DFD" w14:paraId="127F9BDA" w14:textId="77777777" w:rsidTr="00D9610A">
        <w:tc>
          <w:tcPr>
            <w:tcW w:w="702" w:type="dxa"/>
          </w:tcPr>
          <w:p w14:paraId="4759404C" w14:textId="77777777" w:rsidR="00543D47" w:rsidRDefault="00543D47" w:rsidP="00D9610A">
            <w:pPr>
              <w:rPr>
                <w:sz w:val="18"/>
                <w:szCs w:val="18"/>
              </w:rPr>
            </w:pPr>
            <w:r>
              <w:rPr>
                <w:sz w:val="18"/>
                <w:szCs w:val="18"/>
              </w:rPr>
              <w:t>71076</w:t>
            </w:r>
          </w:p>
        </w:tc>
        <w:tc>
          <w:tcPr>
            <w:tcW w:w="2944" w:type="dxa"/>
          </w:tcPr>
          <w:p w14:paraId="46048E9B"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A test described in item 71073 if rendered by a receiving APP - 1 test</w:t>
            </w:r>
            <w:r>
              <w:rPr>
                <w:rFonts w:ascii="Calibri" w:hAnsi="Calibri"/>
                <w:color w:val="000000"/>
                <w:sz w:val="18"/>
                <w:szCs w:val="18"/>
              </w:rPr>
              <w:t xml:space="preserve"> </w:t>
            </w:r>
            <w:r w:rsidRPr="00840A12">
              <w:rPr>
                <w:rFonts w:ascii="Calibri" w:hAnsi="Calibri"/>
                <w:color w:val="000000"/>
                <w:sz w:val="18"/>
                <w:szCs w:val="18"/>
              </w:rPr>
              <w:t>(Item is subject to rule 18)</w:t>
            </w:r>
          </w:p>
        </w:tc>
        <w:tc>
          <w:tcPr>
            <w:tcW w:w="1074" w:type="dxa"/>
          </w:tcPr>
          <w:p w14:paraId="37DFB8D6"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106.15</w:t>
            </w:r>
          </w:p>
        </w:tc>
        <w:tc>
          <w:tcPr>
            <w:tcW w:w="1074" w:type="dxa"/>
          </w:tcPr>
          <w:p w14:paraId="1CC2AC22"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$179,881</w:t>
            </w:r>
          </w:p>
        </w:tc>
        <w:tc>
          <w:tcPr>
            <w:tcW w:w="1074" w:type="dxa"/>
          </w:tcPr>
          <w:p w14:paraId="73524547" w14:textId="77777777" w:rsidR="00543D47" w:rsidRPr="007B492F" w:rsidRDefault="00543D47" w:rsidP="00D9610A">
            <w:pPr>
              <w:rPr>
                <w:rFonts w:ascii="Calibri" w:hAnsi="Calibri"/>
                <w:color w:val="000000"/>
                <w:sz w:val="18"/>
                <w:szCs w:val="18"/>
              </w:rPr>
            </w:pPr>
            <w:r w:rsidRPr="00840A12">
              <w:rPr>
                <w:rFonts w:ascii="Calibri" w:hAnsi="Calibri"/>
                <w:color w:val="000000"/>
                <w:sz w:val="18"/>
                <w:szCs w:val="18"/>
              </w:rPr>
              <w:t>2,009</w:t>
            </w:r>
          </w:p>
        </w:tc>
        <w:tc>
          <w:tcPr>
            <w:tcW w:w="1074" w:type="dxa"/>
          </w:tcPr>
          <w:p w14:paraId="3638A616"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1,902</w:t>
            </w:r>
          </w:p>
        </w:tc>
        <w:tc>
          <w:tcPr>
            <w:tcW w:w="1074" w:type="dxa"/>
          </w:tcPr>
          <w:p w14:paraId="3648660C" w14:textId="77777777" w:rsidR="00543D47" w:rsidRPr="007B492F" w:rsidRDefault="00543D47" w:rsidP="00D9610A">
            <w:pPr>
              <w:rPr>
                <w:rFonts w:ascii="Calibri" w:hAnsi="Calibri"/>
                <w:color w:val="000000"/>
                <w:sz w:val="18"/>
                <w:szCs w:val="18"/>
              </w:rPr>
            </w:pPr>
            <w:r>
              <w:rPr>
                <w:rFonts w:ascii="Calibri" w:hAnsi="Calibri"/>
                <w:color w:val="000000"/>
                <w:sz w:val="18"/>
                <w:szCs w:val="18"/>
              </w:rPr>
              <w:t>7.8</w:t>
            </w:r>
          </w:p>
        </w:tc>
      </w:tr>
      <w:tr w:rsidR="00543D47" w:rsidRPr="00370DFD" w14:paraId="35316435" w14:textId="77777777" w:rsidTr="00D9610A">
        <w:tc>
          <w:tcPr>
            <w:tcW w:w="702" w:type="dxa"/>
          </w:tcPr>
          <w:p w14:paraId="448AA43B" w14:textId="77777777" w:rsidR="00543D47" w:rsidRDefault="00543D47" w:rsidP="00D9610A">
            <w:pPr>
              <w:rPr>
                <w:sz w:val="18"/>
                <w:szCs w:val="18"/>
              </w:rPr>
            </w:pPr>
            <w:r>
              <w:rPr>
                <w:sz w:val="18"/>
                <w:szCs w:val="18"/>
              </w:rPr>
              <w:t>71077</w:t>
            </w:r>
          </w:p>
        </w:tc>
        <w:tc>
          <w:tcPr>
            <w:tcW w:w="2944" w:type="dxa"/>
          </w:tcPr>
          <w:p w14:paraId="15CB4174"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Quantitation of immunoglobulin E (total) (</w:t>
            </w:r>
            <w:proofErr w:type="spellStart"/>
            <w:r w:rsidRPr="009710A5">
              <w:rPr>
                <w:rFonts w:ascii="Calibri" w:hAnsi="Calibri"/>
                <w:color w:val="000000"/>
                <w:sz w:val="18"/>
                <w:szCs w:val="18"/>
              </w:rPr>
              <w:t>IgE</w:t>
            </w:r>
            <w:proofErr w:type="spellEnd"/>
            <w:r w:rsidRPr="009710A5">
              <w:rPr>
                <w:rFonts w:ascii="Calibri" w:hAnsi="Calibri"/>
                <w:color w:val="000000"/>
                <w:sz w:val="18"/>
                <w:szCs w:val="18"/>
              </w:rPr>
              <w:t xml:space="preserve">) in the follow up of a patient with proven immunoglobulin-E-secreting myeloma, proven congenital immunodeficiency or proven allergic </w:t>
            </w:r>
            <w:r w:rsidRPr="009710A5">
              <w:rPr>
                <w:rFonts w:ascii="Calibri" w:hAnsi="Calibri"/>
                <w:color w:val="000000"/>
                <w:sz w:val="18"/>
                <w:szCs w:val="18"/>
              </w:rPr>
              <w:lastRenderedPageBreak/>
              <w:t>bronchopulmonary aspergillosis</w:t>
            </w:r>
            <w:r>
              <w:rPr>
                <w:rFonts w:ascii="Calibri" w:hAnsi="Calibri"/>
                <w:color w:val="000000"/>
                <w:sz w:val="18"/>
                <w:szCs w:val="18"/>
              </w:rPr>
              <w:t xml:space="preserve"> -</w:t>
            </w:r>
            <w:r w:rsidRPr="009710A5">
              <w:rPr>
                <w:rFonts w:ascii="Calibri" w:hAnsi="Calibri"/>
                <w:color w:val="000000"/>
                <w:sz w:val="18"/>
                <w:szCs w:val="18"/>
              </w:rPr>
              <w:t xml:space="preserve"> 1 test. (Item is subject to rule 25)</w:t>
            </w:r>
          </w:p>
        </w:tc>
        <w:tc>
          <w:tcPr>
            <w:tcW w:w="1074" w:type="dxa"/>
          </w:tcPr>
          <w:p w14:paraId="319AC6B3"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lastRenderedPageBreak/>
              <w:t>27.05</w:t>
            </w:r>
          </w:p>
        </w:tc>
        <w:tc>
          <w:tcPr>
            <w:tcW w:w="1074" w:type="dxa"/>
          </w:tcPr>
          <w:p w14:paraId="19C5866A" w14:textId="77777777" w:rsidR="00543D47" w:rsidRPr="007B492F" w:rsidRDefault="00543D47" w:rsidP="00D9610A">
            <w:pPr>
              <w:rPr>
                <w:rFonts w:ascii="Calibri" w:hAnsi="Calibri"/>
                <w:color w:val="000000"/>
                <w:sz w:val="18"/>
                <w:szCs w:val="18"/>
              </w:rPr>
            </w:pPr>
            <w:r>
              <w:rPr>
                <w:rFonts w:ascii="Calibri" w:hAnsi="Calibri"/>
                <w:color w:val="000000"/>
                <w:sz w:val="18"/>
                <w:szCs w:val="18"/>
              </w:rPr>
              <w:t>$</w:t>
            </w:r>
            <w:r w:rsidRPr="009710A5">
              <w:rPr>
                <w:rFonts w:ascii="Calibri" w:hAnsi="Calibri"/>
                <w:color w:val="000000"/>
                <w:sz w:val="18"/>
                <w:szCs w:val="18"/>
              </w:rPr>
              <w:t>43</w:t>
            </w:r>
          </w:p>
        </w:tc>
        <w:tc>
          <w:tcPr>
            <w:tcW w:w="1074" w:type="dxa"/>
          </w:tcPr>
          <w:p w14:paraId="49C24BA0"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2</w:t>
            </w:r>
          </w:p>
        </w:tc>
        <w:tc>
          <w:tcPr>
            <w:tcW w:w="1074" w:type="dxa"/>
          </w:tcPr>
          <w:p w14:paraId="3DDC1F07" w14:textId="77777777" w:rsidR="00543D47" w:rsidRPr="007B492F" w:rsidRDefault="00543D47" w:rsidP="00D9610A">
            <w:pPr>
              <w:rPr>
                <w:rFonts w:ascii="Calibri" w:hAnsi="Calibri"/>
                <w:color w:val="000000"/>
                <w:sz w:val="18"/>
                <w:szCs w:val="18"/>
              </w:rPr>
            </w:pPr>
            <w:r>
              <w:rPr>
                <w:rFonts w:ascii="Calibri" w:hAnsi="Calibri"/>
                <w:color w:val="000000"/>
                <w:sz w:val="18"/>
                <w:szCs w:val="18"/>
              </w:rPr>
              <w:t>2</w:t>
            </w:r>
          </w:p>
        </w:tc>
        <w:tc>
          <w:tcPr>
            <w:tcW w:w="1074" w:type="dxa"/>
          </w:tcPr>
          <w:p w14:paraId="409F2A95" w14:textId="77777777" w:rsidR="00543D47" w:rsidRPr="007B492F" w:rsidRDefault="00543D47" w:rsidP="00D9610A">
            <w:pPr>
              <w:rPr>
                <w:rFonts w:ascii="Calibri" w:hAnsi="Calibri"/>
                <w:color w:val="000000"/>
                <w:sz w:val="18"/>
                <w:szCs w:val="18"/>
              </w:rPr>
            </w:pPr>
            <w:r w:rsidRPr="009710A5">
              <w:rPr>
                <w:rFonts w:ascii="Calibri" w:hAnsi="Calibri"/>
                <w:color w:val="000000"/>
                <w:sz w:val="18"/>
                <w:szCs w:val="18"/>
              </w:rPr>
              <w:t>14.9%</w:t>
            </w:r>
          </w:p>
        </w:tc>
      </w:tr>
      <w:tr w:rsidR="00543D47" w:rsidRPr="00370DFD" w14:paraId="1CDA8123" w14:textId="77777777" w:rsidTr="00D9610A">
        <w:tc>
          <w:tcPr>
            <w:tcW w:w="702" w:type="dxa"/>
          </w:tcPr>
          <w:p w14:paraId="42DE0312" w14:textId="77777777" w:rsidR="00543D47" w:rsidRDefault="00543D47" w:rsidP="00D9610A">
            <w:pPr>
              <w:rPr>
                <w:sz w:val="18"/>
                <w:szCs w:val="18"/>
              </w:rPr>
            </w:pPr>
            <w:r>
              <w:rPr>
                <w:sz w:val="18"/>
                <w:szCs w:val="18"/>
              </w:rPr>
              <w:t>71200</w:t>
            </w:r>
          </w:p>
        </w:tc>
        <w:tc>
          <w:tcPr>
            <w:tcW w:w="2944" w:type="dxa"/>
          </w:tcPr>
          <w:p w14:paraId="5A289DC2"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Detection and quantitation, if present, of free kappa and lambda light chains in serum for the diagnosis or monitoring of amyloidosis, myeloma or plasma cell dyscrasias.</w:t>
            </w:r>
          </w:p>
        </w:tc>
        <w:tc>
          <w:tcPr>
            <w:tcW w:w="1074" w:type="dxa"/>
          </w:tcPr>
          <w:p w14:paraId="6338FB9C"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59.60</w:t>
            </w:r>
          </w:p>
        </w:tc>
        <w:tc>
          <w:tcPr>
            <w:tcW w:w="1074" w:type="dxa"/>
          </w:tcPr>
          <w:p w14:paraId="1C196B3D"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$5,197,217</w:t>
            </w:r>
          </w:p>
        </w:tc>
        <w:tc>
          <w:tcPr>
            <w:tcW w:w="1074" w:type="dxa"/>
          </w:tcPr>
          <w:p w14:paraId="1633B54A"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103,074</w:t>
            </w:r>
          </w:p>
        </w:tc>
        <w:tc>
          <w:tcPr>
            <w:tcW w:w="1074" w:type="dxa"/>
          </w:tcPr>
          <w:p w14:paraId="58BE9F37"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52,277</w:t>
            </w:r>
          </w:p>
        </w:tc>
        <w:tc>
          <w:tcPr>
            <w:tcW w:w="1074" w:type="dxa"/>
          </w:tcPr>
          <w:p w14:paraId="23EED7D3" w14:textId="77777777" w:rsidR="00543D47" w:rsidRPr="007B492F" w:rsidRDefault="00543D47" w:rsidP="00D9610A">
            <w:pPr>
              <w:rPr>
                <w:rFonts w:ascii="Calibri" w:hAnsi="Calibri"/>
                <w:color w:val="000000"/>
                <w:sz w:val="18"/>
                <w:szCs w:val="18"/>
              </w:rPr>
            </w:pPr>
            <w:r w:rsidRPr="002869DA">
              <w:rPr>
                <w:rFonts w:ascii="Calibri" w:hAnsi="Calibri"/>
                <w:color w:val="000000"/>
                <w:sz w:val="18"/>
                <w:szCs w:val="18"/>
              </w:rPr>
              <w:t>27.6%</w:t>
            </w:r>
          </w:p>
        </w:tc>
      </w:tr>
    </w:tbl>
    <w:p w14:paraId="0598DA22" w14:textId="77777777" w:rsidR="00543D47" w:rsidRPr="007B492F" w:rsidRDefault="00543D47" w:rsidP="00543D47">
      <w:pPr>
        <w:pStyle w:val="Heading4"/>
        <w:rPr>
          <w:lang w:val="en-AU"/>
        </w:rPr>
      </w:pPr>
      <w:r w:rsidRPr="007B492F">
        <w:rPr>
          <w:lang w:val="en-AU"/>
        </w:rPr>
        <w:t>Recommendation</w:t>
      </w:r>
      <w:r>
        <w:rPr>
          <w:lang w:val="en-AU"/>
        </w:rPr>
        <w:t xml:space="preserve">s </w:t>
      </w:r>
    </w:p>
    <w:p w14:paraId="53F50997" w14:textId="77777777" w:rsidR="00543D47" w:rsidRPr="00370DFD" w:rsidRDefault="00543D47" w:rsidP="00543D47">
      <w:pPr>
        <w:pStyle w:val="NormalBulleted"/>
        <w:numPr>
          <w:ilvl w:val="0"/>
          <w:numId w:val="0"/>
        </w:numPr>
        <w:ind w:left="431" w:hanging="431"/>
      </w:pPr>
      <w:r w:rsidRPr="00370DFD">
        <w:t xml:space="preserve">The </w:t>
      </w:r>
      <w:r>
        <w:t>Committee</w:t>
      </w:r>
      <w:r w:rsidRPr="00370DFD">
        <w:t xml:space="preserve"> proposes the following:</w:t>
      </w:r>
    </w:p>
    <w:p w14:paraId="7A7DCB61" w14:textId="77777777" w:rsidR="00543D47" w:rsidRDefault="00543D47" w:rsidP="00543D47">
      <w:pPr>
        <w:pStyle w:val="NormalBulleted"/>
        <w:rPr>
          <w:lang w:eastAsia="en-US"/>
        </w:rPr>
      </w:pPr>
      <w:r>
        <w:rPr>
          <w:lang w:eastAsia="en-US"/>
        </w:rPr>
        <w:t>The following items should remain unchanged: 71057, 71058, 71059, 71060, 71062, 71068, 71069, 71071, 71073, and 71076.</w:t>
      </w:r>
    </w:p>
    <w:p w14:paraId="46F04D29" w14:textId="77777777" w:rsidR="00543D47" w:rsidRDefault="00543D47" w:rsidP="00543D47">
      <w:pPr>
        <w:pStyle w:val="NormalBulleted"/>
      </w:pPr>
      <w:r>
        <w:t>Remove the wording ‘urine or other body fluid’ from items 71066, 71072 and 71074.</w:t>
      </w:r>
    </w:p>
    <w:p w14:paraId="0BCD00BA" w14:textId="77777777" w:rsidR="00543D47" w:rsidRDefault="00543D47" w:rsidP="00543D47">
      <w:pPr>
        <w:pStyle w:val="NormalBulleted"/>
      </w:pPr>
      <w:r>
        <w:t>Consolidate item 71077 into item 71075 and change the fee of item 71075 to the same fee as item 71077.</w:t>
      </w:r>
    </w:p>
    <w:p w14:paraId="52A1A973" w14:textId="77777777" w:rsidR="00543D47" w:rsidRDefault="00543D47" w:rsidP="00543D47">
      <w:pPr>
        <w:pStyle w:val="NormalBulleted"/>
      </w:pPr>
      <w:r>
        <w:t>Increase the Schedule fee for item 71064 to reflect the cost associated with transport and ‘hot box’ collection, particularly in rural and remote areas.</w:t>
      </w:r>
    </w:p>
    <w:p w14:paraId="1EEE7E5D" w14:textId="77777777" w:rsidR="00543D47" w:rsidRDefault="00543D47" w:rsidP="00543D47">
      <w:pPr>
        <w:pStyle w:val="NormalBulleted"/>
      </w:pPr>
      <w:r>
        <w:t>Restrict utilisation of item 71106 by adding rule 25 to limit testing to 4 tests within a 12-month period.</w:t>
      </w:r>
    </w:p>
    <w:p w14:paraId="3E728A9B" w14:textId="77777777" w:rsidR="00543D47" w:rsidRDefault="00543D47" w:rsidP="00543D47">
      <w:pPr>
        <w:pStyle w:val="NormalBulleted"/>
      </w:pPr>
      <w:r>
        <w:t xml:space="preserve">Develop </w:t>
      </w:r>
      <w:r w:rsidRPr="005B5F6D">
        <w:t xml:space="preserve">an education program aimed at rheumatologists on how </w:t>
      </w:r>
      <w:r>
        <w:t>frequently t</w:t>
      </w:r>
      <w:r w:rsidRPr="005B5F6D">
        <w:t xml:space="preserve">o request </w:t>
      </w:r>
      <w:r>
        <w:t>item 71106</w:t>
      </w:r>
      <w:r w:rsidRPr="005B5F6D">
        <w:t xml:space="preserve"> in patients with known rheumatoid disease</w:t>
      </w:r>
      <w:r>
        <w:t>.</w:t>
      </w:r>
    </w:p>
    <w:p w14:paraId="4B3C2776" w14:textId="77777777" w:rsidR="00543D47" w:rsidRDefault="00543D47" w:rsidP="00543D47">
      <w:pPr>
        <w:pStyle w:val="NormalBulleted"/>
      </w:pPr>
      <w:r>
        <w:t>Create a new item for cyclic citrullinated peptide antigens</w:t>
      </w:r>
      <w:r w:rsidRPr="009326CC">
        <w:t xml:space="preserve"> </w:t>
      </w:r>
      <w:r>
        <w:t>with the following wording</w:t>
      </w:r>
      <w:r w:rsidRPr="008B5C87">
        <w:rPr>
          <w:i/>
        </w:rPr>
        <w:t>: Investigation for rheumatoid arthritis: citrullinated peptide antibodies</w:t>
      </w:r>
      <w:r>
        <w:t>. This new item should be restricted to 4 tests within a 12-month period.</w:t>
      </w:r>
    </w:p>
    <w:p w14:paraId="5DC2BAD3" w14:textId="77777777" w:rsidR="00543D47" w:rsidRDefault="00543D47" w:rsidP="00543D47">
      <w:pPr>
        <w:pStyle w:val="NormalBulleted"/>
      </w:pPr>
      <w:r>
        <w:t>Amend the item descriptor for item 71200 by including the wording: ‘this test is not to be used for the diagnosis or monitoring of lymphoma’.</w:t>
      </w:r>
    </w:p>
    <w:p w14:paraId="12860C25" w14:textId="77777777" w:rsidR="00543D47" w:rsidRDefault="00543D47" w:rsidP="00543D47">
      <w:pPr>
        <w:pStyle w:val="Heading4"/>
      </w:pPr>
      <w:r>
        <w:t>Rationale</w:t>
      </w:r>
    </w:p>
    <w:p w14:paraId="3B8C929A" w14:textId="77777777" w:rsidR="00543D47" w:rsidRDefault="00543D47" w:rsidP="00543D47">
      <w:pPr>
        <w:rPr>
          <w:lang w:val="en-US" w:eastAsia="en-US"/>
        </w:rPr>
      </w:pPr>
      <w:r>
        <w:rPr>
          <w:lang w:val="en-US" w:eastAsia="en-US"/>
        </w:rPr>
        <w:t>The rationale presented below has been developed by the Immunology Working Group as part of the MBS Review, when reviewing the immunology pathology items. The Committee agrees and supports the proposals of the Immunology Working Group.</w:t>
      </w:r>
    </w:p>
    <w:p w14:paraId="1AE0E967" w14:textId="77777777" w:rsidR="00543D47" w:rsidRPr="006D2955" w:rsidRDefault="00543D47" w:rsidP="00543D47">
      <w:pPr>
        <w:rPr>
          <w:b/>
          <w:lang w:val="en-US" w:eastAsia="en-US"/>
        </w:rPr>
      </w:pPr>
      <w:r>
        <w:rPr>
          <w:b/>
          <w:lang w:val="en-US" w:eastAsia="en-US"/>
        </w:rPr>
        <w:t>Quantitation of total immunoglobulin A, M, D: items 71066, 71072, 71074</w:t>
      </w:r>
    </w:p>
    <w:p w14:paraId="4166C486" w14:textId="77777777" w:rsidR="00543D47" w:rsidRDefault="00543D47" w:rsidP="00543D47">
      <w:pPr>
        <w:pStyle w:val="NormalBulleted"/>
        <w:rPr>
          <w:lang w:val="en-US" w:eastAsia="en-US"/>
        </w:rPr>
      </w:pPr>
      <w:r>
        <w:rPr>
          <w:lang w:val="en-US" w:eastAsia="en-US"/>
        </w:rPr>
        <w:t>For items 71066 (Quantitation of total Immunoglobulin A [Ig A]), 71072 (Quantitation of total Immunoglobulin M [Ig M] and 71074 (Quantitation of total Immunoglobulin D [Ig D]), these</w:t>
      </w:r>
      <w:r w:rsidRPr="00772DD3">
        <w:rPr>
          <w:lang w:val="en-US" w:eastAsia="en-US"/>
        </w:rPr>
        <w:t xml:space="preserve"> </w:t>
      </w:r>
      <w:r w:rsidRPr="00772DD3">
        <w:rPr>
          <w:lang w:val="en-US" w:eastAsia="en-US"/>
        </w:rPr>
        <w:lastRenderedPageBreak/>
        <w:t>test</w:t>
      </w:r>
      <w:r>
        <w:rPr>
          <w:lang w:val="en-US" w:eastAsia="en-US"/>
        </w:rPr>
        <w:t>s</w:t>
      </w:r>
      <w:r w:rsidRPr="00772DD3">
        <w:rPr>
          <w:lang w:val="en-US" w:eastAsia="en-US"/>
        </w:rPr>
        <w:t xml:space="preserve"> should not be performe</w:t>
      </w:r>
      <w:r>
        <w:rPr>
          <w:lang w:val="en-US" w:eastAsia="en-US"/>
        </w:rPr>
        <w:t>d in urine or other body fluid as t</w:t>
      </w:r>
      <w:r w:rsidRPr="00772DD3">
        <w:rPr>
          <w:lang w:val="en-US" w:eastAsia="en-US"/>
        </w:rPr>
        <w:t>here is no clinical reason to perform an Ig A</w:t>
      </w:r>
      <w:r>
        <w:rPr>
          <w:lang w:val="en-US" w:eastAsia="en-US"/>
        </w:rPr>
        <w:t>, Ig M or Ig D</w:t>
      </w:r>
      <w:r w:rsidRPr="00772DD3">
        <w:rPr>
          <w:lang w:val="en-US" w:eastAsia="en-US"/>
        </w:rPr>
        <w:t xml:space="preserve"> test on body fluids. </w:t>
      </w:r>
    </w:p>
    <w:p w14:paraId="1E8E13AF" w14:textId="77777777" w:rsidR="00543D47" w:rsidRDefault="00543D47" w:rsidP="00543D47">
      <w:pPr>
        <w:pStyle w:val="NormalBulleted"/>
        <w:rPr>
          <w:lang w:val="en-US" w:eastAsia="en-US"/>
        </w:rPr>
      </w:pPr>
      <w:r w:rsidRPr="00772DD3">
        <w:rPr>
          <w:lang w:val="en-US" w:eastAsia="en-US"/>
        </w:rPr>
        <w:t>Testing for the presence of extractable Ig A,</w:t>
      </w:r>
      <w:r>
        <w:rPr>
          <w:lang w:val="en-US" w:eastAsia="en-US"/>
        </w:rPr>
        <w:t xml:space="preserve"> Ig M or Ig D </w:t>
      </w:r>
      <w:r w:rsidRPr="00772DD3">
        <w:rPr>
          <w:lang w:val="en-US" w:eastAsia="en-US"/>
        </w:rPr>
        <w:t>in samples other than peripheral blood is not recommended because: (</w:t>
      </w:r>
      <w:proofErr w:type="spellStart"/>
      <w:r w:rsidRPr="00772DD3">
        <w:rPr>
          <w:lang w:val="en-US" w:eastAsia="en-US"/>
        </w:rPr>
        <w:t>i</w:t>
      </w:r>
      <w:proofErr w:type="spellEnd"/>
      <w:r w:rsidRPr="00772DD3">
        <w:rPr>
          <w:lang w:val="en-US" w:eastAsia="en-US"/>
        </w:rPr>
        <w:t>) there are no clinically validated indications for such testing; and (ii) reference intervals cannot be established for such samples, which precludes useful interpretation of such results.</w:t>
      </w:r>
      <w:r>
        <w:rPr>
          <w:lang w:val="en-US" w:eastAsia="en-US"/>
        </w:rPr>
        <w:t xml:space="preserve"> </w:t>
      </w:r>
      <w:r w:rsidRPr="00772DD3">
        <w:rPr>
          <w:lang w:val="en-US" w:eastAsia="en-US"/>
        </w:rPr>
        <w:t>The proposed change does not have a direct effect on patients</w:t>
      </w:r>
      <w:r>
        <w:rPr>
          <w:lang w:val="en-US" w:eastAsia="en-US"/>
        </w:rPr>
        <w:t>.</w:t>
      </w:r>
    </w:p>
    <w:p w14:paraId="4B95F398" w14:textId="77777777" w:rsidR="00543D47" w:rsidRPr="006D2955" w:rsidRDefault="00543D47" w:rsidP="00543D47">
      <w:pPr>
        <w:rPr>
          <w:b/>
          <w:lang w:val="en-US" w:eastAsia="en-US"/>
        </w:rPr>
      </w:pPr>
      <w:r>
        <w:rPr>
          <w:b/>
          <w:lang w:val="en-US" w:eastAsia="en-US"/>
        </w:rPr>
        <w:t>Quantitation of immunoglobulin E: items 71075, 71077</w:t>
      </w:r>
    </w:p>
    <w:p w14:paraId="52AEF1F3" w14:textId="77777777" w:rsidR="00543D47" w:rsidRDefault="00543D47" w:rsidP="00543D47">
      <w:pPr>
        <w:pStyle w:val="NormalBulleted"/>
        <w:rPr>
          <w:lang w:val="en-US" w:eastAsia="en-US"/>
        </w:rPr>
      </w:pPr>
      <w:r>
        <w:rPr>
          <w:lang w:val="en-US" w:eastAsia="en-US"/>
        </w:rPr>
        <w:t xml:space="preserve">For items 71075 and 71077 (Quantitation of Immunoglobulin E [Ig E]), </w:t>
      </w:r>
      <w:r w:rsidRPr="0082352E">
        <w:rPr>
          <w:lang w:val="en-US" w:eastAsia="en-US"/>
        </w:rPr>
        <w:t>the low usage of item 71077 is due to the difficulty in the coding, with item 71077 being billed as item 71075. Items 71075 and 71077 are the essentially same tests but are used for different indications.</w:t>
      </w:r>
    </w:p>
    <w:p w14:paraId="1C84C80D" w14:textId="77777777" w:rsidR="00543D47" w:rsidRDefault="00543D47" w:rsidP="00543D47">
      <w:pPr>
        <w:pStyle w:val="NormalBulleted"/>
        <w:rPr>
          <w:lang w:val="en-US" w:eastAsia="en-US"/>
        </w:rPr>
      </w:pPr>
      <w:r w:rsidRPr="0082352E">
        <w:rPr>
          <w:lang w:val="en-US" w:eastAsia="en-US"/>
        </w:rPr>
        <w:t>Deleting item 71077 and consolidating it into item 71075 will simplify the MBS and avoid confusion in terms of claiming.</w:t>
      </w:r>
      <w:r>
        <w:rPr>
          <w:lang w:val="en-US" w:eastAsia="en-US"/>
        </w:rPr>
        <w:t xml:space="preserve"> </w:t>
      </w:r>
      <w:r w:rsidRPr="00B56BF5">
        <w:rPr>
          <w:lang w:val="en-US" w:eastAsia="en-US"/>
        </w:rPr>
        <w:t>Monitoring total Ig</w:t>
      </w:r>
      <w:r>
        <w:rPr>
          <w:lang w:val="en-US" w:eastAsia="en-US"/>
        </w:rPr>
        <w:t xml:space="preserve"> </w:t>
      </w:r>
      <w:r w:rsidRPr="00B56BF5">
        <w:rPr>
          <w:lang w:val="en-US" w:eastAsia="en-US"/>
        </w:rPr>
        <w:t>E levels is appropriate for allergic bronchopulmonary aspergillosis and Ig</w:t>
      </w:r>
      <w:r>
        <w:rPr>
          <w:lang w:val="en-US" w:eastAsia="en-US"/>
        </w:rPr>
        <w:t xml:space="preserve"> </w:t>
      </w:r>
      <w:r w:rsidRPr="00B56BF5">
        <w:rPr>
          <w:lang w:val="en-US" w:eastAsia="en-US"/>
        </w:rPr>
        <w:t xml:space="preserve">E-secreting myeloma (the latter is extremely rare), and such testing should be able to be accommodated with four tests per year. </w:t>
      </w:r>
    </w:p>
    <w:p w14:paraId="2CFB6D38" w14:textId="77777777" w:rsidR="00543D47" w:rsidRDefault="00543D47" w:rsidP="00543D47">
      <w:pPr>
        <w:pStyle w:val="NormalBulleted"/>
        <w:rPr>
          <w:lang w:val="en-US" w:eastAsia="en-US"/>
        </w:rPr>
      </w:pPr>
      <w:r w:rsidRPr="00B56BF5">
        <w:rPr>
          <w:lang w:val="en-US" w:eastAsia="en-US"/>
        </w:rPr>
        <w:t>During the financial year 2014–2015, a total of 123,188 patients received service for item 71075 once, 4,522 patients received the service twice, 386 patients received the service 3 times and 97 patients received the service 4 times. The maximum number of times a patient received a service for item 71075 was 12 during 2014–2015; 77 patients received a service for item 71075 more than 4 times.</w:t>
      </w:r>
      <w:r w:rsidRPr="00D27F6E">
        <w:rPr>
          <w:lang w:val="en-US" w:eastAsia="en-US"/>
        </w:rPr>
        <w:t xml:space="preserve"> There is no clinical utility in testing more than 4 times within a 12-month period.</w:t>
      </w:r>
    </w:p>
    <w:p w14:paraId="4499D6A9" w14:textId="77777777" w:rsidR="00543D47" w:rsidRPr="006D2955" w:rsidRDefault="00543D47" w:rsidP="00543D47">
      <w:pPr>
        <w:rPr>
          <w:b/>
          <w:lang w:val="en-US" w:eastAsia="en-US"/>
        </w:rPr>
      </w:pPr>
      <w:r>
        <w:rPr>
          <w:b/>
          <w:lang w:val="en-US" w:eastAsia="en-US"/>
        </w:rPr>
        <w:t>Rheumatoid factor: item 71106</w:t>
      </w:r>
    </w:p>
    <w:p w14:paraId="5CCCD8A6" w14:textId="77777777" w:rsidR="00543D47" w:rsidRDefault="00543D47" w:rsidP="00543D47">
      <w:pPr>
        <w:pStyle w:val="NormalBulleted"/>
      </w:pPr>
      <w:r w:rsidRPr="003A33AC">
        <w:t xml:space="preserve">Item 71106 is a test used to determine the autoantibody rheumatoid factor. Rheumatoid factor is elevated in chronic and acute inflammation and it can be used to monitor inflammation in rheumatoid arthritis (RA). </w:t>
      </w:r>
    </w:p>
    <w:p w14:paraId="39A04E8B" w14:textId="77777777" w:rsidR="00543D47" w:rsidRDefault="00543D47" w:rsidP="00543D47">
      <w:pPr>
        <w:pStyle w:val="NormalBulleted"/>
      </w:pPr>
      <w:r w:rsidRPr="003A33AC">
        <w:t>During the financial year 2014–2015, for item 71106, a total of 126,263 patients received the service once, 9,214 patients received the service twice, 1,359 patients received the service 3 times and 31</w:t>
      </w:r>
      <w:r w:rsidRPr="00BA5F0C">
        <w:t xml:space="preserve">4 patients received the service 4 times. The maximum number of services received by a single patient was 14 and approximately 212 patients received the service more than 4 times in the year. </w:t>
      </w:r>
    </w:p>
    <w:p w14:paraId="55F1F619" w14:textId="77777777" w:rsidR="00543D47" w:rsidRDefault="00543D47" w:rsidP="00543D47">
      <w:pPr>
        <w:pStyle w:val="NormalBulleted"/>
      </w:pPr>
      <w:r w:rsidRPr="00BA5F0C">
        <w:t>The Committee used guidelines for RA to extrapolate from</w:t>
      </w:r>
      <w:r>
        <w:t>. T</w:t>
      </w:r>
      <w:r w:rsidRPr="00BA5F0C">
        <w:t>he European League Against Rheumatism management guidelines state that ‘monitoring should be frequent in active disease (every 1–3 months); if there is no improvement by at most 3 months after the start of treatment or the target has not been reached by 6 months, therapy should be adjusted.’</w:t>
      </w:r>
      <w:r w:rsidRPr="00BA5F0C">
        <w:fldChar w:fldCharType="begin">
          <w:fldData xml:space="preserve">PEVuZE5vdGU+PENpdGU+PEF1dGhvcj5TbW9sZW48L0F1dGhvcj48WWVhcj4yMDE3PC9ZZWFyPjxS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</w:fldData>
        </w:fldChar>
      </w:r>
      <w:r>
        <w:instrText xml:space="preserve"> ADDIN EN.CITE </w:instrText>
      </w:r>
      <w:r>
        <w:fldChar w:fldCharType="begin">
          <w:fldData xml:space="preserve">PEVuZE5vdGU+PENpdGU+PEF1dGhvcj5TbW9sZW48L0F1dGhvcj48WWVhcj4yMDE3PC9ZZWFyPjxS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</w:fldData>
        </w:fldChar>
      </w:r>
      <w:r>
        <w:instrText xml:space="preserve"> ADDIN EN.CITE.DATA </w:instrText>
      </w:r>
      <w:r>
        <w:fldChar w:fldCharType="end"/>
      </w:r>
      <w:r w:rsidRPr="00BA5F0C">
        <w:fldChar w:fldCharType="separate"/>
      </w:r>
      <w:r w:rsidRPr="00811642">
        <w:rPr>
          <w:noProof/>
          <w:vertAlign w:val="superscript"/>
        </w:rPr>
        <w:t>9</w:t>
      </w:r>
      <w:r w:rsidRPr="00BA5F0C">
        <w:fldChar w:fldCharType="end"/>
      </w:r>
      <w:r w:rsidRPr="00BA5F0C">
        <w:t xml:space="preserve"> </w:t>
      </w:r>
    </w:p>
    <w:p w14:paraId="3E7B017D" w14:textId="77777777" w:rsidR="00543D47" w:rsidRPr="00BA5F0C" w:rsidRDefault="00543D47" w:rsidP="00543D47">
      <w:pPr>
        <w:pStyle w:val="NormalBulleted"/>
      </w:pPr>
      <w:r w:rsidRPr="00BA5F0C">
        <w:t xml:space="preserve">The Committee notes that the guidelines refer to monitoring of biomarkers of disease activity, which includes patient pain, patient function, number of swollen / tender joints, ultrasound assessment of blood flow around joints, and blood tests for inflammation. The tests the Committee has reviewed are not markers of activity but are rather markers of diagnostic utility </w:t>
      </w:r>
      <w:r w:rsidRPr="00BA5F0C">
        <w:lastRenderedPageBreak/>
        <w:t xml:space="preserve">and prognostic impact, therefore the antibodies referred to should </w:t>
      </w:r>
      <w:r>
        <w:t xml:space="preserve">be </w:t>
      </w:r>
      <w:r w:rsidRPr="00BA5F0C">
        <w:t>tested less than the markers of activity.</w:t>
      </w:r>
    </w:p>
    <w:p w14:paraId="0FF4DB2D" w14:textId="77777777" w:rsidR="00543D47" w:rsidRDefault="00543D47" w:rsidP="00543D47">
      <w:pPr>
        <w:pStyle w:val="NormalBulleted"/>
      </w:pPr>
      <w:r w:rsidRPr="00B614C1">
        <w:t>The Committee propose</w:t>
      </w:r>
      <w:r>
        <w:t>s</w:t>
      </w:r>
      <w:r w:rsidRPr="00B614C1">
        <w:t xml:space="preserve"> a targeted education program for rheumatologists on </w:t>
      </w:r>
      <w:r>
        <w:t>utility of the test and alternative biomarkers of disease activity.</w:t>
      </w:r>
    </w:p>
    <w:p w14:paraId="3F88FAC1" w14:textId="77777777" w:rsidR="00543D47" w:rsidRDefault="00543D47" w:rsidP="00543D47">
      <w:pPr>
        <w:pStyle w:val="NormalBulleted"/>
      </w:pPr>
      <w:r>
        <w:t>The Committee proposes to remove other body fluids from the item descriptor because testing in samples other than peripheral blood is not recommended because: (</w:t>
      </w:r>
      <w:proofErr w:type="spellStart"/>
      <w:r>
        <w:t>i</w:t>
      </w:r>
      <w:proofErr w:type="spellEnd"/>
      <w:r>
        <w:t>) there are no clinically validated indications for such testing; and (ii) reference intervals cannot be established for such samples, which precludes useful interpretation of such results.</w:t>
      </w:r>
    </w:p>
    <w:p w14:paraId="05089ACE" w14:textId="77777777" w:rsidR="00543D47" w:rsidRPr="00F233B0" w:rsidRDefault="00543D47" w:rsidP="00543D47">
      <w:pPr>
        <w:pStyle w:val="NormalBulleted"/>
      </w:pPr>
      <w:r>
        <w:t>Restricting testing of rheumatoid factor will have no direct impact on patients but may indirectly reduce rates of unnecessary venepuncture, reduce rates of false-positive results and subsequently reduce patient anxiety.</w:t>
      </w:r>
    </w:p>
    <w:p w14:paraId="36277866" w14:textId="77777777" w:rsidR="00543D47" w:rsidRPr="00F233B0" w:rsidRDefault="00543D47" w:rsidP="00543D47">
      <w:pPr>
        <w:rPr>
          <w:b/>
        </w:rPr>
      </w:pPr>
      <w:r w:rsidRPr="00F233B0">
        <w:rPr>
          <w:b/>
        </w:rPr>
        <w:t>Antibodies to citrullinated peptide antigens: new item</w:t>
      </w:r>
    </w:p>
    <w:p w14:paraId="2342B74D" w14:textId="77777777" w:rsidR="00543D47" w:rsidRDefault="00543D47" w:rsidP="00543D47">
      <w:pPr>
        <w:pStyle w:val="NormalBulleted"/>
      </w:pPr>
      <w:r>
        <w:t>For cyclic citrullinated peptide antigens, the Committee recognises that this</w:t>
      </w:r>
      <w:r w:rsidRPr="00F147B5">
        <w:t xml:space="preserve"> </w:t>
      </w:r>
      <w:r>
        <w:t xml:space="preserve">test has been in clinical practice for approximately 15 years; this test has not been </w:t>
      </w:r>
      <w:r w:rsidRPr="009D724E">
        <w:t>on the Schedule. Currently, there is no item specifically for this test and it is being billed under item 71119. The Committee proposes creating a new item to test for cyclic citrullinated peptide antibodies</w:t>
      </w:r>
      <w:r>
        <w:t xml:space="preserve"> for consideration by MSAC</w:t>
      </w:r>
      <w:r w:rsidRPr="009D724E">
        <w:t>.</w:t>
      </w:r>
    </w:p>
    <w:p w14:paraId="517EBB12" w14:textId="77777777" w:rsidR="00543D47" w:rsidRDefault="00543D47" w:rsidP="00543D47">
      <w:pPr>
        <w:pStyle w:val="NormalBulleted"/>
      </w:pPr>
      <w:r>
        <w:t xml:space="preserve">This is a high utility test that impacts greatly on treatment and disease classification. It is a robust test that produces quality results with an increase in </w:t>
      </w:r>
      <w:proofErr w:type="gramStart"/>
      <w:r>
        <w:t>amount</w:t>
      </w:r>
      <w:proofErr w:type="gramEnd"/>
      <w:r>
        <w:t xml:space="preserve"> of antibodies. It is standard of care in rheumatoid arthritis to have this test done and has high clinical utility in the monitoring of drugs but not in monitoring of disease. </w:t>
      </w:r>
    </w:p>
    <w:p w14:paraId="05DB80ED" w14:textId="77777777" w:rsidR="00543D47" w:rsidRDefault="00543D47" w:rsidP="00543D47">
      <w:pPr>
        <w:pStyle w:val="NormalBulleted"/>
      </w:pPr>
      <w:r>
        <w:t>The Committee has proposed that this item also be limited to 2 tests in a 12-month period as there is no clinical need to test more often than this and allows for a doubtful result or if clinical activity changes. Other biomarkers are available which are superior for disease monitoring such as CRP or swollen and/or tender joint count.</w:t>
      </w:r>
    </w:p>
    <w:p w14:paraId="50EDC057" w14:textId="77777777" w:rsidR="00543D47" w:rsidRPr="006D2955" w:rsidRDefault="00543D47" w:rsidP="00543D47">
      <w:pPr>
        <w:rPr>
          <w:b/>
        </w:rPr>
      </w:pPr>
      <w:r>
        <w:rPr>
          <w:b/>
        </w:rPr>
        <w:t>Free kappa and lambda light chains: item 71200</w:t>
      </w:r>
    </w:p>
    <w:p w14:paraId="4BF8A4F1" w14:textId="77777777" w:rsidR="00543D47" w:rsidRDefault="00543D47" w:rsidP="00543D47">
      <w:pPr>
        <w:pStyle w:val="NormalBulleted"/>
      </w:pPr>
      <w:r>
        <w:t xml:space="preserve">Item 71200 is serum free light chain testing used to help diagnose plasma cell disorders (dyscrasias) including myeloma and primary amyloidosis. The utilisation of item 71200 appears to be equal across the States and Territories. The Committee recognises that the utilisation of item 71200 is increasing. This is a test mainly requested by haematologists. This item cannot be restricted within a 12-month period as some patients are treated with </w:t>
      </w:r>
      <w:proofErr w:type="gramStart"/>
      <w:r>
        <w:t>particular dialysis</w:t>
      </w:r>
      <w:proofErr w:type="gramEnd"/>
      <w:r>
        <w:t xml:space="preserve"> therapy. Such patients will require this test every time they undergo dialysis. </w:t>
      </w:r>
    </w:p>
    <w:p w14:paraId="1CDC9B80" w14:textId="77777777" w:rsidR="00543D47" w:rsidRPr="00A0392F" w:rsidRDefault="00543D47" w:rsidP="00543D47">
      <w:pPr>
        <w:pStyle w:val="NormalBulleted"/>
      </w:pPr>
      <w:r>
        <w:t xml:space="preserve">The Committee recommends a change to the item descriptor wording to specifically exclude the use of this test in lymphoma to reinforce that the clinical utility of these tests </w:t>
      </w:r>
      <w:proofErr w:type="gramStart"/>
      <w:r>
        <w:t>are</w:t>
      </w:r>
      <w:proofErr w:type="gramEnd"/>
      <w:r>
        <w:t xml:space="preserve"> in the assessment of plasma cell disorders only. Lymphoma is specifically excluded from this item as there are other item numbers for the diagnosis and management of lymphoma. The diagnosis of lymphoma can be challenging. This test is not mentioned in the guidelines for </w:t>
      </w:r>
      <w:proofErr w:type="gramStart"/>
      <w:r>
        <w:t>lymphoma</w:t>
      </w:r>
      <w:proofErr w:type="gramEnd"/>
      <w:r>
        <w:t xml:space="preserve"> but it appears in the guidelines for plasma cell dyscrasias.</w:t>
      </w:r>
    </w:p>
    <w:p w14:paraId="56465132" w14:textId="77777777" w:rsidR="00543D47" w:rsidRDefault="00543D47" w:rsidP="00543D47">
      <w:pPr>
        <w:pStyle w:val="Caption"/>
      </w:pPr>
      <w:bookmarkStart w:id="131" w:name="_Toc534374942"/>
      <w:r>
        <w:lastRenderedPageBreak/>
        <w:t>Table 36. MBS items that do not require amendment</w:t>
      </w:r>
      <w:bookmarkEnd w:id="131"/>
    </w:p>
    <w:tbl>
      <w:tblPr>
        <w:tblStyle w:val="TableGrid6"/>
        <w:tblW w:w="9322"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Caption w:val="No changes to item numbers"/>
        <w:tblDescription w:val="Table 36 is a 4 column table. Column 1 lists the item number, column 2 is the item descriptor, column 3 is the Schedule fee and column 4 is the number of services provided in the 2014/15 financial year"/>
      </w:tblPr>
      <w:tblGrid>
        <w:gridCol w:w="965"/>
        <w:gridCol w:w="5522"/>
        <w:gridCol w:w="1701"/>
        <w:gridCol w:w="1134"/>
      </w:tblGrid>
      <w:tr w:rsidR="00543D47" w:rsidRPr="006051CC" w14:paraId="27FF464C" w14:textId="77777777" w:rsidTr="00D9610A">
        <w:trPr>
          <w:tblHeader/>
        </w:trPr>
        <w:tc>
          <w:tcPr>
            <w:tcW w:w="965" w:type="dxa"/>
          </w:tcPr>
          <w:p w14:paraId="62A5C0E1" w14:textId="77777777" w:rsidR="00543D47" w:rsidRPr="006051CC" w:rsidRDefault="00543D47" w:rsidP="00D9610A">
            <w:pPr>
              <w:spacing w:before="60" w:after="40"/>
              <w:rPr>
                <w:rFonts w:cs="Arial"/>
                <w:b/>
                <w:sz w:val="18"/>
                <w:szCs w:val="18"/>
                <w:lang w:val="en-US"/>
              </w:rPr>
            </w:pPr>
            <w:r w:rsidRPr="006051CC">
              <w:rPr>
                <w:b/>
                <w:sz w:val="18"/>
                <w:szCs w:val="18"/>
                <w:lang w:val="en-US"/>
              </w:rPr>
              <w:t>Item</w:t>
            </w:r>
          </w:p>
        </w:tc>
        <w:tc>
          <w:tcPr>
            <w:tcW w:w="5522" w:type="dxa"/>
          </w:tcPr>
          <w:p w14:paraId="0BE57027" w14:textId="77777777" w:rsidR="00543D47" w:rsidRPr="006051CC" w:rsidRDefault="00543D47" w:rsidP="00D9610A">
            <w:pPr>
              <w:spacing w:before="60" w:after="40"/>
              <w:rPr>
                <w:rFonts w:cs="Arial"/>
                <w:sz w:val="18"/>
                <w:szCs w:val="18"/>
                <w:lang w:val="en-US"/>
              </w:rPr>
            </w:pPr>
            <w:r w:rsidRPr="006051CC">
              <w:rPr>
                <w:b/>
                <w:sz w:val="18"/>
                <w:szCs w:val="18"/>
                <w:lang w:val="en-US"/>
              </w:rPr>
              <w:t>Item descriptor</w:t>
            </w:r>
          </w:p>
        </w:tc>
        <w:tc>
          <w:tcPr>
            <w:tcW w:w="1701" w:type="dxa"/>
            <w:vAlign w:val="center"/>
          </w:tcPr>
          <w:p w14:paraId="7C0C37AB" w14:textId="77777777" w:rsidR="00543D47" w:rsidRPr="006051CC" w:rsidRDefault="00543D47" w:rsidP="00D9610A">
            <w:pPr>
              <w:spacing w:before="60" w:after="40"/>
              <w:jc w:val="center"/>
              <w:rPr>
                <w:rFonts w:cs="Arial"/>
                <w:sz w:val="18"/>
                <w:szCs w:val="18"/>
                <w:lang w:val="en-US"/>
              </w:rPr>
            </w:pPr>
            <w:r w:rsidRPr="006051CC">
              <w:rPr>
                <w:b/>
                <w:sz w:val="18"/>
                <w:szCs w:val="18"/>
                <w:lang w:val="en-US"/>
              </w:rPr>
              <w:t>Schedule fee ($)</w:t>
            </w:r>
          </w:p>
        </w:tc>
        <w:tc>
          <w:tcPr>
            <w:tcW w:w="1134" w:type="dxa"/>
            <w:vAlign w:val="center"/>
          </w:tcPr>
          <w:p w14:paraId="7BC0A177" w14:textId="77777777" w:rsidR="00543D47" w:rsidRPr="006051CC" w:rsidRDefault="00543D47" w:rsidP="00D9610A">
            <w:pPr>
              <w:spacing w:before="60" w:after="40"/>
              <w:jc w:val="center"/>
              <w:rPr>
                <w:rFonts w:cs="Arial"/>
                <w:sz w:val="18"/>
                <w:szCs w:val="18"/>
                <w:lang w:val="en-US"/>
              </w:rPr>
            </w:pPr>
            <w:r w:rsidRPr="006051CC">
              <w:rPr>
                <w:b/>
                <w:sz w:val="18"/>
                <w:szCs w:val="18"/>
                <w:lang w:val="en-US"/>
              </w:rPr>
              <w:t>Services (2014–15)</w:t>
            </w:r>
          </w:p>
        </w:tc>
      </w:tr>
      <w:tr w:rsidR="00543D47" w:rsidRPr="006051CC" w14:paraId="51A14A4B" w14:textId="77777777" w:rsidTr="00D9610A">
        <w:tc>
          <w:tcPr>
            <w:tcW w:w="965" w:type="dxa"/>
          </w:tcPr>
          <w:p w14:paraId="07389307" w14:textId="77777777" w:rsidR="00543D47" w:rsidRPr="006051CC" w:rsidRDefault="00543D47" w:rsidP="00D9610A">
            <w:pPr>
              <w:spacing w:before="140" w:after="40"/>
              <w:rPr>
                <w:rFonts w:cs="Arial"/>
                <w:b/>
                <w:sz w:val="18"/>
                <w:szCs w:val="18"/>
                <w:lang w:val="en-US"/>
              </w:rPr>
            </w:pPr>
            <w:r w:rsidRPr="006051CC">
              <w:rPr>
                <w:rFonts w:cs="Arial"/>
                <w:b/>
                <w:sz w:val="18"/>
                <w:szCs w:val="18"/>
                <w:lang w:val="en-US"/>
              </w:rPr>
              <w:t>71057</w:t>
            </w:r>
          </w:p>
        </w:tc>
        <w:tc>
          <w:tcPr>
            <w:tcW w:w="5522" w:type="dxa"/>
          </w:tcPr>
          <w:p w14:paraId="206D169D" w14:textId="77777777" w:rsidR="00543D47" w:rsidRPr="006051CC" w:rsidRDefault="00543D47" w:rsidP="00D9610A">
            <w:pPr>
              <w:spacing w:before="140" w:after="40"/>
              <w:jc w:val="both"/>
              <w:rPr>
                <w:rFonts w:cs="Arial"/>
                <w:sz w:val="18"/>
                <w:szCs w:val="18"/>
                <w:lang w:val="en-US"/>
              </w:rPr>
            </w:pPr>
            <w:r w:rsidRPr="006051CC">
              <w:rPr>
                <w:rFonts w:cs="Arial"/>
                <w:sz w:val="18"/>
                <w:szCs w:val="18"/>
                <w:lang w:val="en-US"/>
              </w:rPr>
              <w:t>Electrophoresis, quantitative and qualitative, of serum, urine or other body fluid all collected within a 28</w:t>
            </w:r>
            <w:r>
              <w:rPr>
                <w:rFonts w:cs="Arial"/>
                <w:sz w:val="18"/>
                <w:szCs w:val="18"/>
                <w:lang w:val="en-US"/>
              </w:rPr>
              <w:t>-</w:t>
            </w:r>
            <w:r w:rsidRPr="006051CC">
              <w:rPr>
                <w:rFonts w:cs="Arial"/>
                <w:sz w:val="18"/>
                <w:szCs w:val="18"/>
                <w:lang w:val="en-US"/>
              </w:rPr>
              <w:t>day period, to demonstrate: (a) protein classes; or (b) presence and amount of paraprotein; including the preliminary quantitation of total protein, albumin and globulin - 1 specimen type</w:t>
            </w:r>
          </w:p>
        </w:tc>
        <w:tc>
          <w:tcPr>
            <w:tcW w:w="1701" w:type="dxa"/>
            <w:vAlign w:val="center"/>
          </w:tcPr>
          <w:p w14:paraId="140938D0"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32.90</w:t>
            </w:r>
          </w:p>
        </w:tc>
        <w:tc>
          <w:tcPr>
            <w:tcW w:w="1134" w:type="dxa"/>
            <w:vAlign w:val="center"/>
          </w:tcPr>
          <w:p w14:paraId="40D54ABF"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266,770</w:t>
            </w:r>
          </w:p>
        </w:tc>
      </w:tr>
      <w:tr w:rsidR="00543D47" w:rsidRPr="006051CC" w14:paraId="3FE0F0EB" w14:textId="77777777" w:rsidTr="00D9610A">
        <w:tc>
          <w:tcPr>
            <w:tcW w:w="965" w:type="dxa"/>
          </w:tcPr>
          <w:p w14:paraId="33ABEEF9" w14:textId="77777777" w:rsidR="00543D47" w:rsidRPr="006051CC" w:rsidRDefault="00543D47" w:rsidP="00D9610A">
            <w:pPr>
              <w:spacing w:before="140" w:after="40"/>
              <w:rPr>
                <w:rFonts w:cs="Arial"/>
                <w:b/>
                <w:sz w:val="18"/>
                <w:szCs w:val="18"/>
                <w:lang w:val="en-US"/>
              </w:rPr>
            </w:pPr>
            <w:r w:rsidRPr="006051CC">
              <w:rPr>
                <w:rFonts w:cs="Arial"/>
                <w:b/>
                <w:sz w:val="18"/>
                <w:szCs w:val="18"/>
                <w:lang w:val="en-US"/>
              </w:rPr>
              <w:t>71058</w:t>
            </w:r>
          </w:p>
        </w:tc>
        <w:tc>
          <w:tcPr>
            <w:tcW w:w="5522" w:type="dxa"/>
          </w:tcPr>
          <w:p w14:paraId="65FB841F" w14:textId="77777777" w:rsidR="00543D47" w:rsidRPr="006051CC" w:rsidRDefault="00543D47" w:rsidP="00D9610A">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140" w:after="40"/>
              <w:rPr>
                <w:rFonts w:cs="Arial"/>
                <w:color w:val="000000"/>
                <w:sz w:val="18"/>
                <w:szCs w:val="18"/>
              </w:rPr>
            </w:pPr>
            <w:r w:rsidRPr="006051CC">
              <w:rPr>
                <w:rFonts w:cs="Arial"/>
                <w:sz w:val="18"/>
                <w:szCs w:val="18"/>
                <w:lang w:val="en-US"/>
              </w:rPr>
              <w:t>Examination as described in item 71057 of 2 or more specimen types</w:t>
            </w:r>
          </w:p>
        </w:tc>
        <w:tc>
          <w:tcPr>
            <w:tcW w:w="1701" w:type="dxa"/>
            <w:vAlign w:val="center"/>
          </w:tcPr>
          <w:p w14:paraId="7D0885E8"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50.50</w:t>
            </w:r>
          </w:p>
        </w:tc>
        <w:tc>
          <w:tcPr>
            <w:tcW w:w="1134" w:type="dxa"/>
            <w:vAlign w:val="center"/>
          </w:tcPr>
          <w:p w14:paraId="4B05FDA8"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39,204</w:t>
            </w:r>
          </w:p>
        </w:tc>
      </w:tr>
      <w:tr w:rsidR="00543D47" w:rsidRPr="006051CC" w14:paraId="4EEB7325" w14:textId="77777777" w:rsidTr="00D9610A">
        <w:tc>
          <w:tcPr>
            <w:tcW w:w="965" w:type="dxa"/>
          </w:tcPr>
          <w:p w14:paraId="33874DE0" w14:textId="77777777" w:rsidR="00543D47" w:rsidRPr="006051CC" w:rsidRDefault="00543D47" w:rsidP="00D9610A">
            <w:pPr>
              <w:spacing w:before="140" w:after="40"/>
              <w:rPr>
                <w:rFonts w:cs="Arial"/>
                <w:b/>
                <w:sz w:val="18"/>
                <w:szCs w:val="18"/>
                <w:lang w:val="en-US"/>
              </w:rPr>
            </w:pPr>
            <w:r w:rsidRPr="006051CC">
              <w:rPr>
                <w:rFonts w:cs="Arial"/>
                <w:b/>
                <w:sz w:val="18"/>
                <w:szCs w:val="18"/>
                <w:lang w:val="en-US"/>
              </w:rPr>
              <w:t>71059</w:t>
            </w:r>
          </w:p>
        </w:tc>
        <w:tc>
          <w:tcPr>
            <w:tcW w:w="5522" w:type="dxa"/>
          </w:tcPr>
          <w:p w14:paraId="68C3506E" w14:textId="77777777" w:rsidR="00543D47" w:rsidRPr="006051CC" w:rsidRDefault="00543D47" w:rsidP="00D9610A">
            <w:pPr>
              <w:spacing w:before="140" w:after="40"/>
              <w:rPr>
                <w:rFonts w:cs="Arial"/>
                <w:sz w:val="18"/>
                <w:szCs w:val="18"/>
                <w:lang w:val="en-US"/>
              </w:rPr>
            </w:pPr>
            <w:r w:rsidRPr="006051CC">
              <w:rPr>
                <w:rFonts w:cs="Arial"/>
                <w:sz w:val="18"/>
                <w:szCs w:val="18"/>
                <w:lang w:val="en-US"/>
              </w:rPr>
              <w:t xml:space="preserve">Immunofixation or </w:t>
            </w:r>
            <w:proofErr w:type="spellStart"/>
            <w:r w:rsidRPr="006051CC">
              <w:rPr>
                <w:rFonts w:cs="Arial"/>
                <w:sz w:val="18"/>
                <w:szCs w:val="18"/>
                <w:lang w:val="en-US"/>
              </w:rPr>
              <w:t>immunoelectrophoresis</w:t>
            </w:r>
            <w:proofErr w:type="spellEnd"/>
            <w:r w:rsidRPr="006051CC">
              <w:rPr>
                <w:rFonts w:cs="Arial"/>
                <w:sz w:val="18"/>
                <w:szCs w:val="18"/>
                <w:lang w:val="en-US"/>
              </w:rPr>
              <w:t xml:space="preserve"> or isoelectric focusing of:(a) urine for detection of </w:t>
            </w:r>
            <w:r>
              <w:rPr>
                <w:rFonts w:cs="Arial"/>
                <w:sz w:val="18"/>
                <w:szCs w:val="18"/>
                <w:lang w:val="en-US"/>
              </w:rPr>
              <w:t>B</w:t>
            </w:r>
            <w:r w:rsidRPr="006051CC">
              <w:rPr>
                <w:rFonts w:cs="Arial"/>
                <w:sz w:val="18"/>
                <w:szCs w:val="18"/>
                <w:lang w:val="en-US"/>
              </w:rPr>
              <w:t xml:space="preserve">ence </w:t>
            </w:r>
            <w:r>
              <w:rPr>
                <w:rFonts w:cs="Arial"/>
                <w:sz w:val="18"/>
                <w:szCs w:val="18"/>
                <w:lang w:val="en-US"/>
              </w:rPr>
              <w:t>J</w:t>
            </w:r>
            <w:r w:rsidRPr="006051CC">
              <w:rPr>
                <w:rFonts w:cs="Arial"/>
                <w:sz w:val="18"/>
                <w:szCs w:val="18"/>
                <w:lang w:val="en-US"/>
              </w:rPr>
              <w:t xml:space="preserve">ones proteins; or(b) serum, plasma or other body fluid; and </w:t>
            </w:r>
            <w:proofErr w:type="spellStart"/>
            <w:r w:rsidRPr="006051CC">
              <w:rPr>
                <w:rFonts w:cs="Arial"/>
                <w:sz w:val="18"/>
                <w:szCs w:val="18"/>
                <w:lang w:val="en-US"/>
              </w:rPr>
              <w:t>characterisation</w:t>
            </w:r>
            <w:proofErr w:type="spellEnd"/>
            <w:r w:rsidRPr="006051CC">
              <w:rPr>
                <w:rFonts w:cs="Arial"/>
                <w:sz w:val="18"/>
                <w:szCs w:val="18"/>
                <w:lang w:val="en-US"/>
              </w:rPr>
              <w:t xml:space="preserve"> of a paraprotein or cryoglobulin</w:t>
            </w:r>
            <w:r>
              <w:rPr>
                <w:rFonts w:cs="Arial"/>
                <w:sz w:val="18"/>
                <w:szCs w:val="18"/>
                <w:lang w:val="en-US"/>
              </w:rPr>
              <w:t xml:space="preserve"> </w:t>
            </w:r>
            <w:r w:rsidRPr="006051CC">
              <w:rPr>
                <w:rFonts w:cs="Arial"/>
                <w:sz w:val="18"/>
                <w:szCs w:val="18"/>
                <w:lang w:val="en-US"/>
              </w:rPr>
              <w:t>-examination of 1 specimen type (</w:t>
            </w:r>
            <w:proofErr w:type="spellStart"/>
            <w:r w:rsidRPr="006051CC">
              <w:rPr>
                <w:rFonts w:cs="Arial"/>
                <w:sz w:val="18"/>
                <w:szCs w:val="18"/>
                <w:lang w:val="en-US"/>
              </w:rPr>
              <w:t>eg.</w:t>
            </w:r>
            <w:proofErr w:type="spellEnd"/>
            <w:r w:rsidRPr="006051CC">
              <w:rPr>
                <w:rFonts w:cs="Arial"/>
                <w:sz w:val="18"/>
                <w:szCs w:val="18"/>
                <w:lang w:val="en-US"/>
              </w:rPr>
              <w:t xml:space="preserve"> serum, urine or </w:t>
            </w:r>
            <w:r>
              <w:rPr>
                <w:rFonts w:cs="Arial"/>
                <w:sz w:val="18"/>
                <w:szCs w:val="18"/>
                <w:lang w:val="en-US"/>
              </w:rPr>
              <w:t>CSF</w:t>
            </w:r>
            <w:r w:rsidRPr="006051CC">
              <w:rPr>
                <w:rFonts w:cs="Arial"/>
                <w:sz w:val="18"/>
                <w:szCs w:val="18"/>
                <w:lang w:val="en-US"/>
              </w:rPr>
              <w:t>)</w:t>
            </w:r>
            <w:r w:rsidRPr="006051CC">
              <w:rPr>
                <w:rFonts w:cs="Arial"/>
                <w:sz w:val="18"/>
                <w:szCs w:val="18"/>
              </w:rPr>
              <w:t xml:space="preserve"> </w:t>
            </w:r>
          </w:p>
        </w:tc>
        <w:tc>
          <w:tcPr>
            <w:tcW w:w="1701" w:type="dxa"/>
            <w:vAlign w:val="center"/>
          </w:tcPr>
          <w:p w14:paraId="27F185CC"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35.65</w:t>
            </w:r>
          </w:p>
        </w:tc>
        <w:tc>
          <w:tcPr>
            <w:tcW w:w="1134" w:type="dxa"/>
            <w:vAlign w:val="center"/>
          </w:tcPr>
          <w:p w14:paraId="77A6A3EB"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143,431</w:t>
            </w:r>
          </w:p>
        </w:tc>
      </w:tr>
      <w:tr w:rsidR="00543D47" w:rsidRPr="006051CC" w14:paraId="0DCD3864" w14:textId="77777777" w:rsidTr="00D9610A">
        <w:tc>
          <w:tcPr>
            <w:tcW w:w="965" w:type="dxa"/>
          </w:tcPr>
          <w:p w14:paraId="39AD2730" w14:textId="77777777" w:rsidR="00543D47" w:rsidRPr="006051CC" w:rsidRDefault="00543D47" w:rsidP="00D9610A">
            <w:pPr>
              <w:spacing w:before="140" w:after="40"/>
              <w:rPr>
                <w:rFonts w:cs="Arial"/>
                <w:b/>
                <w:sz w:val="18"/>
                <w:szCs w:val="18"/>
                <w:lang w:val="en-US"/>
              </w:rPr>
            </w:pPr>
            <w:r w:rsidRPr="006051CC">
              <w:rPr>
                <w:rFonts w:cs="Arial"/>
                <w:b/>
                <w:sz w:val="18"/>
                <w:szCs w:val="18"/>
                <w:lang w:val="en-US"/>
              </w:rPr>
              <w:t>71060</w:t>
            </w:r>
          </w:p>
        </w:tc>
        <w:tc>
          <w:tcPr>
            <w:tcW w:w="5522" w:type="dxa"/>
          </w:tcPr>
          <w:p w14:paraId="42C5209F" w14:textId="77777777" w:rsidR="00543D47" w:rsidRPr="006051CC" w:rsidRDefault="00543D47" w:rsidP="00D9610A">
            <w:pPr>
              <w:spacing w:before="140" w:after="40"/>
              <w:rPr>
                <w:rFonts w:cs="Arial"/>
                <w:sz w:val="18"/>
                <w:szCs w:val="18"/>
                <w:lang w:val="en-US"/>
              </w:rPr>
            </w:pPr>
            <w:r w:rsidRPr="006051CC">
              <w:rPr>
                <w:rFonts w:cs="Arial"/>
                <w:sz w:val="18"/>
                <w:szCs w:val="18"/>
                <w:lang w:val="en-US"/>
              </w:rPr>
              <w:t>Examination as described in item 71059 of 2 or more specimen types</w:t>
            </w:r>
          </w:p>
        </w:tc>
        <w:tc>
          <w:tcPr>
            <w:tcW w:w="1701" w:type="dxa"/>
            <w:vAlign w:val="center"/>
          </w:tcPr>
          <w:p w14:paraId="1F8158D8"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44.05</w:t>
            </w:r>
          </w:p>
        </w:tc>
        <w:tc>
          <w:tcPr>
            <w:tcW w:w="1134" w:type="dxa"/>
            <w:vAlign w:val="center"/>
          </w:tcPr>
          <w:p w14:paraId="403A0B38"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24,043</w:t>
            </w:r>
          </w:p>
        </w:tc>
      </w:tr>
      <w:tr w:rsidR="00543D47" w:rsidRPr="006051CC" w14:paraId="48AD6381" w14:textId="77777777" w:rsidTr="00D9610A">
        <w:tc>
          <w:tcPr>
            <w:tcW w:w="965" w:type="dxa"/>
          </w:tcPr>
          <w:p w14:paraId="14F90E07" w14:textId="77777777" w:rsidR="00543D47" w:rsidRPr="006051CC" w:rsidRDefault="00543D47" w:rsidP="00D9610A">
            <w:pPr>
              <w:spacing w:before="140" w:after="40"/>
              <w:rPr>
                <w:rFonts w:cs="Arial"/>
                <w:b/>
                <w:sz w:val="18"/>
                <w:szCs w:val="18"/>
                <w:lang w:val="en-US"/>
              </w:rPr>
            </w:pPr>
            <w:r w:rsidRPr="006051CC">
              <w:rPr>
                <w:rFonts w:cs="Arial"/>
                <w:b/>
                <w:sz w:val="18"/>
                <w:szCs w:val="18"/>
                <w:lang w:val="en-US"/>
              </w:rPr>
              <w:t>71062</w:t>
            </w:r>
          </w:p>
        </w:tc>
        <w:tc>
          <w:tcPr>
            <w:tcW w:w="5522" w:type="dxa"/>
          </w:tcPr>
          <w:p w14:paraId="319BD0C6" w14:textId="77777777" w:rsidR="00543D47" w:rsidRPr="006051CC" w:rsidRDefault="00543D47" w:rsidP="00D9610A">
            <w:pPr>
              <w:spacing w:before="140" w:after="40"/>
              <w:rPr>
                <w:rFonts w:cs="Arial"/>
                <w:sz w:val="18"/>
                <w:szCs w:val="18"/>
                <w:lang w:val="en-US"/>
              </w:rPr>
            </w:pPr>
            <w:r w:rsidRPr="006051CC">
              <w:rPr>
                <w:rFonts w:cs="Arial"/>
                <w:sz w:val="18"/>
                <w:szCs w:val="18"/>
                <w:lang w:val="en-US"/>
              </w:rPr>
              <w:t xml:space="preserve">Electrophoresis and immunofixation or </w:t>
            </w:r>
            <w:proofErr w:type="spellStart"/>
            <w:r w:rsidRPr="006051CC">
              <w:rPr>
                <w:rFonts w:cs="Arial"/>
                <w:sz w:val="18"/>
                <w:szCs w:val="18"/>
                <w:lang w:val="en-US"/>
              </w:rPr>
              <w:t>immunoelectrophoresis</w:t>
            </w:r>
            <w:proofErr w:type="spellEnd"/>
            <w:r w:rsidRPr="006051CC">
              <w:rPr>
                <w:rFonts w:cs="Arial"/>
                <w:sz w:val="18"/>
                <w:szCs w:val="18"/>
                <w:lang w:val="en-US"/>
              </w:rPr>
              <w:t xml:space="preserve"> or isoelectric focusing of CSF for the detection of oligoclonal bands and including electrophoresis of the patient's serum for comparison purposes - 1 or more tests</w:t>
            </w:r>
          </w:p>
        </w:tc>
        <w:tc>
          <w:tcPr>
            <w:tcW w:w="1701" w:type="dxa"/>
            <w:vAlign w:val="center"/>
          </w:tcPr>
          <w:p w14:paraId="41A5188B"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44.05</w:t>
            </w:r>
          </w:p>
        </w:tc>
        <w:tc>
          <w:tcPr>
            <w:tcW w:w="1134" w:type="dxa"/>
            <w:vAlign w:val="center"/>
          </w:tcPr>
          <w:p w14:paraId="75AB5373" w14:textId="77777777" w:rsidR="00543D47" w:rsidRPr="006051CC" w:rsidRDefault="00543D47" w:rsidP="00D9610A">
            <w:pPr>
              <w:spacing w:before="140" w:after="40"/>
              <w:jc w:val="center"/>
              <w:rPr>
                <w:rFonts w:cs="Arial"/>
                <w:sz w:val="18"/>
                <w:szCs w:val="18"/>
                <w:lang w:val="en-US"/>
              </w:rPr>
            </w:pPr>
            <w:r w:rsidRPr="006051CC">
              <w:rPr>
                <w:rFonts w:cs="Arial"/>
                <w:sz w:val="18"/>
                <w:szCs w:val="18"/>
                <w:lang w:val="en-US"/>
              </w:rPr>
              <w:t>1,873</w:t>
            </w:r>
          </w:p>
        </w:tc>
      </w:tr>
      <w:tr w:rsidR="00543D47" w:rsidRPr="006051CC" w14:paraId="04386E76" w14:textId="77777777" w:rsidTr="00D9610A">
        <w:tc>
          <w:tcPr>
            <w:tcW w:w="965" w:type="dxa"/>
          </w:tcPr>
          <w:p w14:paraId="3ECF281A" w14:textId="77777777" w:rsidR="00543D47" w:rsidRPr="006051CC" w:rsidRDefault="00543D47" w:rsidP="00D9610A">
            <w:pPr>
              <w:spacing w:before="140" w:after="40"/>
              <w:rPr>
                <w:rFonts w:cs="Arial"/>
                <w:b/>
                <w:sz w:val="18"/>
                <w:szCs w:val="18"/>
                <w:lang w:val="en-US"/>
              </w:rPr>
            </w:pPr>
            <w:r w:rsidRPr="006051CC">
              <w:rPr>
                <w:b/>
                <w:sz w:val="18"/>
                <w:szCs w:val="18"/>
              </w:rPr>
              <w:t>71068</w:t>
            </w:r>
          </w:p>
        </w:tc>
        <w:tc>
          <w:tcPr>
            <w:tcW w:w="5522" w:type="dxa"/>
          </w:tcPr>
          <w:p w14:paraId="2C4237ED" w14:textId="77777777" w:rsidR="00543D47" w:rsidRPr="006051CC" w:rsidRDefault="00543D47" w:rsidP="00D9610A">
            <w:pPr>
              <w:spacing w:before="140" w:after="40"/>
              <w:rPr>
                <w:rFonts w:cs="Arial"/>
                <w:sz w:val="18"/>
                <w:szCs w:val="18"/>
                <w:lang w:val="en-US"/>
              </w:rPr>
            </w:pPr>
            <w:r w:rsidRPr="006051CC">
              <w:rPr>
                <w:sz w:val="18"/>
                <w:szCs w:val="18"/>
              </w:rPr>
              <w:t xml:space="preserve">Quantitation of total immunoglobulin </w:t>
            </w:r>
            <w:r>
              <w:rPr>
                <w:sz w:val="18"/>
                <w:szCs w:val="18"/>
              </w:rPr>
              <w:t>G</w:t>
            </w:r>
            <w:r w:rsidRPr="006051CC">
              <w:rPr>
                <w:sz w:val="18"/>
                <w:szCs w:val="18"/>
              </w:rPr>
              <w:t xml:space="preserve"> by any method in serum, urine or other body fluid - 1 test</w:t>
            </w:r>
          </w:p>
        </w:tc>
        <w:tc>
          <w:tcPr>
            <w:tcW w:w="1701" w:type="dxa"/>
            <w:vAlign w:val="center"/>
          </w:tcPr>
          <w:p w14:paraId="036847B5" w14:textId="77777777" w:rsidR="00543D47" w:rsidRPr="006051CC" w:rsidRDefault="00543D47" w:rsidP="00D9610A">
            <w:pPr>
              <w:spacing w:before="140" w:after="40"/>
              <w:jc w:val="center"/>
              <w:rPr>
                <w:rFonts w:cs="Arial"/>
                <w:sz w:val="18"/>
                <w:szCs w:val="18"/>
                <w:lang w:val="en-US"/>
              </w:rPr>
            </w:pPr>
            <w:r w:rsidRPr="006051CC">
              <w:rPr>
                <w:sz w:val="18"/>
                <w:szCs w:val="18"/>
              </w:rPr>
              <w:t>14.55</w:t>
            </w:r>
          </w:p>
        </w:tc>
        <w:tc>
          <w:tcPr>
            <w:tcW w:w="1134" w:type="dxa"/>
            <w:vAlign w:val="center"/>
          </w:tcPr>
          <w:p w14:paraId="52939E9A" w14:textId="77777777" w:rsidR="00543D47" w:rsidRPr="006051CC" w:rsidRDefault="00543D47" w:rsidP="00D9610A">
            <w:pPr>
              <w:spacing w:before="140" w:after="40"/>
              <w:jc w:val="center"/>
              <w:rPr>
                <w:rFonts w:cs="Arial"/>
                <w:sz w:val="18"/>
                <w:szCs w:val="18"/>
                <w:lang w:val="en-US"/>
              </w:rPr>
            </w:pPr>
            <w:r w:rsidRPr="006051CC">
              <w:rPr>
                <w:rFonts w:ascii="Calibri" w:hAnsi="Calibri"/>
                <w:color w:val="000000"/>
                <w:sz w:val="18"/>
                <w:szCs w:val="18"/>
              </w:rPr>
              <w:t>18,765</w:t>
            </w:r>
          </w:p>
        </w:tc>
      </w:tr>
      <w:tr w:rsidR="00543D47" w:rsidRPr="006051CC" w14:paraId="4CDC2CDB" w14:textId="77777777" w:rsidTr="00D9610A">
        <w:tc>
          <w:tcPr>
            <w:tcW w:w="965" w:type="dxa"/>
          </w:tcPr>
          <w:p w14:paraId="03F269A8" w14:textId="77777777" w:rsidR="00543D47" w:rsidRPr="006051CC" w:rsidRDefault="00543D47" w:rsidP="00D9610A">
            <w:pPr>
              <w:spacing w:before="140" w:after="40"/>
              <w:rPr>
                <w:rFonts w:cs="Arial"/>
                <w:b/>
                <w:sz w:val="18"/>
                <w:szCs w:val="18"/>
                <w:lang w:val="en-US"/>
              </w:rPr>
            </w:pPr>
            <w:r w:rsidRPr="006051CC">
              <w:rPr>
                <w:b/>
                <w:sz w:val="18"/>
                <w:szCs w:val="18"/>
              </w:rPr>
              <w:t>71069</w:t>
            </w:r>
          </w:p>
        </w:tc>
        <w:tc>
          <w:tcPr>
            <w:tcW w:w="5522" w:type="dxa"/>
          </w:tcPr>
          <w:p w14:paraId="05CBFBC5" w14:textId="77777777" w:rsidR="00543D47" w:rsidRPr="006051CC" w:rsidRDefault="00543D47" w:rsidP="00D9610A">
            <w:pPr>
              <w:spacing w:before="140" w:after="40"/>
              <w:rPr>
                <w:rFonts w:cs="Arial"/>
                <w:sz w:val="18"/>
                <w:szCs w:val="18"/>
                <w:lang w:val="en-US"/>
              </w:rPr>
            </w:pPr>
            <w:r w:rsidRPr="006051CC">
              <w:rPr>
                <w:sz w:val="18"/>
                <w:szCs w:val="18"/>
              </w:rPr>
              <w:t>2 tests described in items 71066, 71068, 71072 or 71074</w:t>
            </w:r>
          </w:p>
        </w:tc>
        <w:tc>
          <w:tcPr>
            <w:tcW w:w="1701" w:type="dxa"/>
            <w:vAlign w:val="center"/>
          </w:tcPr>
          <w:p w14:paraId="7D866EB5" w14:textId="77777777" w:rsidR="00543D47" w:rsidRPr="006051CC" w:rsidRDefault="00543D47" w:rsidP="00D9610A">
            <w:pPr>
              <w:spacing w:before="140" w:after="40"/>
              <w:jc w:val="center"/>
              <w:rPr>
                <w:rFonts w:cs="Arial"/>
                <w:sz w:val="18"/>
                <w:szCs w:val="18"/>
                <w:lang w:val="en-US"/>
              </w:rPr>
            </w:pPr>
            <w:r w:rsidRPr="006051CC">
              <w:rPr>
                <w:sz w:val="18"/>
                <w:szCs w:val="18"/>
              </w:rPr>
              <w:t>22.75</w:t>
            </w:r>
          </w:p>
        </w:tc>
        <w:tc>
          <w:tcPr>
            <w:tcW w:w="1134" w:type="dxa"/>
            <w:vAlign w:val="center"/>
          </w:tcPr>
          <w:p w14:paraId="29521429" w14:textId="77777777" w:rsidR="00543D47" w:rsidRPr="006051CC" w:rsidRDefault="00543D47" w:rsidP="00D9610A">
            <w:pPr>
              <w:spacing w:before="140" w:after="40"/>
              <w:jc w:val="center"/>
              <w:rPr>
                <w:rFonts w:cs="Arial"/>
                <w:sz w:val="18"/>
                <w:szCs w:val="18"/>
                <w:lang w:val="en-US"/>
              </w:rPr>
            </w:pPr>
            <w:r w:rsidRPr="006051CC">
              <w:rPr>
                <w:rFonts w:ascii="Calibri" w:hAnsi="Calibri"/>
                <w:color w:val="000000"/>
                <w:sz w:val="18"/>
                <w:szCs w:val="18"/>
              </w:rPr>
              <w:t>9,172</w:t>
            </w:r>
          </w:p>
        </w:tc>
      </w:tr>
      <w:tr w:rsidR="00543D47" w:rsidRPr="006051CC" w14:paraId="496B7C72" w14:textId="77777777" w:rsidTr="00D9610A">
        <w:tc>
          <w:tcPr>
            <w:tcW w:w="965" w:type="dxa"/>
          </w:tcPr>
          <w:p w14:paraId="35B19DBC" w14:textId="77777777" w:rsidR="00543D47" w:rsidRPr="006051CC" w:rsidRDefault="00543D47" w:rsidP="00D9610A">
            <w:pPr>
              <w:spacing w:before="140" w:after="40"/>
              <w:rPr>
                <w:rFonts w:cs="Arial"/>
                <w:b/>
                <w:sz w:val="18"/>
                <w:szCs w:val="18"/>
                <w:lang w:val="en-US"/>
              </w:rPr>
            </w:pPr>
            <w:r w:rsidRPr="006051CC">
              <w:rPr>
                <w:b/>
                <w:sz w:val="18"/>
                <w:szCs w:val="18"/>
              </w:rPr>
              <w:t>71071</w:t>
            </w:r>
          </w:p>
        </w:tc>
        <w:tc>
          <w:tcPr>
            <w:tcW w:w="5522" w:type="dxa"/>
          </w:tcPr>
          <w:p w14:paraId="79FCF668" w14:textId="77777777" w:rsidR="00543D47" w:rsidRPr="006051CC" w:rsidRDefault="00543D47" w:rsidP="00D9610A">
            <w:pPr>
              <w:spacing w:before="140" w:after="40"/>
              <w:rPr>
                <w:rFonts w:cs="Arial"/>
                <w:sz w:val="18"/>
                <w:szCs w:val="18"/>
                <w:lang w:val="en-US"/>
              </w:rPr>
            </w:pPr>
            <w:r w:rsidRPr="006051CC">
              <w:rPr>
                <w:sz w:val="18"/>
                <w:szCs w:val="18"/>
              </w:rPr>
              <w:t>3 or more tests described in items 71066, 71068, 71072 or 71074</w:t>
            </w:r>
          </w:p>
        </w:tc>
        <w:tc>
          <w:tcPr>
            <w:tcW w:w="1701" w:type="dxa"/>
            <w:vAlign w:val="center"/>
          </w:tcPr>
          <w:p w14:paraId="7885EE10" w14:textId="77777777" w:rsidR="00543D47" w:rsidRPr="006051CC" w:rsidRDefault="00543D47" w:rsidP="00D9610A">
            <w:pPr>
              <w:spacing w:before="140" w:after="40"/>
              <w:jc w:val="center"/>
              <w:rPr>
                <w:rFonts w:cs="Arial"/>
                <w:sz w:val="18"/>
                <w:szCs w:val="18"/>
                <w:lang w:val="en-US"/>
              </w:rPr>
            </w:pPr>
            <w:r w:rsidRPr="006051CC">
              <w:rPr>
                <w:sz w:val="18"/>
                <w:szCs w:val="18"/>
              </w:rPr>
              <w:t>30.95</w:t>
            </w:r>
          </w:p>
        </w:tc>
        <w:tc>
          <w:tcPr>
            <w:tcW w:w="1134" w:type="dxa"/>
            <w:vAlign w:val="center"/>
          </w:tcPr>
          <w:p w14:paraId="450AC66F" w14:textId="77777777" w:rsidR="00543D47" w:rsidRPr="006051CC" w:rsidRDefault="00543D47" w:rsidP="00D9610A">
            <w:pPr>
              <w:spacing w:before="140" w:after="40"/>
              <w:jc w:val="center"/>
              <w:rPr>
                <w:rFonts w:cs="Arial"/>
                <w:sz w:val="18"/>
                <w:szCs w:val="18"/>
                <w:lang w:val="en-US"/>
              </w:rPr>
            </w:pPr>
            <w:r w:rsidRPr="006051CC">
              <w:rPr>
                <w:rFonts w:ascii="Calibri" w:hAnsi="Calibri"/>
                <w:color w:val="000000"/>
                <w:sz w:val="18"/>
                <w:szCs w:val="18"/>
              </w:rPr>
              <w:t>178,803</w:t>
            </w:r>
          </w:p>
        </w:tc>
      </w:tr>
      <w:tr w:rsidR="00543D47" w:rsidRPr="006051CC" w14:paraId="0BC7DB10" w14:textId="77777777" w:rsidTr="00D9610A">
        <w:tc>
          <w:tcPr>
            <w:tcW w:w="965" w:type="dxa"/>
          </w:tcPr>
          <w:p w14:paraId="3B91FF60" w14:textId="77777777" w:rsidR="00543D47" w:rsidRPr="006051CC" w:rsidRDefault="00543D47" w:rsidP="00D9610A">
            <w:pPr>
              <w:spacing w:before="140" w:after="40"/>
              <w:rPr>
                <w:rFonts w:cs="Arial"/>
                <w:b/>
                <w:sz w:val="18"/>
                <w:szCs w:val="18"/>
                <w:lang w:val="en-US"/>
              </w:rPr>
            </w:pPr>
            <w:r w:rsidRPr="006051CC">
              <w:rPr>
                <w:b/>
                <w:sz w:val="18"/>
                <w:szCs w:val="18"/>
              </w:rPr>
              <w:t>71073</w:t>
            </w:r>
          </w:p>
        </w:tc>
        <w:tc>
          <w:tcPr>
            <w:tcW w:w="5522" w:type="dxa"/>
          </w:tcPr>
          <w:p w14:paraId="6AFED72B" w14:textId="77777777" w:rsidR="00543D47" w:rsidRPr="006051CC" w:rsidRDefault="00543D47" w:rsidP="00D9610A">
            <w:pPr>
              <w:spacing w:before="140" w:after="40"/>
              <w:rPr>
                <w:rFonts w:cs="Arial"/>
                <w:sz w:val="18"/>
                <w:szCs w:val="18"/>
                <w:lang w:val="en-US"/>
              </w:rPr>
            </w:pPr>
            <w:r w:rsidRPr="006051CC">
              <w:rPr>
                <w:sz w:val="18"/>
                <w:szCs w:val="18"/>
              </w:rPr>
              <w:t>Quantitation of all 4 immunoglobulin G subclasses</w:t>
            </w:r>
          </w:p>
        </w:tc>
        <w:tc>
          <w:tcPr>
            <w:tcW w:w="1701" w:type="dxa"/>
            <w:vAlign w:val="center"/>
          </w:tcPr>
          <w:p w14:paraId="4D918FE5" w14:textId="77777777" w:rsidR="00543D47" w:rsidRPr="006051CC" w:rsidRDefault="00543D47" w:rsidP="00D9610A">
            <w:pPr>
              <w:spacing w:before="140" w:after="40"/>
              <w:jc w:val="center"/>
              <w:rPr>
                <w:rFonts w:cs="Arial"/>
                <w:sz w:val="18"/>
                <w:szCs w:val="18"/>
                <w:lang w:val="en-US"/>
              </w:rPr>
            </w:pPr>
            <w:r w:rsidRPr="006051CC">
              <w:rPr>
                <w:sz w:val="18"/>
                <w:szCs w:val="18"/>
              </w:rPr>
              <w:t>106.15</w:t>
            </w:r>
          </w:p>
        </w:tc>
        <w:tc>
          <w:tcPr>
            <w:tcW w:w="1134" w:type="dxa"/>
            <w:vAlign w:val="center"/>
          </w:tcPr>
          <w:p w14:paraId="644A2705" w14:textId="77777777" w:rsidR="00543D47" w:rsidRPr="006051CC" w:rsidRDefault="00543D47" w:rsidP="00D9610A">
            <w:pPr>
              <w:spacing w:before="140" w:after="40"/>
              <w:jc w:val="center"/>
              <w:rPr>
                <w:rFonts w:cs="Arial"/>
                <w:sz w:val="18"/>
                <w:szCs w:val="18"/>
                <w:lang w:val="en-US"/>
              </w:rPr>
            </w:pPr>
            <w:r w:rsidRPr="006051CC">
              <w:rPr>
                <w:rFonts w:ascii="Calibri" w:hAnsi="Calibri"/>
                <w:color w:val="000000"/>
                <w:sz w:val="18"/>
                <w:szCs w:val="18"/>
              </w:rPr>
              <w:t>20,209</w:t>
            </w:r>
          </w:p>
        </w:tc>
      </w:tr>
      <w:tr w:rsidR="00543D47" w:rsidRPr="006051CC" w14:paraId="5B5889B6" w14:textId="77777777" w:rsidTr="00D9610A">
        <w:tc>
          <w:tcPr>
            <w:tcW w:w="965" w:type="dxa"/>
          </w:tcPr>
          <w:p w14:paraId="0D2BAC0A" w14:textId="77777777" w:rsidR="00543D47" w:rsidRPr="006051CC" w:rsidRDefault="00543D47" w:rsidP="00D9610A">
            <w:pPr>
              <w:spacing w:before="140" w:after="40"/>
              <w:rPr>
                <w:b/>
                <w:sz w:val="18"/>
                <w:szCs w:val="18"/>
              </w:rPr>
            </w:pPr>
            <w:r w:rsidRPr="006051CC">
              <w:rPr>
                <w:b/>
                <w:sz w:val="18"/>
                <w:szCs w:val="18"/>
              </w:rPr>
              <w:t>71076</w:t>
            </w:r>
          </w:p>
        </w:tc>
        <w:tc>
          <w:tcPr>
            <w:tcW w:w="5522" w:type="dxa"/>
          </w:tcPr>
          <w:p w14:paraId="5F73AA16" w14:textId="77777777" w:rsidR="00543D47" w:rsidRPr="006051CC" w:rsidRDefault="00543D47" w:rsidP="00D9610A">
            <w:pPr>
              <w:spacing w:before="140" w:after="40"/>
              <w:rPr>
                <w:sz w:val="18"/>
                <w:szCs w:val="18"/>
              </w:rPr>
            </w:pPr>
            <w:r w:rsidRPr="006051CC">
              <w:rPr>
                <w:sz w:val="18"/>
                <w:szCs w:val="18"/>
              </w:rPr>
              <w:t xml:space="preserve">A test described in item 71073 if rendered by a receiving APP - 1 </w:t>
            </w:r>
            <w:proofErr w:type="gramStart"/>
            <w:r w:rsidRPr="006051CC">
              <w:rPr>
                <w:sz w:val="18"/>
                <w:szCs w:val="18"/>
              </w:rPr>
              <w:t>test(</w:t>
            </w:r>
            <w:proofErr w:type="gramEnd"/>
            <w:r w:rsidRPr="006051CC">
              <w:rPr>
                <w:sz w:val="18"/>
                <w:szCs w:val="18"/>
              </w:rPr>
              <w:t>Item is subject to rule 18)</w:t>
            </w:r>
          </w:p>
        </w:tc>
        <w:tc>
          <w:tcPr>
            <w:tcW w:w="1701" w:type="dxa"/>
            <w:vAlign w:val="center"/>
          </w:tcPr>
          <w:p w14:paraId="7350FF81" w14:textId="77777777" w:rsidR="00543D47" w:rsidRPr="006051CC" w:rsidRDefault="00543D47" w:rsidP="00D9610A">
            <w:pPr>
              <w:spacing w:before="140" w:after="40"/>
              <w:jc w:val="center"/>
              <w:rPr>
                <w:sz w:val="18"/>
                <w:szCs w:val="18"/>
              </w:rPr>
            </w:pPr>
            <w:r w:rsidRPr="006051CC">
              <w:rPr>
                <w:sz w:val="18"/>
                <w:szCs w:val="18"/>
              </w:rPr>
              <w:t>106.15</w:t>
            </w:r>
          </w:p>
        </w:tc>
        <w:tc>
          <w:tcPr>
            <w:tcW w:w="1134" w:type="dxa"/>
            <w:vAlign w:val="center"/>
          </w:tcPr>
          <w:p w14:paraId="0566FF30" w14:textId="77777777" w:rsidR="00543D47" w:rsidRPr="006051CC" w:rsidRDefault="00543D47" w:rsidP="00D9610A">
            <w:pPr>
              <w:spacing w:before="140" w:after="40"/>
              <w:jc w:val="center"/>
              <w:rPr>
                <w:rFonts w:ascii="Calibri" w:hAnsi="Calibri"/>
                <w:color w:val="000000"/>
                <w:sz w:val="18"/>
                <w:szCs w:val="18"/>
              </w:rPr>
            </w:pPr>
            <w:r w:rsidRPr="006051CC">
              <w:rPr>
                <w:rFonts w:ascii="Calibri" w:hAnsi="Calibri"/>
                <w:color w:val="000000"/>
                <w:sz w:val="18"/>
                <w:szCs w:val="18"/>
              </w:rPr>
              <w:t>2,009</w:t>
            </w:r>
          </w:p>
        </w:tc>
      </w:tr>
    </w:tbl>
    <w:p w14:paraId="6EA7EA93" w14:textId="77777777" w:rsidR="00543D47" w:rsidRDefault="00543D47" w:rsidP="00543D47"/>
    <w:p w14:paraId="3ADEF2FA" w14:textId="77777777" w:rsidR="00543D47" w:rsidRDefault="00543D47" w:rsidP="00543D47">
      <w:pPr>
        <w:pStyle w:val="Caption"/>
      </w:pPr>
      <w:bookmarkStart w:id="132" w:name="_Toc534374943"/>
      <w:r>
        <w:t>Table 37. Current and proposed item descriptor 71066, 71072, 71074</w:t>
      </w:r>
      <w:bookmarkEnd w:id="132"/>
    </w:p>
    <w:tbl>
      <w:tblPr>
        <w:tblStyle w:val="TableGrid"/>
        <w:tblW w:w="9356" w:type="dxa"/>
        <w:tblInd w:w="-147"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Item descriptors 71066, 71072 and 71074"/>
        <w:tblDescription w:val="Table 37 is a 3 column table. Column 1 lists the item number, column 2 describes the current item descriptor and column 3 displays the proposed new item descriptor"/>
      </w:tblPr>
      <w:tblGrid>
        <w:gridCol w:w="1135"/>
        <w:gridCol w:w="4110"/>
        <w:gridCol w:w="4111"/>
      </w:tblGrid>
      <w:tr w:rsidR="00543D47" w:rsidRPr="0082352E" w14:paraId="27B6C202" w14:textId="77777777" w:rsidTr="00D9610A">
        <w:trPr>
          <w:tblHeader/>
        </w:trPr>
        <w:tc>
          <w:tcPr>
            <w:tcW w:w="1135" w:type="dxa"/>
          </w:tcPr>
          <w:p w14:paraId="161C381D" w14:textId="77777777" w:rsidR="00543D47" w:rsidRPr="0054223A" w:rsidRDefault="00543D47" w:rsidP="00D9610A">
            <w:pPr>
              <w:rPr>
                <w:b/>
                <w:sz w:val="18"/>
                <w:szCs w:val="18"/>
              </w:rPr>
            </w:pPr>
            <w:r w:rsidRPr="0054223A">
              <w:rPr>
                <w:b/>
                <w:sz w:val="18"/>
                <w:szCs w:val="18"/>
              </w:rPr>
              <w:t>Item</w:t>
            </w:r>
          </w:p>
        </w:tc>
        <w:tc>
          <w:tcPr>
            <w:tcW w:w="4110" w:type="dxa"/>
          </w:tcPr>
          <w:p w14:paraId="53A17B76" w14:textId="77777777" w:rsidR="00543D47" w:rsidRPr="0054223A" w:rsidRDefault="00543D47" w:rsidP="00D9610A">
            <w:pPr>
              <w:rPr>
                <w:b/>
                <w:sz w:val="18"/>
                <w:szCs w:val="18"/>
              </w:rPr>
            </w:pPr>
            <w:r w:rsidRPr="0054223A">
              <w:rPr>
                <w:b/>
                <w:sz w:val="18"/>
                <w:szCs w:val="18"/>
              </w:rPr>
              <w:t>Current item descriptor</w:t>
            </w:r>
          </w:p>
        </w:tc>
        <w:tc>
          <w:tcPr>
            <w:tcW w:w="4111" w:type="dxa"/>
          </w:tcPr>
          <w:p w14:paraId="750A5048" w14:textId="77777777" w:rsidR="00543D47" w:rsidRPr="0054223A" w:rsidRDefault="00543D47" w:rsidP="00D9610A">
            <w:pPr>
              <w:rPr>
                <w:b/>
                <w:sz w:val="18"/>
                <w:szCs w:val="18"/>
              </w:rPr>
            </w:pPr>
            <w:r w:rsidRPr="0054223A">
              <w:rPr>
                <w:b/>
                <w:sz w:val="18"/>
                <w:szCs w:val="18"/>
              </w:rPr>
              <w:t>Proposed item descriptor</w:t>
            </w:r>
          </w:p>
        </w:tc>
      </w:tr>
      <w:tr w:rsidR="00543D47" w:rsidRPr="0082352E" w14:paraId="545ECD4A" w14:textId="77777777" w:rsidTr="00D9610A">
        <w:tc>
          <w:tcPr>
            <w:tcW w:w="1135" w:type="dxa"/>
          </w:tcPr>
          <w:p w14:paraId="293D9747" w14:textId="77777777" w:rsidR="00543D47" w:rsidRPr="0054223A" w:rsidRDefault="00543D47" w:rsidP="00D9610A">
            <w:pPr>
              <w:rPr>
                <w:sz w:val="18"/>
                <w:szCs w:val="18"/>
              </w:rPr>
            </w:pPr>
            <w:r w:rsidRPr="0054223A">
              <w:rPr>
                <w:sz w:val="18"/>
                <w:szCs w:val="18"/>
              </w:rPr>
              <w:t>71066</w:t>
            </w:r>
          </w:p>
        </w:tc>
        <w:tc>
          <w:tcPr>
            <w:tcW w:w="4110" w:type="dxa"/>
          </w:tcPr>
          <w:p w14:paraId="3AE13C62" w14:textId="77777777" w:rsidR="00543D47" w:rsidRPr="0054223A" w:rsidRDefault="00543D47" w:rsidP="00D9610A">
            <w:pPr>
              <w:rPr>
                <w:sz w:val="18"/>
                <w:szCs w:val="18"/>
              </w:rPr>
            </w:pPr>
            <w:r w:rsidRPr="0054223A">
              <w:rPr>
                <w:sz w:val="18"/>
                <w:szCs w:val="18"/>
              </w:rPr>
              <w:t xml:space="preserve">Quantitation of total immunoglobulin </w:t>
            </w:r>
            <w:r>
              <w:rPr>
                <w:sz w:val="18"/>
                <w:szCs w:val="18"/>
              </w:rPr>
              <w:t>A</w:t>
            </w:r>
            <w:r w:rsidRPr="0054223A">
              <w:rPr>
                <w:sz w:val="18"/>
                <w:szCs w:val="18"/>
              </w:rPr>
              <w:t xml:space="preserve"> by any method in serum, urine or other body fluid – 1 test</w:t>
            </w:r>
          </w:p>
        </w:tc>
        <w:tc>
          <w:tcPr>
            <w:tcW w:w="4111" w:type="dxa"/>
          </w:tcPr>
          <w:p w14:paraId="6DD66147" w14:textId="77777777" w:rsidR="00543D47" w:rsidRPr="0054223A" w:rsidRDefault="00543D47" w:rsidP="00D9610A">
            <w:pPr>
              <w:rPr>
                <w:sz w:val="18"/>
                <w:szCs w:val="18"/>
              </w:rPr>
            </w:pPr>
            <w:r w:rsidRPr="0054223A">
              <w:rPr>
                <w:sz w:val="18"/>
                <w:szCs w:val="18"/>
              </w:rPr>
              <w:t>Quantitation of total immunoglobulin A by any method in serum – 1 test</w:t>
            </w:r>
          </w:p>
        </w:tc>
      </w:tr>
      <w:tr w:rsidR="00543D47" w:rsidRPr="0082352E" w14:paraId="667355D5" w14:textId="77777777" w:rsidTr="00D9610A">
        <w:tc>
          <w:tcPr>
            <w:tcW w:w="1135" w:type="dxa"/>
          </w:tcPr>
          <w:p w14:paraId="53F66A52" w14:textId="77777777" w:rsidR="00543D47" w:rsidRPr="0082352E" w:rsidRDefault="00543D47" w:rsidP="00D9610A">
            <w:pPr>
              <w:rPr>
                <w:sz w:val="18"/>
                <w:szCs w:val="18"/>
              </w:rPr>
            </w:pPr>
            <w:r w:rsidRPr="0054223A">
              <w:rPr>
                <w:sz w:val="18"/>
                <w:szCs w:val="18"/>
              </w:rPr>
              <w:t>71072</w:t>
            </w:r>
          </w:p>
        </w:tc>
        <w:tc>
          <w:tcPr>
            <w:tcW w:w="4110" w:type="dxa"/>
          </w:tcPr>
          <w:p w14:paraId="2F59AED8" w14:textId="77777777" w:rsidR="00543D47" w:rsidRPr="0082352E" w:rsidRDefault="00543D47" w:rsidP="00D9610A">
            <w:pPr>
              <w:rPr>
                <w:sz w:val="18"/>
                <w:szCs w:val="18"/>
              </w:rPr>
            </w:pPr>
            <w:r w:rsidRPr="0054223A">
              <w:rPr>
                <w:sz w:val="18"/>
                <w:szCs w:val="18"/>
              </w:rPr>
              <w:t xml:space="preserve">Quantitation of total immunoglobulin </w:t>
            </w:r>
            <w:r>
              <w:rPr>
                <w:sz w:val="18"/>
                <w:szCs w:val="18"/>
              </w:rPr>
              <w:t>M</w:t>
            </w:r>
            <w:r w:rsidRPr="0054223A">
              <w:rPr>
                <w:sz w:val="18"/>
                <w:szCs w:val="18"/>
              </w:rPr>
              <w:t xml:space="preserve"> by any method in serum, urine or other body fluid - 1 test</w:t>
            </w:r>
          </w:p>
        </w:tc>
        <w:tc>
          <w:tcPr>
            <w:tcW w:w="4111" w:type="dxa"/>
          </w:tcPr>
          <w:p w14:paraId="1E957341" w14:textId="77777777" w:rsidR="00543D47" w:rsidRPr="0082352E" w:rsidRDefault="00543D47" w:rsidP="00D9610A">
            <w:pPr>
              <w:rPr>
                <w:sz w:val="18"/>
                <w:szCs w:val="18"/>
              </w:rPr>
            </w:pPr>
            <w:r w:rsidRPr="0054223A">
              <w:rPr>
                <w:sz w:val="18"/>
                <w:szCs w:val="18"/>
              </w:rPr>
              <w:t>Quantitation of total immunoglobulin M by any method in serum - 1 test</w:t>
            </w:r>
          </w:p>
        </w:tc>
      </w:tr>
      <w:tr w:rsidR="00543D47" w:rsidRPr="0082352E" w14:paraId="1DCA17B6" w14:textId="77777777" w:rsidTr="00D9610A">
        <w:tc>
          <w:tcPr>
            <w:tcW w:w="1135" w:type="dxa"/>
          </w:tcPr>
          <w:p w14:paraId="71B0C8AF" w14:textId="77777777" w:rsidR="00543D47" w:rsidRPr="0082352E" w:rsidRDefault="00543D47" w:rsidP="00D9610A">
            <w:pPr>
              <w:rPr>
                <w:sz w:val="18"/>
                <w:szCs w:val="18"/>
              </w:rPr>
            </w:pPr>
            <w:r w:rsidRPr="0054223A">
              <w:rPr>
                <w:sz w:val="18"/>
                <w:szCs w:val="18"/>
              </w:rPr>
              <w:t>71074</w:t>
            </w:r>
          </w:p>
        </w:tc>
        <w:tc>
          <w:tcPr>
            <w:tcW w:w="4110" w:type="dxa"/>
          </w:tcPr>
          <w:p w14:paraId="260FC887" w14:textId="77777777" w:rsidR="00543D47" w:rsidRPr="0082352E" w:rsidRDefault="00543D47" w:rsidP="00D9610A">
            <w:pPr>
              <w:rPr>
                <w:sz w:val="18"/>
                <w:szCs w:val="18"/>
              </w:rPr>
            </w:pPr>
            <w:r w:rsidRPr="0054223A">
              <w:rPr>
                <w:sz w:val="18"/>
                <w:szCs w:val="18"/>
              </w:rPr>
              <w:t xml:space="preserve">Quantitation of total immunoglobulin </w:t>
            </w:r>
            <w:r>
              <w:rPr>
                <w:sz w:val="18"/>
                <w:szCs w:val="18"/>
              </w:rPr>
              <w:t>D</w:t>
            </w:r>
            <w:r w:rsidRPr="0054223A">
              <w:rPr>
                <w:sz w:val="18"/>
                <w:szCs w:val="18"/>
              </w:rPr>
              <w:t xml:space="preserve"> by any method in serum, urine or other body fluid - 1 test</w:t>
            </w:r>
          </w:p>
        </w:tc>
        <w:tc>
          <w:tcPr>
            <w:tcW w:w="4111" w:type="dxa"/>
          </w:tcPr>
          <w:p w14:paraId="468CACB3" w14:textId="77777777" w:rsidR="00543D47" w:rsidRPr="0082352E" w:rsidRDefault="00543D47" w:rsidP="00D9610A">
            <w:pPr>
              <w:rPr>
                <w:sz w:val="18"/>
                <w:szCs w:val="18"/>
              </w:rPr>
            </w:pPr>
            <w:r w:rsidRPr="0054223A">
              <w:rPr>
                <w:sz w:val="18"/>
                <w:szCs w:val="18"/>
              </w:rPr>
              <w:t>Quantitation of total immunoglobulin D by any method in serum - 1 test</w:t>
            </w:r>
          </w:p>
        </w:tc>
      </w:tr>
    </w:tbl>
    <w:p w14:paraId="6CFC5BEF" w14:textId="77777777" w:rsidR="00543D47" w:rsidRDefault="00543D47" w:rsidP="00543D47"/>
    <w:p w14:paraId="285FD038" w14:textId="77777777" w:rsidR="00543D47" w:rsidRDefault="00543D47" w:rsidP="00543D47">
      <w:pPr>
        <w:pStyle w:val="Caption"/>
      </w:pPr>
      <w:bookmarkStart w:id="133" w:name="_Toc534374944"/>
      <w:r>
        <w:lastRenderedPageBreak/>
        <w:t>Table 38. Current and proposed item descriptors 71075 and 71077</w:t>
      </w:r>
      <w:bookmarkEnd w:id="133"/>
    </w:p>
    <w:tbl>
      <w:tblPr>
        <w:tblStyle w:val="TableGrid"/>
        <w:tblW w:w="9356" w:type="dxa"/>
        <w:tblInd w:w="-147"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Item 71075 and 71077 item descriptors"/>
        <w:tblDescription w:val="Table 38 is a 3 column table. Column 1 lists the item number, column 2 displays the current item descriptor and column 3 displays the proposed new item descriptor"/>
      </w:tblPr>
      <w:tblGrid>
        <w:gridCol w:w="1135"/>
        <w:gridCol w:w="4110"/>
        <w:gridCol w:w="4111"/>
      </w:tblGrid>
      <w:tr w:rsidR="00543D47" w:rsidRPr="00F41078" w14:paraId="5F91424B" w14:textId="77777777" w:rsidTr="00D9610A">
        <w:trPr>
          <w:tblHeader/>
        </w:trPr>
        <w:tc>
          <w:tcPr>
            <w:tcW w:w="1135" w:type="dxa"/>
          </w:tcPr>
          <w:p w14:paraId="7EC3B980" w14:textId="77777777" w:rsidR="00543D47" w:rsidRPr="0054223A" w:rsidRDefault="00543D47" w:rsidP="00D9610A">
            <w:pPr>
              <w:rPr>
                <w:b/>
                <w:sz w:val="18"/>
                <w:szCs w:val="18"/>
                <w:lang w:val="en-US"/>
              </w:rPr>
            </w:pPr>
            <w:r w:rsidRPr="0054223A">
              <w:rPr>
                <w:b/>
                <w:sz w:val="18"/>
                <w:szCs w:val="18"/>
                <w:lang w:val="en-US"/>
              </w:rPr>
              <w:t>Item</w:t>
            </w:r>
          </w:p>
        </w:tc>
        <w:tc>
          <w:tcPr>
            <w:tcW w:w="4110" w:type="dxa"/>
          </w:tcPr>
          <w:p w14:paraId="35B05671" w14:textId="77777777" w:rsidR="00543D47" w:rsidRPr="0054223A" w:rsidRDefault="00543D47" w:rsidP="00D9610A">
            <w:pPr>
              <w:rPr>
                <w:b/>
                <w:sz w:val="18"/>
                <w:szCs w:val="18"/>
                <w:lang w:val="en-US"/>
              </w:rPr>
            </w:pPr>
            <w:r w:rsidRPr="0054223A">
              <w:rPr>
                <w:b/>
                <w:sz w:val="18"/>
                <w:szCs w:val="18"/>
                <w:lang w:val="en-US"/>
              </w:rPr>
              <w:t>Current item descriptor</w:t>
            </w:r>
          </w:p>
        </w:tc>
        <w:tc>
          <w:tcPr>
            <w:tcW w:w="4111" w:type="dxa"/>
          </w:tcPr>
          <w:p w14:paraId="48F0F91A" w14:textId="77777777" w:rsidR="00543D47" w:rsidRPr="0054223A" w:rsidRDefault="00543D47" w:rsidP="00D9610A">
            <w:pPr>
              <w:rPr>
                <w:b/>
                <w:sz w:val="18"/>
                <w:szCs w:val="18"/>
                <w:lang w:val="en-US"/>
              </w:rPr>
            </w:pPr>
            <w:r w:rsidRPr="0054223A">
              <w:rPr>
                <w:b/>
                <w:sz w:val="18"/>
                <w:szCs w:val="18"/>
                <w:lang w:val="en-US"/>
              </w:rPr>
              <w:t>Proposed item descriptor</w:t>
            </w:r>
          </w:p>
        </w:tc>
      </w:tr>
      <w:tr w:rsidR="00543D47" w:rsidRPr="00F41078" w14:paraId="6F06AF4C" w14:textId="77777777" w:rsidTr="00D9610A">
        <w:tc>
          <w:tcPr>
            <w:tcW w:w="1135" w:type="dxa"/>
          </w:tcPr>
          <w:p w14:paraId="62A92E01" w14:textId="77777777" w:rsidR="00543D47" w:rsidRPr="0054223A" w:rsidRDefault="00543D47" w:rsidP="00D9610A">
            <w:pPr>
              <w:rPr>
                <w:sz w:val="18"/>
                <w:szCs w:val="18"/>
                <w:lang w:val="en-US"/>
              </w:rPr>
            </w:pPr>
            <w:r w:rsidRPr="0054223A">
              <w:rPr>
                <w:sz w:val="18"/>
                <w:szCs w:val="18"/>
              </w:rPr>
              <w:t>71075</w:t>
            </w:r>
          </w:p>
        </w:tc>
        <w:tc>
          <w:tcPr>
            <w:tcW w:w="4110" w:type="dxa"/>
          </w:tcPr>
          <w:p w14:paraId="0F56D8BF" w14:textId="77777777" w:rsidR="00543D47" w:rsidRPr="0054223A" w:rsidRDefault="00543D47" w:rsidP="00D9610A">
            <w:pPr>
              <w:rPr>
                <w:sz w:val="18"/>
                <w:szCs w:val="18"/>
                <w:lang w:val="en-US"/>
              </w:rPr>
            </w:pPr>
            <w:r w:rsidRPr="0054223A">
              <w:rPr>
                <w:sz w:val="18"/>
                <w:szCs w:val="18"/>
                <w:lang w:val="en-US"/>
              </w:rPr>
              <w:t>Quantitation of immunoglobulin E (total), (</w:t>
            </w:r>
            <w:proofErr w:type="spellStart"/>
            <w:r w:rsidRPr="0054223A">
              <w:rPr>
                <w:sz w:val="18"/>
                <w:szCs w:val="18"/>
                <w:lang w:val="en-US"/>
              </w:rPr>
              <w:t>IgE</w:t>
            </w:r>
            <w:proofErr w:type="spellEnd"/>
            <w:r w:rsidRPr="0054223A">
              <w:rPr>
                <w:sz w:val="18"/>
                <w:szCs w:val="18"/>
                <w:lang w:val="en-US"/>
              </w:rPr>
              <w:t xml:space="preserve">) </w:t>
            </w:r>
            <w:r>
              <w:rPr>
                <w:sz w:val="18"/>
                <w:szCs w:val="18"/>
                <w:lang w:val="en-US"/>
              </w:rPr>
              <w:t>-</w:t>
            </w:r>
            <w:r w:rsidRPr="0054223A">
              <w:rPr>
                <w:sz w:val="18"/>
                <w:szCs w:val="18"/>
                <w:lang w:val="en-US"/>
              </w:rPr>
              <w:t xml:space="preserve"> 1 test. (Item is subject to rule 25)</w:t>
            </w:r>
          </w:p>
        </w:tc>
        <w:tc>
          <w:tcPr>
            <w:tcW w:w="4111" w:type="dxa"/>
          </w:tcPr>
          <w:p w14:paraId="11C5DEF2" w14:textId="77777777" w:rsidR="00543D47" w:rsidRPr="0054223A" w:rsidRDefault="00543D47" w:rsidP="00D9610A">
            <w:pPr>
              <w:rPr>
                <w:sz w:val="18"/>
                <w:szCs w:val="18"/>
                <w:lang w:val="en-US"/>
              </w:rPr>
            </w:pPr>
            <w:r w:rsidRPr="0054223A">
              <w:rPr>
                <w:sz w:val="18"/>
                <w:szCs w:val="18"/>
                <w:lang w:val="en-US"/>
              </w:rPr>
              <w:t>Quantitation of immunoglobulin E (total), (</w:t>
            </w:r>
            <w:proofErr w:type="spellStart"/>
            <w:r w:rsidRPr="0054223A">
              <w:rPr>
                <w:sz w:val="18"/>
                <w:szCs w:val="18"/>
                <w:lang w:val="en-US"/>
              </w:rPr>
              <w:t>IgE</w:t>
            </w:r>
            <w:proofErr w:type="spellEnd"/>
            <w:r w:rsidRPr="0054223A">
              <w:rPr>
                <w:sz w:val="18"/>
                <w:szCs w:val="18"/>
                <w:lang w:val="en-US"/>
              </w:rPr>
              <w:t xml:space="preserve">) </w:t>
            </w:r>
            <w:r>
              <w:rPr>
                <w:sz w:val="18"/>
                <w:szCs w:val="18"/>
                <w:lang w:val="en-US"/>
              </w:rPr>
              <w:t>-</w:t>
            </w:r>
            <w:r w:rsidRPr="0054223A">
              <w:rPr>
                <w:sz w:val="18"/>
                <w:szCs w:val="18"/>
                <w:lang w:val="en-US"/>
              </w:rPr>
              <w:t xml:space="preserve"> 1 test. (Item is subject to rule 25)</w:t>
            </w:r>
          </w:p>
        </w:tc>
      </w:tr>
      <w:tr w:rsidR="00543D47" w:rsidRPr="00F41078" w14:paraId="4B00644A" w14:textId="77777777" w:rsidTr="00D9610A">
        <w:tc>
          <w:tcPr>
            <w:tcW w:w="1135" w:type="dxa"/>
          </w:tcPr>
          <w:p w14:paraId="6E7FD817" w14:textId="77777777" w:rsidR="00543D47" w:rsidRPr="0054223A" w:rsidRDefault="00543D47" w:rsidP="00D9610A">
            <w:pPr>
              <w:rPr>
                <w:sz w:val="18"/>
                <w:szCs w:val="18"/>
              </w:rPr>
            </w:pPr>
            <w:r w:rsidRPr="0054223A">
              <w:rPr>
                <w:sz w:val="18"/>
                <w:szCs w:val="18"/>
              </w:rPr>
              <w:t>71077</w:t>
            </w:r>
          </w:p>
        </w:tc>
        <w:tc>
          <w:tcPr>
            <w:tcW w:w="4110" w:type="dxa"/>
          </w:tcPr>
          <w:p w14:paraId="3991D055" w14:textId="77777777" w:rsidR="00543D47" w:rsidRPr="0054223A" w:rsidRDefault="00543D47" w:rsidP="00D9610A">
            <w:pPr>
              <w:rPr>
                <w:sz w:val="18"/>
                <w:szCs w:val="18"/>
                <w:lang w:val="en-US"/>
              </w:rPr>
            </w:pPr>
            <w:r w:rsidRPr="0054223A">
              <w:rPr>
                <w:sz w:val="18"/>
                <w:szCs w:val="18"/>
                <w:lang w:val="en-US"/>
              </w:rPr>
              <w:t>Quantitation of immunoglobulin E (total) (</w:t>
            </w:r>
            <w:proofErr w:type="spellStart"/>
            <w:r w:rsidRPr="0054223A">
              <w:rPr>
                <w:sz w:val="18"/>
                <w:szCs w:val="18"/>
                <w:lang w:val="en-US"/>
              </w:rPr>
              <w:t>IgE</w:t>
            </w:r>
            <w:proofErr w:type="spellEnd"/>
            <w:r w:rsidRPr="0054223A">
              <w:rPr>
                <w:sz w:val="18"/>
                <w:szCs w:val="18"/>
                <w:lang w:val="en-US"/>
              </w:rPr>
              <w:t>) in the follow up of a patient with proven immunoglobulin-E-secreting myeloma, proven congenital immunodeficiency or proven allergic bronchopulmonary aspergillosis, 1 test. (Item is subject to rule 25)</w:t>
            </w:r>
          </w:p>
        </w:tc>
        <w:tc>
          <w:tcPr>
            <w:tcW w:w="4111" w:type="dxa"/>
          </w:tcPr>
          <w:p w14:paraId="29F22EF6" w14:textId="77777777" w:rsidR="00543D47" w:rsidRPr="0054223A" w:rsidRDefault="00543D47" w:rsidP="00D9610A">
            <w:pPr>
              <w:rPr>
                <w:sz w:val="18"/>
                <w:szCs w:val="18"/>
                <w:lang w:val="en-US"/>
              </w:rPr>
            </w:pPr>
            <w:r w:rsidRPr="0054223A">
              <w:rPr>
                <w:sz w:val="18"/>
                <w:szCs w:val="18"/>
                <w:lang w:val="en-US"/>
              </w:rPr>
              <w:t>Delete</w:t>
            </w:r>
          </w:p>
        </w:tc>
      </w:tr>
    </w:tbl>
    <w:p w14:paraId="69144B50" w14:textId="77777777" w:rsidR="00543D47" w:rsidRDefault="00543D47" w:rsidP="00543D47"/>
    <w:p w14:paraId="4A9A337F" w14:textId="77777777" w:rsidR="00543D47" w:rsidRPr="00525A47" w:rsidRDefault="00543D47" w:rsidP="00543D47">
      <w:pPr>
        <w:pStyle w:val="Caption"/>
        <w:rPr>
          <w:b/>
        </w:rPr>
      </w:pPr>
      <w:bookmarkStart w:id="134" w:name="_Toc534374945"/>
      <w:r w:rsidRPr="008501FA">
        <w:t xml:space="preserve">Table </w:t>
      </w:r>
      <w:r>
        <w:t>39</w:t>
      </w:r>
      <w:r w:rsidRPr="008501FA">
        <w:t>.</w:t>
      </w:r>
      <w:r>
        <w:rPr>
          <w:b/>
        </w:rPr>
        <w:t xml:space="preserve"> </w:t>
      </w:r>
      <w:r w:rsidRPr="00370DFD">
        <w:t>Current and propose</w:t>
      </w:r>
      <w:r>
        <w:t>d new item descriptor for item 71062, 71066, 71072 and 71074</w:t>
      </w:r>
      <w:bookmarkEnd w:id="134"/>
    </w:p>
    <w:tbl>
      <w:tblPr>
        <w:tblStyle w:val="TableGrid"/>
        <w:tblW w:w="9356" w:type="dxa"/>
        <w:tblInd w:w="-147"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71062, 71066, 71072 and 71074 item desciptors"/>
        <w:tblDescription w:val="Table 39 is a 3 column table. Column 1 lists the item number, column 2 displays the current item descriptor and column 3 displays the proposed new item descriptor"/>
      </w:tblPr>
      <w:tblGrid>
        <w:gridCol w:w="1135"/>
        <w:gridCol w:w="4110"/>
        <w:gridCol w:w="4111"/>
      </w:tblGrid>
      <w:tr w:rsidR="00543D47" w14:paraId="197C700B" w14:textId="77777777" w:rsidTr="00D9610A">
        <w:trPr>
          <w:tblHeader/>
        </w:trPr>
        <w:tc>
          <w:tcPr>
            <w:tcW w:w="1135" w:type="dxa"/>
          </w:tcPr>
          <w:p w14:paraId="18B67D82" w14:textId="77777777" w:rsidR="00543D47" w:rsidRPr="00C7200F" w:rsidRDefault="00543D47" w:rsidP="00D9610A">
            <w:pPr>
              <w:rPr>
                <w:b/>
                <w:sz w:val="18"/>
                <w:szCs w:val="18"/>
              </w:rPr>
            </w:pPr>
            <w:r w:rsidRPr="00C7200F">
              <w:rPr>
                <w:b/>
                <w:sz w:val="18"/>
                <w:szCs w:val="18"/>
              </w:rPr>
              <w:t>Item</w:t>
            </w:r>
          </w:p>
        </w:tc>
        <w:tc>
          <w:tcPr>
            <w:tcW w:w="4110" w:type="dxa"/>
          </w:tcPr>
          <w:p w14:paraId="2BF9AD0F" w14:textId="77777777" w:rsidR="00543D47" w:rsidRPr="00C7200F" w:rsidRDefault="00543D47" w:rsidP="00D9610A">
            <w:pPr>
              <w:rPr>
                <w:b/>
                <w:sz w:val="18"/>
                <w:szCs w:val="18"/>
              </w:rPr>
            </w:pPr>
            <w:r w:rsidRPr="00C7200F">
              <w:rPr>
                <w:b/>
                <w:sz w:val="18"/>
                <w:szCs w:val="18"/>
              </w:rPr>
              <w:t>Current item descriptor</w:t>
            </w:r>
          </w:p>
        </w:tc>
        <w:tc>
          <w:tcPr>
            <w:tcW w:w="4111" w:type="dxa"/>
          </w:tcPr>
          <w:p w14:paraId="2470E135" w14:textId="77777777" w:rsidR="00543D47" w:rsidRPr="00C7200F" w:rsidRDefault="00543D47" w:rsidP="00D9610A">
            <w:pPr>
              <w:rPr>
                <w:b/>
                <w:sz w:val="18"/>
                <w:szCs w:val="18"/>
              </w:rPr>
            </w:pPr>
            <w:r w:rsidRPr="00C7200F">
              <w:rPr>
                <w:b/>
                <w:sz w:val="18"/>
                <w:szCs w:val="18"/>
              </w:rPr>
              <w:t>Proposed item descriptor</w:t>
            </w:r>
          </w:p>
        </w:tc>
      </w:tr>
      <w:tr w:rsidR="00543D47" w14:paraId="091304D9" w14:textId="77777777" w:rsidTr="00D9610A">
        <w:tc>
          <w:tcPr>
            <w:tcW w:w="1135" w:type="dxa"/>
          </w:tcPr>
          <w:p w14:paraId="55E31BE7" w14:textId="77777777" w:rsidR="00543D47" w:rsidRPr="00C7200F" w:rsidRDefault="00543D47" w:rsidP="00D9610A">
            <w:pPr>
              <w:rPr>
                <w:sz w:val="18"/>
                <w:szCs w:val="18"/>
              </w:rPr>
            </w:pPr>
            <w:r w:rsidRPr="00C7200F">
              <w:rPr>
                <w:sz w:val="18"/>
                <w:szCs w:val="18"/>
              </w:rPr>
              <w:t>71062</w:t>
            </w:r>
          </w:p>
        </w:tc>
        <w:tc>
          <w:tcPr>
            <w:tcW w:w="4110" w:type="dxa"/>
          </w:tcPr>
          <w:p w14:paraId="04B258D2" w14:textId="77777777" w:rsidR="00543D47" w:rsidRPr="00C7200F" w:rsidRDefault="00543D47" w:rsidP="00D9610A">
            <w:pPr>
              <w:rPr>
                <w:sz w:val="18"/>
                <w:szCs w:val="18"/>
              </w:rPr>
            </w:pPr>
            <w:r w:rsidRPr="00C7200F">
              <w:rPr>
                <w:sz w:val="18"/>
                <w:szCs w:val="18"/>
              </w:rPr>
              <w:t xml:space="preserve">Electrophoresis and immunofixation or </w:t>
            </w:r>
            <w:proofErr w:type="spellStart"/>
            <w:r w:rsidRPr="00C7200F">
              <w:rPr>
                <w:sz w:val="18"/>
                <w:szCs w:val="18"/>
              </w:rPr>
              <w:t>immunoelectrophoresis</w:t>
            </w:r>
            <w:proofErr w:type="spellEnd"/>
            <w:r w:rsidRPr="00C7200F">
              <w:rPr>
                <w:sz w:val="18"/>
                <w:szCs w:val="18"/>
              </w:rPr>
              <w:t xml:space="preserve"> or isoelectric focussing of CSF for the detection of oligoclonal bands and including if required electrophoresis of the patient's serum for comparison purposes - 1 or more tests</w:t>
            </w:r>
          </w:p>
        </w:tc>
        <w:tc>
          <w:tcPr>
            <w:tcW w:w="4111" w:type="dxa"/>
          </w:tcPr>
          <w:p w14:paraId="490612FB" w14:textId="77777777" w:rsidR="00543D47" w:rsidRPr="00C7200F" w:rsidRDefault="00543D47" w:rsidP="00D9610A">
            <w:pPr>
              <w:rPr>
                <w:sz w:val="18"/>
                <w:szCs w:val="18"/>
              </w:rPr>
            </w:pPr>
            <w:r w:rsidRPr="00C7200F">
              <w:rPr>
                <w:sz w:val="18"/>
                <w:szCs w:val="18"/>
              </w:rPr>
              <w:t xml:space="preserve">Electrophoresis and immunofixation or </w:t>
            </w:r>
            <w:proofErr w:type="spellStart"/>
            <w:r w:rsidRPr="00C7200F">
              <w:rPr>
                <w:sz w:val="18"/>
                <w:szCs w:val="18"/>
              </w:rPr>
              <w:t>immunoelectrophoresis</w:t>
            </w:r>
            <w:proofErr w:type="spellEnd"/>
            <w:r w:rsidRPr="00C7200F">
              <w:rPr>
                <w:sz w:val="18"/>
                <w:szCs w:val="18"/>
              </w:rPr>
              <w:t xml:space="preserve"> or isoelectric focussing of CSF for the detection of oligoclonal bands and including electrophoresis of the patient's serum for comparison purposes - 1 or more tests</w:t>
            </w:r>
          </w:p>
        </w:tc>
      </w:tr>
      <w:tr w:rsidR="00543D47" w14:paraId="340C766B" w14:textId="77777777" w:rsidTr="00D9610A">
        <w:tc>
          <w:tcPr>
            <w:tcW w:w="1135" w:type="dxa"/>
          </w:tcPr>
          <w:p w14:paraId="39ADAE42" w14:textId="77777777" w:rsidR="00543D47" w:rsidRPr="00C7200F" w:rsidRDefault="00543D47" w:rsidP="00D9610A">
            <w:pPr>
              <w:rPr>
                <w:sz w:val="18"/>
                <w:szCs w:val="18"/>
              </w:rPr>
            </w:pPr>
            <w:r w:rsidRPr="00C7200F">
              <w:rPr>
                <w:sz w:val="18"/>
                <w:szCs w:val="18"/>
              </w:rPr>
              <w:t>71066</w:t>
            </w:r>
          </w:p>
        </w:tc>
        <w:tc>
          <w:tcPr>
            <w:tcW w:w="4110" w:type="dxa"/>
          </w:tcPr>
          <w:p w14:paraId="5702E102" w14:textId="77777777" w:rsidR="00543D47" w:rsidRPr="00C7200F" w:rsidRDefault="00543D47" w:rsidP="00D9610A">
            <w:pPr>
              <w:rPr>
                <w:sz w:val="18"/>
                <w:szCs w:val="18"/>
              </w:rPr>
            </w:pPr>
            <w:r w:rsidRPr="00C7200F">
              <w:rPr>
                <w:sz w:val="18"/>
                <w:szCs w:val="18"/>
              </w:rPr>
              <w:t xml:space="preserve">Quantitation of total immunoglobulin </w:t>
            </w:r>
            <w:r>
              <w:rPr>
                <w:sz w:val="18"/>
                <w:szCs w:val="18"/>
              </w:rPr>
              <w:t>A</w:t>
            </w:r>
            <w:r w:rsidRPr="00C7200F">
              <w:rPr>
                <w:sz w:val="18"/>
                <w:szCs w:val="18"/>
              </w:rPr>
              <w:t xml:space="preserve"> by any method in serum, urine or other body fluid – 1 test</w:t>
            </w:r>
          </w:p>
        </w:tc>
        <w:tc>
          <w:tcPr>
            <w:tcW w:w="4111" w:type="dxa"/>
          </w:tcPr>
          <w:p w14:paraId="247EEB0F" w14:textId="77777777" w:rsidR="00543D47" w:rsidRPr="00C7200F" w:rsidRDefault="00543D47" w:rsidP="00D9610A">
            <w:pPr>
              <w:rPr>
                <w:sz w:val="18"/>
                <w:szCs w:val="18"/>
              </w:rPr>
            </w:pPr>
            <w:r w:rsidRPr="00C7200F">
              <w:rPr>
                <w:sz w:val="18"/>
                <w:szCs w:val="18"/>
              </w:rPr>
              <w:t xml:space="preserve">Quantitation of total immunoglobulin </w:t>
            </w:r>
            <w:r>
              <w:rPr>
                <w:sz w:val="18"/>
                <w:szCs w:val="18"/>
              </w:rPr>
              <w:t>A</w:t>
            </w:r>
            <w:r w:rsidRPr="00C7200F">
              <w:rPr>
                <w:sz w:val="18"/>
                <w:szCs w:val="18"/>
              </w:rPr>
              <w:t xml:space="preserve"> by any method in serum – 1 test</w:t>
            </w:r>
          </w:p>
        </w:tc>
      </w:tr>
      <w:tr w:rsidR="00543D47" w14:paraId="1B7340E4" w14:textId="77777777" w:rsidTr="00D9610A">
        <w:tc>
          <w:tcPr>
            <w:tcW w:w="1135" w:type="dxa"/>
          </w:tcPr>
          <w:p w14:paraId="5D27A3C9" w14:textId="77777777" w:rsidR="00543D47" w:rsidRPr="00C7200F" w:rsidRDefault="00543D47" w:rsidP="00D9610A">
            <w:pPr>
              <w:rPr>
                <w:sz w:val="18"/>
                <w:szCs w:val="18"/>
              </w:rPr>
            </w:pPr>
            <w:r w:rsidRPr="00C7200F">
              <w:rPr>
                <w:sz w:val="18"/>
                <w:szCs w:val="18"/>
              </w:rPr>
              <w:t>71072</w:t>
            </w:r>
          </w:p>
        </w:tc>
        <w:tc>
          <w:tcPr>
            <w:tcW w:w="4110" w:type="dxa"/>
          </w:tcPr>
          <w:p w14:paraId="54C349B5" w14:textId="77777777" w:rsidR="00543D47" w:rsidRPr="00C7200F" w:rsidRDefault="00543D47" w:rsidP="00D9610A">
            <w:pPr>
              <w:rPr>
                <w:sz w:val="18"/>
                <w:szCs w:val="18"/>
              </w:rPr>
            </w:pPr>
            <w:r w:rsidRPr="00C7200F">
              <w:rPr>
                <w:sz w:val="18"/>
                <w:szCs w:val="18"/>
              </w:rPr>
              <w:t xml:space="preserve">Quantitation of total immunoglobulin </w:t>
            </w:r>
            <w:r>
              <w:rPr>
                <w:sz w:val="18"/>
                <w:szCs w:val="18"/>
              </w:rPr>
              <w:t>M</w:t>
            </w:r>
            <w:r w:rsidRPr="00C7200F">
              <w:rPr>
                <w:sz w:val="18"/>
                <w:szCs w:val="18"/>
              </w:rPr>
              <w:t xml:space="preserve"> by any method in serum, urine or other body fluid - 1 test</w:t>
            </w:r>
          </w:p>
        </w:tc>
        <w:tc>
          <w:tcPr>
            <w:tcW w:w="4111" w:type="dxa"/>
          </w:tcPr>
          <w:p w14:paraId="62EF8FF9" w14:textId="77777777" w:rsidR="00543D47" w:rsidRPr="00C7200F" w:rsidRDefault="00543D47" w:rsidP="00D9610A">
            <w:pPr>
              <w:rPr>
                <w:sz w:val="18"/>
                <w:szCs w:val="18"/>
              </w:rPr>
            </w:pPr>
            <w:r w:rsidRPr="00C7200F">
              <w:rPr>
                <w:sz w:val="18"/>
                <w:szCs w:val="18"/>
              </w:rPr>
              <w:t xml:space="preserve">Quantitation of total immunoglobulin </w:t>
            </w:r>
            <w:r>
              <w:rPr>
                <w:sz w:val="18"/>
                <w:szCs w:val="18"/>
              </w:rPr>
              <w:t>M</w:t>
            </w:r>
            <w:r w:rsidRPr="00C7200F">
              <w:rPr>
                <w:sz w:val="18"/>
                <w:szCs w:val="18"/>
              </w:rPr>
              <w:t xml:space="preserve"> by any method in serum - 1 test</w:t>
            </w:r>
          </w:p>
        </w:tc>
      </w:tr>
      <w:tr w:rsidR="00543D47" w14:paraId="16086A05" w14:textId="77777777" w:rsidTr="00D9610A">
        <w:tc>
          <w:tcPr>
            <w:tcW w:w="1135" w:type="dxa"/>
          </w:tcPr>
          <w:p w14:paraId="2F8D20DA" w14:textId="77777777" w:rsidR="00543D47" w:rsidRPr="00C7200F" w:rsidRDefault="00543D47" w:rsidP="00D9610A">
            <w:pPr>
              <w:rPr>
                <w:sz w:val="18"/>
                <w:szCs w:val="18"/>
              </w:rPr>
            </w:pPr>
            <w:r w:rsidRPr="00C7200F">
              <w:rPr>
                <w:sz w:val="18"/>
                <w:szCs w:val="18"/>
              </w:rPr>
              <w:t>71074</w:t>
            </w:r>
          </w:p>
        </w:tc>
        <w:tc>
          <w:tcPr>
            <w:tcW w:w="4110" w:type="dxa"/>
          </w:tcPr>
          <w:p w14:paraId="5432239C" w14:textId="77777777" w:rsidR="00543D47" w:rsidRPr="00C7200F" w:rsidRDefault="00543D47" w:rsidP="00D9610A">
            <w:pPr>
              <w:rPr>
                <w:sz w:val="18"/>
                <w:szCs w:val="18"/>
              </w:rPr>
            </w:pPr>
            <w:r w:rsidRPr="00C7200F">
              <w:rPr>
                <w:sz w:val="18"/>
                <w:szCs w:val="18"/>
              </w:rPr>
              <w:t xml:space="preserve">Quantitation of total immunoglobulin </w:t>
            </w:r>
            <w:r>
              <w:rPr>
                <w:sz w:val="18"/>
                <w:szCs w:val="18"/>
              </w:rPr>
              <w:t>D</w:t>
            </w:r>
            <w:r w:rsidRPr="00C7200F">
              <w:rPr>
                <w:sz w:val="18"/>
                <w:szCs w:val="18"/>
              </w:rPr>
              <w:t xml:space="preserve"> by any method in serum, urine or other body fluid - 1 test</w:t>
            </w:r>
          </w:p>
        </w:tc>
        <w:tc>
          <w:tcPr>
            <w:tcW w:w="4111" w:type="dxa"/>
          </w:tcPr>
          <w:p w14:paraId="228CFE67" w14:textId="77777777" w:rsidR="00543D47" w:rsidRPr="00C7200F" w:rsidRDefault="00543D47" w:rsidP="00D9610A">
            <w:pPr>
              <w:rPr>
                <w:sz w:val="18"/>
                <w:szCs w:val="18"/>
              </w:rPr>
            </w:pPr>
            <w:r w:rsidRPr="00C7200F">
              <w:rPr>
                <w:sz w:val="18"/>
                <w:szCs w:val="18"/>
              </w:rPr>
              <w:t xml:space="preserve">Quantitation of total immunoglobulin </w:t>
            </w:r>
            <w:r>
              <w:rPr>
                <w:sz w:val="18"/>
                <w:szCs w:val="18"/>
              </w:rPr>
              <w:t>D</w:t>
            </w:r>
            <w:r w:rsidRPr="00C7200F">
              <w:rPr>
                <w:sz w:val="18"/>
                <w:szCs w:val="18"/>
              </w:rPr>
              <w:t xml:space="preserve"> by any method in serum - 1 test</w:t>
            </w:r>
          </w:p>
        </w:tc>
      </w:tr>
    </w:tbl>
    <w:p w14:paraId="5BD808EC" w14:textId="77777777" w:rsidR="00543D47" w:rsidRDefault="00543D47" w:rsidP="00543D47"/>
    <w:p w14:paraId="09DB2E0A" w14:textId="77777777" w:rsidR="00543D47" w:rsidRDefault="00543D47" w:rsidP="00543D47">
      <w:pPr>
        <w:spacing w:before="0" w:after="0" w:line="240" w:lineRule="auto"/>
      </w:pPr>
      <w:r>
        <w:br w:type="page"/>
      </w:r>
    </w:p>
    <w:p w14:paraId="3881E31D" w14:textId="77777777" w:rsidR="00543D47" w:rsidRPr="002869DA" w:rsidRDefault="00543D47" w:rsidP="00543D47">
      <w:pPr>
        <w:pStyle w:val="Caption"/>
      </w:pPr>
      <w:bookmarkStart w:id="135" w:name="_Toc534374946"/>
      <w:r w:rsidRPr="002869DA">
        <w:lastRenderedPageBreak/>
        <w:t xml:space="preserve">Table </w:t>
      </w:r>
      <w:r>
        <w:t>40</w:t>
      </w:r>
      <w:r w:rsidRPr="002869DA">
        <w:t>. Current and proposed item descriptor for item 71200</w:t>
      </w:r>
      <w:bookmarkEnd w:id="135"/>
    </w:p>
    <w:tbl>
      <w:tblPr>
        <w:tblStyle w:val="TableGrid"/>
        <w:tblW w:w="9356" w:type="dxa"/>
        <w:tblInd w:w="-147"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71200 item descriptor"/>
        <w:tblDescription w:val="Table 40 is a 3 column table. Column 1 lists the item number, column 2 displays the current item descriptor and column 3 displays the proposed new item descriptor"/>
      </w:tblPr>
      <w:tblGrid>
        <w:gridCol w:w="1135"/>
        <w:gridCol w:w="4110"/>
        <w:gridCol w:w="4111"/>
      </w:tblGrid>
      <w:tr w:rsidR="00543D47" w:rsidRPr="00802A1A" w14:paraId="466A950A" w14:textId="77777777" w:rsidTr="00D9610A">
        <w:trPr>
          <w:tblHeader/>
        </w:trPr>
        <w:tc>
          <w:tcPr>
            <w:tcW w:w="1135" w:type="dxa"/>
          </w:tcPr>
          <w:p w14:paraId="69F2B330" w14:textId="77777777" w:rsidR="00543D47" w:rsidRPr="00C7200F" w:rsidRDefault="00543D47" w:rsidP="00D9610A">
            <w:pPr>
              <w:rPr>
                <w:b/>
                <w:sz w:val="18"/>
                <w:szCs w:val="18"/>
              </w:rPr>
            </w:pPr>
            <w:r w:rsidRPr="00C7200F">
              <w:rPr>
                <w:b/>
                <w:sz w:val="18"/>
                <w:szCs w:val="18"/>
              </w:rPr>
              <w:t>Item</w:t>
            </w:r>
          </w:p>
        </w:tc>
        <w:tc>
          <w:tcPr>
            <w:tcW w:w="4110" w:type="dxa"/>
          </w:tcPr>
          <w:p w14:paraId="1ED1289C" w14:textId="77777777" w:rsidR="00543D47" w:rsidRPr="00C7200F" w:rsidRDefault="00543D47" w:rsidP="00D9610A">
            <w:pPr>
              <w:rPr>
                <w:b/>
                <w:sz w:val="18"/>
                <w:szCs w:val="18"/>
              </w:rPr>
            </w:pPr>
            <w:r w:rsidRPr="00C7200F">
              <w:rPr>
                <w:b/>
                <w:sz w:val="18"/>
                <w:szCs w:val="18"/>
              </w:rPr>
              <w:t>Current item descriptor</w:t>
            </w:r>
          </w:p>
        </w:tc>
        <w:tc>
          <w:tcPr>
            <w:tcW w:w="4111" w:type="dxa"/>
          </w:tcPr>
          <w:p w14:paraId="590F98ED" w14:textId="77777777" w:rsidR="00543D47" w:rsidRPr="00C7200F" w:rsidRDefault="00543D47" w:rsidP="00D9610A">
            <w:pPr>
              <w:rPr>
                <w:b/>
                <w:sz w:val="18"/>
                <w:szCs w:val="18"/>
              </w:rPr>
            </w:pPr>
            <w:r w:rsidRPr="00C7200F">
              <w:rPr>
                <w:b/>
                <w:sz w:val="18"/>
                <w:szCs w:val="18"/>
              </w:rPr>
              <w:t>Proposed item descriptor</w:t>
            </w:r>
          </w:p>
        </w:tc>
      </w:tr>
      <w:tr w:rsidR="00543D47" w:rsidRPr="00802A1A" w14:paraId="66224635" w14:textId="77777777" w:rsidTr="00D9610A">
        <w:tc>
          <w:tcPr>
            <w:tcW w:w="1135" w:type="dxa"/>
          </w:tcPr>
          <w:p w14:paraId="01E46B6A" w14:textId="77777777" w:rsidR="00543D47" w:rsidRPr="00C7200F" w:rsidRDefault="00543D47" w:rsidP="00D9610A">
            <w:pPr>
              <w:rPr>
                <w:sz w:val="18"/>
                <w:szCs w:val="18"/>
              </w:rPr>
            </w:pPr>
            <w:r w:rsidRPr="00C7200F">
              <w:rPr>
                <w:sz w:val="18"/>
                <w:szCs w:val="18"/>
              </w:rPr>
              <w:t>71200</w:t>
            </w:r>
          </w:p>
        </w:tc>
        <w:tc>
          <w:tcPr>
            <w:tcW w:w="4110" w:type="dxa"/>
          </w:tcPr>
          <w:p w14:paraId="32F97FA0" w14:textId="77777777" w:rsidR="00543D47" w:rsidRPr="00C7200F" w:rsidRDefault="00543D47" w:rsidP="00D9610A">
            <w:pPr>
              <w:rPr>
                <w:sz w:val="18"/>
                <w:szCs w:val="18"/>
              </w:rPr>
            </w:pPr>
            <w:r w:rsidRPr="00C7200F">
              <w:rPr>
                <w:sz w:val="18"/>
                <w:szCs w:val="18"/>
              </w:rPr>
              <w:t>Detection and quantitation, if present, of free kappa and lambda light chains in serum for the diagnosis or monitoring of amyloidosis, myeloma or plasma cell dyscrasias.</w:t>
            </w:r>
          </w:p>
        </w:tc>
        <w:tc>
          <w:tcPr>
            <w:tcW w:w="4111" w:type="dxa"/>
          </w:tcPr>
          <w:p w14:paraId="28A1E6DC" w14:textId="77777777" w:rsidR="00543D47" w:rsidRPr="00C7200F" w:rsidRDefault="00543D47" w:rsidP="00D9610A">
            <w:pPr>
              <w:rPr>
                <w:i/>
                <w:sz w:val="18"/>
                <w:szCs w:val="18"/>
              </w:rPr>
            </w:pPr>
            <w:r w:rsidRPr="00C7200F">
              <w:rPr>
                <w:sz w:val="18"/>
                <w:szCs w:val="18"/>
              </w:rPr>
              <w:t xml:space="preserve">Detection and quantitation, if present, of free kappa and lambda light chains in serum for the diagnosis or monitoring of amyloidosis, myeloma or plasma cell dyscrasias. </w:t>
            </w:r>
            <w:r w:rsidRPr="00C7200F">
              <w:rPr>
                <w:i/>
                <w:sz w:val="18"/>
                <w:szCs w:val="18"/>
              </w:rPr>
              <w:t>This test is not to be used for the diagnosis or monitoring of lymphoma.</w:t>
            </w:r>
          </w:p>
        </w:tc>
      </w:tr>
    </w:tbl>
    <w:p w14:paraId="4BEC599D" w14:textId="77777777" w:rsidR="00543D47" w:rsidRDefault="00543D47" w:rsidP="00543D47">
      <w:pPr>
        <w:pStyle w:val="Heading3Numbered"/>
      </w:pPr>
      <w:r>
        <w:t>Thyroid antibodies</w:t>
      </w:r>
    </w:p>
    <w:p w14:paraId="4536A743" w14:textId="77777777" w:rsidR="00543D47" w:rsidRDefault="00543D47" w:rsidP="00543D47">
      <w:r>
        <w:t xml:space="preserve">Based on initial advice from the Endocrine Clinical Committee and subsequent </w:t>
      </w:r>
      <w:r w:rsidRPr="00B1400B">
        <w:rPr>
          <w:lang w:val="en-US" w:eastAsia="en-US"/>
        </w:rPr>
        <w:t xml:space="preserve">input from the Immunology </w:t>
      </w:r>
      <w:r>
        <w:rPr>
          <w:lang w:val="en-US" w:eastAsia="en-US"/>
        </w:rPr>
        <w:t>and Chemical Working Groups,</w:t>
      </w:r>
      <w:r w:rsidRPr="00B1400B">
        <w:rPr>
          <w:lang w:val="en-US" w:eastAsia="en-US"/>
        </w:rPr>
        <w:t xml:space="preserve"> the </w:t>
      </w:r>
      <w:r>
        <w:t>following recommendations are made.</w:t>
      </w:r>
    </w:p>
    <w:p w14:paraId="5CBB9D44" w14:textId="77777777" w:rsidR="00543D47" w:rsidRDefault="00543D47" w:rsidP="00543D47">
      <w:pPr>
        <w:pStyle w:val="Heading4"/>
      </w:pPr>
      <w:r>
        <w:t>Recommendations</w:t>
      </w:r>
    </w:p>
    <w:p w14:paraId="248D1112" w14:textId="77777777" w:rsidR="00543D47" w:rsidRDefault="00543D47" w:rsidP="00543D47">
      <w:pPr>
        <w:pStyle w:val="NormalBulleted"/>
      </w:pPr>
      <w:r>
        <w:t>Remove the thyroid antibodies (anti-thyroglobulin Ab, thyroid microsome Ab and thyroid stimulating hormone receptor Ab) from the suite of tests currently covered under items 71165–71168 and create new distinct thyroid antibodies items.</w:t>
      </w:r>
    </w:p>
    <w:p w14:paraId="52D4B16F" w14:textId="77777777" w:rsidR="00543D47" w:rsidRPr="00FC32F8" w:rsidRDefault="00543D47" w:rsidP="00543D47">
      <w:pPr>
        <w:pStyle w:val="NormalBulleted"/>
      </w:pPr>
      <w:r w:rsidRPr="00FC32F8">
        <w:t xml:space="preserve">Remove the word thyroglobulin </w:t>
      </w:r>
      <w:r>
        <w:t xml:space="preserve">from items </w:t>
      </w:r>
      <w:r w:rsidRPr="00FC32F8">
        <w:t>71165</w:t>
      </w:r>
      <w:r>
        <w:t>-71168</w:t>
      </w:r>
      <w:r w:rsidRPr="00FC32F8">
        <w:t xml:space="preserve">: </w:t>
      </w:r>
    </w:p>
    <w:p w14:paraId="44A7DD9E" w14:textId="77777777" w:rsidR="00543D47" w:rsidRDefault="00543D47" w:rsidP="00543D47">
      <w:pPr>
        <w:pStyle w:val="NormalBulleted"/>
      </w:pPr>
      <w:r>
        <w:t>Create new item descriptors for thyroid antibodies:</w:t>
      </w:r>
    </w:p>
    <w:p w14:paraId="76EDDE9F" w14:textId="77777777" w:rsidR="00543D47" w:rsidRDefault="00543D47" w:rsidP="00543D47">
      <w:pPr>
        <w:pStyle w:val="NormalBulleted"/>
        <w:numPr>
          <w:ilvl w:val="1"/>
          <w:numId w:val="7"/>
        </w:numPr>
        <w:ind w:left="1276" w:hanging="425"/>
      </w:pPr>
      <w:r>
        <w:t>71171: Thyroid peroxidase antibody. To a maximum of 2 within in a 12-month period (Item is subject to rule 25).</w:t>
      </w:r>
    </w:p>
    <w:p w14:paraId="1E826D01" w14:textId="77777777" w:rsidR="00543D47" w:rsidRDefault="00543D47" w:rsidP="00543D47">
      <w:pPr>
        <w:pStyle w:val="NormalBulleted"/>
        <w:numPr>
          <w:ilvl w:val="1"/>
          <w:numId w:val="7"/>
        </w:numPr>
        <w:ind w:left="1276" w:hanging="425"/>
      </w:pPr>
      <w:r>
        <w:t>71172: In patients with newly diagnosed hyperthyroidism. Two antibodies: thyroid peroxidase antibody and thyroid receptor antibody (TRAB) and/or thyroid stimulating antibodies (TSI) for the differential diagnosis of hyperthyroidism. To a maximum of 1 in a 12-month period (Item is subject to rule 25).</w:t>
      </w:r>
    </w:p>
    <w:p w14:paraId="0C9C80EE" w14:textId="77777777" w:rsidR="00543D47" w:rsidRDefault="00543D47" w:rsidP="00543D47">
      <w:pPr>
        <w:pStyle w:val="NormalBulleted"/>
        <w:numPr>
          <w:ilvl w:val="1"/>
          <w:numId w:val="7"/>
        </w:numPr>
        <w:ind w:left="1276" w:hanging="425"/>
      </w:pPr>
      <w:r>
        <w:t xml:space="preserve">71173: Thyroid receptor antibody (TRAB) or thyroid stimulating antibodies (TSI) for diagnosis and monitoring of patients with previously diagnosed </w:t>
      </w:r>
      <w:proofErr w:type="spellStart"/>
      <w:r>
        <w:t>Graves</w:t>
      </w:r>
      <w:proofErr w:type="spellEnd"/>
      <w:r>
        <w:t xml:space="preserve"> disease. To a maximum of 4 tests in a 12-month period (Item is subject to rule 25).</w:t>
      </w:r>
    </w:p>
    <w:p w14:paraId="6B0ADB76" w14:textId="77777777" w:rsidR="00543D47" w:rsidRDefault="00543D47" w:rsidP="00543D47">
      <w:pPr>
        <w:pStyle w:val="NormalBulleted"/>
        <w:numPr>
          <w:ilvl w:val="1"/>
          <w:numId w:val="7"/>
        </w:numPr>
        <w:ind w:left="1276" w:hanging="425"/>
      </w:pPr>
      <w:r>
        <w:t xml:space="preserve">71174: Testing for thyroglobulin as well as thyroglobulin antibody for monitoring of patients with thyroid cancer. To a maximum of 2 of this </w:t>
      </w:r>
      <w:proofErr w:type="gramStart"/>
      <w:r>
        <w:t>item</w:t>
      </w:r>
      <w:proofErr w:type="gramEnd"/>
      <w:r>
        <w:t xml:space="preserve"> in a 12-month period (Item is subject to rule 25).</w:t>
      </w:r>
    </w:p>
    <w:p w14:paraId="1A923621" w14:textId="77777777" w:rsidR="00543D47" w:rsidRDefault="00543D47" w:rsidP="00543D47">
      <w:pPr>
        <w:pStyle w:val="Heading4"/>
        <w:rPr>
          <w:lang w:val="en-AU"/>
        </w:rPr>
      </w:pPr>
      <w:r w:rsidRPr="0057193B">
        <w:rPr>
          <w:lang w:val="en-AU"/>
        </w:rPr>
        <w:t>Rationale</w:t>
      </w:r>
      <w:r>
        <w:rPr>
          <w:lang w:val="en-AU"/>
        </w:rPr>
        <w:t xml:space="preserve"> </w:t>
      </w:r>
    </w:p>
    <w:p w14:paraId="763357FE" w14:textId="77777777" w:rsidR="00543D47" w:rsidRDefault="00543D47" w:rsidP="00543D47">
      <w:pPr>
        <w:pStyle w:val="NormalBulleted"/>
      </w:pPr>
      <w:r>
        <w:t>The recommendation focuses on encouraging best practice and optimal patient care. Simplifying the item numbers was identified as the primary lever for achieving this, based on the following observations.</w:t>
      </w:r>
    </w:p>
    <w:p w14:paraId="2AC39A78" w14:textId="77777777" w:rsidR="00543D47" w:rsidRDefault="00543D47" w:rsidP="00543D47">
      <w:pPr>
        <w:pStyle w:val="NormalBulleted"/>
      </w:pPr>
      <w:proofErr w:type="gramStart"/>
      <w:r>
        <w:t>A large number of</w:t>
      </w:r>
      <w:proofErr w:type="gramEnd"/>
      <w:r>
        <w:t xml:space="preserve"> tests are performed under these item numbers. In financial year 2014/15, the items accounted for approximately 500,000 services (this figure has increased by 11.1% per year over the last five years) and $18.5 million in total benefits.</w:t>
      </w:r>
      <w:r>
        <w:fldChar w:fldCharType="begin"/>
      </w:r>
      <w:r>
        <w:instrText xml:space="preserve"> ADDIN EN.CITE &lt;EndNote&gt;&lt;Cite&gt;&lt;Author&gt;Department of Health&lt;/Author&gt;&lt;Year&gt;2016&lt;/Year&gt;&lt;RecNum&gt;16&lt;/RecNum&gt;&lt;DisplayText&gt;&lt;style face="superscript"&gt;10&lt;/style&gt;&lt;/DisplayText&gt;&lt;record&gt;&lt;rec-number&gt;16&lt;/rec-number&gt;&lt;foreign-keys&gt;&lt;key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fldChar w:fldCharType="separate"/>
      </w:r>
      <w:r w:rsidRPr="00811642">
        <w:rPr>
          <w:noProof/>
          <w:vertAlign w:val="superscript"/>
        </w:rPr>
        <w:t>10</w:t>
      </w:r>
      <w:r>
        <w:fldChar w:fldCharType="end"/>
      </w:r>
    </w:p>
    <w:p w14:paraId="2D09B65A" w14:textId="77777777" w:rsidR="00543D47" w:rsidRDefault="00543D47" w:rsidP="00543D47">
      <w:pPr>
        <w:pStyle w:val="NormalBulleted"/>
      </w:pPr>
      <w:r>
        <w:t xml:space="preserve">The current list within the item descriptor for item 71165 contains 20 antibodies, which makes it impossible to discern how much thyroid antibody testing is undertaken. The Committee felt </w:t>
      </w:r>
      <w:r>
        <w:lastRenderedPageBreak/>
        <w:t>that there is no clinical reason for including these antibodies in a single item number as there is no relationship between the tests. This makes it confusing for both requesting doctors and providing pathologists, often leading to sub-optimal testing and the incorrect billing of patients. To address this, the Committee felt that the thyroid antibody testing should have distinctive items, and that the clinical purpose of the tests should be included in the item descriptors. This will enable data collection and support the appropriate use of these tests.</w:t>
      </w:r>
    </w:p>
    <w:p w14:paraId="68A55C7B" w14:textId="77777777" w:rsidR="00543D47" w:rsidRDefault="00543D47" w:rsidP="00543D47">
      <w:pPr>
        <w:pStyle w:val="NormalBulleted"/>
      </w:pPr>
      <w:r>
        <w:t xml:space="preserve">There is no clinical value in doing several antibody tests in the investigation of </w:t>
      </w:r>
      <w:proofErr w:type="gramStart"/>
      <w:r>
        <w:t>hypothyroidism</w:t>
      </w:r>
      <w:proofErr w:type="gramEnd"/>
      <w:r>
        <w:t xml:space="preserve"> but some patients require two tests in the investigation of hyperthyroidism. </w:t>
      </w:r>
    </w:p>
    <w:p w14:paraId="2AD9C6F5" w14:textId="77777777" w:rsidR="00543D47" w:rsidRDefault="00543D47" w:rsidP="00543D47">
      <w:pPr>
        <w:pStyle w:val="NormalBulleted"/>
      </w:pPr>
      <w:r>
        <w:t xml:space="preserve">The Committee proposes to remove ‘thyroglobulin antibodies’ from item descriptor as thyroglobulin Abs have inferior diagnostic performance compared to anti-thyroid peroxidase antibody Ab in patients with incipient </w:t>
      </w:r>
      <w:proofErr w:type="spellStart"/>
      <w:r w:rsidRPr="009E0F49">
        <w:t>H</w:t>
      </w:r>
      <w:r>
        <w:t>ashimoto</w:t>
      </w:r>
      <w:r w:rsidRPr="009E0F49">
        <w:t>s</w:t>
      </w:r>
      <w:proofErr w:type="spellEnd"/>
      <w:r w:rsidRPr="009E0F49">
        <w:t xml:space="preserve"> hypothyroidism</w:t>
      </w:r>
      <w:r>
        <w:t xml:space="preserve">. The levels of such antibodies vary typically from year to year, and rarely change within a three-month period. </w:t>
      </w:r>
    </w:p>
    <w:p w14:paraId="7FB26A89" w14:textId="77777777" w:rsidR="00543D47" w:rsidRDefault="00543D47" w:rsidP="00543D47">
      <w:pPr>
        <w:pStyle w:val="NormalBulleted"/>
      </w:pPr>
      <w:r>
        <w:t xml:space="preserve">The Committee proposes to limit this test to 4 tests within a 12-month period for the investigation of </w:t>
      </w:r>
      <w:proofErr w:type="spellStart"/>
      <w:r>
        <w:t>Graves</w:t>
      </w:r>
      <w:proofErr w:type="spellEnd"/>
      <w:r>
        <w:t xml:space="preserve"> disease as there is no clinical need to perform more than this within this patient population. The Committee proposes to limit testing for thyroglobulin and thyroid peroxidase to 2 tests with a 12-month period as there is no clinical need to perform this test more than this within this patient population. The Committee proposes to limit testing for hyperthyroidism to 1 occasion within a 12-month period to identify the cause of the hyperthyroidism. </w:t>
      </w:r>
    </w:p>
    <w:p w14:paraId="7AADF92F" w14:textId="77777777" w:rsidR="00543D47" w:rsidRDefault="00543D47" w:rsidP="00543D47">
      <w:pPr>
        <w:pStyle w:val="NormalBulleted"/>
      </w:pPr>
      <w:r>
        <w:t>In the follow up of patients with papillary or follicular thyroid cancer, thyroglobulin is a valuable test after the thyroid has been ablated and only tumour tissue remains as the thyroglobulin-producing tissue. The presence of anti-thyroglobulin antibodies interferes with the test performance and therefore it is clinically appropriate to don these tests together.</w:t>
      </w:r>
    </w:p>
    <w:p w14:paraId="7F3D842B" w14:textId="77777777" w:rsidR="00543D47" w:rsidRDefault="00543D47" w:rsidP="00543D47">
      <w:pPr>
        <w:pStyle w:val="Caption"/>
      </w:pPr>
      <w:bookmarkStart w:id="136" w:name="_Toc534374947"/>
      <w:r w:rsidRPr="002869DA">
        <w:t xml:space="preserve">Table </w:t>
      </w:r>
      <w:r>
        <w:t>41</w:t>
      </w:r>
      <w:r w:rsidRPr="002869DA">
        <w:t>. Current and propose</w:t>
      </w:r>
      <w:r>
        <w:t xml:space="preserve">d item </w:t>
      </w:r>
      <w:r w:rsidRPr="0084564E">
        <w:t>descriptor</w:t>
      </w:r>
      <w:r>
        <w:t>s</w:t>
      </w:r>
      <w:r w:rsidRPr="0084564E">
        <w:t xml:space="preserve"> for </w:t>
      </w:r>
      <w:r w:rsidRPr="005B34AF">
        <w:rPr>
          <w:szCs w:val="20"/>
        </w:rPr>
        <w:t>Items 71165–71168</w:t>
      </w:r>
      <w:bookmarkEnd w:id="136"/>
    </w:p>
    <w:tbl>
      <w:tblPr>
        <w:tblStyle w:val="TableGrid"/>
        <w:tblW w:w="935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71165-71168 item descriptors"/>
        <w:tblDescription w:val="Table 41 is a 3 column table. Column 1 lists the item number, column 2 displays the current item descriptor and column 3 displays the proposed new item descriptor"/>
      </w:tblPr>
      <w:tblGrid>
        <w:gridCol w:w="1134"/>
        <w:gridCol w:w="4110"/>
        <w:gridCol w:w="4110"/>
      </w:tblGrid>
      <w:tr w:rsidR="00543D47" w14:paraId="5EC7F2D0" w14:textId="77777777" w:rsidTr="00D9610A">
        <w:trPr>
          <w:tblHeader/>
        </w:trPr>
        <w:tc>
          <w:tcPr>
            <w:tcW w:w="1134" w:type="dxa"/>
          </w:tcPr>
          <w:p w14:paraId="76046ED0" w14:textId="77777777" w:rsidR="00543D47" w:rsidRPr="005B34AF" w:rsidRDefault="00543D47" w:rsidP="00D9610A">
            <w:pPr>
              <w:rPr>
                <w:sz w:val="18"/>
                <w:szCs w:val="18"/>
              </w:rPr>
            </w:pPr>
            <w:r w:rsidRPr="005B34AF">
              <w:rPr>
                <w:b/>
                <w:sz w:val="18"/>
                <w:szCs w:val="18"/>
              </w:rPr>
              <w:t>Item</w:t>
            </w:r>
          </w:p>
        </w:tc>
        <w:tc>
          <w:tcPr>
            <w:tcW w:w="4110" w:type="dxa"/>
          </w:tcPr>
          <w:p w14:paraId="231C11E2" w14:textId="77777777" w:rsidR="00543D47" w:rsidRPr="005B34AF" w:rsidRDefault="00543D47" w:rsidP="00D9610A">
            <w:pPr>
              <w:rPr>
                <w:sz w:val="18"/>
                <w:szCs w:val="18"/>
              </w:rPr>
            </w:pPr>
            <w:r w:rsidRPr="005B34AF">
              <w:rPr>
                <w:b/>
                <w:sz w:val="18"/>
                <w:szCs w:val="18"/>
              </w:rPr>
              <w:t>Current item descriptor</w:t>
            </w:r>
          </w:p>
        </w:tc>
        <w:tc>
          <w:tcPr>
            <w:tcW w:w="4110" w:type="dxa"/>
          </w:tcPr>
          <w:p w14:paraId="06E6C95F" w14:textId="77777777" w:rsidR="00543D47" w:rsidRPr="005B34AF" w:rsidRDefault="00543D47" w:rsidP="00D9610A">
            <w:pPr>
              <w:rPr>
                <w:sz w:val="18"/>
                <w:szCs w:val="18"/>
              </w:rPr>
            </w:pPr>
            <w:r w:rsidRPr="005B34AF">
              <w:rPr>
                <w:b/>
                <w:sz w:val="18"/>
                <w:szCs w:val="18"/>
              </w:rPr>
              <w:t>Proposed item descriptor</w:t>
            </w:r>
          </w:p>
        </w:tc>
      </w:tr>
      <w:tr w:rsidR="00543D47" w14:paraId="0B0CB68D" w14:textId="77777777" w:rsidTr="00D9610A">
        <w:tc>
          <w:tcPr>
            <w:tcW w:w="1134" w:type="dxa"/>
          </w:tcPr>
          <w:p w14:paraId="37BB0355" w14:textId="77777777" w:rsidR="00543D47" w:rsidRPr="005B34AF" w:rsidRDefault="00543D47" w:rsidP="00D9610A">
            <w:pPr>
              <w:rPr>
                <w:sz w:val="18"/>
                <w:szCs w:val="18"/>
              </w:rPr>
            </w:pPr>
            <w:r w:rsidRPr="0054223A">
              <w:rPr>
                <w:sz w:val="18"/>
                <w:szCs w:val="18"/>
              </w:rPr>
              <w:t>71165</w:t>
            </w:r>
          </w:p>
        </w:tc>
        <w:tc>
          <w:tcPr>
            <w:tcW w:w="4110" w:type="dxa"/>
            <w:vAlign w:val="center"/>
          </w:tcPr>
          <w:p w14:paraId="1C7BB1B1" w14:textId="77777777" w:rsidR="00543D47" w:rsidRPr="005B34AF" w:rsidRDefault="00543D47" w:rsidP="00D9610A">
            <w:pPr>
              <w:rPr>
                <w:sz w:val="18"/>
                <w:szCs w:val="18"/>
              </w:rPr>
            </w:pPr>
            <w:r w:rsidRPr="005B34AF">
              <w:rPr>
                <w:sz w:val="18"/>
                <w:szCs w:val="18"/>
              </w:rPr>
              <w:t>Detection of 1 antibody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w:t>
            </w:r>
          </w:p>
        </w:tc>
        <w:tc>
          <w:tcPr>
            <w:tcW w:w="4110" w:type="dxa"/>
          </w:tcPr>
          <w:p w14:paraId="505C96A9" w14:textId="77777777" w:rsidR="00543D47" w:rsidRPr="005B34AF" w:rsidRDefault="00543D47" w:rsidP="00D9610A">
            <w:pPr>
              <w:rPr>
                <w:sz w:val="18"/>
                <w:szCs w:val="18"/>
              </w:rPr>
            </w:pPr>
            <w:r w:rsidRPr="005B34AF">
              <w:rPr>
                <w:sz w:val="18"/>
                <w:szCs w:val="18"/>
              </w:rPr>
              <w:t>Detection of 1 antibody to tissue antigens (acetylcholine receptor, adrenal cortex, heart, histone, insulin, insulin receptor, intrinsic factor, islet cell, lymphocyte, neuron, ovary, parathyroid, platelet, salivary gland, skeletal muscle, skin basement membrane and intercellular substance</w:t>
            </w:r>
            <w:r>
              <w:rPr>
                <w:sz w:val="18"/>
                <w:szCs w:val="18"/>
              </w:rPr>
              <w:t>).</w:t>
            </w:r>
          </w:p>
        </w:tc>
      </w:tr>
      <w:tr w:rsidR="00543D47" w14:paraId="4CF05E67" w14:textId="77777777" w:rsidTr="00D9610A">
        <w:tc>
          <w:tcPr>
            <w:tcW w:w="1134" w:type="dxa"/>
          </w:tcPr>
          <w:p w14:paraId="01C3FAF2" w14:textId="77777777" w:rsidR="00543D47" w:rsidRPr="005B34AF" w:rsidRDefault="00543D47" w:rsidP="00D9610A">
            <w:pPr>
              <w:rPr>
                <w:sz w:val="18"/>
                <w:szCs w:val="18"/>
              </w:rPr>
            </w:pPr>
            <w:r w:rsidRPr="0054223A">
              <w:rPr>
                <w:sz w:val="18"/>
                <w:szCs w:val="18"/>
              </w:rPr>
              <w:t>71166</w:t>
            </w:r>
          </w:p>
        </w:tc>
        <w:tc>
          <w:tcPr>
            <w:tcW w:w="4110" w:type="dxa"/>
          </w:tcPr>
          <w:p w14:paraId="567EC079" w14:textId="77777777" w:rsidR="00543D47" w:rsidRPr="005B34AF" w:rsidRDefault="00543D47" w:rsidP="00D9610A">
            <w:pPr>
              <w:rPr>
                <w:sz w:val="18"/>
                <w:szCs w:val="18"/>
              </w:rPr>
            </w:pPr>
            <w:r w:rsidRPr="005B34AF">
              <w:rPr>
                <w:sz w:val="18"/>
                <w:szCs w:val="18"/>
              </w:rPr>
              <w:t xml:space="preserve">Detection of 2 antibodies to tissue antigens (acetylcholine receptor, adrenal cortex, heart, histone, insulin, insulin receptor, intrinsic factor, islet cell, lymphocyte, neuron, ovary, parathyroid, platelet, salivary gland, skeletal muscle, skin basement membrane and intercellular substance, </w:t>
            </w:r>
            <w:r w:rsidRPr="005B34AF">
              <w:rPr>
                <w:sz w:val="18"/>
                <w:szCs w:val="18"/>
              </w:rPr>
              <w:lastRenderedPageBreak/>
              <w:t>thyroglobulin, thyroid microsome or thyroid stimulating hormone receptor)</w:t>
            </w:r>
          </w:p>
        </w:tc>
        <w:tc>
          <w:tcPr>
            <w:tcW w:w="4110" w:type="dxa"/>
          </w:tcPr>
          <w:p w14:paraId="57AAC264" w14:textId="77777777" w:rsidR="00543D47" w:rsidRPr="005B34AF" w:rsidRDefault="00543D47" w:rsidP="00D9610A">
            <w:pPr>
              <w:rPr>
                <w:sz w:val="18"/>
                <w:szCs w:val="18"/>
              </w:rPr>
            </w:pPr>
            <w:r w:rsidRPr="005B34AF">
              <w:rPr>
                <w:sz w:val="18"/>
                <w:szCs w:val="18"/>
              </w:rPr>
              <w:lastRenderedPageBreak/>
              <w:t>Detection of 2 antibodies to tissue antigens (acetylcholine receptor, adrenal cortex, heart, histone, insulin, insulin receptor, intrinsic factor, islet cell, lymphocyte, neuron, ovary, parathyroid, platelet, salivary gland, skeletal muscle, skin basement membrane and intercellular substance)</w:t>
            </w:r>
          </w:p>
        </w:tc>
      </w:tr>
      <w:tr w:rsidR="00543D47" w14:paraId="2F06E6EA" w14:textId="77777777" w:rsidTr="00D9610A">
        <w:tc>
          <w:tcPr>
            <w:tcW w:w="1134" w:type="dxa"/>
          </w:tcPr>
          <w:p w14:paraId="3C627AB9" w14:textId="77777777" w:rsidR="00543D47" w:rsidRPr="005B34AF" w:rsidRDefault="00543D47" w:rsidP="00D9610A">
            <w:pPr>
              <w:rPr>
                <w:sz w:val="18"/>
                <w:szCs w:val="18"/>
              </w:rPr>
            </w:pPr>
            <w:r w:rsidRPr="005B34AF">
              <w:rPr>
                <w:rFonts w:ascii="Calibri" w:hAnsi="Calibri"/>
                <w:color w:val="000000"/>
                <w:sz w:val="18"/>
                <w:szCs w:val="18"/>
              </w:rPr>
              <w:t>71167</w:t>
            </w:r>
          </w:p>
        </w:tc>
        <w:tc>
          <w:tcPr>
            <w:tcW w:w="4110" w:type="dxa"/>
          </w:tcPr>
          <w:p w14:paraId="290AD4DD" w14:textId="77777777" w:rsidR="00543D47" w:rsidRPr="005B34AF" w:rsidRDefault="00543D47" w:rsidP="00D9610A">
            <w:pPr>
              <w:rPr>
                <w:sz w:val="18"/>
                <w:szCs w:val="18"/>
              </w:rPr>
            </w:pPr>
            <w:r w:rsidRPr="005B34AF">
              <w:rPr>
                <w:sz w:val="18"/>
                <w:szCs w:val="18"/>
              </w:rPr>
              <w:t>Detection of 3 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w:t>
            </w:r>
          </w:p>
        </w:tc>
        <w:tc>
          <w:tcPr>
            <w:tcW w:w="4110" w:type="dxa"/>
          </w:tcPr>
          <w:p w14:paraId="1F94EAF8" w14:textId="77777777" w:rsidR="00543D47" w:rsidRPr="005B34AF" w:rsidRDefault="00543D47" w:rsidP="00D9610A">
            <w:pPr>
              <w:rPr>
                <w:sz w:val="18"/>
                <w:szCs w:val="18"/>
              </w:rPr>
            </w:pPr>
            <w:r w:rsidRPr="005B34AF">
              <w:rPr>
                <w:sz w:val="18"/>
                <w:szCs w:val="18"/>
              </w:rPr>
              <w:t>Detection of 3 antibodies to tissue antigens (acetylcholine receptor, adrenal cortex, heart, histone, insulin, insulin receptor, intrinsic factor, islet cell, lymphocyte, neuron, ovary, parathyroid, platelet, salivary gland, skeletal muscle, skin basement membrane and intercellular substance)</w:t>
            </w:r>
          </w:p>
        </w:tc>
      </w:tr>
      <w:tr w:rsidR="00543D47" w14:paraId="3DB7050E" w14:textId="77777777" w:rsidTr="00D9610A">
        <w:tc>
          <w:tcPr>
            <w:tcW w:w="1134" w:type="dxa"/>
          </w:tcPr>
          <w:p w14:paraId="36D5690A" w14:textId="77777777" w:rsidR="00543D47" w:rsidRPr="005B34AF" w:rsidRDefault="00543D47" w:rsidP="00D9610A">
            <w:pPr>
              <w:rPr>
                <w:sz w:val="18"/>
                <w:szCs w:val="18"/>
              </w:rPr>
            </w:pPr>
            <w:r w:rsidRPr="005B34AF">
              <w:rPr>
                <w:rFonts w:ascii="Calibri" w:hAnsi="Calibri"/>
                <w:color w:val="000000"/>
                <w:sz w:val="18"/>
                <w:szCs w:val="18"/>
              </w:rPr>
              <w:t>71168</w:t>
            </w:r>
          </w:p>
        </w:tc>
        <w:tc>
          <w:tcPr>
            <w:tcW w:w="4110" w:type="dxa"/>
          </w:tcPr>
          <w:p w14:paraId="342B69CB" w14:textId="77777777" w:rsidR="00543D47" w:rsidRPr="005B34AF" w:rsidRDefault="00543D47" w:rsidP="00D9610A">
            <w:pPr>
              <w:rPr>
                <w:sz w:val="18"/>
                <w:szCs w:val="18"/>
              </w:rPr>
            </w:pPr>
            <w:r w:rsidRPr="005B34AF">
              <w:rPr>
                <w:sz w:val="18"/>
                <w:szCs w:val="18"/>
              </w:rPr>
              <w:t>Detection of 4 or more 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w:t>
            </w:r>
          </w:p>
        </w:tc>
        <w:tc>
          <w:tcPr>
            <w:tcW w:w="4110" w:type="dxa"/>
          </w:tcPr>
          <w:p w14:paraId="00865D54" w14:textId="77777777" w:rsidR="00543D47" w:rsidRPr="005B34AF" w:rsidRDefault="00543D47" w:rsidP="00D9610A">
            <w:pPr>
              <w:rPr>
                <w:sz w:val="18"/>
                <w:szCs w:val="18"/>
              </w:rPr>
            </w:pPr>
            <w:r w:rsidRPr="005B34AF">
              <w:rPr>
                <w:sz w:val="18"/>
                <w:szCs w:val="18"/>
              </w:rPr>
              <w:t>Detection of 4 or more antibodies to tissue antigens (acetylcholine receptor, adrenal cortex, heart, histone, insulin, insulin receptor, intrinsic factor, islet cell, lymphocyte, neuron, ovary, parathyroid, platelet, salivary gland, skeletal muscle, skin basement membrane and intercellular substance)</w:t>
            </w:r>
          </w:p>
        </w:tc>
      </w:tr>
    </w:tbl>
    <w:p w14:paraId="3149C401" w14:textId="77777777" w:rsidR="00543D47" w:rsidRDefault="00543D47" w:rsidP="00543D47"/>
    <w:p w14:paraId="75F1181A" w14:textId="77777777" w:rsidR="00543D47" w:rsidRDefault="00543D47" w:rsidP="00543D47">
      <w:pPr>
        <w:pStyle w:val="Caption"/>
      </w:pPr>
      <w:bookmarkStart w:id="137" w:name="_Toc534374948"/>
      <w:r w:rsidRPr="002869DA">
        <w:t xml:space="preserve">Table </w:t>
      </w:r>
      <w:r>
        <w:t>42</w:t>
      </w:r>
      <w:r w:rsidRPr="002869DA">
        <w:t xml:space="preserve">. </w:t>
      </w:r>
      <w:r>
        <w:t xml:space="preserve">New item </w:t>
      </w:r>
      <w:r w:rsidRPr="0084564E">
        <w:t>descriptor</w:t>
      </w:r>
      <w:r>
        <w:t>s</w:t>
      </w:r>
      <w:r w:rsidRPr="0084564E">
        <w:t xml:space="preserve"> for </w:t>
      </w:r>
      <w:r>
        <w:rPr>
          <w:szCs w:val="20"/>
        </w:rPr>
        <w:t>Items 71171, 71172, 71173 and 71174</w:t>
      </w:r>
      <w:bookmarkEnd w:id="137"/>
    </w:p>
    <w:tbl>
      <w:tblPr>
        <w:tblStyle w:val="TableGrid"/>
        <w:tblW w:w="9356" w:type="dxa"/>
        <w:tblInd w:w="-5"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71171-71174 item descriptors"/>
        <w:tblDescription w:val="Table 42 is a 2 column table. Column 1 lists the item number, column 2 displays the proposed new item descriptors"/>
      </w:tblPr>
      <w:tblGrid>
        <w:gridCol w:w="1276"/>
        <w:gridCol w:w="8080"/>
      </w:tblGrid>
      <w:tr w:rsidR="00543D47" w14:paraId="36C14473" w14:textId="77777777" w:rsidTr="00D9610A">
        <w:trPr>
          <w:trHeight w:val="541"/>
          <w:tblHeader/>
        </w:trPr>
        <w:tc>
          <w:tcPr>
            <w:tcW w:w="1276" w:type="dxa"/>
          </w:tcPr>
          <w:p w14:paraId="3D36910F" w14:textId="77777777" w:rsidR="00543D47" w:rsidRPr="00D56580" w:rsidRDefault="00543D47" w:rsidP="00D9610A">
            <w:pPr>
              <w:rPr>
                <w:sz w:val="18"/>
                <w:szCs w:val="18"/>
              </w:rPr>
            </w:pPr>
            <w:r w:rsidRPr="00D56580">
              <w:rPr>
                <w:b/>
                <w:sz w:val="18"/>
                <w:szCs w:val="18"/>
              </w:rPr>
              <w:t>Item</w:t>
            </w:r>
          </w:p>
        </w:tc>
        <w:tc>
          <w:tcPr>
            <w:tcW w:w="8080" w:type="dxa"/>
          </w:tcPr>
          <w:p w14:paraId="7167D0C7" w14:textId="77777777" w:rsidR="00543D47" w:rsidRPr="00D56580" w:rsidRDefault="00543D47" w:rsidP="00D9610A">
            <w:pPr>
              <w:rPr>
                <w:sz w:val="18"/>
                <w:szCs w:val="18"/>
              </w:rPr>
            </w:pPr>
            <w:r w:rsidRPr="00D56580">
              <w:rPr>
                <w:b/>
                <w:sz w:val="18"/>
                <w:szCs w:val="18"/>
              </w:rPr>
              <w:t xml:space="preserve">Proposed </w:t>
            </w:r>
            <w:r>
              <w:rPr>
                <w:b/>
                <w:sz w:val="18"/>
                <w:szCs w:val="18"/>
              </w:rPr>
              <w:t xml:space="preserve">new </w:t>
            </w:r>
            <w:r w:rsidRPr="00D56580">
              <w:rPr>
                <w:b/>
                <w:sz w:val="18"/>
                <w:szCs w:val="18"/>
              </w:rPr>
              <w:t>item descriptor</w:t>
            </w:r>
          </w:p>
        </w:tc>
      </w:tr>
      <w:tr w:rsidR="00543D47" w14:paraId="5197928D" w14:textId="77777777" w:rsidTr="00D9610A">
        <w:trPr>
          <w:trHeight w:val="824"/>
        </w:trPr>
        <w:tc>
          <w:tcPr>
            <w:tcW w:w="1276" w:type="dxa"/>
          </w:tcPr>
          <w:p w14:paraId="2F6BC7D2" w14:textId="77777777" w:rsidR="00543D47" w:rsidRPr="0054223A" w:rsidRDefault="00543D47" w:rsidP="00D9610A">
            <w:pPr>
              <w:rPr>
                <w:sz w:val="18"/>
                <w:szCs w:val="18"/>
              </w:rPr>
            </w:pPr>
            <w:r w:rsidRPr="0054223A">
              <w:rPr>
                <w:sz w:val="18"/>
                <w:szCs w:val="18"/>
              </w:rPr>
              <w:t>71171</w:t>
            </w:r>
          </w:p>
        </w:tc>
        <w:tc>
          <w:tcPr>
            <w:tcW w:w="8080" w:type="dxa"/>
          </w:tcPr>
          <w:p w14:paraId="54DD872C" w14:textId="77777777" w:rsidR="00543D47" w:rsidRPr="00D56580" w:rsidRDefault="00543D47" w:rsidP="00D9610A">
            <w:pPr>
              <w:rPr>
                <w:sz w:val="18"/>
                <w:szCs w:val="18"/>
              </w:rPr>
            </w:pPr>
            <w:r w:rsidRPr="00AE51A3">
              <w:rPr>
                <w:sz w:val="18"/>
                <w:szCs w:val="18"/>
              </w:rPr>
              <w:t>Thyroid peroxidase antibody. To a maximum of 2 within in a 12-month period (Item is subject to rule 25)</w:t>
            </w:r>
          </w:p>
        </w:tc>
      </w:tr>
      <w:tr w:rsidR="00543D47" w14:paraId="4A035E86" w14:textId="77777777" w:rsidTr="00D9610A">
        <w:trPr>
          <w:trHeight w:val="1414"/>
        </w:trPr>
        <w:tc>
          <w:tcPr>
            <w:tcW w:w="1276" w:type="dxa"/>
          </w:tcPr>
          <w:p w14:paraId="3EDE16D2" w14:textId="77777777" w:rsidR="00543D47" w:rsidRPr="0054223A" w:rsidRDefault="00543D47" w:rsidP="00D9610A">
            <w:pPr>
              <w:rPr>
                <w:sz w:val="18"/>
                <w:szCs w:val="18"/>
              </w:rPr>
            </w:pPr>
            <w:r>
              <w:rPr>
                <w:sz w:val="18"/>
                <w:szCs w:val="18"/>
              </w:rPr>
              <w:t>71172</w:t>
            </w:r>
          </w:p>
        </w:tc>
        <w:tc>
          <w:tcPr>
            <w:tcW w:w="8080" w:type="dxa"/>
          </w:tcPr>
          <w:p w14:paraId="691E49D5" w14:textId="77777777" w:rsidR="00543D47" w:rsidRPr="00D56580" w:rsidRDefault="00543D47" w:rsidP="00D9610A">
            <w:pPr>
              <w:rPr>
                <w:sz w:val="18"/>
                <w:szCs w:val="18"/>
              </w:rPr>
            </w:pPr>
            <w:r>
              <w:rPr>
                <w:sz w:val="18"/>
                <w:szCs w:val="18"/>
              </w:rPr>
              <w:t>In patients with newly diagnosed h</w:t>
            </w:r>
            <w:r w:rsidRPr="00AE51A3">
              <w:rPr>
                <w:sz w:val="18"/>
                <w:szCs w:val="18"/>
              </w:rPr>
              <w:t xml:space="preserve">yperthyroidism. Two antibodies: thyroid peroxidase antibody and </w:t>
            </w:r>
            <w:r>
              <w:rPr>
                <w:sz w:val="18"/>
                <w:szCs w:val="18"/>
              </w:rPr>
              <w:t>t</w:t>
            </w:r>
            <w:r w:rsidRPr="00AE51A3">
              <w:rPr>
                <w:sz w:val="18"/>
                <w:szCs w:val="18"/>
              </w:rPr>
              <w:t xml:space="preserve">hyroid receptor antibody (TRAB) </w:t>
            </w:r>
            <w:r>
              <w:rPr>
                <w:sz w:val="18"/>
                <w:szCs w:val="18"/>
              </w:rPr>
              <w:t>and/</w:t>
            </w:r>
            <w:r w:rsidRPr="00AE51A3">
              <w:rPr>
                <w:sz w:val="18"/>
                <w:szCs w:val="18"/>
              </w:rPr>
              <w:t xml:space="preserve">or thyroid stimulating antibodies (TSI) for </w:t>
            </w:r>
            <w:r>
              <w:rPr>
                <w:sz w:val="18"/>
                <w:szCs w:val="18"/>
              </w:rPr>
              <w:t>the aetiology</w:t>
            </w:r>
            <w:r w:rsidRPr="00AE51A3">
              <w:rPr>
                <w:sz w:val="18"/>
                <w:szCs w:val="18"/>
              </w:rPr>
              <w:t xml:space="preserve"> of hyperthyroidism. To a maximum of 1 in a </w:t>
            </w:r>
            <w:r>
              <w:rPr>
                <w:sz w:val="18"/>
                <w:szCs w:val="18"/>
              </w:rPr>
              <w:t>12-month period</w:t>
            </w:r>
            <w:r w:rsidRPr="00AE51A3">
              <w:rPr>
                <w:sz w:val="18"/>
                <w:szCs w:val="18"/>
              </w:rPr>
              <w:t xml:space="preserve"> (Item is subject to rule 25)</w:t>
            </w:r>
          </w:p>
        </w:tc>
      </w:tr>
      <w:tr w:rsidR="00543D47" w14:paraId="242A55A5" w14:textId="77777777" w:rsidTr="00D9610A">
        <w:trPr>
          <w:trHeight w:val="1131"/>
        </w:trPr>
        <w:tc>
          <w:tcPr>
            <w:tcW w:w="1276" w:type="dxa"/>
          </w:tcPr>
          <w:p w14:paraId="7E4E14F7" w14:textId="77777777" w:rsidR="00543D47" w:rsidRDefault="00543D47" w:rsidP="00D9610A">
            <w:pPr>
              <w:rPr>
                <w:sz w:val="18"/>
                <w:szCs w:val="18"/>
              </w:rPr>
            </w:pPr>
            <w:r>
              <w:rPr>
                <w:sz w:val="18"/>
                <w:szCs w:val="18"/>
              </w:rPr>
              <w:t>71173</w:t>
            </w:r>
          </w:p>
        </w:tc>
        <w:tc>
          <w:tcPr>
            <w:tcW w:w="8080" w:type="dxa"/>
          </w:tcPr>
          <w:p w14:paraId="14874337" w14:textId="77777777" w:rsidR="00543D47" w:rsidRPr="00AE51A3" w:rsidRDefault="00543D47" w:rsidP="00D9610A">
            <w:pPr>
              <w:rPr>
                <w:rFonts w:ascii="Times New Roman" w:hAnsi="Times New Roman"/>
                <w:sz w:val="20"/>
                <w:szCs w:val="20"/>
              </w:rPr>
            </w:pPr>
            <w:r w:rsidRPr="00AE51A3">
              <w:rPr>
                <w:sz w:val="18"/>
                <w:szCs w:val="18"/>
              </w:rPr>
              <w:t xml:space="preserve">TSH receptor antibody (TRAB or TSI): for monitoring of patients with previously diagnosed </w:t>
            </w:r>
            <w:proofErr w:type="spellStart"/>
            <w:r w:rsidRPr="00AE51A3">
              <w:rPr>
                <w:sz w:val="18"/>
                <w:szCs w:val="18"/>
              </w:rPr>
              <w:t>Graves</w:t>
            </w:r>
            <w:proofErr w:type="spellEnd"/>
            <w:r w:rsidRPr="00AE51A3">
              <w:rPr>
                <w:sz w:val="18"/>
                <w:szCs w:val="18"/>
              </w:rPr>
              <w:t xml:space="preserve"> disease. To a maximum of 4 tests in a 12</w:t>
            </w:r>
            <w:r>
              <w:rPr>
                <w:sz w:val="18"/>
                <w:szCs w:val="18"/>
              </w:rPr>
              <w:t>-</w:t>
            </w:r>
            <w:r w:rsidRPr="00AE51A3">
              <w:rPr>
                <w:sz w:val="18"/>
                <w:szCs w:val="18"/>
              </w:rPr>
              <w:t>month period (item is subject to rule 25)</w:t>
            </w:r>
          </w:p>
        </w:tc>
      </w:tr>
      <w:tr w:rsidR="00543D47" w14:paraId="0C823193" w14:textId="77777777" w:rsidTr="00D9610A">
        <w:trPr>
          <w:trHeight w:val="1119"/>
        </w:trPr>
        <w:tc>
          <w:tcPr>
            <w:tcW w:w="1276" w:type="dxa"/>
          </w:tcPr>
          <w:p w14:paraId="07246B6B" w14:textId="77777777" w:rsidR="00543D47" w:rsidRDefault="00543D47" w:rsidP="00D9610A">
            <w:pPr>
              <w:rPr>
                <w:sz w:val="18"/>
                <w:szCs w:val="18"/>
              </w:rPr>
            </w:pPr>
            <w:r>
              <w:rPr>
                <w:sz w:val="18"/>
                <w:szCs w:val="18"/>
              </w:rPr>
              <w:t>71174</w:t>
            </w:r>
          </w:p>
        </w:tc>
        <w:tc>
          <w:tcPr>
            <w:tcW w:w="8080" w:type="dxa"/>
          </w:tcPr>
          <w:p w14:paraId="1B399E7F" w14:textId="77777777" w:rsidR="00543D47" w:rsidRPr="00AE51A3" w:rsidRDefault="00543D47" w:rsidP="00D9610A">
            <w:pPr>
              <w:rPr>
                <w:sz w:val="18"/>
                <w:szCs w:val="18"/>
              </w:rPr>
            </w:pPr>
            <w:r>
              <w:rPr>
                <w:sz w:val="18"/>
                <w:szCs w:val="18"/>
              </w:rPr>
              <w:t>T</w:t>
            </w:r>
            <w:r w:rsidRPr="00AE51A3">
              <w:rPr>
                <w:sz w:val="18"/>
                <w:szCs w:val="18"/>
              </w:rPr>
              <w:t xml:space="preserve">hyroglobulin </w:t>
            </w:r>
            <w:r>
              <w:rPr>
                <w:sz w:val="18"/>
                <w:szCs w:val="18"/>
              </w:rPr>
              <w:t>and</w:t>
            </w:r>
            <w:r w:rsidRPr="00AE51A3">
              <w:rPr>
                <w:sz w:val="18"/>
                <w:szCs w:val="18"/>
              </w:rPr>
              <w:t xml:space="preserve"> thyroglobulin antibody for monitoring of patients with thyroid cancer. To a maximum of 2 of this </w:t>
            </w:r>
            <w:proofErr w:type="gramStart"/>
            <w:r w:rsidRPr="00AE51A3">
              <w:rPr>
                <w:sz w:val="18"/>
                <w:szCs w:val="18"/>
              </w:rPr>
              <w:t>item</w:t>
            </w:r>
            <w:proofErr w:type="gramEnd"/>
            <w:r w:rsidRPr="00AE51A3">
              <w:rPr>
                <w:sz w:val="18"/>
                <w:szCs w:val="18"/>
              </w:rPr>
              <w:t xml:space="preserve"> in a 12</w:t>
            </w:r>
            <w:r>
              <w:rPr>
                <w:sz w:val="18"/>
                <w:szCs w:val="18"/>
              </w:rPr>
              <w:t>-</w:t>
            </w:r>
            <w:r w:rsidRPr="00AE51A3">
              <w:rPr>
                <w:sz w:val="18"/>
                <w:szCs w:val="18"/>
              </w:rPr>
              <w:t>month period (Item is subject to rule 25)</w:t>
            </w:r>
          </w:p>
        </w:tc>
      </w:tr>
    </w:tbl>
    <w:p w14:paraId="79B49A28" w14:textId="77777777" w:rsidR="00543D47" w:rsidRDefault="00543D47" w:rsidP="00543D47"/>
    <w:p w14:paraId="208AF4DB" w14:textId="77777777" w:rsidR="00543D47" w:rsidRDefault="00543D47" w:rsidP="00543D47">
      <w:pPr>
        <w:pStyle w:val="Heading2"/>
        <w:rPr>
          <w:lang w:val="en-AU"/>
        </w:rPr>
      </w:pPr>
      <w:bookmarkStart w:id="138" w:name="_Toc514247626"/>
      <w:r>
        <w:rPr>
          <w:lang w:val="en-AU"/>
        </w:rPr>
        <w:lastRenderedPageBreak/>
        <w:t>Metals for toxicity or deficiency</w:t>
      </w:r>
      <w:bookmarkEnd w:id="138"/>
      <w:r>
        <w:rPr>
          <w:lang w:val="en-AU"/>
        </w:rPr>
        <w:t xml:space="preserve"> </w:t>
      </w:r>
    </w:p>
    <w:p w14:paraId="0DE04702" w14:textId="77777777" w:rsidR="00543D47" w:rsidRDefault="00543D47" w:rsidP="00543D47">
      <w:pPr>
        <w:pStyle w:val="Heading3Numbered"/>
      </w:pPr>
      <w:r>
        <w:t>Lead:</w:t>
      </w:r>
      <w:r w:rsidRPr="007B492F">
        <w:t xml:space="preserve"> item</w:t>
      </w:r>
      <w:r>
        <w:t>s</w:t>
      </w:r>
      <w:r w:rsidRPr="007B492F">
        <w:t xml:space="preserve"> 66</w:t>
      </w:r>
      <w:r>
        <w:t>665, 66666</w:t>
      </w:r>
    </w:p>
    <w:p w14:paraId="7010DC35" w14:textId="77777777" w:rsidR="00543D47" w:rsidRPr="007B492F" w:rsidRDefault="00543D47" w:rsidP="00543D47">
      <w:pPr>
        <w:pStyle w:val="Caption"/>
        <w:rPr>
          <w:b/>
        </w:rPr>
      </w:pPr>
      <w:bookmarkStart w:id="139" w:name="_Toc534374949"/>
      <w:r w:rsidRPr="00370DFD">
        <w:t xml:space="preserve">Table </w:t>
      </w:r>
      <w:r>
        <w:t>43</w:t>
      </w:r>
      <w:r w:rsidRPr="00370DFD">
        <w:t>. Item introduction</w:t>
      </w:r>
      <w:r>
        <w:t xml:space="preserve"> table for items 66665, 66666</w:t>
      </w:r>
      <w:bookmarkEnd w:id="139"/>
    </w:p>
    <w:tbl>
      <w:tblPr>
        <w:tblStyle w:val="TableGrid"/>
        <w:tblW w:w="0" w:type="auto"/>
        <w:tblBorders>
          <w:insideV w:val="single" w:sz="4" w:space="0" w:color="984806" w:themeColor="accent6" w:themeShade="80"/>
        </w:tblBorders>
        <w:tblLook w:val="04A0" w:firstRow="1" w:lastRow="0" w:firstColumn="1" w:lastColumn="0" w:noHBand="0" w:noVBand="1"/>
        <w:tblCaption w:val="Introduction table for items 66665 and 66666"/>
        <w:tblDescription w:val="Table 43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2"/>
        <w:gridCol w:w="2944"/>
        <w:gridCol w:w="1074"/>
        <w:gridCol w:w="1074"/>
        <w:gridCol w:w="1074"/>
        <w:gridCol w:w="1074"/>
        <w:gridCol w:w="1074"/>
      </w:tblGrid>
      <w:tr w:rsidR="00543D47" w:rsidRPr="00370DFD" w14:paraId="1DE90469" w14:textId="77777777" w:rsidTr="00D9610A">
        <w:trPr>
          <w:tblHeader/>
        </w:trPr>
        <w:tc>
          <w:tcPr>
            <w:tcW w:w="702" w:type="dxa"/>
            <w:vAlign w:val="center"/>
          </w:tcPr>
          <w:p w14:paraId="51DCDE34" w14:textId="77777777" w:rsidR="00543D47" w:rsidRPr="00370DFD" w:rsidRDefault="00543D47" w:rsidP="00D9610A">
            <w:pPr>
              <w:rPr>
                <w:sz w:val="18"/>
                <w:szCs w:val="18"/>
              </w:rPr>
            </w:pPr>
            <w:r w:rsidRPr="00370DFD">
              <w:rPr>
                <w:b/>
                <w:sz w:val="18"/>
                <w:szCs w:val="18"/>
              </w:rPr>
              <w:t>Item</w:t>
            </w:r>
          </w:p>
        </w:tc>
        <w:tc>
          <w:tcPr>
            <w:tcW w:w="2944" w:type="dxa"/>
            <w:vAlign w:val="center"/>
          </w:tcPr>
          <w:p w14:paraId="214561F6" w14:textId="77777777" w:rsidR="00543D47" w:rsidRPr="00370DFD" w:rsidRDefault="00543D47" w:rsidP="00D9610A">
            <w:pPr>
              <w:rPr>
                <w:sz w:val="18"/>
                <w:szCs w:val="18"/>
              </w:rPr>
            </w:pPr>
            <w:r w:rsidRPr="00370DFD">
              <w:rPr>
                <w:b/>
                <w:sz w:val="18"/>
                <w:szCs w:val="18"/>
              </w:rPr>
              <w:t>Long item descriptor</w:t>
            </w:r>
          </w:p>
        </w:tc>
        <w:tc>
          <w:tcPr>
            <w:tcW w:w="1074" w:type="dxa"/>
            <w:vAlign w:val="center"/>
          </w:tcPr>
          <w:p w14:paraId="7DCBD183"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074" w:type="dxa"/>
            <w:vAlign w:val="center"/>
          </w:tcPr>
          <w:p w14:paraId="0F3182CF"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4" w:type="dxa"/>
            <w:vAlign w:val="center"/>
          </w:tcPr>
          <w:p w14:paraId="7973E82F"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74" w:type="dxa"/>
            <w:vAlign w:val="center"/>
          </w:tcPr>
          <w:p w14:paraId="6E9F3A9F"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74" w:type="dxa"/>
            <w:vAlign w:val="center"/>
          </w:tcPr>
          <w:p w14:paraId="6D98E729"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7557A09B" w14:textId="77777777" w:rsidTr="00D9610A">
        <w:tc>
          <w:tcPr>
            <w:tcW w:w="702" w:type="dxa"/>
          </w:tcPr>
          <w:p w14:paraId="0F5AF502" w14:textId="77777777" w:rsidR="00543D47" w:rsidRPr="00682EB0" w:rsidRDefault="00543D47" w:rsidP="00D9610A">
            <w:pPr>
              <w:rPr>
                <w:sz w:val="18"/>
                <w:szCs w:val="18"/>
              </w:rPr>
            </w:pPr>
            <w:r w:rsidRPr="00682EB0">
              <w:rPr>
                <w:sz w:val="18"/>
                <w:szCs w:val="18"/>
              </w:rPr>
              <w:t>66665</w:t>
            </w:r>
          </w:p>
        </w:tc>
        <w:tc>
          <w:tcPr>
            <w:tcW w:w="2944" w:type="dxa"/>
          </w:tcPr>
          <w:p w14:paraId="2F75FE6E" w14:textId="77777777" w:rsidR="00543D47" w:rsidRPr="00682EB0" w:rsidRDefault="00543D47" w:rsidP="00D9610A">
            <w:pPr>
              <w:rPr>
                <w:sz w:val="18"/>
                <w:szCs w:val="18"/>
              </w:rPr>
            </w:pPr>
            <w:r w:rsidRPr="000721C1">
              <w:rPr>
                <w:rFonts w:ascii="Calibri" w:hAnsi="Calibri"/>
                <w:color w:val="000000"/>
                <w:sz w:val="18"/>
                <w:szCs w:val="18"/>
              </w:rPr>
              <w:t>Lead quantitation in blood or urine (other than for occupational health screening purposes) to a maximum of 3 tests in a 6</w:t>
            </w:r>
            <w:r>
              <w:rPr>
                <w:rFonts w:ascii="Calibri" w:hAnsi="Calibri"/>
                <w:color w:val="000000"/>
                <w:sz w:val="18"/>
                <w:szCs w:val="18"/>
              </w:rPr>
              <w:t>-</w:t>
            </w:r>
            <w:r w:rsidRPr="000721C1">
              <w:rPr>
                <w:rFonts w:ascii="Calibri" w:hAnsi="Calibri"/>
                <w:color w:val="000000"/>
                <w:sz w:val="18"/>
                <w:szCs w:val="18"/>
              </w:rPr>
              <w:t>month period - each test</w:t>
            </w:r>
          </w:p>
        </w:tc>
        <w:tc>
          <w:tcPr>
            <w:tcW w:w="1074" w:type="dxa"/>
          </w:tcPr>
          <w:p w14:paraId="5CAE9E59" w14:textId="77777777" w:rsidR="00543D47" w:rsidRPr="00682EB0" w:rsidRDefault="00543D47" w:rsidP="00D9610A">
            <w:pPr>
              <w:rPr>
                <w:sz w:val="18"/>
                <w:szCs w:val="18"/>
              </w:rPr>
            </w:pPr>
            <w:r w:rsidRPr="000721C1">
              <w:rPr>
                <w:rFonts w:ascii="Calibri" w:hAnsi="Calibri"/>
                <w:color w:val="000000"/>
                <w:sz w:val="18"/>
                <w:szCs w:val="18"/>
              </w:rPr>
              <w:t>30.60</w:t>
            </w:r>
          </w:p>
        </w:tc>
        <w:tc>
          <w:tcPr>
            <w:tcW w:w="1074" w:type="dxa"/>
          </w:tcPr>
          <w:p w14:paraId="31FD94C0" w14:textId="77777777" w:rsidR="00543D47" w:rsidRPr="00682EB0" w:rsidRDefault="00543D47" w:rsidP="00D9610A">
            <w:pPr>
              <w:rPr>
                <w:sz w:val="18"/>
                <w:szCs w:val="18"/>
              </w:rPr>
            </w:pPr>
            <w:r w:rsidRPr="000721C1">
              <w:rPr>
                <w:rFonts w:ascii="Calibri" w:hAnsi="Calibri"/>
                <w:color w:val="000000"/>
                <w:sz w:val="18"/>
                <w:szCs w:val="18"/>
              </w:rPr>
              <w:t>$336,746</w:t>
            </w:r>
          </w:p>
        </w:tc>
        <w:tc>
          <w:tcPr>
            <w:tcW w:w="1074" w:type="dxa"/>
          </w:tcPr>
          <w:p w14:paraId="68404A1C" w14:textId="77777777" w:rsidR="00543D47" w:rsidRPr="00682EB0" w:rsidRDefault="00543D47" w:rsidP="00D9610A">
            <w:pPr>
              <w:rPr>
                <w:sz w:val="18"/>
                <w:szCs w:val="18"/>
              </w:rPr>
            </w:pPr>
            <w:r w:rsidRPr="000721C1">
              <w:rPr>
                <w:rFonts w:ascii="Calibri" w:hAnsi="Calibri"/>
                <w:color w:val="000000"/>
                <w:sz w:val="18"/>
                <w:szCs w:val="18"/>
              </w:rPr>
              <w:t>12,867</w:t>
            </w:r>
          </w:p>
        </w:tc>
        <w:tc>
          <w:tcPr>
            <w:tcW w:w="1074" w:type="dxa"/>
          </w:tcPr>
          <w:p w14:paraId="05681581" w14:textId="77777777" w:rsidR="00543D47" w:rsidRPr="00682EB0" w:rsidRDefault="00543D47" w:rsidP="00D9610A">
            <w:pPr>
              <w:rPr>
                <w:sz w:val="18"/>
                <w:szCs w:val="18"/>
              </w:rPr>
            </w:pPr>
            <w:r w:rsidRPr="000721C1">
              <w:rPr>
                <w:rFonts w:ascii="Calibri" w:hAnsi="Calibri"/>
                <w:color w:val="000000"/>
                <w:sz w:val="18"/>
                <w:szCs w:val="18"/>
              </w:rPr>
              <w:t>12,335</w:t>
            </w:r>
          </w:p>
        </w:tc>
        <w:tc>
          <w:tcPr>
            <w:tcW w:w="1074" w:type="dxa"/>
          </w:tcPr>
          <w:p w14:paraId="050D969C" w14:textId="77777777" w:rsidR="00543D47" w:rsidRPr="00682EB0" w:rsidRDefault="00543D47" w:rsidP="00D9610A">
            <w:pPr>
              <w:rPr>
                <w:sz w:val="18"/>
                <w:szCs w:val="18"/>
              </w:rPr>
            </w:pPr>
            <w:r w:rsidRPr="000721C1">
              <w:rPr>
                <w:rFonts w:ascii="Calibri" w:hAnsi="Calibri"/>
                <w:color w:val="000000"/>
                <w:sz w:val="18"/>
                <w:szCs w:val="18"/>
              </w:rPr>
              <w:t>5.8%</w:t>
            </w:r>
          </w:p>
        </w:tc>
      </w:tr>
      <w:tr w:rsidR="00543D47" w:rsidRPr="00370DFD" w14:paraId="5FC1BD75" w14:textId="77777777" w:rsidTr="00D9610A">
        <w:tc>
          <w:tcPr>
            <w:tcW w:w="702" w:type="dxa"/>
          </w:tcPr>
          <w:p w14:paraId="3DB95484" w14:textId="77777777" w:rsidR="00543D47" w:rsidRPr="00682EB0" w:rsidRDefault="00543D47" w:rsidP="00D9610A">
            <w:pPr>
              <w:rPr>
                <w:sz w:val="18"/>
                <w:szCs w:val="18"/>
              </w:rPr>
            </w:pPr>
            <w:r w:rsidRPr="00682EB0">
              <w:rPr>
                <w:sz w:val="18"/>
                <w:szCs w:val="18"/>
              </w:rPr>
              <w:t>66666</w:t>
            </w:r>
          </w:p>
        </w:tc>
        <w:tc>
          <w:tcPr>
            <w:tcW w:w="2944" w:type="dxa"/>
          </w:tcPr>
          <w:p w14:paraId="09EC2FB0" w14:textId="77777777" w:rsidR="00543D47" w:rsidRPr="00682EB0" w:rsidRDefault="00543D47" w:rsidP="00D9610A">
            <w:pPr>
              <w:rPr>
                <w:sz w:val="18"/>
                <w:szCs w:val="18"/>
              </w:rPr>
            </w:pPr>
            <w:r w:rsidRPr="000721C1">
              <w:rPr>
                <w:rFonts w:ascii="Calibri" w:hAnsi="Calibri"/>
                <w:color w:val="000000"/>
                <w:sz w:val="18"/>
                <w:szCs w:val="18"/>
              </w:rPr>
              <w:t>A test described in item 66665 if rendered by a receiving APP - 1 or more tests (Item is subject to rule 18)</w:t>
            </w:r>
          </w:p>
        </w:tc>
        <w:tc>
          <w:tcPr>
            <w:tcW w:w="1074" w:type="dxa"/>
          </w:tcPr>
          <w:p w14:paraId="44EE1D59" w14:textId="77777777" w:rsidR="00543D47" w:rsidRPr="00682EB0" w:rsidRDefault="00543D47" w:rsidP="00D9610A">
            <w:pPr>
              <w:rPr>
                <w:sz w:val="18"/>
                <w:szCs w:val="18"/>
              </w:rPr>
            </w:pPr>
            <w:r w:rsidRPr="000721C1">
              <w:rPr>
                <w:rFonts w:ascii="Calibri" w:hAnsi="Calibri"/>
                <w:color w:val="000000"/>
                <w:sz w:val="18"/>
                <w:szCs w:val="18"/>
              </w:rPr>
              <w:t>30.60</w:t>
            </w:r>
          </w:p>
        </w:tc>
        <w:tc>
          <w:tcPr>
            <w:tcW w:w="1074" w:type="dxa"/>
          </w:tcPr>
          <w:p w14:paraId="7DE8B1D3" w14:textId="77777777" w:rsidR="00543D47" w:rsidRPr="00682EB0" w:rsidRDefault="00543D47" w:rsidP="00D9610A">
            <w:pPr>
              <w:rPr>
                <w:sz w:val="18"/>
                <w:szCs w:val="18"/>
              </w:rPr>
            </w:pPr>
            <w:r w:rsidRPr="000721C1">
              <w:rPr>
                <w:rFonts w:ascii="Calibri" w:hAnsi="Calibri"/>
                <w:color w:val="000000"/>
                <w:sz w:val="18"/>
                <w:szCs w:val="18"/>
              </w:rPr>
              <w:t>$26,577</w:t>
            </w:r>
          </w:p>
        </w:tc>
        <w:tc>
          <w:tcPr>
            <w:tcW w:w="1074" w:type="dxa"/>
          </w:tcPr>
          <w:p w14:paraId="62FAEB54" w14:textId="77777777" w:rsidR="00543D47" w:rsidRPr="00682EB0" w:rsidRDefault="00543D47" w:rsidP="00D9610A">
            <w:pPr>
              <w:rPr>
                <w:sz w:val="18"/>
                <w:szCs w:val="18"/>
              </w:rPr>
            </w:pPr>
            <w:r w:rsidRPr="000721C1">
              <w:rPr>
                <w:rFonts w:ascii="Calibri" w:hAnsi="Calibri"/>
                <w:color w:val="000000"/>
                <w:sz w:val="18"/>
                <w:szCs w:val="18"/>
              </w:rPr>
              <w:t>1,021</w:t>
            </w:r>
          </w:p>
        </w:tc>
        <w:tc>
          <w:tcPr>
            <w:tcW w:w="1074" w:type="dxa"/>
          </w:tcPr>
          <w:p w14:paraId="4F22E323" w14:textId="77777777" w:rsidR="00543D47" w:rsidRPr="00682EB0" w:rsidRDefault="00543D47" w:rsidP="00D9610A">
            <w:pPr>
              <w:rPr>
                <w:sz w:val="18"/>
                <w:szCs w:val="18"/>
              </w:rPr>
            </w:pPr>
            <w:r w:rsidRPr="000721C1">
              <w:rPr>
                <w:rFonts w:ascii="Calibri" w:hAnsi="Calibri"/>
                <w:color w:val="000000"/>
                <w:sz w:val="18"/>
                <w:szCs w:val="18"/>
              </w:rPr>
              <w:t>988</w:t>
            </w:r>
          </w:p>
        </w:tc>
        <w:tc>
          <w:tcPr>
            <w:tcW w:w="1074" w:type="dxa"/>
          </w:tcPr>
          <w:p w14:paraId="08708598" w14:textId="77777777" w:rsidR="00543D47" w:rsidRPr="00682EB0" w:rsidRDefault="00543D47" w:rsidP="00D9610A">
            <w:pPr>
              <w:rPr>
                <w:sz w:val="18"/>
                <w:szCs w:val="18"/>
              </w:rPr>
            </w:pPr>
            <w:r w:rsidRPr="000721C1">
              <w:rPr>
                <w:rFonts w:ascii="Calibri" w:hAnsi="Calibri"/>
                <w:color w:val="000000"/>
                <w:sz w:val="18"/>
                <w:szCs w:val="18"/>
              </w:rPr>
              <w:t>-0.8%</w:t>
            </w:r>
          </w:p>
        </w:tc>
      </w:tr>
    </w:tbl>
    <w:p w14:paraId="268E15E9" w14:textId="77777777" w:rsidR="00543D47" w:rsidRDefault="00543D47" w:rsidP="00543D47">
      <w:pPr>
        <w:spacing w:before="0" w:after="0" w:line="240" w:lineRule="auto"/>
      </w:pPr>
    </w:p>
    <w:p w14:paraId="33EB4E68" w14:textId="77777777" w:rsidR="00543D47" w:rsidRPr="007B492F" w:rsidRDefault="00543D47" w:rsidP="00543D47">
      <w:pPr>
        <w:pStyle w:val="Heading4"/>
        <w:rPr>
          <w:lang w:val="en-AU"/>
        </w:rPr>
      </w:pPr>
      <w:r w:rsidRPr="007B492F">
        <w:rPr>
          <w:lang w:val="en-AU"/>
        </w:rPr>
        <w:t>Recommendation</w:t>
      </w:r>
    </w:p>
    <w:p w14:paraId="652BBF8D" w14:textId="77777777" w:rsidR="00543D47" w:rsidRDefault="00543D47" w:rsidP="00543D47">
      <w:pPr>
        <w:pStyle w:val="NormalBulleted"/>
      </w:pPr>
      <w:r>
        <w:rPr>
          <w:lang w:eastAsia="en-US"/>
        </w:rPr>
        <w:t>The Committee recommended that these items remain unchanged.</w:t>
      </w:r>
    </w:p>
    <w:p w14:paraId="5A6060E8" w14:textId="77777777" w:rsidR="00543D47" w:rsidRDefault="00543D47" w:rsidP="00543D47">
      <w:pPr>
        <w:pStyle w:val="Heading4"/>
        <w:rPr>
          <w:lang w:val="en-AU"/>
        </w:rPr>
      </w:pPr>
      <w:r w:rsidRPr="0057193B">
        <w:rPr>
          <w:lang w:val="en-AU"/>
        </w:rPr>
        <w:t>Rationale</w:t>
      </w:r>
      <w:r>
        <w:rPr>
          <w:lang w:val="en-AU"/>
        </w:rPr>
        <w:t xml:space="preserve"> </w:t>
      </w:r>
    </w:p>
    <w:p w14:paraId="3E729892" w14:textId="77777777" w:rsidR="00543D47" w:rsidRDefault="00543D47" w:rsidP="00543D47">
      <w:pPr>
        <w:pStyle w:val="NormalBulleted"/>
      </w:pPr>
      <w:r>
        <w:t>Items 66665 and 66666 are tests to detect lead in blood or urine. Item 66665 is mainly requested in remote Australia (Figure 8). There is state variation for item 66666 which may be accounted for by soil contamination, house renovation or mining sites.</w:t>
      </w:r>
    </w:p>
    <w:p w14:paraId="4D53EF48" w14:textId="77777777" w:rsidR="00543D47" w:rsidRDefault="00543D47" w:rsidP="00543D47">
      <w:pPr>
        <w:pStyle w:val="NormalBulleted"/>
        <w:rPr>
          <w:lang w:eastAsia="en-US"/>
        </w:rPr>
      </w:pPr>
      <w:r>
        <w:rPr>
          <w:lang w:eastAsia="en-US"/>
        </w:rPr>
        <w:t>The utilisation of these items appears to be clinically appropriate.</w:t>
      </w:r>
    </w:p>
    <w:p w14:paraId="280F799F" w14:textId="77777777" w:rsidR="00543D47" w:rsidRDefault="00543D47" w:rsidP="00543D47">
      <w:pPr>
        <w:pStyle w:val="Caption"/>
      </w:pPr>
      <w:bookmarkStart w:id="140" w:name="_Toc534374950"/>
      <w:r>
        <w:lastRenderedPageBreak/>
        <w:t>Figure 8. Utilisation of item 66665 by services by location per 100,000 people</w:t>
      </w:r>
      <w:bookmarkEnd w:id="140"/>
    </w:p>
    <w:p w14:paraId="74B981C7" w14:textId="77777777" w:rsidR="00543D47" w:rsidRDefault="00543D47" w:rsidP="00543D47">
      <w:pPr>
        <w:rPr>
          <w:lang w:eastAsia="en-US"/>
        </w:rPr>
      </w:pPr>
      <w:r>
        <w:rPr>
          <w:noProof/>
        </w:rPr>
        <w:drawing>
          <wp:inline distT="0" distB="0" distL="0" distR="0" wp14:anchorId="3943E500" wp14:editId="7CB50345">
            <wp:extent cx="5265420" cy="3025140"/>
            <wp:effectExtent l="0" t="0" r="11430" b="3810"/>
            <wp:docPr id="12" name="Chart 12" descr="Figure 8 is a graphical representation of the number of 66665 services in the 2014/15 financial year by location - urban or rural" title="Item 66665 us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B4B844" w14:textId="77777777" w:rsidR="00543D47" w:rsidRDefault="00543D47" w:rsidP="00543D47">
      <w:pPr>
        <w:pStyle w:val="Caption"/>
      </w:pPr>
      <w:bookmarkStart w:id="141" w:name="_Toc534374951"/>
      <w:r>
        <w:t>Figure 9. State utilisation of item 66665 services per 100,000 people</w:t>
      </w:r>
      <w:bookmarkEnd w:id="141"/>
    </w:p>
    <w:p w14:paraId="2F0DBDAE" w14:textId="77777777" w:rsidR="00543D47" w:rsidRDefault="00543D47" w:rsidP="00543D47">
      <w:pPr>
        <w:rPr>
          <w:lang w:eastAsia="en-US"/>
        </w:rPr>
      </w:pPr>
      <w:r>
        <w:rPr>
          <w:noProof/>
        </w:rPr>
        <w:drawing>
          <wp:inline distT="0" distB="0" distL="0" distR="0" wp14:anchorId="474B58D7" wp14:editId="309C03CD">
            <wp:extent cx="4998720" cy="3131820"/>
            <wp:effectExtent l="0" t="0" r="11430" b="11430"/>
            <wp:docPr id="13" name="Chart 13" descr="Figure 9 is a graphical representation on the utilisation of item 66665 in the 2014/15 financial year by state / territory" title="Item 66665 us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327FCC" w14:textId="77777777" w:rsidR="00543D47" w:rsidRDefault="00543D47" w:rsidP="00543D47"/>
    <w:p w14:paraId="555D88CE" w14:textId="77777777" w:rsidR="00543D47" w:rsidRDefault="00543D47" w:rsidP="00543D47">
      <w:pPr>
        <w:pStyle w:val="Heading3Numbered"/>
      </w:pPr>
      <w:r>
        <w:lastRenderedPageBreak/>
        <w:t xml:space="preserve">Zinc, </w:t>
      </w:r>
      <w:proofErr w:type="spellStart"/>
      <w:r>
        <w:t>aluminium</w:t>
      </w:r>
      <w:proofErr w:type="spellEnd"/>
      <w:r>
        <w:t>, arsenic,</w:t>
      </w:r>
      <w:r w:rsidRPr="00D262DD">
        <w:t xml:space="preserve"> beryllium, cadmium, chromium, gold, mercury, nickel, strontium</w:t>
      </w:r>
      <w:r>
        <w:t>, copper and iron:</w:t>
      </w:r>
      <w:r w:rsidRPr="007B492F">
        <w:t xml:space="preserve"> item</w:t>
      </w:r>
      <w:r>
        <w:t>s</w:t>
      </w:r>
      <w:r w:rsidRPr="007B492F">
        <w:t xml:space="preserve"> 66</w:t>
      </w:r>
      <w:r>
        <w:t xml:space="preserve">667, 66671, 66825, 66826, 66827, 66828, </w:t>
      </w:r>
      <w:r w:rsidRPr="007B492F">
        <w:t>66831, 66832</w:t>
      </w:r>
    </w:p>
    <w:p w14:paraId="00561C8F" w14:textId="77777777" w:rsidR="00543D47" w:rsidRPr="000721C1" w:rsidRDefault="00543D47" w:rsidP="00543D47">
      <w:pPr>
        <w:pStyle w:val="Caption"/>
      </w:pPr>
      <w:bookmarkStart w:id="142" w:name="_Toc534374952"/>
      <w:r w:rsidRPr="00370DFD">
        <w:t xml:space="preserve">Table </w:t>
      </w:r>
      <w:r>
        <w:t>44</w:t>
      </w:r>
      <w:r w:rsidRPr="00370DFD">
        <w:t>. Item introduction</w:t>
      </w:r>
      <w:r>
        <w:t xml:space="preserve"> table for item 6</w:t>
      </w:r>
      <w:r w:rsidRPr="007B492F">
        <w:t>66</w:t>
      </w:r>
      <w:r>
        <w:t xml:space="preserve">67, 66671, 66825, 66826, 66827, 66828, </w:t>
      </w:r>
      <w:r w:rsidRPr="007B492F">
        <w:t>66831, 66832</w:t>
      </w:r>
      <w:bookmarkEnd w:id="142"/>
    </w:p>
    <w:tbl>
      <w:tblPr>
        <w:tblStyle w:val="TableGrid"/>
        <w:tblW w:w="0" w:type="auto"/>
        <w:tblBorders>
          <w:insideV w:val="single" w:sz="4" w:space="0" w:color="984806" w:themeColor="accent6" w:themeShade="80"/>
        </w:tblBorders>
        <w:tblLook w:val="04A0" w:firstRow="1" w:lastRow="0" w:firstColumn="1" w:lastColumn="0" w:noHBand="0" w:noVBand="1"/>
        <w:tblCaption w:val="Table 44. Item introduction table for item 66667, 66671, 66825, 66826, 66827, 66828, 66831, 66832"/>
        <w:tblDescription w:val="Table 44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w:tblPr>
      <w:tblGrid>
        <w:gridCol w:w="702"/>
        <w:gridCol w:w="2944"/>
        <w:gridCol w:w="1074"/>
        <w:gridCol w:w="1074"/>
        <w:gridCol w:w="1074"/>
        <w:gridCol w:w="1074"/>
        <w:gridCol w:w="1074"/>
      </w:tblGrid>
      <w:tr w:rsidR="00543D47" w:rsidRPr="00370DFD" w14:paraId="748A092C" w14:textId="77777777" w:rsidTr="00D9610A">
        <w:trPr>
          <w:tblHeader/>
        </w:trPr>
        <w:tc>
          <w:tcPr>
            <w:tcW w:w="702" w:type="dxa"/>
            <w:vAlign w:val="center"/>
          </w:tcPr>
          <w:p w14:paraId="029245A3" w14:textId="77777777" w:rsidR="00543D47" w:rsidRPr="00370DFD" w:rsidRDefault="00543D47" w:rsidP="00D9610A">
            <w:pPr>
              <w:rPr>
                <w:sz w:val="18"/>
                <w:szCs w:val="18"/>
              </w:rPr>
            </w:pPr>
            <w:r w:rsidRPr="00370DFD">
              <w:rPr>
                <w:b/>
                <w:sz w:val="18"/>
                <w:szCs w:val="18"/>
              </w:rPr>
              <w:t>Item</w:t>
            </w:r>
          </w:p>
        </w:tc>
        <w:tc>
          <w:tcPr>
            <w:tcW w:w="2944" w:type="dxa"/>
            <w:vAlign w:val="center"/>
          </w:tcPr>
          <w:p w14:paraId="40862DB9" w14:textId="77777777" w:rsidR="00543D47" w:rsidRPr="00370DFD" w:rsidRDefault="00543D47" w:rsidP="00D9610A">
            <w:pPr>
              <w:rPr>
                <w:sz w:val="18"/>
                <w:szCs w:val="18"/>
              </w:rPr>
            </w:pPr>
            <w:r w:rsidRPr="00370DFD">
              <w:rPr>
                <w:b/>
                <w:sz w:val="18"/>
                <w:szCs w:val="18"/>
              </w:rPr>
              <w:t>Long item descriptor</w:t>
            </w:r>
          </w:p>
        </w:tc>
        <w:tc>
          <w:tcPr>
            <w:tcW w:w="1074" w:type="dxa"/>
            <w:vAlign w:val="center"/>
          </w:tcPr>
          <w:p w14:paraId="7694DA33"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074" w:type="dxa"/>
            <w:vAlign w:val="center"/>
          </w:tcPr>
          <w:p w14:paraId="4783C5CC"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74" w:type="dxa"/>
            <w:vAlign w:val="center"/>
          </w:tcPr>
          <w:p w14:paraId="2547F2E9"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74" w:type="dxa"/>
            <w:vAlign w:val="center"/>
          </w:tcPr>
          <w:p w14:paraId="543E9947"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74" w:type="dxa"/>
            <w:vAlign w:val="center"/>
          </w:tcPr>
          <w:p w14:paraId="008B2152"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17FF5746" w14:textId="77777777" w:rsidTr="00D9610A">
        <w:tc>
          <w:tcPr>
            <w:tcW w:w="702" w:type="dxa"/>
          </w:tcPr>
          <w:p w14:paraId="6E8EDAA3" w14:textId="77777777" w:rsidR="00543D47" w:rsidRPr="00A41695" w:rsidRDefault="00543D47" w:rsidP="00D9610A">
            <w:pPr>
              <w:rPr>
                <w:sz w:val="18"/>
                <w:szCs w:val="18"/>
              </w:rPr>
            </w:pPr>
            <w:r w:rsidRPr="00A41695">
              <w:rPr>
                <w:sz w:val="18"/>
                <w:szCs w:val="18"/>
              </w:rPr>
              <w:t>66667</w:t>
            </w:r>
          </w:p>
        </w:tc>
        <w:tc>
          <w:tcPr>
            <w:tcW w:w="2944" w:type="dxa"/>
            <w:vAlign w:val="bottom"/>
          </w:tcPr>
          <w:p w14:paraId="79669C1E"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Quantitation of serum zinc in a patient receiving intravenous alimentation - each test</w:t>
            </w:r>
          </w:p>
        </w:tc>
        <w:tc>
          <w:tcPr>
            <w:tcW w:w="1074" w:type="dxa"/>
            <w:vAlign w:val="bottom"/>
          </w:tcPr>
          <w:p w14:paraId="7080234E"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30.60</w:t>
            </w:r>
          </w:p>
        </w:tc>
        <w:tc>
          <w:tcPr>
            <w:tcW w:w="1074" w:type="dxa"/>
            <w:vAlign w:val="bottom"/>
          </w:tcPr>
          <w:p w14:paraId="7ED763A3"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$54,130</w:t>
            </w:r>
          </w:p>
        </w:tc>
        <w:tc>
          <w:tcPr>
            <w:tcW w:w="1074" w:type="dxa"/>
            <w:vAlign w:val="bottom"/>
          </w:tcPr>
          <w:p w14:paraId="2816719B"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2,066</w:t>
            </w:r>
          </w:p>
        </w:tc>
        <w:tc>
          <w:tcPr>
            <w:tcW w:w="1074" w:type="dxa"/>
            <w:vAlign w:val="bottom"/>
          </w:tcPr>
          <w:p w14:paraId="001117DC"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1,950</w:t>
            </w:r>
          </w:p>
        </w:tc>
        <w:tc>
          <w:tcPr>
            <w:tcW w:w="1074" w:type="dxa"/>
            <w:vAlign w:val="bottom"/>
          </w:tcPr>
          <w:p w14:paraId="2ACD1084"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3.3%</w:t>
            </w:r>
          </w:p>
        </w:tc>
      </w:tr>
      <w:tr w:rsidR="00543D47" w:rsidRPr="00370DFD" w14:paraId="5EF6C8AA" w14:textId="77777777" w:rsidTr="00D9610A">
        <w:tc>
          <w:tcPr>
            <w:tcW w:w="702" w:type="dxa"/>
          </w:tcPr>
          <w:p w14:paraId="39C3C5D6" w14:textId="77777777" w:rsidR="00543D47" w:rsidRPr="00A41695" w:rsidRDefault="00543D47" w:rsidP="00D9610A">
            <w:pPr>
              <w:rPr>
                <w:sz w:val="18"/>
                <w:szCs w:val="18"/>
              </w:rPr>
            </w:pPr>
            <w:r w:rsidRPr="00A41695">
              <w:rPr>
                <w:sz w:val="18"/>
                <w:szCs w:val="18"/>
              </w:rPr>
              <w:t>66671</w:t>
            </w:r>
          </w:p>
        </w:tc>
        <w:tc>
          <w:tcPr>
            <w:tcW w:w="2944" w:type="dxa"/>
            <w:vAlign w:val="bottom"/>
          </w:tcPr>
          <w:p w14:paraId="26897F6E"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Quantitation of serum aluminium in a patient in a renal dialysis program - each test</w:t>
            </w:r>
          </w:p>
        </w:tc>
        <w:tc>
          <w:tcPr>
            <w:tcW w:w="1074" w:type="dxa"/>
            <w:vAlign w:val="bottom"/>
          </w:tcPr>
          <w:p w14:paraId="03EA6CE4"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36.90</w:t>
            </w:r>
          </w:p>
        </w:tc>
        <w:tc>
          <w:tcPr>
            <w:tcW w:w="1074" w:type="dxa"/>
            <w:vAlign w:val="bottom"/>
          </w:tcPr>
          <w:p w14:paraId="536016B5"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$38,294</w:t>
            </w:r>
          </w:p>
        </w:tc>
        <w:tc>
          <w:tcPr>
            <w:tcW w:w="1074" w:type="dxa"/>
            <w:vAlign w:val="bottom"/>
          </w:tcPr>
          <w:p w14:paraId="2853FA38"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1,279</w:t>
            </w:r>
          </w:p>
        </w:tc>
        <w:tc>
          <w:tcPr>
            <w:tcW w:w="1074" w:type="dxa"/>
            <w:vAlign w:val="bottom"/>
          </w:tcPr>
          <w:p w14:paraId="38B2EF5D"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965</w:t>
            </w:r>
          </w:p>
        </w:tc>
        <w:tc>
          <w:tcPr>
            <w:tcW w:w="1074" w:type="dxa"/>
            <w:vAlign w:val="bottom"/>
          </w:tcPr>
          <w:p w14:paraId="4395A564" w14:textId="77777777" w:rsidR="00543D47" w:rsidRPr="00EC36EB" w:rsidRDefault="00543D47" w:rsidP="00D9610A">
            <w:pPr>
              <w:rPr>
                <w:rFonts w:ascii="Calibri" w:hAnsi="Calibri"/>
                <w:color w:val="000000"/>
                <w:sz w:val="18"/>
                <w:szCs w:val="18"/>
              </w:rPr>
            </w:pPr>
            <w:r w:rsidRPr="00EC36EB">
              <w:rPr>
                <w:rFonts w:ascii="Calibri" w:hAnsi="Calibri"/>
                <w:color w:val="000000"/>
                <w:sz w:val="18"/>
                <w:szCs w:val="18"/>
              </w:rPr>
              <w:t>0.9%</w:t>
            </w:r>
          </w:p>
        </w:tc>
      </w:tr>
      <w:tr w:rsidR="00543D47" w:rsidRPr="00370DFD" w14:paraId="2B14DC64" w14:textId="77777777" w:rsidTr="00D9610A">
        <w:tc>
          <w:tcPr>
            <w:tcW w:w="702" w:type="dxa"/>
          </w:tcPr>
          <w:p w14:paraId="3C7D0BB5" w14:textId="77777777" w:rsidR="00543D47" w:rsidRPr="00A41695" w:rsidRDefault="00543D47" w:rsidP="00D9610A">
            <w:pPr>
              <w:rPr>
                <w:sz w:val="18"/>
                <w:szCs w:val="18"/>
              </w:rPr>
            </w:pPr>
            <w:r w:rsidRPr="00A41695">
              <w:rPr>
                <w:sz w:val="18"/>
                <w:szCs w:val="18"/>
              </w:rPr>
              <w:t>66825</w:t>
            </w:r>
          </w:p>
        </w:tc>
        <w:tc>
          <w:tcPr>
            <w:tcW w:w="2944" w:type="dxa"/>
          </w:tcPr>
          <w:p w14:paraId="2436F273" w14:textId="77777777" w:rsidR="00543D47" w:rsidRPr="00A41695" w:rsidRDefault="00543D47" w:rsidP="00D9610A">
            <w:pPr>
              <w:rPr>
                <w:sz w:val="18"/>
                <w:szCs w:val="18"/>
              </w:rPr>
            </w:pPr>
            <w:r w:rsidRPr="000721C1">
              <w:rPr>
                <w:rFonts w:ascii="Calibri" w:hAnsi="Calibri"/>
                <w:color w:val="000000"/>
                <w:sz w:val="18"/>
                <w:szCs w:val="18"/>
              </w:rPr>
              <w:t xml:space="preserve">Quantitation of aluminium (except if item 66671 applies), arsenic, beryllium, cadmium, chromium, gold, mercury, nickel, or strontium, in blood, urine or other body fluid or tissue - 1 test. To a maximum of 3 of this </w:t>
            </w:r>
            <w:proofErr w:type="gramStart"/>
            <w:r w:rsidRPr="000721C1">
              <w:rPr>
                <w:rFonts w:ascii="Calibri" w:hAnsi="Calibri"/>
                <w:color w:val="000000"/>
                <w:sz w:val="18"/>
                <w:szCs w:val="18"/>
              </w:rPr>
              <w:t>item</w:t>
            </w:r>
            <w:proofErr w:type="gramEnd"/>
            <w:r w:rsidRPr="000721C1">
              <w:rPr>
                <w:rFonts w:ascii="Calibri" w:hAnsi="Calibri"/>
                <w:color w:val="000000"/>
                <w:sz w:val="18"/>
                <w:szCs w:val="18"/>
              </w:rPr>
              <w:t xml:space="preserve"> in a 6</w:t>
            </w:r>
            <w:r>
              <w:rPr>
                <w:rFonts w:ascii="Calibri" w:hAnsi="Calibri"/>
                <w:color w:val="000000"/>
                <w:sz w:val="18"/>
                <w:szCs w:val="18"/>
              </w:rPr>
              <w:t>-</w:t>
            </w:r>
            <w:r w:rsidRPr="000721C1">
              <w:rPr>
                <w:rFonts w:ascii="Calibri" w:hAnsi="Calibri"/>
                <w:color w:val="000000"/>
                <w:sz w:val="18"/>
                <w:szCs w:val="18"/>
              </w:rPr>
              <w:t>month period (Item is subject to rule</w:t>
            </w:r>
            <w:r>
              <w:rPr>
                <w:rFonts w:ascii="Calibri" w:hAnsi="Calibri"/>
                <w:color w:val="000000"/>
                <w:sz w:val="18"/>
                <w:szCs w:val="18"/>
              </w:rPr>
              <w:t>s</w:t>
            </w:r>
            <w:r w:rsidRPr="000721C1">
              <w:rPr>
                <w:rFonts w:ascii="Calibri" w:hAnsi="Calibri"/>
                <w:color w:val="000000"/>
                <w:sz w:val="18"/>
                <w:szCs w:val="18"/>
              </w:rPr>
              <w:t xml:space="preserve"> 6, 22 and 25)</w:t>
            </w:r>
          </w:p>
        </w:tc>
        <w:tc>
          <w:tcPr>
            <w:tcW w:w="1074" w:type="dxa"/>
          </w:tcPr>
          <w:p w14:paraId="6AFFFB7E" w14:textId="77777777" w:rsidR="00543D47" w:rsidRPr="00A41695" w:rsidRDefault="00543D47" w:rsidP="00D9610A">
            <w:pPr>
              <w:rPr>
                <w:sz w:val="18"/>
                <w:szCs w:val="18"/>
              </w:rPr>
            </w:pPr>
            <w:r w:rsidRPr="000721C1">
              <w:rPr>
                <w:rFonts w:ascii="Calibri" w:hAnsi="Calibri"/>
                <w:color w:val="000000"/>
                <w:sz w:val="18"/>
                <w:szCs w:val="18"/>
              </w:rPr>
              <w:t>30.60</w:t>
            </w:r>
          </w:p>
        </w:tc>
        <w:tc>
          <w:tcPr>
            <w:tcW w:w="1074" w:type="dxa"/>
          </w:tcPr>
          <w:p w14:paraId="7960092E" w14:textId="77777777" w:rsidR="00543D47" w:rsidRPr="00A41695" w:rsidRDefault="00543D47" w:rsidP="00D9610A">
            <w:pPr>
              <w:rPr>
                <w:sz w:val="18"/>
                <w:szCs w:val="18"/>
              </w:rPr>
            </w:pPr>
            <w:r w:rsidRPr="000721C1">
              <w:rPr>
                <w:rFonts w:ascii="Calibri" w:hAnsi="Calibri"/>
                <w:color w:val="000000"/>
                <w:sz w:val="18"/>
                <w:szCs w:val="18"/>
              </w:rPr>
              <w:t>$260,100</w:t>
            </w:r>
          </w:p>
        </w:tc>
        <w:tc>
          <w:tcPr>
            <w:tcW w:w="1074" w:type="dxa"/>
          </w:tcPr>
          <w:p w14:paraId="744D2604" w14:textId="77777777" w:rsidR="00543D47" w:rsidRPr="00A41695" w:rsidRDefault="00543D47" w:rsidP="00D9610A">
            <w:pPr>
              <w:rPr>
                <w:sz w:val="18"/>
                <w:szCs w:val="18"/>
              </w:rPr>
            </w:pPr>
            <w:r w:rsidRPr="000721C1">
              <w:rPr>
                <w:rFonts w:ascii="Calibri" w:hAnsi="Calibri"/>
                <w:color w:val="000000"/>
                <w:sz w:val="18"/>
                <w:szCs w:val="18"/>
              </w:rPr>
              <w:t>10,018</w:t>
            </w:r>
          </w:p>
        </w:tc>
        <w:tc>
          <w:tcPr>
            <w:tcW w:w="1074" w:type="dxa"/>
          </w:tcPr>
          <w:p w14:paraId="4EB84E7B" w14:textId="77777777" w:rsidR="00543D47" w:rsidRPr="00A41695" w:rsidRDefault="00543D47" w:rsidP="00D9610A">
            <w:pPr>
              <w:rPr>
                <w:sz w:val="18"/>
                <w:szCs w:val="18"/>
              </w:rPr>
            </w:pPr>
            <w:r w:rsidRPr="000721C1">
              <w:rPr>
                <w:rFonts w:ascii="Calibri" w:hAnsi="Calibri"/>
                <w:color w:val="000000"/>
                <w:sz w:val="18"/>
                <w:szCs w:val="18"/>
              </w:rPr>
              <w:t>8,887</w:t>
            </w:r>
          </w:p>
        </w:tc>
        <w:tc>
          <w:tcPr>
            <w:tcW w:w="1074" w:type="dxa"/>
          </w:tcPr>
          <w:p w14:paraId="0FA7953C" w14:textId="77777777" w:rsidR="00543D47" w:rsidRPr="00A41695" w:rsidRDefault="00543D47" w:rsidP="00D9610A">
            <w:pPr>
              <w:rPr>
                <w:sz w:val="18"/>
                <w:szCs w:val="18"/>
              </w:rPr>
            </w:pPr>
            <w:r w:rsidRPr="000721C1">
              <w:rPr>
                <w:rFonts w:ascii="Calibri" w:hAnsi="Calibri"/>
                <w:color w:val="000000"/>
                <w:sz w:val="18"/>
                <w:szCs w:val="18"/>
              </w:rPr>
              <w:t>14.9%</w:t>
            </w:r>
          </w:p>
        </w:tc>
      </w:tr>
      <w:tr w:rsidR="00543D47" w:rsidRPr="00370DFD" w14:paraId="0B821887" w14:textId="77777777" w:rsidTr="00D9610A">
        <w:tc>
          <w:tcPr>
            <w:tcW w:w="702" w:type="dxa"/>
          </w:tcPr>
          <w:p w14:paraId="5A57A7A4" w14:textId="77777777" w:rsidR="00543D47" w:rsidRPr="00A41695" w:rsidRDefault="00543D47" w:rsidP="00D9610A">
            <w:pPr>
              <w:rPr>
                <w:sz w:val="18"/>
                <w:szCs w:val="18"/>
              </w:rPr>
            </w:pPr>
            <w:r w:rsidRPr="00A41695">
              <w:rPr>
                <w:sz w:val="18"/>
                <w:szCs w:val="18"/>
              </w:rPr>
              <w:t>66826</w:t>
            </w:r>
          </w:p>
        </w:tc>
        <w:tc>
          <w:tcPr>
            <w:tcW w:w="2944" w:type="dxa"/>
          </w:tcPr>
          <w:p w14:paraId="6FC72B12" w14:textId="77777777" w:rsidR="00543D47" w:rsidRPr="00A41695" w:rsidRDefault="00543D47" w:rsidP="00D9610A">
            <w:pPr>
              <w:rPr>
                <w:sz w:val="18"/>
                <w:szCs w:val="18"/>
              </w:rPr>
            </w:pPr>
            <w:r w:rsidRPr="000721C1">
              <w:rPr>
                <w:rFonts w:ascii="Calibri" w:hAnsi="Calibri"/>
                <w:color w:val="000000"/>
                <w:sz w:val="18"/>
                <w:szCs w:val="18"/>
              </w:rPr>
              <w:t xml:space="preserve">A test described in item 66825 if rendered by a receiving APP where no tests have been rendered by the referring APP - 1 </w:t>
            </w:r>
            <w:proofErr w:type="gramStart"/>
            <w:r w:rsidRPr="000721C1">
              <w:rPr>
                <w:rFonts w:ascii="Calibri" w:hAnsi="Calibri"/>
                <w:color w:val="000000"/>
                <w:sz w:val="18"/>
                <w:szCs w:val="18"/>
              </w:rPr>
              <w:t>test(</w:t>
            </w:r>
            <w:proofErr w:type="gramEnd"/>
            <w:r w:rsidRPr="000721C1">
              <w:rPr>
                <w:rFonts w:ascii="Calibri" w:hAnsi="Calibri"/>
                <w:color w:val="000000"/>
                <w:sz w:val="18"/>
                <w:szCs w:val="18"/>
              </w:rPr>
              <w:t>Item is subject to rules 6, 18, 22 and 25 )</w:t>
            </w:r>
          </w:p>
        </w:tc>
        <w:tc>
          <w:tcPr>
            <w:tcW w:w="1074" w:type="dxa"/>
          </w:tcPr>
          <w:p w14:paraId="46CC5257" w14:textId="77777777" w:rsidR="00543D47" w:rsidRPr="00A41695" w:rsidRDefault="00543D47" w:rsidP="00D9610A">
            <w:pPr>
              <w:rPr>
                <w:sz w:val="18"/>
                <w:szCs w:val="18"/>
              </w:rPr>
            </w:pPr>
            <w:r w:rsidRPr="000721C1">
              <w:rPr>
                <w:rFonts w:ascii="Calibri" w:hAnsi="Calibri"/>
                <w:color w:val="000000"/>
                <w:sz w:val="18"/>
                <w:szCs w:val="18"/>
              </w:rPr>
              <w:t>30.60</w:t>
            </w:r>
          </w:p>
        </w:tc>
        <w:tc>
          <w:tcPr>
            <w:tcW w:w="1074" w:type="dxa"/>
          </w:tcPr>
          <w:p w14:paraId="277FB6BD" w14:textId="77777777" w:rsidR="00543D47" w:rsidRPr="00A41695" w:rsidRDefault="00543D47" w:rsidP="00D9610A">
            <w:pPr>
              <w:rPr>
                <w:sz w:val="18"/>
                <w:szCs w:val="18"/>
              </w:rPr>
            </w:pPr>
            <w:r w:rsidRPr="000721C1">
              <w:rPr>
                <w:rFonts w:ascii="Calibri" w:hAnsi="Calibri"/>
                <w:color w:val="000000"/>
                <w:sz w:val="18"/>
                <w:szCs w:val="18"/>
              </w:rPr>
              <w:t>$32,923</w:t>
            </w:r>
          </w:p>
        </w:tc>
        <w:tc>
          <w:tcPr>
            <w:tcW w:w="1074" w:type="dxa"/>
          </w:tcPr>
          <w:p w14:paraId="6992300C" w14:textId="77777777" w:rsidR="00543D47" w:rsidRPr="00A41695" w:rsidRDefault="00543D47" w:rsidP="00D9610A">
            <w:pPr>
              <w:rPr>
                <w:sz w:val="18"/>
                <w:szCs w:val="18"/>
              </w:rPr>
            </w:pPr>
            <w:r w:rsidRPr="000721C1">
              <w:rPr>
                <w:rFonts w:ascii="Calibri" w:hAnsi="Calibri"/>
                <w:color w:val="000000"/>
                <w:sz w:val="18"/>
                <w:szCs w:val="18"/>
              </w:rPr>
              <w:t>1,268</w:t>
            </w:r>
          </w:p>
        </w:tc>
        <w:tc>
          <w:tcPr>
            <w:tcW w:w="1074" w:type="dxa"/>
          </w:tcPr>
          <w:p w14:paraId="284A2FD3" w14:textId="77777777" w:rsidR="00543D47" w:rsidRPr="00A41695" w:rsidRDefault="00543D47" w:rsidP="00D9610A">
            <w:pPr>
              <w:rPr>
                <w:sz w:val="18"/>
                <w:szCs w:val="18"/>
              </w:rPr>
            </w:pPr>
            <w:r w:rsidRPr="000721C1">
              <w:rPr>
                <w:rFonts w:ascii="Calibri" w:hAnsi="Calibri"/>
                <w:color w:val="000000"/>
                <w:sz w:val="18"/>
                <w:szCs w:val="18"/>
              </w:rPr>
              <w:t>1,206</w:t>
            </w:r>
          </w:p>
        </w:tc>
        <w:tc>
          <w:tcPr>
            <w:tcW w:w="1074" w:type="dxa"/>
          </w:tcPr>
          <w:p w14:paraId="411987F8" w14:textId="77777777" w:rsidR="00543D47" w:rsidRPr="00A41695" w:rsidRDefault="00543D47" w:rsidP="00D9610A">
            <w:pPr>
              <w:rPr>
                <w:sz w:val="18"/>
                <w:szCs w:val="18"/>
              </w:rPr>
            </w:pPr>
            <w:r w:rsidRPr="000721C1">
              <w:rPr>
                <w:rFonts w:ascii="Calibri" w:hAnsi="Calibri"/>
                <w:color w:val="000000"/>
                <w:sz w:val="18"/>
                <w:szCs w:val="18"/>
              </w:rPr>
              <w:t>-17.2%</w:t>
            </w:r>
          </w:p>
        </w:tc>
      </w:tr>
      <w:tr w:rsidR="00543D47" w:rsidRPr="00370DFD" w14:paraId="37F9B6DB" w14:textId="77777777" w:rsidTr="00D9610A">
        <w:tc>
          <w:tcPr>
            <w:tcW w:w="702" w:type="dxa"/>
          </w:tcPr>
          <w:p w14:paraId="18F3A7F2" w14:textId="77777777" w:rsidR="00543D47" w:rsidRPr="00A41695" w:rsidRDefault="00543D47" w:rsidP="00D9610A">
            <w:pPr>
              <w:rPr>
                <w:sz w:val="18"/>
                <w:szCs w:val="18"/>
              </w:rPr>
            </w:pPr>
            <w:r w:rsidRPr="00A41695">
              <w:rPr>
                <w:sz w:val="18"/>
                <w:szCs w:val="18"/>
              </w:rPr>
              <w:t>66827</w:t>
            </w:r>
          </w:p>
        </w:tc>
        <w:tc>
          <w:tcPr>
            <w:tcW w:w="2944" w:type="dxa"/>
          </w:tcPr>
          <w:p w14:paraId="567EAB88" w14:textId="77777777" w:rsidR="00543D47" w:rsidRPr="00A41695" w:rsidRDefault="00543D47" w:rsidP="00D9610A">
            <w:pPr>
              <w:rPr>
                <w:sz w:val="18"/>
                <w:szCs w:val="18"/>
              </w:rPr>
            </w:pPr>
            <w:r w:rsidRPr="000721C1">
              <w:rPr>
                <w:rFonts w:ascii="Calibri" w:hAnsi="Calibri"/>
                <w:color w:val="000000"/>
                <w:sz w:val="18"/>
                <w:szCs w:val="18"/>
              </w:rPr>
              <w:t>A test described in item 66825, other than that described in 66826, if rendered by a receiving APP</w:t>
            </w:r>
            <w:r>
              <w:rPr>
                <w:rFonts w:ascii="Calibri" w:hAnsi="Calibri"/>
                <w:color w:val="000000"/>
                <w:sz w:val="18"/>
                <w:szCs w:val="18"/>
              </w:rPr>
              <w:t xml:space="preserve"> </w:t>
            </w:r>
            <w:r w:rsidRPr="000721C1">
              <w:rPr>
                <w:rFonts w:ascii="Calibri" w:hAnsi="Calibri"/>
                <w:color w:val="000000"/>
                <w:sz w:val="18"/>
                <w:szCs w:val="18"/>
              </w:rPr>
              <w:t xml:space="preserve">to a maximum of 1 </w:t>
            </w:r>
            <w:proofErr w:type="gramStart"/>
            <w:r w:rsidRPr="000721C1">
              <w:rPr>
                <w:rFonts w:ascii="Calibri" w:hAnsi="Calibri"/>
                <w:color w:val="000000"/>
                <w:sz w:val="18"/>
                <w:szCs w:val="18"/>
              </w:rPr>
              <w:t>test(</w:t>
            </w:r>
            <w:proofErr w:type="gramEnd"/>
            <w:r w:rsidRPr="000721C1">
              <w:rPr>
                <w:rFonts w:ascii="Calibri" w:hAnsi="Calibri"/>
                <w:color w:val="000000"/>
                <w:sz w:val="18"/>
                <w:szCs w:val="18"/>
              </w:rPr>
              <w:t>Item is subject to rules 6, 18, 22 and 25)</w:t>
            </w:r>
          </w:p>
        </w:tc>
        <w:tc>
          <w:tcPr>
            <w:tcW w:w="1074" w:type="dxa"/>
          </w:tcPr>
          <w:p w14:paraId="54875839" w14:textId="77777777" w:rsidR="00543D47" w:rsidRPr="00A41695" w:rsidRDefault="00543D47" w:rsidP="00D9610A">
            <w:pPr>
              <w:rPr>
                <w:sz w:val="18"/>
                <w:szCs w:val="18"/>
              </w:rPr>
            </w:pPr>
            <w:r w:rsidRPr="000721C1">
              <w:rPr>
                <w:rFonts w:ascii="Calibri" w:hAnsi="Calibri"/>
                <w:color w:val="000000"/>
                <w:sz w:val="18"/>
                <w:szCs w:val="18"/>
              </w:rPr>
              <w:t>21.80</w:t>
            </w:r>
          </w:p>
        </w:tc>
        <w:tc>
          <w:tcPr>
            <w:tcW w:w="1074" w:type="dxa"/>
          </w:tcPr>
          <w:p w14:paraId="6750580C" w14:textId="77777777" w:rsidR="00543D47" w:rsidRPr="00A41695" w:rsidRDefault="00543D47" w:rsidP="00D9610A">
            <w:pPr>
              <w:rPr>
                <w:sz w:val="18"/>
                <w:szCs w:val="18"/>
              </w:rPr>
            </w:pPr>
            <w:r w:rsidRPr="000721C1">
              <w:rPr>
                <w:rFonts w:ascii="Calibri" w:hAnsi="Calibri"/>
                <w:color w:val="000000"/>
                <w:sz w:val="18"/>
                <w:szCs w:val="18"/>
              </w:rPr>
              <w:t>$15,840</w:t>
            </w:r>
          </w:p>
        </w:tc>
        <w:tc>
          <w:tcPr>
            <w:tcW w:w="1074" w:type="dxa"/>
          </w:tcPr>
          <w:p w14:paraId="104EC04B" w14:textId="77777777" w:rsidR="00543D47" w:rsidRPr="00A41695" w:rsidRDefault="00543D47" w:rsidP="00D9610A">
            <w:pPr>
              <w:rPr>
                <w:sz w:val="18"/>
                <w:szCs w:val="18"/>
              </w:rPr>
            </w:pPr>
            <w:r w:rsidRPr="000721C1">
              <w:rPr>
                <w:rFonts w:ascii="Calibri" w:hAnsi="Calibri"/>
                <w:color w:val="000000"/>
                <w:sz w:val="18"/>
                <w:szCs w:val="18"/>
              </w:rPr>
              <w:t>854</w:t>
            </w:r>
          </w:p>
        </w:tc>
        <w:tc>
          <w:tcPr>
            <w:tcW w:w="1074" w:type="dxa"/>
          </w:tcPr>
          <w:p w14:paraId="3833C15B" w14:textId="77777777" w:rsidR="00543D47" w:rsidRPr="00A41695" w:rsidRDefault="00543D47" w:rsidP="00D9610A">
            <w:pPr>
              <w:rPr>
                <w:sz w:val="18"/>
                <w:szCs w:val="18"/>
              </w:rPr>
            </w:pPr>
            <w:r w:rsidRPr="000721C1">
              <w:rPr>
                <w:rFonts w:ascii="Calibri" w:hAnsi="Calibri"/>
                <w:color w:val="000000"/>
                <w:sz w:val="18"/>
                <w:szCs w:val="18"/>
              </w:rPr>
              <w:t>810</w:t>
            </w:r>
          </w:p>
        </w:tc>
        <w:tc>
          <w:tcPr>
            <w:tcW w:w="1074" w:type="dxa"/>
          </w:tcPr>
          <w:p w14:paraId="348D9E2B" w14:textId="77777777" w:rsidR="00543D47" w:rsidRPr="00A41695" w:rsidRDefault="00543D47" w:rsidP="00D9610A">
            <w:pPr>
              <w:rPr>
                <w:sz w:val="18"/>
                <w:szCs w:val="18"/>
              </w:rPr>
            </w:pPr>
            <w:r w:rsidRPr="000721C1">
              <w:rPr>
                <w:rFonts w:ascii="Calibri" w:hAnsi="Calibri"/>
                <w:color w:val="000000"/>
                <w:sz w:val="18"/>
                <w:szCs w:val="18"/>
              </w:rPr>
              <w:t>13.2%</w:t>
            </w:r>
          </w:p>
        </w:tc>
      </w:tr>
      <w:tr w:rsidR="00543D47" w:rsidRPr="00370DFD" w14:paraId="18D7EE5E" w14:textId="77777777" w:rsidTr="00D9610A">
        <w:tc>
          <w:tcPr>
            <w:tcW w:w="702" w:type="dxa"/>
          </w:tcPr>
          <w:p w14:paraId="01E8C43B" w14:textId="77777777" w:rsidR="00543D47" w:rsidRPr="00A41695" w:rsidRDefault="00543D47" w:rsidP="00D9610A">
            <w:pPr>
              <w:rPr>
                <w:sz w:val="18"/>
                <w:szCs w:val="18"/>
              </w:rPr>
            </w:pPr>
            <w:r w:rsidRPr="00A41695">
              <w:rPr>
                <w:sz w:val="18"/>
                <w:szCs w:val="18"/>
              </w:rPr>
              <w:t>66828</w:t>
            </w:r>
          </w:p>
        </w:tc>
        <w:tc>
          <w:tcPr>
            <w:tcW w:w="2944" w:type="dxa"/>
          </w:tcPr>
          <w:p w14:paraId="59BCC8A6" w14:textId="77777777" w:rsidR="00543D47" w:rsidRPr="00A41695" w:rsidRDefault="00543D47" w:rsidP="00D9610A">
            <w:pPr>
              <w:rPr>
                <w:sz w:val="18"/>
                <w:szCs w:val="18"/>
              </w:rPr>
            </w:pPr>
            <w:r w:rsidRPr="000721C1">
              <w:rPr>
                <w:rFonts w:ascii="Calibri" w:hAnsi="Calibri"/>
                <w:color w:val="000000"/>
                <w:sz w:val="18"/>
                <w:szCs w:val="18"/>
              </w:rPr>
              <w:t xml:space="preserve">Quantitation of aluminium (except if item 66671 applies), arsenic, beryllium, cadmium, chromium, gold, mercury, nickel, or strontium, in blood, urine or other body fluid or tissue - 2 or more tests. to a maximum of 3 of this </w:t>
            </w:r>
            <w:proofErr w:type="gramStart"/>
            <w:r w:rsidRPr="000721C1">
              <w:rPr>
                <w:rFonts w:ascii="Calibri" w:hAnsi="Calibri"/>
                <w:color w:val="000000"/>
                <w:sz w:val="18"/>
                <w:szCs w:val="18"/>
              </w:rPr>
              <w:t>item</w:t>
            </w:r>
            <w:proofErr w:type="gramEnd"/>
            <w:r w:rsidRPr="000721C1">
              <w:rPr>
                <w:rFonts w:ascii="Calibri" w:hAnsi="Calibri"/>
                <w:color w:val="000000"/>
                <w:sz w:val="18"/>
                <w:szCs w:val="18"/>
              </w:rPr>
              <w:t xml:space="preserve"> in a 6</w:t>
            </w:r>
            <w:r>
              <w:rPr>
                <w:rFonts w:ascii="Calibri" w:hAnsi="Calibri"/>
                <w:color w:val="000000"/>
                <w:sz w:val="18"/>
                <w:szCs w:val="18"/>
              </w:rPr>
              <w:t>-</w:t>
            </w:r>
            <w:r w:rsidRPr="000721C1">
              <w:rPr>
                <w:rFonts w:ascii="Calibri" w:hAnsi="Calibri"/>
                <w:color w:val="000000"/>
                <w:sz w:val="18"/>
                <w:szCs w:val="18"/>
              </w:rPr>
              <w:t>month period (Item is subject to rule</w:t>
            </w:r>
            <w:r>
              <w:rPr>
                <w:rFonts w:ascii="Calibri" w:hAnsi="Calibri"/>
                <w:color w:val="000000"/>
                <w:sz w:val="18"/>
                <w:szCs w:val="18"/>
              </w:rPr>
              <w:t>s</w:t>
            </w:r>
            <w:r w:rsidRPr="000721C1">
              <w:rPr>
                <w:rFonts w:ascii="Calibri" w:hAnsi="Calibri"/>
                <w:color w:val="000000"/>
                <w:sz w:val="18"/>
                <w:szCs w:val="18"/>
              </w:rPr>
              <w:t xml:space="preserve"> 6, 22 and 25)</w:t>
            </w:r>
          </w:p>
        </w:tc>
        <w:tc>
          <w:tcPr>
            <w:tcW w:w="1074" w:type="dxa"/>
          </w:tcPr>
          <w:p w14:paraId="3A6A7182" w14:textId="77777777" w:rsidR="00543D47" w:rsidRPr="00A41695" w:rsidRDefault="00543D47" w:rsidP="00D9610A">
            <w:pPr>
              <w:rPr>
                <w:sz w:val="18"/>
                <w:szCs w:val="18"/>
              </w:rPr>
            </w:pPr>
            <w:r w:rsidRPr="000721C1">
              <w:rPr>
                <w:rFonts w:ascii="Calibri" w:hAnsi="Calibri"/>
                <w:color w:val="000000"/>
                <w:sz w:val="18"/>
                <w:szCs w:val="18"/>
              </w:rPr>
              <w:t>52.45</w:t>
            </w:r>
          </w:p>
        </w:tc>
        <w:tc>
          <w:tcPr>
            <w:tcW w:w="1074" w:type="dxa"/>
          </w:tcPr>
          <w:p w14:paraId="2091539B" w14:textId="77777777" w:rsidR="00543D47" w:rsidRPr="00A41695" w:rsidRDefault="00543D47" w:rsidP="00D9610A">
            <w:pPr>
              <w:rPr>
                <w:sz w:val="18"/>
                <w:szCs w:val="18"/>
              </w:rPr>
            </w:pPr>
            <w:r w:rsidRPr="000721C1">
              <w:rPr>
                <w:rFonts w:ascii="Calibri" w:hAnsi="Calibri"/>
                <w:color w:val="000000"/>
                <w:sz w:val="18"/>
                <w:szCs w:val="18"/>
              </w:rPr>
              <w:t>$110,166</w:t>
            </w:r>
          </w:p>
        </w:tc>
        <w:tc>
          <w:tcPr>
            <w:tcW w:w="1074" w:type="dxa"/>
          </w:tcPr>
          <w:p w14:paraId="024130D0" w14:textId="77777777" w:rsidR="00543D47" w:rsidRPr="00A41695" w:rsidRDefault="00543D47" w:rsidP="00D9610A">
            <w:pPr>
              <w:rPr>
                <w:sz w:val="18"/>
                <w:szCs w:val="18"/>
              </w:rPr>
            </w:pPr>
            <w:r w:rsidRPr="000721C1">
              <w:rPr>
                <w:rFonts w:ascii="Calibri" w:hAnsi="Calibri"/>
                <w:color w:val="000000"/>
                <w:sz w:val="18"/>
                <w:szCs w:val="18"/>
              </w:rPr>
              <w:t>2,438</w:t>
            </w:r>
          </w:p>
        </w:tc>
        <w:tc>
          <w:tcPr>
            <w:tcW w:w="1074" w:type="dxa"/>
          </w:tcPr>
          <w:p w14:paraId="19FA4453" w14:textId="77777777" w:rsidR="00543D47" w:rsidRPr="00A41695" w:rsidRDefault="00543D47" w:rsidP="00D9610A">
            <w:pPr>
              <w:rPr>
                <w:sz w:val="18"/>
                <w:szCs w:val="18"/>
              </w:rPr>
            </w:pPr>
            <w:r w:rsidRPr="000721C1">
              <w:rPr>
                <w:rFonts w:ascii="Calibri" w:hAnsi="Calibri"/>
                <w:color w:val="000000"/>
                <w:sz w:val="18"/>
                <w:szCs w:val="18"/>
              </w:rPr>
              <w:t>2,344</w:t>
            </w:r>
          </w:p>
        </w:tc>
        <w:tc>
          <w:tcPr>
            <w:tcW w:w="1074" w:type="dxa"/>
          </w:tcPr>
          <w:p w14:paraId="311BF6CD" w14:textId="77777777" w:rsidR="00543D47" w:rsidRPr="00A41695" w:rsidRDefault="00543D47" w:rsidP="00D9610A">
            <w:pPr>
              <w:rPr>
                <w:sz w:val="18"/>
                <w:szCs w:val="18"/>
              </w:rPr>
            </w:pPr>
            <w:r w:rsidRPr="000721C1">
              <w:rPr>
                <w:rFonts w:ascii="Calibri" w:hAnsi="Calibri"/>
                <w:color w:val="000000"/>
                <w:sz w:val="18"/>
                <w:szCs w:val="18"/>
              </w:rPr>
              <w:t>9.5%</w:t>
            </w:r>
          </w:p>
        </w:tc>
      </w:tr>
      <w:tr w:rsidR="00543D47" w:rsidRPr="00370DFD" w14:paraId="4EAFBB2B" w14:textId="77777777" w:rsidTr="00D9610A">
        <w:tc>
          <w:tcPr>
            <w:tcW w:w="702" w:type="dxa"/>
          </w:tcPr>
          <w:p w14:paraId="2EE04219" w14:textId="77777777" w:rsidR="00543D47" w:rsidRPr="00A41695" w:rsidRDefault="00543D47" w:rsidP="00D9610A">
            <w:pPr>
              <w:rPr>
                <w:sz w:val="18"/>
                <w:szCs w:val="18"/>
              </w:rPr>
            </w:pPr>
            <w:r w:rsidRPr="00A41695">
              <w:rPr>
                <w:sz w:val="18"/>
                <w:szCs w:val="18"/>
              </w:rPr>
              <w:lastRenderedPageBreak/>
              <w:t>66831</w:t>
            </w:r>
          </w:p>
        </w:tc>
        <w:tc>
          <w:tcPr>
            <w:tcW w:w="2944" w:type="dxa"/>
          </w:tcPr>
          <w:p w14:paraId="6C548A87" w14:textId="77777777" w:rsidR="00543D47" w:rsidRPr="00A41695" w:rsidRDefault="00543D47" w:rsidP="00D9610A">
            <w:pPr>
              <w:rPr>
                <w:sz w:val="18"/>
                <w:szCs w:val="18"/>
              </w:rPr>
            </w:pPr>
            <w:r w:rsidRPr="000721C1">
              <w:rPr>
                <w:rFonts w:ascii="Calibri" w:hAnsi="Calibri"/>
                <w:color w:val="000000"/>
                <w:sz w:val="18"/>
                <w:szCs w:val="18"/>
              </w:rPr>
              <w:t>Quantitation of copper or iron in liver tissue biopsy</w:t>
            </w:r>
          </w:p>
        </w:tc>
        <w:tc>
          <w:tcPr>
            <w:tcW w:w="1074" w:type="dxa"/>
          </w:tcPr>
          <w:p w14:paraId="025347E5" w14:textId="77777777" w:rsidR="00543D47" w:rsidRPr="00A41695" w:rsidRDefault="00543D47" w:rsidP="00D9610A">
            <w:pPr>
              <w:rPr>
                <w:sz w:val="18"/>
                <w:szCs w:val="18"/>
              </w:rPr>
            </w:pPr>
            <w:r w:rsidRPr="000721C1">
              <w:rPr>
                <w:rFonts w:ascii="Calibri" w:hAnsi="Calibri"/>
                <w:color w:val="000000"/>
                <w:sz w:val="18"/>
                <w:szCs w:val="18"/>
              </w:rPr>
              <w:t>30.95</w:t>
            </w:r>
          </w:p>
        </w:tc>
        <w:tc>
          <w:tcPr>
            <w:tcW w:w="1074" w:type="dxa"/>
          </w:tcPr>
          <w:p w14:paraId="4FF9D091" w14:textId="77777777" w:rsidR="00543D47" w:rsidRPr="00A41695" w:rsidRDefault="00543D47" w:rsidP="00D9610A">
            <w:pPr>
              <w:rPr>
                <w:sz w:val="18"/>
                <w:szCs w:val="18"/>
              </w:rPr>
            </w:pPr>
            <w:r w:rsidRPr="000721C1">
              <w:rPr>
                <w:rFonts w:ascii="Calibri" w:hAnsi="Calibri"/>
                <w:color w:val="000000"/>
                <w:sz w:val="18"/>
                <w:szCs w:val="18"/>
              </w:rPr>
              <w:t>$1,249</w:t>
            </w:r>
          </w:p>
        </w:tc>
        <w:tc>
          <w:tcPr>
            <w:tcW w:w="1074" w:type="dxa"/>
          </w:tcPr>
          <w:p w14:paraId="3DC3233E" w14:textId="77777777" w:rsidR="00543D47" w:rsidRPr="00A41695" w:rsidRDefault="00543D47" w:rsidP="00D9610A">
            <w:pPr>
              <w:rPr>
                <w:sz w:val="18"/>
                <w:szCs w:val="18"/>
              </w:rPr>
            </w:pPr>
            <w:r w:rsidRPr="000721C1">
              <w:rPr>
                <w:rFonts w:ascii="Calibri" w:hAnsi="Calibri"/>
                <w:color w:val="000000"/>
                <w:sz w:val="18"/>
                <w:szCs w:val="18"/>
              </w:rPr>
              <w:t>49</w:t>
            </w:r>
          </w:p>
        </w:tc>
        <w:tc>
          <w:tcPr>
            <w:tcW w:w="1074" w:type="dxa"/>
          </w:tcPr>
          <w:p w14:paraId="022BE6D5" w14:textId="77777777" w:rsidR="00543D47" w:rsidRPr="00A41695" w:rsidRDefault="00543D47" w:rsidP="00D9610A">
            <w:pPr>
              <w:rPr>
                <w:sz w:val="18"/>
                <w:szCs w:val="18"/>
              </w:rPr>
            </w:pPr>
            <w:r w:rsidRPr="000721C1">
              <w:rPr>
                <w:rFonts w:ascii="Calibri" w:hAnsi="Calibri"/>
                <w:color w:val="000000"/>
                <w:sz w:val="18"/>
                <w:szCs w:val="18"/>
              </w:rPr>
              <w:t>49</w:t>
            </w:r>
          </w:p>
        </w:tc>
        <w:tc>
          <w:tcPr>
            <w:tcW w:w="1074" w:type="dxa"/>
          </w:tcPr>
          <w:p w14:paraId="69431CAB" w14:textId="77777777" w:rsidR="00543D47" w:rsidRPr="00A41695" w:rsidRDefault="00543D47" w:rsidP="00D9610A">
            <w:pPr>
              <w:rPr>
                <w:sz w:val="18"/>
                <w:szCs w:val="18"/>
              </w:rPr>
            </w:pPr>
            <w:r w:rsidRPr="000721C1">
              <w:rPr>
                <w:rFonts w:ascii="Calibri" w:hAnsi="Calibri"/>
                <w:color w:val="000000"/>
                <w:sz w:val="18"/>
                <w:szCs w:val="18"/>
              </w:rPr>
              <w:t>-14.1%</w:t>
            </w:r>
          </w:p>
        </w:tc>
      </w:tr>
      <w:tr w:rsidR="00543D47" w:rsidRPr="00370DFD" w14:paraId="0D90FC30" w14:textId="77777777" w:rsidTr="00D9610A">
        <w:tc>
          <w:tcPr>
            <w:tcW w:w="702" w:type="dxa"/>
          </w:tcPr>
          <w:p w14:paraId="46AC3271" w14:textId="77777777" w:rsidR="00543D47" w:rsidRPr="00A41695" w:rsidRDefault="00543D47" w:rsidP="00D9610A">
            <w:pPr>
              <w:rPr>
                <w:sz w:val="18"/>
                <w:szCs w:val="18"/>
              </w:rPr>
            </w:pPr>
            <w:r w:rsidRPr="00A41695">
              <w:rPr>
                <w:sz w:val="18"/>
                <w:szCs w:val="18"/>
              </w:rPr>
              <w:t>66832</w:t>
            </w:r>
          </w:p>
        </w:tc>
        <w:tc>
          <w:tcPr>
            <w:tcW w:w="2944" w:type="dxa"/>
          </w:tcPr>
          <w:p w14:paraId="57180060" w14:textId="77777777" w:rsidR="00543D47" w:rsidRPr="00A41695" w:rsidRDefault="00543D47" w:rsidP="00D9610A">
            <w:pPr>
              <w:rPr>
                <w:sz w:val="18"/>
                <w:szCs w:val="18"/>
              </w:rPr>
            </w:pPr>
            <w:r w:rsidRPr="000721C1">
              <w:rPr>
                <w:rFonts w:ascii="Calibri" w:hAnsi="Calibri"/>
                <w:color w:val="000000"/>
                <w:sz w:val="18"/>
                <w:szCs w:val="18"/>
              </w:rPr>
              <w:t>A test described in item 66831 if rendered by a receiving app (item is subject to rule</w:t>
            </w:r>
            <w:r>
              <w:rPr>
                <w:rFonts w:ascii="Calibri" w:hAnsi="Calibri"/>
                <w:color w:val="000000"/>
                <w:sz w:val="18"/>
                <w:szCs w:val="18"/>
              </w:rPr>
              <w:t>s</w:t>
            </w:r>
            <w:r w:rsidRPr="000721C1">
              <w:rPr>
                <w:rFonts w:ascii="Calibri" w:hAnsi="Calibri"/>
                <w:color w:val="000000"/>
                <w:sz w:val="18"/>
                <w:szCs w:val="18"/>
              </w:rPr>
              <w:t xml:space="preserve"> 18a and 22)</w:t>
            </w:r>
          </w:p>
        </w:tc>
        <w:tc>
          <w:tcPr>
            <w:tcW w:w="1074" w:type="dxa"/>
          </w:tcPr>
          <w:p w14:paraId="4ED34F39" w14:textId="77777777" w:rsidR="00543D47" w:rsidRPr="00A41695" w:rsidRDefault="00543D47" w:rsidP="00D9610A">
            <w:pPr>
              <w:rPr>
                <w:sz w:val="18"/>
                <w:szCs w:val="18"/>
              </w:rPr>
            </w:pPr>
            <w:r w:rsidRPr="000721C1">
              <w:rPr>
                <w:rFonts w:ascii="Calibri" w:hAnsi="Calibri"/>
                <w:color w:val="000000"/>
                <w:sz w:val="18"/>
                <w:szCs w:val="18"/>
              </w:rPr>
              <w:t>30.95</w:t>
            </w:r>
          </w:p>
        </w:tc>
        <w:tc>
          <w:tcPr>
            <w:tcW w:w="1074" w:type="dxa"/>
          </w:tcPr>
          <w:p w14:paraId="1B930A36" w14:textId="77777777" w:rsidR="00543D47" w:rsidRPr="00A41695" w:rsidRDefault="00543D47" w:rsidP="00D9610A">
            <w:pPr>
              <w:rPr>
                <w:sz w:val="18"/>
                <w:szCs w:val="18"/>
              </w:rPr>
            </w:pPr>
            <w:r w:rsidRPr="000721C1">
              <w:rPr>
                <w:rFonts w:ascii="Calibri" w:hAnsi="Calibri"/>
                <w:color w:val="000000"/>
                <w:sz w:val="18"/>
                <w:szCs w:val="18"/>
              </w:rPr>
              <w:t>$1,254</w:t>
            </w:r>
          </w:p>
        </w:tc>
        <w:tc>
          <w:tcPr>
            <w:tcW w:w="1074" w:type="dxa"/>
          </w:tcPr>
          <w:p w14:paraId="72FB7E8C" w14:textId="77777777" w:rsidR="00543D47" w:rsidRPr="00A41695" w:rsidRDefault="00543D47" w:rsidP="00D9610A">
            <w:pPr>
              <w:rPr>
                <w:sz w:val="18"/>
                <w:szCs w:val="18"/>
              </w:rPr>
            </w:pPr>
            <w:r w:rsidRPr="000721C1">
              <w:rPr>
                <w:rFonts w:ascii="Calibri" w:hAnsi="Calibri"/>
                <w:color w:val="000000"/>
                <w:sz w:val="18"/>
                <w:szCs w:val="18"/>
              </w:rPr>
              <w:t>49</w:t>
            </w:r>
          </w:p>
        </w:tc>
        <w:tc>
          <w:tcPr>
            <w:tcW w:w="1074" w:type="dxa"/>
          </w:tcPr>
          <w:p w14:paraId="3532C542" w14:textId="77777777" w:rsidR="00543D47" w:rsidRPr="00A41695" w:rsidRDefault="00543D47" w:rsidP="00D9610A">
            <w:pPr>
              <w:rPr>
                <w:sz w:val="18"/>
                <w:szCs w:val="18"/>
              </w:rPr>
            </w:pPr>
            <w:r w:rsidRPr="000721C1">
              <w:rPr>
                <w:rFonts w:ascii="Calibri" w:hAnsi="Calibri"/>
                <w:color w:val="000000"/>
                <w:sz w:val="18"/>
                <w:szCs w:val="18"/>
              </w:rPr>
              <w:t>49</w:t>
            </w:r>
          </w:p>
        </w:tc>
        <w:tc>
          <w:tcPr>
            <w:tcW w:w="1074" w:type="dxa"/>
          </w:tcPr>
          <w:p w14:paraId="77C64D50" w14:textId="77777777" w:rsidR="00543D47" w:rsidRPr="00A41695" w:rsidRDefault="00543D47" w:rsidP="00D9610A">
            <w:pPr>
              <w:rPr>
                <w:sz w:val="18"/>
                <w:szCs w:val="18"/>
              </w:rPr>
            </w:pPr>
            <w:r w:rsidRPr="000721C1">
              <w:rPr>
                <w:rFonts w:ascii="Calibri" w:hAnsi="Calibri"/>
                <w:color w:val="000000"/>
                <w:sz w:val="18"/>
                <w:szCs w:val="18"/>
              </w:rPr>
              <w:t>-3.6%</w:t>
            </w:r>
          </w:p>
        </w:tc>
      </w:tr>
    </w:tbl>
    <w:p w14:paraId="0E277650" w14:textId="77777777" w:rsidR="00543D47" w:rsidRDefault="00543D47" w:rsidP="00543D47">
      <w:pPr>
        <w:spacing w:before="0" w:after="0" w:line="240" w:lineRule="auto"/>
      </w:pPr>
    </w:p>
    <w:p w14:paraId="1AF2895F" w14:textId="77777777" w:rsidR="00543D47" w:rsidRPr="007B492F" w:rsidRDefault="00543D47" w:rsidP="00543D47">
      <w:pPr>
        <w:pStyle w:val="Heading4"/>
        <w:rPr>
          <w:lang w:val="en-AU"/>
        </w:rPr>
      </w:pPr>
      <w:r w:rsidRPr="007B492F">
        <w:rPr>
          <w:lang w:val="en-AU"/>
        </w:rPr>
        <w:t>Recommendation</w:t>
      </w:r>
    </w:p>
    <w:p w14:paraId="658CBEBA" w14:textId="77777777" w:rsidR="00543D47" w:rsidRDefault="00543D47" w:rsidP="00543D47">
      <w:pPr>
        <w:pStyle w:val="NormalBulleted"/>
      </w:pPr>
      <w:r>
        <w:rPr>
          <w:lang w:eastAsia="en-US"/>
        </w:rPr>
        <w:t>The Committee recommended that these items remain unchanged</w:t>
      </w:r>
    </w:p>
    <w:p w14:paraId="637DCEC5" w14:textId="77777777" w:rsidR="00543D47" w:rsidRDefault="00543D47" w:rsidP="00543D47">
      <w:pPr>
        <w:pStyle w:val="Heading4"/>
        <w:rPr>
          <w:lang w:val="en-AU"/>
        </w:rPr>
      </w:pPr>
      <w:r w:rsidRPr="0057193B">
        <w:rPr>
          <w:lang w:val="en-AU"/>
        </w:rPr>
        <w:t>Rationale</w:t>
      </w:r>
      <w:r>
        <w:rPr>
          <w:lang w:val="en-AU"/>
        </w:rPr>
        <w:t xml:space="preserve"> </w:t>
      </w:r>
    </w:p>
    <w:p w14:paraId="6C72364D" w14:textId="77777777" w:rsidR="00543D47" w:rsidRDefault="00543D47" w:rsidP="00543D47">
      <w:pPr>
        <w:pStyle w:val="NormalBulleted"/>
        <w:rPr>
          <w:lang w:eastAsia="en-US"/>
        </w:rPr>
      </w:pPr>
      <w:r>
        <w:rPr>
          <w:lang w:eastAsia="en-US"/>
        </w:rPr>
        <w:t>Item 66667 is a test used to detect zinc in blood in patients receiving intravenous alimentation (parenteral nutrition). The utilisation of item 66667</w:t>
      </w:r>
      <w:r w:rsidRPr="00A41695">
        <w:rPr>
          <w:lang w:eastAsia="en-US"/>
        </w:rPr>
        <w:t xml:space="preserve"> </w:t>
      </w:r>
      <w:r>
        <w:rPr>
          <w:lang w:eastAsia="en-US"/>
        </w:rPr>
        <w:t>has increased, possibly due to a change in the item descriptor. There could be a coding error and subsequent incorrect billing of this item, as there is another zinc item 66819 within the Schedule. The item is mainly requested in NSW, by GPs (Figure 10).</w:t>
      </w:r>
    </w:p>
    <w:p w14:paraId="749A26E6" w14:textId="77777777" w:rsidR="00543D47" w:rsidRDefault="00543D47" w:rsidP="00543D47">
      <w:pPr>
        <w:pStyle w:val="NormalBulleted"/>
        <w:rPr>
          <w:lang w:eastAsia="en-US"/>
        </w:rPr>
      </w:pPr>
      <w:r>
        <w:rPr>
          <w:lang w:eastAsia="en-US"/>
        </w:rPr>
        <w:t>Item 66671 is a test used to detect aluminium in blood in patients in a renal dialysis program. There has been minimal change in use over the last 5 years. Testing of patients in renal dialysis programs is often driven by dialysis departmental protocols and inconsistency in the protocols or guidelines may account for the overall state variation seen for this item (Figure 11).</w:t>
      </w:r>
    </w:p>
    <w:p w14:paraId="58D33A5E" w14:textId="77777777" w:rsidR="00543D47" w:rsidRDefault="00543D47" w:rsidP="00543D47">
      <w:pPr>
        <w:pStyle w:val="NormalBulleted"/>
        <w:rPr>
          <w:lang w:eastAsia="en-US"/>
        </w:rPr>
      </w:pPr>
      <w:r>
        <w:rPr>
          <w:lang w:eastAsia="en-US"/>
        </w:rPr>
        <w:t>The utilisation of items 66667 and 66671 appears to be clinically appropriate.</w:t>
      </w:r>
    </w:p>
    <w:p w14:paraId="3A7308E2" w14:textId="77777777" w:rsidR="00543D47" w:rsidRDefault="00543D47" w:rsidP="00543D47">
      <w:pPr>
        <w:pStyle w:val="NormalBulleted"/>
        <w:rPr>
          <w:lang w:eastAsia="en-US"/>
        </w:rPr>
      </w:pPr>
      <w:r w:rsidRPr="00216196">
        <w:t>Item 66825 is a test use</w:t>
      </w:r>
      <w:r>
        <w:t>d</w:t>
      </w:r>
      <w:r w:rsidRPr="00216196">
        <w:t xml:space="preserve"> to detect: aluminium, arsenic, beryllium, cadmium, chromium, gold, mercury, nickel, or strontium, in blood, urine or other body fluid or tissue.</w:t>
      </w:r>
      <w:r>
        <w:t xml:space="preserve"> The main requestors for items 66825, 66826, 66827, and 66828 are GPs, surgeons and neurologists. Although overall volumes are low, there has been a large increase in use of the items, much of which could be attributed to the concern about chromium toxicity in patients who have undergone metal-on-metal hip replacements. </w:t>
      </w:r>
      <w:r w:rsidRPr="0077576B">
        <w:t xml:space="preserve">The </w:t>
      </w:r>
      <w:r>
        <w:t>Committee</w:t>
      </w:r>
      <w:r w:rsidRPr="0077576B">
        <w:t xml:space="preserve"> queried </w:t>
      </w:r>
      <w:r>
        <w:t xml:space="preserve">the </w:t>
      </w:r>
      <w:r w:rsidRPr="0077576B">
        <w:t xml:space="preserve">clinical justification for </w:t>
      </w:r>
      <w:r>
        <w:t>some of</w:t>
      </w:r>
      <w:r w:rsidRPr="0077576B">
        <w:t xml:space="preserve"> the tests listed in this item</w:t>
      </w:r>
      <w:r>
        <w:t>,</w:t>
      </w:r>
      <w:r w:rsidRPr="0077576B">
        <w:t xml:space="preserve"> such as gold or strontium</w:t>
      </w:r>
      <w:r>
        <w:t xml:space="preserve">, but generally did not have concerns about the use of these tests. </w:t>
      </w:r>
    </w:p>
    <w:p w14:paraId="6A288CAF" w14:textId="77777777" w:rsidR="00543D47" w:rsidRDefault="00543D47" w:rsidP="00543D47">
      <w:pPr>
        <w:pStyle w:val="NormalBulleted"/>
        <w:rPr>
          <w:lang w:eastAsia="en-US"/>
        </w:rPr>
      </w:pPr>
      <w:r>
        <w:t>Items 66831 and</w:t>
      </w:r>
      <w:r w:rsidRPr="000721C1">
        <w:t xml:space="preserve"> 66832</w:t>
      </w:r>
      <w:r>
        <w:t xml:space="preserve"> are low volume items that have shown a decline in utilisation. U</w:t>
      </w:r>
      <w:r w:rsidRPr="000721C1">
        <w:t xml:space="preserve">tilisation of </w:t>
      </w:r>
      <w:proofErr w:type="gramStart"/>
      <w:r w:rsidRPr="000721C1">
        <w:t xml:space="preserve">both </w:t>
      </w:r>
      <w:r>
        <w:t>of these</w:t>
      </w:r>
      <w:proofErr w:type="gramEnd"/>
      <w:r>
        <w:t xml:space="preserve"> </w:t>
      </w:r>
      <w:r w:rsidRPr="000721C1">
        <w:t xml:space="preserve">items </w:t>
      </w:r>
      <w:r>
        <w:t>is</w:t>
      </w:r>
      <w:r w:rsidRPr="000721C1">
        <w:t xml:space="preserve"> consistent across the states</w:t>
      </w:r>
      <w:r>
        <w:t xml:space="preserve">, and they are </w:t>
      </w:r>
      <w:r w:rsidRPr="000721C1">
        <w:t>mainly requested by diagnostic radiologists.</w:t>
      </w:r>
      <w:r>
        <w:rPr>
          <w:lang w:eastAsia="en-US"/>
        </w:rPr>
        <w:t xml:space="preserve"> </w:t>
      </w:r>
    </w:p>
    <w:p w14:paraId="30A9F376" w14:textId="77777777" w:rsidR="00543D47" w:rsidRDefault="00543D47" w:rsidP="00543D47">
      <w:pPr>
        <w:pStyle w:val="Caption"/>
      </w:pPr>
      <w:bookmarkStart w:id="143" w:name="_Toc534374953"/>
      <w:r>
        <w:lastRenderedPageBreak/>
        <w:t>Figure 10. State utilisation for item services per 100,000 people</w:t>
      </w:r>
      <w:bookmarkEnd w:id="143"/>
    </w:p>
    <w:p w14:paraId="02EDC033" w14:textId="77777777" w:rsidR="00543D47" w:rsidRDefault="00543D47" w:rsidP="00543D47">
      <w:pPr>
        <w:pStyle w:val="NormalBulleted"/>
        <w:numPr>
          <w:ilvl w:val="0"/>
          <w:numId w:val="0"/>
        </w:numPr>
        <w:ind w:left="431" w:hanging="431"/>
        <w:rPr>
          <w:lang w:eastAsia="en-US"/>
        </w:rPr>
      </w:pPr>
      <w:r>
        <w:rPr>
          <w:noProof/>
        </w:rPr>
        <w:drawing>
          <wp:inline distT="0" distB="0" distL="0" distR="0" wp14:anchorId="6C4AA530" wp14:editId="06B01ADA">
            <wp:extent cx="5006340" cy="3139440"/>
            <wp:effectExtent l="0" t="0" r="3810" b="3810"/>
            <wp:docPr id="15" name="Chart 15" descr="Figure 10 is a graphical representation on utilisation of item 66667 in the 2014/15 financial year by state / territory" title="Item 66667 us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F31F31" w14:textId="77777777" w:rsidR="00543D47" w:rsidRDefault="00543D47" w:rsidP="00543D47">
      <w:pPr>
        <w:pStyle w:val="Caption"/>
      </w:pPr>
      <w:bookmarkStart w:id="144" w:name="_Toc534374954"/>
      <w:r>
        <w:t>Figure 11. State utilisation of item 66671 services per 100,000 people</w:t>
      </w:r>
      <w:bookmarkEnd w:id="144"/>
    </w:p>
    <w:p w14:paraId="0B00A3A0" w14:textId="77777777" w:rsidR="00543D47" w:rsidRDefault="00543D47" w:rsidP="00543D47">
      <w:pPr>
        <w:rPr>
          <w:lang w:eastAsia="en-US"/>
        </w:rPr>
      </w:pPr>
      <w:r>
        <w:rPr>
          <w:noProof/>
        </w:rPr>
        <w:drawing>
          <wp:inline distT="0" distB="0" distL="0" distR="0" wp14:anchorId="2D02CCC7" wp14:editId="5F76AEE1">
            <wp:extent cx="5212080" cy="2987040"/>
            <wp:effectExtent l="0" t="0" r="7620" b="3810"/>
            <wp:docPr id="14" name="Chart 14" descr="Figure 11 is a graphical representation on the utilisation of item 66671 in the 2014/15 financial year by state / territory" title="Item 66671 us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91EF3E" w14:textId="77777777" w:rsidR="00543D47" w:rsidRDefault="00543D47" w:rsidP="00543D47">
      <w:pPr>
        <w:spacing w:before="0" w:after="0" w:line="240" w:lineRule="auto"/>
        <w:rPr>
          <w:lang w:eastAsia="en-US"/>
        </w:rPr>
      </w:pPr>
      <w:r>
        <w:rPr>
          <w:lang w:eastAsia="en-US"/>
        </w:rPr>
        <w:br w:type="page"/>
      </w:r>
    </w:p>
    <w:p w14:paraId="2393E741" w14:textId="77777777" w:rsidR="00543D47" w:rsidRDefault="00543D47" w:rsidP="00543D47">
      <w:pPr>
        <w:pStyle w:val="Heading3Numbered"/>
      </w:pPr>
      <w:r>
        <w:lastRenderedPageBreak/>
        <w:t>Copper, manganese, selenium or zinc:</w:t>
      </w:r>
      <w:r w:rsidRPr="007B492F">
        <w:t xml:space="preserve"> item</w:t>
      </w:r>
      <w:r>
        <w:t>s</w:t>
      </w:r>
      <w:r w:rsidRPr="007B492F">
        <w:t xml:space="preserve"> </w:t>
      </w:r>
      <w:r>
        <w:t>66819, 66820, 66821, 66822</w:t>
      </w:r>
    </w:p>
    <w:p w14:paraId="7C1B7842" w14:textId="77777777" w:rsidR="00543D47" w:rsidRPr="007B492F" w:rsidRDefault="00543D47" w:rsidP="00543D47">
      <w:pPr>
        <w:pStyle w:val="Caption"/>
      </w:pPr>
      <w:bookmarkStart w:id="145" w:name="_Toc534374955"/>
      <w:r w:rsidRPr="00370DFD">
        <w:t xml:space="preserve">Table </w:t>
      </w:r>
      <w:r>
        <w:t>45</w:t>
      </w:r>
      <w:r w:rsidRPr="00370DFD">
        <w:t>. Item introduction</w:t>
      </w:r>
      <w:r>
        <w:t xml:space="preserve"> table for items 66819, 66820, 66821, 66822</w:t>
      </w:r>
      <w:bookmarkEnd w:id="145"/>
    </w:p>
    <w:tbl>
      <w:tblPr>
        <w:tblStyle w:val="TableGrid"/>
        <w:tblW w:w="0" w:type="auto"/>
        <w:tblBorders>
          <w:insideV w:val="single" w:sz="4" w:space="0" w:color="984806" w:themeColor="accent6" w:themeShade="80"/>
        </w:tblBorders>
        <w:tblLook w:val="04A0" w:firstRow="1" w:lastRow="0" w:firstColumn="1" w:lastColumn="0" w:noHBand="0" w:noVBand="1"/>
        <w:tblCaption w:val="Table 45. Item introduction table for items 66819, 66820, 66821, 66822"/>
        <w:tblDescription w:val="Table 45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w:tblPr>
      <w:tblGrid>
        <w:gridCol w:w="701"/>
        <w:gridCol w:w="2857"/>
        <w:gridCol w:w="1064"/>
        <w:gridCol w:w="1218"/>
        <w:gridCol w:w="1060"/>
        <w:gridCol w:w="1060"/>
        <w:gridCol w:w="1056"/>
      </w:tblGrid>
      <w:tr w:rsidR="00543D47" w:rsidRPr="00370DFD" w14:paraId="1FD96B63" w14:textId="77777777" w:rsidTr="00D9610A">
        <w:trPr>
          <w:tblHeader/>
        </w:trPr>
        <w:tc>
          <w:tcPr>
            <w:tcW w:w="701" w:type="dxa"/>
            <w:vAlign w:val="center"/>
          </w:tcPr>
          <w:p w14:paraId="44E17F67" w14:textId="77777777" w:rsidR="00543D47" w:rsidRPr="00370DFD" w:rsidRDefault="00543D47" w:rsidP="00D9610A">
            <w:pPr>
              <w:rPr>
                <w:sz w:val="18"/>
                <w:szCs w:val="18"/>
              </w:rPr>
            </w:pPr>
            <w:r w:rsidRPr="00370DFD">
              <w:rPr>
                <w:b/>
                <w:sz w:val="18"/>
                <w:szCs w:val="18"/>
              </w:rPr>
              <w:t>Item</w:t>
            </w:r>
          </w:p>
        </w:tc>
        <w:tc>
          <w:tcPr>
            <w:tcW w:w="2857" w:type="dxa"/>
            <w:vAlign w:val="center"/>
          </w:tcPr>
          <w:p w14:paraId="19E15CF9" w14:textId="77777777" w:rsidR="00543D47" w:rsidRPr="00370DFD" w:rsidRDefault="00543D47" w:rsidP="00D9610A">
            <w:pPr>
              <w:rPr>
                <w:sz w:val="18"/>
                <w:szCs w:val="18"/>
              </w:rPr>
            </w:pPr>
            <w:r w:rsidRPr="00370DFD">
              <w:rPr>
                <w:b/>
                <w:sz w:val="18"/>
                <w:szCs w:val="18"/>
              </w:rPr>
              <w:t>Long item descriptor</w:t>
            </w:r>
          </w:p>
        </w:tc>
        <w:tc>
          <w:tcPr>
            <w:tcW w:w="1064" w:type="dxa"/>
            <w:vAlign w:val="center"/>
          </w:tcPr>
          <w:p w14:paraId="75B88C07" w14:textId="77777777" w:rsidR="00543D47" w:rsidRPr="00370DFD" w:rsidRDefault="00543D47" w:rsidP="00D9610A">
            <w:pPr>
              <w:rPr>
                <w:sz w:val="18"/>
                <w:szCs w:val="18"/>
              </w:rPr>
            </w:pPr>
            <w:r w:rsidRPr="00370DFD">
              <w:rPr>
                <w:b/>
                <w:sz w:val="18"/>
                <w:szCs w:val="18"/>
              </w:rPr>
              <w:t xml:space="preserve">Schedule </w:t>
            </w:r>
            <w:r>
              <w:rPr>
                <w:b/>
                <w:sz w:val="18"/>
                <w:szCs w:val="18"/>
              </w:rPr>
              <w:t>f</w:t>
            </w:r>
            <w:r w:rsidRPr="00370DFD">
              <w:rPr>
                <w:b/>
                <w:sz w:val="18"/>
                <w:szCs w:val="18"/>
              </w:rPr>
              <w:t>ee</w:t>
            </w:r>
          </w:p>
        </w:tc>
        <w:tc>
          <w:tcPr>
            <w:tcW w:w="1218" w:type="dxa"/>
            <w:vAlign w:val="center"/>
          </w:tcPr>
          <w:p w14:paraId="43E0E500"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 2014–15</w:t>
            </w:r>
          </w:p>
        </w:tc>
        <w:tc>
          <w:tcPr>
            <w:tcW w:w="1060" w:type="dxa"/>
            <w:vAlign w:val="center"/>
          </w:tcPr>
          <w:p w14:paraId="25BDFF9A" w14:textId="77777777" w:rsidR="00543D47" w:rsidRPr="00370DFD" w:rsidRDefault="00543D47" w:rsidP="00D9610A">
            <w:pPr>
              <w:pStyle w:val="BodyText"/>
              <w:rPr>
                <w:sz w:val="18"/>
                <w:szCs w:val="18"/>
              </w:rPr>
            </w:pPr>
            <w:r w:rsidRPr="00370DFD">
              <w:rPr>
                <w:b/>
                <w:sz w:val="18"/>
                <w:szCs w:val="18"/>
              </w:rPr>
              <w:t xml:space="preserve">Services </w:t>
            </w:r>
            <w:r>
              <w:rPr>
                <w:b/>
                <w:sz w:val="18"/>
                <w:szCs w:val="18"/>
              </w:rPr>
              <w:br/>
            </w:r>
            <w:r w:rsidRPr="00370DFD">
              <w:rPr>
                <w:b/>
                <w:sz w:val="18"/>
                <w:szCs w:val="18"/>
              </w:rPr>
              <w:t>FY 2014–15</w:t>
            </w:r>
          </w:p>
        </w:tc>
        <w:tc>
          <w:tcPr>
            <w:tcW w:w="1060" w:type="dxa"/>
            <w:vAlign w:val="center"/>
          </w:tcPr>
          <w:p w14:paraId="05037F2E" w14:textId="77777777" w:rsidR="00543D47" w:rsidRPr="00370DFD" w:rsidRDefault="00543D47" w:rsidP="00D9610A">
            <w:pPr>
              <w:pStyle w:val="BodyText"/>
              <w:rPr>
                <w:sz w:val="18"/>
                <w:szCs w:val="18"/>
              </w:rPr>
            </w:pPr>
            <w:r w:rsidRPr="00370DFD">
              <w:rPr>
                <w:b/>
                <w:sz w:val="18"/>
                <w:szCs w:val="18"/>
              </w:rPr>
              <w:t>Patient count</w:t>
            </w:r>
            <w:r>
              <w:rPr>
                <w:b/>
                <w:sz w:val="18"/>
                <w:szCs w:val="18"/>
              </w:rPr>
              <w:br/>
            </w:r>
            <w:r w:rsidRPr="00370DFD">
              <w:rPr>
                <w:b/>
                <w:sz w:val="18"/>
                <w:szCs w:val="18"/>
              </w:rPr>
              <w:t>2014–15</w:t>
            </w:r>
          </w:p>
        </w:tc>
        <w:tc>
          <w:tcPr>
            <w:tcW w:w="1056" w:type="dxa"/>
            <w:vAlign w:val="center"/>
          </w:tcPr>
          <w:p w14:paraId="7232BF15"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138B8DBD" w14:textId="77777777" w:rsidTr="00D9610A">
        <w:tc>
          <w:tcPr>
            <w:tcW w:w="701" w:type="dxa"/>
          </w:tcPr>
          <w:p w14:paraId="72F97806" w14:textId="77777777" w:rsidR="00543D47" w:rsidRPr="004F5D46" w:rsidRDefault="00543D47" w:rsidP="00D9610A">
            <w:pPr>
              <w:rPr>
                <w:sz w:val="18"/>
                <w:szCs w:val="18"/>
              </w:rPr>
            </w:pPr>
            <w:r w:rsidRPr="004F5D46">
              <w:rPr>
                <w:sz w:val="18"/>
                <w:szCs w:val="18"/>
              </w:rPr>
              <w:t>66819</w:t>
            </w:r>
          </w:p>
        </w:tc>
        <w:tc>
          <w:tcPr>
            <w:tcW w:w="2857" w:type="dxa"/>
          </w:tcPr>
          <w:p w14:paraId="677E6DD2" w14:textId="77777777" w:rsidR="00543D47" w:rsidRPr="004F5D46" w:rsidRDefault="00543D47" w:rsidP="00D9610A">
            <w:pPr>
              <w:rPr>
                <w:sz w:val="18"/>
                <w:szCs w:val="18"/>
              </w:rPr>
            </w:pPr>
            <w:r w:rsidRPr="000721C1">
              <w:rPr>
                <w:rFonts w:ascii="Calibri" w:hAnsi="Calibri"/>
                <w:color w:val="000000"/>
                <w:sz w:val="18"/>
                <w:szCs w:val="18"/>
              </w:rPr>
              <w:t>Quantitation of copper, manganese, selenium, or zinc (except if item 66667 applies), in blood, urine or other body fluid - 1 test (Item is subject to rule</w:t>
            </w:r>
            <w:r>
              <w:rPr>
                <w:rFonts w:ascii="Calibri" w:hAnsi="Calibri"/>
                <w:color w:val="000000"/>
                <w:sz w:val="18"/>
                <w:szCs w:val="18"/>
              </w:rPr>
              <w:t>s</w:t>
            </w:r>
            <w:r w:rsidRPr="000721C1">
              <w:rPr>
                <w:rFonts w:ascii="Calibri" w:hAnsi="Calibri"/>
                <w:color w:val="000000"/>
                <w:sz w:val="18"/>
                <w:szCs w:val="18"/>
              </w:rPr>
              <w:t xml:space="preserve"> 6, 22 and 25)</w:t>
            </w:r>
          </w:p>
        </w:tc>
        <w:tc>
          <w:tcPr>
            <w:tcW w:w="1064" w:type="dxa"/>
          </w:tcPr>
          <w:p w14:paraId="78480400" w14:textId="77777777" w:rsidR="00543D47" w:rsidRPr="004F5D46" w:rsidRDefault="00543D47" w:rsidP="00D9610A">
            <w:pPr>
              <w:rPr>
                <w:sz w:val="18"/>
                <w:szCs w:val="18"/>
              </w:rPr>
            </w:pPr>
            <w:r w:rsidRPr="000721C1">
              <w:rPr>
                <w:rFonts w:ascii="Calibri" w:hAnsi="Calibri"/>
                <w:color w:val="000000"/>
                <w:sz w:val="18"/>
                <w:szCs w:val="18"/>
              </w:rPr>
              <w:t>30.60</w:t>
            </w:r>
          </w:p>
        </w:tc>
        <w:tc>
          <w:tcPr>
            <w:tcW w:w="1218" w:type="dxa"/>
          </w:tcPr>
          <w:p w14:paraId="7DCE77B8" w14:textId="77777777" w:rsidR="00543D47" w:rsidRPr="004F5D46" w:rsidRDefault="00543D47" w:rsidP="00D9610A">
            <w:pPr>
              <w:rPr>
                <w:sz w:val="18"/>
                <w:szCs w:val="18"/>
              </w:rPr>
            </w:pPr>
            <w:r w:rsidRPr="000721C1">
              <w:rPr>
                <w:rFonts w:ascii="Calibri" w:hAnsi="Calibri"/>
                <w:color w:val="000000"/>
                <w:sz w:val="18"/>
                <w:szCs w:val="18"/>
              </w:rPr>
              <w:t>$2,448,742</w:t>
            </w:r>
          </w:p>
        </w:tc>
        <w:tc>
          <w:tcPr>
            <w:tcW w:w="1060" w:type="dxa"/>
          </w:tcPr>
          <w:p w14:paraId="74D3DAA2" w14:textId="77777777" w:rsidR="00543D47" w:rsidRPr="004F5D46" w:rsidRDefault="00543D47" w:rsidP="00D9610A">
            <w:pPr>
              <w:rPr>
                <w:sz w:val="18"/>
                <w:szCs w:val="18"/>
              </w:rPr>
            </w:pPr>
            <w:r w:rsidRPr="000721C1">
              <w:rPr>
                <w:rFonts w:ascii="Calibri" w:hAnsi="Calibri"/>
                <w:color w:val="000000"/>
                <w:sz w:val="18"/>
                <w:szCs w:val="18"/>
              </w:rPr>
              <w:t>93,843</w:t>
            </w:r>
          </w:p>
        </w:tc>
        <w:tc>
          <w:tcPr>
            <w:tcW w:w="1060" w:type="dxa"/>
          </w:tcPr>
          <w:p w14:paraId="7E775E60" w14:textId="77777777" w:rsidR="00543D47" w:rsidRPr="004F5D46" w:rsidRDefault="00543D47" w:rsidP="00D9610A">
            <w:pPr>
              <w:rPr>
                <w:sz w:val="18"/>
                <w:szCs w:val="18"/>
              </w:rPr>
            </w:pPr>
            <w:r w:rsidRPr="000721C1">
              <w:rPr>
                <w:rFonts w:ascii="Calibri" w:hAnsi="Calibri"/>
                <w:color w:val="000000"/>
                <w:sz w:val="18"/>
                <w:szCs w:val="18"/>
              </w:rPr>
              <w:t>85,852</w:t>
            </w:r>
          </w:p>
        </w:tc>
        <w:tc>
          <w:tcPr>
            <w:tcW w:w="1056" w:type="dxa"/>
          </w:tcPr>
          <w:p w14:paraId="446C8DDF" w14:textId="77777777" w:rsidR="00543D47" w:rsidRPr="004F5D46" w:rsidRDefault="00543D47" w:rsidP="00D9610A">
            <w:pPr>
              <w:rPr>
                <w:sz w:val="18"/>
                <w:szCs w:val="18"/>
              </w:rPr>
            </w:pPr>
            <w:r w:rsidRPr="000721C1">
              <w:rPr>
                <w:rFonts w:ascii="Calibri" w:hAnsi="Calibri"/>
                <w:color w:val="000000"/>
                <w:sz w:val="18"/>
                <w:szCs w:val="18"/>
              </w:rPr>
              <w:t>8.8%</w:t>
            </w:r>
          </w:p>
        </w:tc>
      </w:tr>
      <w:tr w:rsidR="00543D47" w:rsidRPr="00370DFD" w14:paraId="07136AA7" w14:textId="77777777" w:rsidTr="00D9610A">
        <w:tc>
          <w:tcPr>
            <w:tcW w:w="701" w:type="dxa"/>
          </w:tcPr>
          <w:p w14:paraId="6BC94A73" w14:textId="77777777" w:rsidR="00543D47" w:rsidRPr="004F5D46" w:rsidRDefault="00543D47" w:rsidP="00D9610A">
            <w:pPr>
              <w:rPr>
                <w:sz w:val="18"/>
                <w:szCs w:val="18"/>
              </w:rPr>
            </w:pPr>
            <w:r w:rsidRPr="004F5D46">
              <w:rPr>
                <w:sz w:val="18"/>
                <w:szCs w:val="18"/>
              </w:rPr>
              <w:t>66820</w:t>
            </w:r>
          </w:p>
        </w:tc>
        <w:tc>
          <w:tcPr>
            <w:tcW w:w="2857" w:type="dxa"/>
          </w:tcPr>
          <w:p w14:paraId="2439FFDC" w14:textId="77777777" w:rsidR="00543D47" w:rsidRPr="004F5D46" w:rsidRDefault="00543D47" w:rsidP="00D9610A">
            <w:pPr>
              <w:rPr>
                <w:sz w:val="18"/>
                <w:szCs w:val="18"/>
              </w:rPr>
            </w:pPr>
            <w:r w:rsidRPr="000721C1">
              <w:rPr>
                <w:rFonts w:ascii="Calibri" w:hAnsi="Calibri"/>
                <w:color w:val="000000"/>
                <w:sz w:val="18"/>
                <w:szCs w:val="18"/>
              </w:rPr>
              <w:t>A test described in item 66819 if rendered by a receiving APP, where no tests in the item have been rendered by the referring APP - 1 test</w:t>
            </w:r>
            <w:r>
              <w:rPr>
                <w:rFonts w:ascii="Calibri" w:hAnsi="Calibri"/>
                <w:color w:val="000000"/>
                <w:sz w:val="18"/>
                <w:szCs w:val="18"/>
              </w:rPr>
              <w:t xml:space="preserve"> </w:t>
            </w:r>
            <w:r w:rsidRPr="000721C1">
              <w:rPr>
                <w:rFonts w:ascii="Calibri" w:hAnsi="Calibri"/>
                <w:color w:val="000000"/>
                <w:sz w:val="18"/>
                <w:szCs w:val="18"/>
              </w:rPr>
              <w:t>(Item is subject to rule</w:t>
            </w:r>
            <w:r>
              <w:rPr>
                <w:rFonts w:ascii="Calibri" w:hAnsi="Calibri"/>
                <w:color w:val="000000"/>
                <w:sz w:val="18"/>
                <w:szCs w:val="18"/>
              </w:rPr>
              <w:t>s</w:t>
            </w:r>
            <w:r w:rsidRPr="000721C1">
              <w:rPr>
                <w:rFonts w:ascii="Calibri" w:hAnsi="Calibri"/>
                <w:color w:val="000000"/>
                <w:sz w:val="18"/>
                <w:szCs w:val="18"/>
              </w:rPr>
              <w:t xml:space="preserve"> 6, 18, 22 and 25)</w:t>
            </w:r>
          </w:p>
        </w:tc>
        <w:tc>
          <w:tcPr>
            <w:tcW w:w="1064" w:type="dxa"/>
          </w:tcPr>
          <w:p w14:paraId="60196BEB" w14:textId="77777777" w:rsidR="00543D47" w:rsidRPr="004F5D46" w:rsidRDefault="00543D47" w:rsidP="00D9610A">
            <w:pPr>
              <w:rPr>
                <w:sz w:val="18"/>
                <w:szCs w:val="18"/>
              </w:rPr>
            </w:pPr>
            <w:r w:rsidRPr="000721C1">
              <w:rPr>
                <w:rFonts w:ascii="Calibri" w:hAnsi="Calibri"/>
                <w:color w:val="000000"/>
                <w:sz w:val="18"/>
                <w:szCs w:val="18"/>
              </w:rPr>
              <w:t>30.60</w:t>
            </w:r>
          </w:p>
        </w:tc>
        <w:tc>
          <w:tcPr>
            <w:tcW w:w="1218" w:type="dxa"/>
          </w:tcPr>
          <w:p w14:paraId="4A4DFDC6" w14:textId="77777777" w:rsidR="00543D47" w:rsidRPr="004F5D46" w:rsidRDefault="00543D47" w:rsidP="00D9610A">
            <w:pPr>
              <w:rPr>
                <w:sz w:val="18"/>
                <w:szCs w:val="18"/>
              </w:rPr>
            </w:pPr>
            <w:r w:rsidRPr="000721C1">
              <w:rPr>
                <w:rFonts w:ascii="Calibri" w:hAnsi="Calibri"/>
                <w:color w:val="000000"/>
                <w:sz w:val="18"/>
                <w:szCs w:val="18"/>
              </w:rPr>
              <w:t>$160,835</w:t>
            </w:r>
          </w:p>
        </w:tc>
        <w:tc>
          <w:tcPr>
            <w:tcW w:w="1060" w:type="dxa"/>
          </w:tcPr>
          <w:p w14:paraId="2D0D61E2" w14:textId="77777777" w:rsidR="00543D47" w:rsidRPr="004F5D46" w:rsidRDefault="00543D47" w:rsidP="00D9610A">
            <w:pPr>
              <w:rPr>
                <w:sz w:val="18"/>
                <w:szCs w:val="18"/>
              </w:rPr>
            </w:pPr>
            <w:r w:rsidRPr="000721C1">
              <w:rPr>
                <w:rFonts w:ascii="Calibri" w:hAnsi="Calibri"/>
                <w:color w:val="000000"/>
                <w:sz w:val="18"/>
                <w:szCs w:val="18"/>
              </w:rPr>
              <w:t>6,194</w:t>
            </w:r>
          </w:p>
        </w:tc>
        <w:tc>
          <w:tcPr>
            <w:tcW w:w="1060" w:type="dxa"/>
          </w:tcPr>
          <w:p w14:paraId="7570E37B" w14:textId="77777777" w:rsidR="00543D47" w:rsidRPr="004F5D46" w:rsidRDefault="00543D47" w:rsidP="00D9610A">
            <w:pPr>
              <w:rPr>
                <w:sz w:val="18"/>
                <w:szCs w:val="18"/>
              </w:rPr>
            </w:pPr>
            <w:r w:rsidRPr="000721C1">
              <w:rPr>
                <w:rFonts w:ascii="Calibri" w:hAnsi="Calibri"/>
                <w:color w:val="000000"/>
                <w:sz w:val="18"/>
                <w:szCs w:val="18"/>
              </w:rPr>
              <w:t>5,873</w:t>
            </w:r>
          </w:p>
        </w:tc>
        <w:tc>
          <w:tcPr>
            <w:tcW w:w="1056" w:type="dxa"/>
          </w:tcPr>
          <w:p w14:paraId="06D3D15C" w14:textId="77777777" w:rsidR="00543D47" w:rsidRPr="004F5D46" w:rsidRDefault="00543D47" w:rsidP="00D9610A">
            <w:pPr>
              <w:rPr>
                <w:sz w:val="18"/>
                <w:szCs w:val="18"/>
              </w:rPr>
            </w:pPr>
            <w:r w:rsidRPr="000721C1">
              <w:rPr>
                <w:rFonts w:ascii="Calibri" w:hAnsi="Calibri"/>
                <w:color w:val="000000"/>
                <w:sz w:val="18"/>
                <w:szCs w:val="18"/>
              </w:rPr>
              <w:t>-5.4%</w:t>
            </w:r>
          </w:p>
        </w:tc>
      </w:tr>
      <w:tr w:rsidR="00543D47" w:rsidRPr="00370DFD" w14:paraId="6131680D" w14:textId="77777777" w:rsidTr="00D9610A">
        <w:tc>
          <w:tcPr>
            <w:tcW w:w="701" w:type="dxa"/>
          </w:tcPr>
          <w:p w14:paraId="0EEF2CF0" w14:textId="77777777" w:rsidR="00543D47" w:rsidRPr="004F5D46" w:rsidRDefault="00543D47" w:rsidP="00D9610A">
            <w:pPr>
              <w:rPr>
                <w:sz w:val="18"/>
                <w:szCs w:val="18"/>
              </w:rPr>
            </w:pPr>
            <w:r w:rsidRPr="004F5D46">
              <w:rPr>
                <w:sz w:val="18"/>
                <w:szCs w:val="18"/>
              </w:rPr>
              <w:t>66821</w:t>
            </w:r>
          </w:p>
        </w:tc>
        <w:tc>
          <w:tcPr>
            <w:tcW w:w="2857" w:type="dxa"/>
          </w:tcPr>
          <w:p w14:paraId="089BA35F" w14:textId="77777777" w:rsidR="00543D47" w:rsidRPr="004F5D46" w:rsidRDefault="00543D47" w:rsidP="00D9610A">
            <w:pPr>
              <w:rPr>
                <w:sz w:val="18"/>
                <w:szCs w:val="18"/>
              </w:rPr>
            </w:pPr>
            <w:r w:rsidRPr="000721C1">
              <w:rPr>
                <w:rFonts w:ascii="Calibri" w:hAnsi="Calibri"/>
                <w:color w:val="000000"/>
                <w:sz w:val="18"/>
                <w:szCs w:val="18"/>
              </w:rPr>
              <w:t>A test described in item 66819 other than that described in 66820 if rendered by a receiving APP</w:t>
            </w:r>
            <w:r>
              <w:rPr>
                <w:rFonts w:ascii="Calibri" w:hAnsi="Calibri"/>
                <w:color w:val="000000"/>
                <w:sz w:val="18"/>
                <w:szCs w:val="18"/>
              </w:rPr>
              <w:t xml:space="preserve"> </w:t>
            </w:r>
            <w:r w:rsidRPr="000721C1">
              <w:rPr>
                <w:rFonts w:ascii="Calibri" w:hAnsi="Calibri"/>
                <w:color w:val="000000"/>
                <w:sz w:val="18"/>
                <w:szCs w:val="18"/>
              </w:rPr>
              <w:t>to a maximum of 1 test (Item is subject to rule</w:t>
            </w:r>
            <w:r>
              <w:rPr>
                <w:rFonts w:ascii="Calibri" w:hAnsi="Calibri"/>
                <w:color w:val="000000"/>
                <w:sz w:val="18"/>
                <w:szCs w:val="18"/>
              </w:rPr>
              <w:t>s</w:t>
            </w:r>
            <w:r w:rsidRPr="000721C1">
              <w:rPr>
                <w:rFonts w:ascii="Calibri" w:hAnsi="Calibri"/>
                <w:color w:val="000000"/>
                <w:sz w:val="18"/>
                <w:szCs w:val="18"/>
              </w:rPr>
              <w:t xml:space="preserve"> 6, 18,</w:t>
            </w:r>
            <w:r>
              <w:rPr>
                <w:rFonts w:ascii="Calibri" w:hAnsi="Calibri"/>
                <w:color w:val="000000"/>
                <w:sz w:val="18"/>
                <w:szCs w:val="18"/>
              </w:rPr>
              <w:t xml:space="preserve"> </w:t>
            </w:r>
            <w:r w:rsidRPr="000721C1">
              <w:rPr>
                <w:rFonts w:ascii="Calibri" w:hAnsi="Calibri"/>
                <w:color w:val="000000"/>
                <w:sz w:val="18"/>
                <w:szCs w:val="18"/>
              </w:rPr>
              <w:t>22 and 25)</w:t>
            </w:r>
          </w:p>
        </w:tc>
        <w:tc>
          <w:tcPr>
            <w:tcW w:w="1064" w:type="dxa"/>
          </w:tcPr>
          <w:p w14:paraId="55D71F1E" w14:textId="77777777" w:rsidR="00543D47" w:rsidRPr="004F5D46" w:rsidRDefault="00543D47" w:rsidP="00D9610A">
            <w:pPr>
              <w:rPr>
                <w:sz w:val="18"/>
                <w:szCs w:val="18"/>
              </w:rPr>
            </w:pPr>
            <w:r w:rsidRPr="000721C1">
              <w:rPr>
                <w:rFonts w:ascii="Calibri" w:hAnsi="Calibri"/>
                <w:color w:val="000000"/>
                <w:sz w:val="18"/>
                <w:szCs w:val="18"/>
              </w:rPr>
              <w:t>21.80</w:t>
            </w:r>
          </w:p>
        </w:tc>
        <w:tc>
          <w:tcPr>
            <w:tcW w:w="1218" w:type="dxa"/>
          </w:tcPr>
          <w:p w14:paraId="38D1B729" w14:textId="77777777" w:rsidR="00543D47" w:rsidRPr="004F5D46" w:rsidRDefault="00543D47" w:rsidP="00D9610A">
            <w:pPr>
              <w:rPr>
                <w:sz w:val="18"/>
                <w:szCs w:val="18"/>
              </w:rPr>
            </w:pPr>
            <w:r w:rsidRPr="000721C1">
              <w:rPr>
                <w:rFonts w:ascii="Calibri" w:hAnsi="Calibri"/>
                <w:color w:val="000000"/>
                <w:sz w:val="18"/>
                <w:szCs w:val="18"/>
              </w:rPr>
              <w:t>$81,119</w:t>
            </w:r>
          </w:p>
        </w:tc>
        <w:tc>
          <w:tcPr>
            <w:tcW w:w="1060" w:type="dxa"/>
          </w:tcPr>
          <w:p w14:paraId="606C83FF" w14:textId="77777777" w:rsidR="00543D47" w:rsidRPr="004F5D46" w:rsidRDefault="00543D47" w:rsidP="00D9610A">
            <w:pPr>
              <w:rPr>
                <w:sz w:val="18"/>
                <w:szCs w:val="18"/>
              </w:rPr>
            </w:pPr>
            <w:r w:rsidRPr="000721C1">
              <w:rPr>
                <w:rFonts w:ascii="Calibri" w:hAnsi="Calibri"/>
                <w:color w:val="000000"/>
                <w:sz w:val="18"/>
                <w:szCs w:val="18"/>
              </w:rPr>
              <w:t>4,379</w:t>
            </w:r>
          </w:p>
        </w:tc>
        <w:tc>
          <w:tcPr>
            <w:tcW w:w="1060" w:type="dxa"/>
          </w:tcPr>
          <w:p w14:paraId="3E10C140" w14:textId="77777777" w:rsidR="00543D47" w:rsidRPr="004F5D46" w:rsidRDefault="00543D47" w:rsidP="00D9610A">
            <w:pPr>
              <w:rPr>
                <w:sz w:val="18"/>
                <w:szCs w:val="18"/>
              </w:rPr>
            </w:pPr>
            <w:r w:rsidRPr="000721C1">
              <w:rPr>
                <w:rFonts w:ascii="Calibri" w:hAnsi="Calibri"/>
                <w:color w:val="000000"/>
                <w:sz w:val="18"/>
                <w:szCs w:val="18"/>
              </w:rPr>
              <w:t>4,122</w:t>
            </w:r>
          </w:p>
        </w:tc>
        <w:tc>
          <w:tcPr>
            <w:tcW w:w="1056" w:type="dxa"/>
          </w:tcPr>
          <w:p w14:paraId="23D29882" w14:textId="77777777" w:rsidR="00543D47" w:rsidRPr="004F5D46" w:rsidRDefault="00543D47" w:rsidP="00D9610A">
            <w:pPr>
              <w:rPr>
                <w:sz w:val="18"/>
                <w:szCs w:val="18"/>
              </w:rPr>
            </w:pPr>
            <w:r w:rsidRPr="000721C1">
              <w:rPr>
                <w:rFonts w:ascii="Calibri" w:hAnsi="Calibri"/>
                <w:color w:val="000000"/>
                <w:sz w:val="18"/>
                <w:szCs w:val="18"/>
              </w:rPr>
              <w:t>27.9%</w:t>
            </w:r>
          </w:p>
        </w:tc>
      </w:tr>
      <w:tr w:rsidR="00543D47" w:rsidRPr="00370DFD" w14:paraId="73E063FC" w14:textId="77777777" w:rsidTr="00D9610A">
        <w:tc>
          <w:tcPr>
            <w:tcW w:w="701" w:type="dxa"/>
          </w:tcPr>
          <w:p w14:paraId="3F7196BC" w14:textId="77777777" w:rsidR="00543D47" w:rsidRPr="004F5D46" w:rsidRDefault="00543D47" w:rsidP="00D9610A">
            <w:pPr>
              <w:rPr>
                <w:sz w:val="18"/>
                <w:szCs w:val="18"/>
              </w:rPr>
            </w:pPr>
            <w:r w:rsidRPr="004F5D46">
              <w:rPr>
                <w:sz w:val="18"/>
                <w:szCs w:val="18"/>
              </w:rPr>
              <w:t>66822</w:t>
            </w:r>
          </w:p>
        </w:tc>
        <w:tc>
          <w:tcPr>
            <w:tcW w:w="2857" w:type="dxa"/>
          </w:tcPr>
          <w:p w14:paraId="03B0863D" w14:textId="77777777" w:rsidR="00543D47" w:rsidRPr="004F5D46" w:rsidRDefault="00543D47" w:rsidP="00D9610A">
            <w:pPr>
              <w:rPr>
                <w:sz w:val="18"/>
                <w:szCs w:val="18"/>
              </w:rPr>
            </w:pPr>
            <w:r w:rsidRPr="000721C1">
              <w:rPr>
                <w:rFonts w:ascii="Calibri" w:hAnsi="Calibri"/>
                <w:color w:val="000000"/>
                <w:sz w:val="18"/>
                <w:szCs w:val="18"/>
              </w:rPr>
              <w:t>Quantitation of copper, manganese, selenium, or zinc (except if item 66667 applies), in blood, urine or other body fluid - 2 or more tests. (Item is subject to rule</w:t>
            </w:r>
            <w:r>
              <w:rPr>
                <w:rFonts w:ascii="Calibri" w:hAnsi="Calibri"/>
                <w:color w:val="000000"/>
                <w:sz w:val="18"/>
                <w:szCs w:val="18"/>
              </w:rPr>
              <w:t>s</w:t>
            </w:r>
            <w:r w:rsidRPr="000721C1">
              <w:rPr>
                <w:rFonts w:ascii="Calibri" w:hAnsi="Calibri"/>
                <w:color w:val="000000"/>
                <w:sz w:val="18"/>
                <w:szCs w:val="18"/>
              </w:rPr>
              <w:t xml:space="preserve"> 6, 22 and 25)</w:t>
            </w:r>
          </w:p>
        </w:tc>
        <w:tc>
          <w:tcPr>
            <w:tcW w:w="1064" w:type="dxa"/>
          </w:tcPr>
          <w:p w14:paraId="261A80C4" w14:textId="77777777" w:rsidR="00543D47" w:rsidRPr="004F5D46" w:rsidRDefault="00543D47" w:rsidP="00D9610A">
            <w:pPr>
              <w:rPr>
                <w:sz w:val="18"/>
                <w:szCs w:val="18"/>
              </w:rPr>
            </w:pPr>
            <w:r w:rsidRPr="000721C1">
              <w:rPr>
                <w:rFonts w:ascii="Calibri" w:hAnsi="Calibri"/>
                <w:color w:val="000000"/>
                <w:sz w:val="18"/>
                <w:szCs w:val="18"/>
              </w:rPr>
              <w:t>52.45</w:t>
            </w:r>
          </w:p>
        </w:tc>
        <w:tc>
          <w:tcPr>
            <w:tcW w:w="1218" w:type="dxa"/>
          </w:tcPr>
          <w:p w14:paraId="61CAB84B" w14:textId="77777777" w:rsidR="00543D47" w:rsidRPr="004F5D46" w:rsidRDefault="00543D47" w:rsidP="00D9610A">
            <w:pPr>
              <w:rPr>
                <w:sz w:val="18"/>
                <w:szCs w:val="18"/>
              </w:rPr>
            </w:pPr>
            <w:r w:rsidRPr="000721C1">
              <w:rPr>
                <w:rFonts w:ascii="Calibri" w:hAnsi="Calibri"/>
                <w:color w:val="000000"/>
                <w:sz w:val="18"/>
                <w:szCs w:val="18"/>
              </w:rPr>
              <w:t>$1,518,514</w:t>
            </w:r>
          </w:p>
        </w:tc>
        <w:tc>
          <w:tcPr>
            <w:tcW w:w="1060" w:type="dxa"/>
          </w:tcPr>
          <w:p w14:paraId="390CEDF6" w14:textId="77777777" w:rsidR="00543D47" w:rsidRPr="004F5D46" w:rsidRDefault="00543D47" w:rsidP="00D9610A">
            <w:pPr>
              <w:rPr>
                <w:sz w:val="18"/>
                <w:szCs w:val="18"/>
              </w:rPr>
            </w:pPr>
            <w:r w:rsidRPr="000721C1">
              <w:rPr>
                <w:rFonts w:ascii="Calibri" w:hAnsi="Calibri"/>
                <w:color w:val="000000"/>
                <w:sz w:val="18"/>
                <w:szCs w:val="18"/>
              </w:rPr>
              <w:t>33,630</w:t>
            </w:r>
          </w:p>
        </w:tc>
        <w:tc>
          <w:tcPr>
            <w:tcW w:w="1060" w:type="dxa"/>
          </w:tcPr>
          <w:p w14:paraId="4011D29B" w14:textId="77777777" w:rsidR="00543D47" w:rsidRPr="004F5D46" w:rsidRDefault="00543D47" w:rsidP="00D9610A">
            <w:pPr>
              <w:rPr>
                <w:sz w:val="18"/>
                <w:szCs w:val="18"/>
              </w:rPr>
            </w:pPr>
            <w:r w:rsidRPr="000721C1">
              <w:rPr>
                <w:rFonts w:ascii="Calibri" w:hAnsi="Calibri"/>
                <w:color w:val="000000"/>
                <w:sz w:val="18"/>
                <w:szCs w:val="18"/>
              </w:rPr>
              <w:t>30,031</w:t>
            </w:r>
          </w:p>
        </w:tc>
        <w:tc>
          <w:tcPr>
            <w:tcW w:w="1056" w:type="dxa"/>
          </w:tcPr>
          <w:p w14:paraId="06C94ECB" w14:textId="77777777" w:rsidR="00543D47" w:rsidRPr="004F5D46" w:rsidRDefault="00543D47" w:rsidP="00D9610A">
            <w:pPr>
              <w:rPr>
                <w:sz w:val="18"/>
                <w:szCs w:val="18"/>
              </w:rPr>
            </w:pPr>
            <w:r w:rsidRPr="000721C1">
              <w:rPr>
                <w:rFonts w:ascii="Calibri" w:hAnsi="Calibri"/>
                <w:color w:val="000000"/>
                <w:sz w:val="18"/>
                <w:szCs w:val="18"/>
              </w:rPr>
              <w:t>23.0%</w:t>
            </w:r>
          </w:p>
        </w:tc>
      </w:tr>
    </w:tbl>
    <w:p w14:paraId="0268BB21" w14:textId="77777777" w:rsidR="00543D47" w:rsidRPr="002111EC" w:rsidRDefault="00543D47" w:rsidP="00543D47">
      <w:pPr>
        <w:pStyle w:val="Heading4"/>
        <w:rPr>
          <w:lang w:val="en-AU"/>
        </w:rPr>
      </w:pPr>
      <w:r w:rsidRPr="002111EC">
        <w:rPr>
          <w:lang w:val="en-AU"/>
        </w:rPr>
        <w:t>Recommendation</w:t>
      </w:r>
    </w:p>
    <w:p w14:paraId="06DF88C7" w14:textId="77777777" w:rsidR="00543D47" w:rsidRDefault="00543D47" w:rsidP="00543D47">
      <w:pPr>
        <w:pStyle w:val="NormalBulleted"/>
      </w:pPr>
      <w:r>
        <w:t>A</w:t>
      </w:r>
      <w:r w:rsidRPr="00E8544B">
        <w:t>dd explanatory notes to items 66819 and 66822</w:t>
      </w:r>
      <w:r>
        <w:t xml:space="preserve"> to provide clinical guidance on when copper and zinc testing is useful.</w:t>
      </w:r>
    </w:p>
    <w:p w14:paraId="488EFF14" w14:textId="77777777" w:rsidR="00543D47" w:rsidRPr="002111EC" w:rsidRDefault="00543D47" w:rsidP="00543D47">
      <w:pPr>
        <w:pStyle w:val="Heading4"/>
        <w:rPr>
          <w:lang w:val="en-AU"/>
        </w:rPr>
      </w:pPr>
      <w:r w:rsidRPr="002111EC">
        <w:rPr>
          <w:lang w:val="en-AU"/>
        </w:rPr>
        <w:t>Rationale</w:t>
      </w:r>
    </w:p>
    <w:p w14:paraId="30DC895C" w14:textId="77777777" w:rsidR="00543D47" w:rsidRDefault="00543D47" w:rsidP="00543D47">
      <w:pPr>
        <w:pStyle w:val="NormalBulleted"/>
      </w:pPr>
      <w:r>
        <w:t xml:space="preserve">Items 66819, 66820, 66821 and 66822 are tests to detect: copper, manganese, selenium or zinc in blood, urine or body fluids. The Committee noted the steady increase in testing for trace elements (Table 48 above). The Committee discussed the clinical utility of these tests as there were concerns that much of this testing may have little clinical benefit to patients. The Committee noted that the increase in trace element testing could be due to a trend towards complementary medicine and patient-initiated requests for these types of tests. The clear </w:t>
      </w:r>
      <w:r>
        <w:lastRenderedPageBreak/>
        <w:t>exception is testing of copper levels in patients with Wilsons disease.</w:t>
      </w:r>
      <w:r w:rsidRPr="00E57F23">
        <w:t xml:space="preserve"> </w:t>
      </w:r>
      <w:r>
        <w:t xml:space="preserve">Private laboratory data suggests that approximately 75% of tests performed under these items is for zinc and 20% for copper. </w:t>
      </w:r>
    </w:p>
    <w:p w14:paraId="178E5695" w14:textId="77777777" w:rsidR="00543D47" w:rsidRPr="00556AEC" w:rsidRDefault="00543D47" w:rsidP="00543D47">
      <w:pPr>
        <w:pStyle w:val="NormalBulleted"/>
      </w:pPr>
      <w:r>
        <w:t xml:space="preserve">The Committee reviewed clinical guidelines to determine clinical indications for the tests listed in items 66819, 66820, 66821 and 66822. </w:t>
      </w:r>
      <w:r w:rsidRPr="00802A1A">
        <w:t xml:space="preserve">The Committee recognises that there are no clinical guidelines </w:t>
      </w:r>
      <w:r>
        <w:t xml:space="preserve">published by large traditional associations </w:t>
      </w:r>
      <w:r w:rsidRPr="00802A1A">
        <w:t xml:space="preserve">on the clinical </w:t>
      </w:r>
      <w:r>
        <w:t>utility of</w:t>
      </w:r>
      <w:r w:rsidRPr="00802A1A">
        <w:t xml:space="preserve"> trace element testing. A review article published </w:t>
      </w:r>
      <w:r>
        <w:t xml:space="preserve">by </w:t>
      </w:r>
      <w:proofErr w:type="spellStart"/>
      <w:r>
        <w:t>Stehle</w:t>
      </w:r>
      <w:proofErr w:type="spellEnd"/>
      <w:r>
        <w:t xml:space="preserve"> et al </w:t>
      </w:r>
      <w:r w:rsidRPr="00802A1A">
        <w:t xml:space="preserve">in </w:t>
      </w:r>
      <w:r w:rsidRPr="003A33AC">
        <w:rPr>
          <w:i/>
        </w:rPr>
        <w:t>European Journal of Clinical Nutrition</w:t>
      </w:r>
      <w:r w:rsidRPr="00882917">
        <w:t xml:space="preserve"> </w:t>
      </w:r>
      <w:r w:rsidRPr="00802A1A">
        <w:t>in 2016 stated that blood tests for trace elements should be performed periodically but did not provide advice on frequency of testing and clinical conditions for each element.</w:t>
      </w:r>
      <w:r>
        <w:fldChar w:fldCharType="begin"/>
      </w:r>
      <w:r>
        <w:instrText xml:space="preserve"> ADDIN EN.CITE &lt;EndNote&gt;&lt;Cite&gt;&lt;Author&gt;Stehle&lt;/Author&gt;&lt;Year&gt;2016&lt;/Year&gt;&lt;RecNum&gt;35&lt;/RecNum&gt;&lt;DisplayText&gt;&lt;style face="superscript"&gt;11&lt;/style&gt;&lt;/DisplayText&gt;&lt;record&gt;&lt;rec-number&gt;35&lt;/rec-number&gt;&lt;foreign-keys&gt;&lt;key app="EN" db-id="dfs5xeapdpddpyexds6ppreypt5sp9spp2a5" timestamp="1497509461"&gt;35&lt;/key&gt;&lt;/foreign-keys&gt;&lt;ref-type name="Journal Article"&gt;17&lt;/ref-type&gt;&lt;contributors&gt;&lt;authors&gt;&lt;author&gt;Stehle, P.&lt;/author&gt;&lt;author&gt;Stoffel-Wagner, B.&lt;/author&gt;&lt;author&gt;Kuhn, K. S.&lt;/author&gt;&lt;/authors&gt;&lt;/contributors&gt;&lt;auth-address&gt;Department of Nutrition and Food Sciences - Nutritional Physiology, University of Bonn, Bonn, Germany.&amp;#xD;Department of Clinical Chemistry and Clinical Pharmacology, University Clinic of Bonn, Bonn, Germany.&lt;/auth-address&gt;&lt;titles&gt;&lt;title&gt;Parenteral trace element provision: recent clinical research and practical conclusions&lt;/title&gt;&lt;secondary-title&gt;Eur J Clin Nutr&lt;/secondary-title&gt;&lt;alt-title&gt;European journal of clinical nutrition&lt;/alt-title&gt;&lt;/titles&gt;&lt;periodical&gt;&lt;full-title&gt;Eur J Clin Nutr&lt;/full-title&gt;&lt;abbr-1&gt;European journal of clinical nutrition&lt;/abbr-1&gt;&lt;/periodical&gt;&lt;alt-periodical&gt;&lt;full-title&gt;Eur J Clin Nutr&lt;/full-title&gt;&lt;abbr-1&gt;European journal of clinical nutrition&lt;/abbr-1&gt;&lt;/alt-periodical&gt;&lt;pages&gt;886-93&lt;/pages&gt;&lt;volume&gt;70&lt;/volume&gt;&lt;number&gt;8&lt;/number&gt;&lt;edition&gt;2016/04/07&lt;/edition&gt;&lt;dates&gt;&lt;year&gt;2016&lt;/year&gt;&lt;pub-dates&gt;&lt;date&gt;Aug&lt;/date&gt;&lt;/pub-dates&gt;&lt;/dates&gt;&lt;isbn&gt;1476-5640 (Electronic)&amp;#xD;0954-3007 (Linking)&lt;/isbn&gt;&lt;accession-num&gt;27049031&lt;/accession-num&gt;&lt;work-type&gt;Review&lt;/work-type&gt;&lt;urls&gt;&lt;related-urls&gt;&lt;url&gt;https://www.ncbi.nlm.nih.gov/pubmed/27049031&lt;/url&gt;&lt;/related-urls&gt;&lt;/urls&gt;&lt;custom2&gt;5399133&lt;/custom2&gt;&lt;electronic-resource-num&gt;10.1038/ejcn.2016.53&lt;/electronic-resource-num&gt;&lt;language&gt;eng&lt;/language&gt;&lt;/record&gt;&lt;/Cite&gt;&lt;/EndNote&gt;</w:instrText>
      </w:r>
      <w:r>
        <w:fldChar w:fldCharType="separate"/>
      </w:r>
      <w:r w:rsidRPr="00811642">
        <w:rPr>
          <w:noProof/>
          <w:vertAlign w:val="superscript"/>
        </w:rPr>
        <w:t>11</w:t>
      </w:r>
      <w:r>
        <w:fldChar w:fldCharType="end"/>
      </w:r>
      <w:r w:rsidRPr="00802A1A">
        <w:t xml:space="preserve"> The Australasian Society for Parenteral and Enteral Nutrition Guidelines state that there is insufficient evidence to specify frequency of monitoring for zinc and selenium; for manganese, 3- to 6-monthly monitoring in patients on </w:t>
      </w:r>
      <w:r>
        <w:t xml:space="preserve">home parenteral nutrition </w:t>
      </w:r>
      <w:r w:rsidRPr="00802A1A">
        <w:t>is recommended.</w:t>
      </w:r>
      <w:r>
        <w:fldChar w:fldCharType="begin"/>
      </w:r>
      <w:r>
        <w:instrText xml:space="preserve"> ADDIN EN.CITE &lt;EndNote&gt;&lt;Cite&gt;&lt;Author&gt;Nutrition&lt;/Author&gt;&lt;Year&gt;2014&lt;/Year&gt;&lt;RecNum&gt;36&lt;/RecNum&gt;&lt;DisplayText&gt;&lt;style face="superscript"&gt;12&lt;/style&gt;&lt;/DisplayText&gt;&lt;record&gt;&lt;rec-number&gt;36&lt;/rec-number&gt;&lt;foreign-keys&gt;&lt;key app="EN" db-id="dfs5xeapdpddpyexds6ppreypt5sp9spp2a5" timestamp="1497510842"&gt;36&lt;/key&gt;&lt;/foreign-keys&gt;&lt;ref-type name="Electronic Article"&gt;43&lt;/ref-type&gt;&lt;contributors&gt;&lt;authors&gt;&lt;author&gt;Australian Society for Parenteral and Enteral Nutrition&lt;/author&gt;&lt;/authors&gt;&lt;/contributors&gt;&lt;titles&gt;&lt;title&gt;Trace element supplementation for parenteral nutrition guidelines&lt;/title&gt;&lt;/titles&gt;&lt;dates&gt;&lt;year&gt;2014&lt;/year&gt;&lt;pub-dates&gt;&lt;date&gt;15th June 2017&lt;/date&gt;&lt;/pub-dates&gt;&lt;/dates&gt;&lt;urls&gt;&lt;related-urls&gt;&lt;url&gt;http://www.auspen.org.au/wp-content/uploads/2015/08/AuSPEN-Adult-TE-guidelines-FINAL-FULL-DOCUMENT.pdf&lt;/url&gt;&lt;/related-urls&gt;&lt;/urls&gt;&lt;/record&gt;&lt;/Cite&gt;&lt;/EndNote&gt;</w:instrText>
      </w:r>
      <w:r>
        <w:fldChar w:fldCharType="separate"/>
      </w:r>
      <w:r w:rsidRPr="00811642">
        <w:rPr>
          <w:noProof/>
          <w:vertAlign w:val="superscript"/>
        </w:rPr>
        <w:t>12</w:t>
      </w:r>
      <w:r>
        <w:fldChar w:fldCharType="end"/>
      </w:r>
      <w:r w:rsidRPr="00802A1A">
        <w:t xml:space="preserve"> The British Obesity and Metabolic Surgery Society GP guidance on nutrition management following bariatric surgery recommends that patients require lifelong nutritional supplement</w:t>
      </w:r>
      <w:r>
        <w:t>ation</w:t>
      </w:r>
      <w:r w:rsidRPr="00802A1A">
        <w:t xml:space="preserve"> and monitoring </w:t>
      </w:r>
      <w:r>
        <w:t xml:space="preserve">of nutritional status </w:t>
      </w:r>
      <w:r w:rsidRPr="00802A1A">
        <w:t>because all bariatric procedures affect macro- and micro-nutrient absorption.</w:t>
      </w:r>
      <w:r>
        <w:fldChar w:fldCharType="begin"/>
      </w:r>
      <w:r>
        <w:instrText xml:space="preserve"> ADDIN EN.CITE &lt;EndNote&gt;&lt;Cite&gt;&lt;Author&gt;O&amp;apos;Kane&lt;/Author&gt;&lt;Year&gt;2014&lt;/Year&gt;&lt;RecNum&gt;37&lt;/RecNum&gt;&lt;DisplayText&gt;&lt;style face="superscript"&gt;13&lt;/style&gt;&lt;/DisplayText&gt;&lt;record&gt;&lt;rec-number&gt;37&lt;/rec-number&gt;&lt;foreign-keys&gt;&lt;key app="EN" db-id="dfs5xeapdpddpyexds6ppreypt5sp9spp2a5" timestamp="1497511347"&gt;37&lt;/key&gt;&lt;/foreign-keys&gt;&lt;ref-type name="Electronic Article"&gt;43&lt;/ref-type&gt;&lt;contributors&gt;&lt;authors&gt;&lt;author&gt;O&amp;apos;Kane, M.&lt;/author&gt;&lt;author&gt;Pinkey, P.&lt;/author&gt;&lt;author&gt;Aasheim, E.T.&lt;/author&gt;&lt;author&gt;Barth, J.H.&lt;/author&gt;&lt;author&gt;Batterham, R.L.&lt;/author&gt;&lt;author&gt;Welbourn, R.&lt;/author&gt;&lt;/authors&gt;&lt;/contributors&gt;&lt;titles&gt;&lt;title&gt;GP guidance: management of nutrition following bariatric surgery &lt;/title&gt;&lt;/titles&gt;&lt;dates&gt;&lt;year&gt;2014&lt;/year&gt;&lt;/dates&gt;&lt;urls&gt;&lt;related-urls&gt;&lt;url&gt;http://www.bomss.org.uk/wp-content/uploads/2014/09/GP_Guidance-Final-version-1Oct141.pdf&lt;/url&gt;&lt;/related-urls&gt;&lt;/urls&gt;&lt;/record&gt;&lt;/Cite&gt;&lt;/EndNote&gt;</w:instrText>
      </w:r>
      <w:r>
        <w:fldChar w:fldCharType="separate"/>
      </w:r>
      <w:r w:rsidRPr="00811642">
        <w:rPr>
          <w:noProof/>
          <w:vertAlign w:val="superscript"/>
        </w:rPr>
        <w:t>13</w:t>
      </w:r>
      <w:r>
        <w:fldChar w:fldCharType="end"/>
      </w:r>
      <w:r>
        <w:t xml:space="preserve"> Based on these resources and the advice of the Committee, the Committee recommends that the following explanatory note to guide appropriate use should be added to the MBS: </w:t>
      </w:r>
      <w:r w:rsidRPr="00046A4C">
        <w:t xml:space="preserve">Copper testing is useful in </w:t>
      </w:r>
      <w:r>
        <w:t xml:space="preserve">the management of </w:t>
      </w:r>
      <w:r w:rsidRPr="00046A4C">
        <w:t xml:space="preserve">Wilson’s disease. Zinc testing </w:t>
      </w:r>
      <w:r>
        <w:t>may be</w:t>
      </w:r>
      <w:r w:rsidRPr="00046A4C">
        <w:t xml:space="preserve"> useful in patients with malnutrition or on</w:t>
      </w:r>
      <w:r>
        <w:t xml:space="preserve"> total parenteral nutrition.</w:t>
      </w:r>
      <w:r w:rsidRPr="00046A4C">
        <w:t xml:space="preserve"> </w:t>
      </w:r>
      <w:r w:rsidRPr="006F1A69">
        <w:t>There is little evidence to suggest that testing of other trace elements has clinical benefit.</w:t>
      </w:r>
    </w:p>
    <w:p w14:paraId="4A9C4288" w14:textId="77777777" w:rsidR="00543D47" w:rsidRPr="0017567F" w:rsidRDefault="00543D47" w:rsidP="00543D47">
      <w:pPr>
        <w:pStyle w:val="NormalBulleted"/>
      </w:pPr>
      <w:r w:rsidRPr="00556AEC">
        <w:t>The Committee considered including urinary iodine to items 66819 and 66822 but questioned whether urinary iodine had utility. The Royal College of Pathologists of Australasia guidelines recognise that there is limited evidence for the utility of iodine. The Committee also considered the challenges of determining reference ranges for urinary iodine and that creatinine would need to be measure</w:t>
      </w:r>
      <w:r>
        <w:t>d</w:t>
      </w:r>
      <w:r w:rsidRPr="00556AEC">
        <w:t xml:space="preserve"> with iodine. It was also unclear what the rate of true iodine deficiency in Australia is, as iodine is found in both bread and salt. In contrast there are situations, where patient expos</w:t>
      </w:r>
      <w:r>
        <w:t>ure</w:t>
      </w:r>
      <w:r w:rsidRPr="00556AEC">
        <w:t xml:space="preserve"> to iodine might result in toxicity.</w:t>
      </w:r>
      <w:r w:rsidRPr="00556AEC">
        <w:rPr>
          <w:vertAlign w:val="superscript"/>
        </w:rPr>
        <w:fldChar w:fldCharType="begin">
          <w:fldData xml:space="preserve">PEVuZE5vdGU+PENpdGU+PEF1dGhvcj5DcmF3Zm9yZDwvQXV0aG9yPjxZZWFyPjIwMTA8L1llYXI+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</w:fldData>
        </w:fldChar>
      </w:r>
      <w:r>
        <w:rPr>
          <w:vertAlign w:val="superscript"/>
        </w:rPr>
        <w:instrText xml:space="preserve"> ADDIN EN.CITE </w:instrText>
      </w:r>
      <w:r>
        <w:rPr>
          <w:vertAlign w:val="superscript"/>
        </w:rPr>
        <w:fldChar w:fldCharType="begin">
          <w:fldData xml:space="preserve">PEVuZE5vdGU+PENpdGU+PEF1dGhvcj5DcmF3Zm9yZDwvQXV0aG9yPjxZZWFyPjIwMTA8L1llYXI+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</w:fldData>
        </w:fldChar>
      </w:r>
      <w:r>
        <w:rPr>
          <w:vertAlign w:val="superscript"/>
        </w:rPr>
        <w:instrText xml:space="preserve"> ADDIN EN.CITE.DATA </w:instrText>
      </w:r>
      <w:r>
        <w:rPr>
          <w:vertAlign w:val="superscript"/>
        </w:rPr>
      </w:r>
      <w:r>
        <w:rPr>
          <w:vertAlign w:val="superscript"/>
        </w:rPr>
        <w:fldChar w:fldCharType="end"/>
      </w:r>
      <w:r w:rsidRPr="00556AEC">
        <w:rPr>
          <w:vertAlign w:val="superscript"/>
        </w:rPr>
      </w:r>
      <w:r w:rsidRPr="00556AEC">
        <w:rPr>
          <w:vertAlign w:val="superscript"/>
        </w:rPr>
        <w:fldChar w:fldCharType="separate"/>
      </w:r>
      <w:r>
        <w:rPr>
          <w:noProof/>
          <w:vertAlign w:val="superscript"/>
        </w:rPr>
        <w:t>14,15</w:t>
      </w:r>
      <w:r w:rsidRPr="00556AEC">
        <w:rPr>
          <w:vertAlign w:val="superscript"/>
        </w:rPr>
        <w:fldChar w:fldCharType="end"/>
      </w:r>
      <w:r>
        <w:t xml:space="preserve"> </w:t>
      </w:r>
    </w:p>
    <w:p w14:paraId="67B14248" w14:textId="77777777" w:rsidR="00543D47" w:rsidRDefault="00543D47" w:rsidP="00543D47">
      <w:pPr>
        <w:pStyle w:val="Caption"/>
      </w:pPr>
      <w:bookmarkStart w:id="146" w:name="_Toc534374956"/>
      <w:r>
        <w:t>Table 46. Current and proposed item descriptor 66819 - 66822</w:t>
      </w:r>
      <w:bookmarkEnd w:id="146"/>
    </w:p>
    <w:tbl>
      <w:tblPr>
        <w:tblStyle w:val="TableGrid"/>
        <w:tblW w:w="9359" w:type="dxa"/>
        <w:tblInd w:w="-5"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66819-66822 item descriptors"/>
        <w:tblDescription w:val="Table 46 is a 3 column table. Column 1 lists the item number, column 2 displays the current item descriptor and column 3 displays the proposed new item descriptor"/>
      </w:tblPr>
      <w:tblGrid>
        <w:gridCol w:w="1135"/>
        <w:gridCol w:w="4112"/>
        <w:gridCol w:w="4112"/>
      </w:tblGrid>
      <w:tr w:rsidR="00543D47" w:rsidRPr="005B34AF" w14:paraId="451F827D" w14:textId="77777777" w:rsidTr="00D9610A">
        <w:trPr>
          <w:tblHeader/>
        </w:trPr>
        <w:tc>
          <w:tcPr>
            <w:tcW w:w="1135" w:type="dxa"/>
          </w:tcPr>
          <w:p w14:paraId="1648AD0F" w14:textId="77777777" w:rsidR="00543D47" w:rsidRPr="005B34AF" w:rsidRDefault="00543D47" w:rsidP="00D9610A">
            <w:pPr>
              <w:rPr>
                <w:sz w:val="18"/>
                <w:szCs w:val="18"/>
              </w:rPr>
            </w:pPr>
            <w:r w:rsidRPr="005B34AF">
              <w:rPr>
                <w:b/>
                <w:sz w:val="18"/>
                <w:szCs w:val="18"/>
              </w:rPr>
              <w:t>Item</w:t>
            </w:r>
          </w:p>
        </w:tc>
        <w:tc>
          <w:tcPr>
            <w:tcW w:w="4112" w:type="dxa"/>
          </w:tcPr>
          <w:p w14:paraId="7D23D750" w14:textId="77777777" w:rsidR="00543D47" w:rsidRPr="005B34AF" w:rsidRDefault="00543D47" w:rsidP="00D9610A">
            <w:pPr>
              <w:rPr>
                <w:sz w:val="18"/>
                <w:szCs w:val="18"/>
              </w:rPr>
            </w:pPr>
            <w:r w:rsidRPr="005B34AF">
              <w:rPr>
                <w:b/>
                <w:sz w:val="18"/>
                <w:szCs w:val="18"/>
              </w:rPr>
              <w:t>Current item descriptor</w:t>
            </w:r>
          </w:p>
        </w:tc>
        <w:tc>
          <w:tcPr>
            <w:tcW w:w="4112" w:type="dxa"/>
          </w:tcPr>
          <w:p w14:paraId="6308011C" w14:textId="77777777" w:rsidR="00543D47" w:rsidRPr="005B34AF" w:rsidRDefault="00543D47" w:rsidP="00D9610A">
            <w:pPr>
              <w:rPr>
                <w:sz w:val="18"/>
                <w:szCs w:val="18"/>
              </w:rPr>
            </w:pPr>
            <w:r w:rsidRPr="005B34AF">
              <w:rPr>
                <w:b/>
                <w:sz w:val="18"/>
                <w:szCs w:val="18"/>
              </w:rPr>
              <w:t>Proposed item descriptor</w:t>
            </w:r>
          </w:p>
        </w:tc>
      </w:tr>
      <w:tr w:rsidR="00543D47" w:rsidRPr="00046A4C" w14:paraId="5B54EE0D" w14:textId="77777777" w:rsidTr="00D9610A">
        <w:tc>
          <w:tcPr>
            <w:tcW w:w="1135" w:type="dxa"/>
          </w:tcPr>
          <w:p w14:paraId="64DDBDCA" w14:textId="77777777" w:rsidR="00543D47" w:rsidRPr="00046A4C" w:rsidRDefault="00543D47" w:rsidP="00D9610A">
            <w:pPr>
              <w:pStyle w:val="NormalBulleted"/>
              <w:numPr>
                <w:ilvl w:val="0"/>
                <w:numId w:val="0"/>
              </w:numPr>
              <w:rPr>
                <w:sz w:val="18"/>
                <w:szCs w:val="18"/>
              </w:rPr>
            </w:pPr>
            <w:r w:rsidRPr="00046A4C">
              <w:rPr>
                <w:sz w:val="18"/>
                <w:szCs w:val="18"/>
              </w:rPr>
              <w:t>66819</w:t>
            </w:r>
          </w:p>
        </w:tc>
        <w:tc>
          <w:tcPr>
            <w:tcW w:w="4112" w:type="dxa"/>
          </w:tcPr>
          <w:p w14:paraId="29C6DA0E" w14:textId="77777777" w:rsidR="00543D47" w:rsidRPr="00046A4C" w:rsidRDefault="00543D47" w:rsidP="00D9610A">
            <w:pPr>
              <w:pStyle w:val="NormalBulleted"/>
              <w:numPr>
                <w:ilvl w:val="0"/>
                <w:numId w:val="0"/>
              </w:numPr>
              <w:rPr>
                <w:sz w:val="18"/>
                <w:szCs w:val="18"/>
              </w:rPr>
            </w:pPr>
            <w:r w:rsidRPr="00046A4C">
              <w:rPr>
                <w:sz w:val="18"/>
                <w:szCs w:val="18"/>
              </w:rPr>
              <w:t>Quantitation of copper, manganese, selenium, or zinc (except if item 66667 applies), in blood, urine or other body fluid - 1 test (Item is subject to rule</w:t>
            </w:r>
            <w:r>
              <w:rPr>
                <w:sz w:val="18"/>
                <w:szCs w:val="18"/>
              </w:rPr>
              <w:t>s</w:t>
            </w:r>
            <w:r w:rsidRPr="00046A4C">
              <w:rPr>
                <w:sz w:val="18"/>
                <w:szCs w:val="18"/>
              </w:rPr>
              <w:t xml:space="preserve"> 6, 22 and 25)</w:t>
            </w:r>
          </w:p>
        </w:tc>
        <w:tc>
          <w:tcPr>
            <w:tcW w:w="4112" w:type="dxa"/>
          </w:tcPr>
          <w:p w14:paraId="4CA82599" w14:textId="77777777" w:rsidR="00543D47" w:rsidRDefault="00543D47" w:rsidP="00D9610A">
            <w:pPr>
              <w:pStyle w:val="NormalBulleted"/>
              <w:numPr>
                <w:ilvl w:val="0"/>
                <w:numId w:val="0"/>
              </w:numPr>
              <w:rPr>
                <w:sz w:val="18"/>
                <w:szCs w:val="18"/>
              </w:rPr>
            </w:pPr>
            <w:r w:rsidRPr="00046A4C">
              <w:rPr>
                <w:sz w:val="18"/>
                <w:szCs w:val="18"/>
              </w:rPr>
              <w:t>Quantitation of copper, manganese, selenium, or zinc (except if item 66667 applies), in blood, urine or other body fluid - 1 test (Item is subject to rule</w:t>
            </w:r>
            <w:r>
              <w:rPr>
                <w:sz w:val="18"/>
                <w:szCs w:val="18"/>
              </w:rPr>
              <w:t>s</w:t>
            </w:r>
            <w:r w:rsidRPr="00046A4C">
              <w:rPr>
                <w:sz w:val="18"/>
                <w:szCs w:val="18"/>
              </w:rPr>
              <w:t xml:space="preserve"> 6, 22 and 25)</w:t>
            </w:r>
          </w:p>
          <w:p w14:paraId="69B7489A" w14:textId="77777777" w:rsidR="00543D47" w:rsidRPr="00046A4C" w:rsidRDefault="00543D47" w:rsidP="00D9610A">
            <w:pPr>
              <w:pStyle w:val="NormalBulleted"/>
              <w:numPr>
                <w:ilvl w:val="0"/>
                <w:numId w:val="0"/>
              </w:numPr>
              <w:rPr>
                <w:b/>
                <w:i/>
                <w:sz w:val="18"/>
                <w:szCs w:val="18"/>
              </w:rPr>
            </w:pPr>
            <w:r w:rsidRPr="00046A4C">
              <w:rPr>
                <w:b/>
                <w:i/>
                <w:sz w:val="18"/>
                <w:szCs w:val="18"/>
              </w:rPr>
              <w:t>Explanatory note:</w:t>
            </w:r>
          </w:p>
          <w:p w14:paraId="37693CF9" w14:textId="77777777" w:rsidR="00543D47" w:rsidRPr="00046A4C" w:rsidRDefault="00543D47" w:rsidP="00D9610A">
            <w:pPr>
              <w:pStyle w:val="NormalBulleted"/>
              <w:numPr>
                <w:ilvl w:val="0"/>
                <w:numId w:val="0"/>
              </w:numPr>
              <w:rPr>
                <w:sz w:val="18"/>
                <w:szCs w:val="18"/>
              </w:rPr>
            </w:pPr>
            <w:r w:rsidRPr="00046A4C">
              <w:rPr>
                <w:i/>
                <w:sz w:val="18"/>
                <w:szCs w:val="18"/>
              </w:rPr>
              <w:t>Copper testing is useful in Wilson’s disease. Zinc testing is useful in patients with malnutrition or on T</w:t>
            </w:r>
            <w:r>
              <w:rPr>
                <w:i/>
                <w:sz w:val="18"/>
                <w:szCs w:val="18"/>
              </w:rPr>
              <w:t>P</w:t>
            </w:r>
            <w:r w:rsidRPr="00046A4C">
              <w:rPr>
                <w:i/>
                <w:sz w:val="18"/>
                <w:szCs w:val="18"/>
              </w:rPr>
              <w:t>N.</w:t>
            </w:r>
            <w:r>
              <w:rPr>
                <w:i/>
                <w:sz w:val="18"/>
                <w:szCs w:val="18"/>
              </w:rPr>
              <w:t xml:space="preserve"> There is little evidence to suggest that testing of other trace elements has clinical benefit. </w:t>
            </w:r>
          </w:p>
        </w:tc>
      </w:tr>
      <w:tr w:rsidR="00543D47" w:rsidRPr="00046A4C" w14:paraId="162D6C28" w14:textId="77777777" w:rsidTr="00D9610A">
        <w:tc>
          <w:tcPr>
            <w:tcW w:w="1135" w:type="dxa"/>
          </w:tcPr>
          <w:p w14:paraId="643D6181" w14:textId="77777777" w:rsidR="00543D47" w:rsidRPr="00046A4C" w:rsidRDefault="00543D47" w:rsidP="00D9610A">
            <w:pPr>
              <w:pStyle w:val="NormalBulleted"/>
              <w:numPr>
                <w:ilvl w:val="0"/>
                <w:numId w:val="0"/>
              </w:numPr>
              <w:rPr>
                <w:sz w:val="18"/>
                <w:szCs w:val="18"/>
              </w:rPr>
            </w:pPr>
            <w:r w:rsidRPr="00046A4C">
              <w:rPr>
                <w:sz w:val="18"/>
                <w:szCs w:val="18"/>
              </w:rPr>
              <w:t>66820</w:t>
            </w:r>
          </w:p>
        </w:tc>
        <w:tc>
          <w:tcPr>
            <w:tcW w:w="4112" w:type="dxa"/>
          </w:tcPr>
          <w:p w14:paraId="21D28A93" w14:textId="77777777" w:rsidR="00543D47" w:rsidRPr="00046A4C" w:rsidRDefault="00543D47" w:rsidP="00D9610A">
            <w:pPr>
              <w:pStyle w:val="NormalBulleted"/>
              <w:numPr>
                <w:ilvl w:val="0"/>
                <w:numId w:val="0"/>
              </w:numPr>
              <w:rPr>
                <w:sz w:val="18"/>
                <w:szCs w:val="18"/>
              </w:rPr>
            </w:pPr>
            <w:r w:rsidRPr="00046A4C">
              <w:rPr>
                <w:sz w:val="18"/>
                <w:szCs w:val="18"/>
              </w:rPr>
              <w:t xml:space="preserve">A test described in item 66819 if rendered by a receiving APP, where no tests in the item have been </w:t>
            </w:r>
            <w:r w:rsidRPr="00046A4C">
              <w:rPr>
                <w:sz w:val="18"/>
                <w:szCs w:val="18"/>
              </w:rPr>
              <w:lastRenderedPageBreak/>
              <w:t>rendered by the referring APP - 1 test</w:t>
            </w:r>
            <w:r>
              <w:rPr>
                <w:sz w:val="18"/>
                <w:szCs w:val="18"/>
              </w:rPr>
              <w:t xml:space="preserve"> </w:t>
            </w:r>
            <w:r w:rsidRPr="00046A4C">
              <w:rPr>
                <w:sz w:val="18"/>
                <w:szCs w:val="18"/>
              </w:rPr>
              <w:t>(Item is subject to rule</w:t>
            </w:r>
            <w:r>
              <w:rPr>
                <w:sz w:val="18"/>
                <w:szCs w:val="18"/>
              </w:rPr>
              <w:t>s</w:t>
            </w:r>
            <w:r w:rsidRPr="00046A4C">
              <w:rPr>
                <w:sz w:val="18"/>
                <w:szCs w:val="18"/>
              </w:rPr>
              <w:t xml:space="preserve"> 6, 18, 22 and 25)</w:t>
            </w:r>
          </w:p>
        </w:tc>
        <w:tc>
          <w:tcPr>
            <w:tcW w:w="4112" w:type="dxa"/>
          </w:tcPr>
          <w:p w14:paraId="251AF4C8" w14:textId="77777777" w:rsidR="00543D47" w:rsidRPr="00046A4C" w:rsidRDefault="00543D47" w:rsidP="00D9610A">
            <w:pPr>
              <w:pStyle w:val="NormalBulleted"/>
              <w:numPr>
                <w:ilvl w:val="0"/>
                <w:numId w:val="0"/>
              </w:numPr>
              <w:rPr>
                <w:sz w:val="18"/>
                <w:szCs w:val="18"/>
              </w:rPr>
            </w:pPr>
          </w:p>
        </w:tc>
      </w:tr>
      <w:tr w:rsidR="00543D47" w:rsidRPr="00046A4C" w14:paraId="6ACB0C75" w14:textId="77777777" w:rsidTr="00D9610A">
        <w:tc>
          <w:tcPr>
            <w:tcW w:w="1135" w:type="dxa"/>
          </w:tcPr>
          <w:p w14:paraId="679B09A7" w14:textId="77777777" w:rsidR="00543D47" w:rsidRPr="00046A4C" w:rsidRDefault="00543D47" w:rsidP="00D9610A">
            <w:pPr>
              <w:pStyle w:val="NormalBulleted"/>
              <w:numPr>
                <w:ilvl w:val="0"/>
                <w:numId w:val="0"/>
              </w:numPr>
              <w:rPr>
                <w:sz w:val="18"/>
                <w:szCs w:val="18"/>
              </w:rPr>
            </w:pPr>
            <w:r w:rsidRPr="00046A4C">
              <w:rPr>
                <w:sz w:val="18"/>
                <w:szCs w:val="18"/>
              </w:rPr>
              <w:t>66821</w:t>
            </w:r>
          </w:p>
        </w:tc>
        <w:tc>
          <w:tcPr>
            <w:tcW w:w="4112" w:type="dxa"/>
          </w:tcPr>
          <w:p w14:paraId="41CE44AD" w14:textId="77777777" w:rsidR="00543D47" w:rsidRPr="00046A4C" w:rsidRDefault="00543D47" w:rsidP="00D9610A">
            <w:pPr>
              <w:pStyle w:val="NormalBulleted"/>
              <w:numPr>
                <w:ilvl w:val="0"/>
                <w:numId w:val="0"/>
              </w:numPr>
              <w:rPr>
                <w:sz w:val="18"/>
                <w:szCs w:val="18"/>
              </w:rPr>
            </w:pPr>
            <w:r w:rsidRPr="00046A4C">
              <w:rPr>
                <w:sz w:val="18"/>
                <w:szCs w:val="18"/>
              </w:rPr>
              <w:t>A test described in item 66819 other than that described in 66820 if rendered by a receiving APP to a maximum of 1 test (Item is subject to rule</w:t>
            </w:r>
            <w:r>
              <w:rPr>
                <w:sz w:val="18"/>
                <w:szCs w:val="18"/>
              </w:rPr>
              <w:t>s</w:t>
            </w:r>
            <w:r w:rsidRPr="00046A4C">
              <w:rPr>
                <w:sz w:val="18"/>
                <w:szCs w:val="18"/>
              </w:rPr>
              <w:t xml:space="preserve"> 6, 18,</w:t>
            </w:r>
            <w:r>
              <w:rPr>
                <w:sz w:val="18"/>
                <w:szCs w:val="18"/>
              </w:rPr>
              <w:t xml:space="preserve"> </w:t>
            </w:r>
            <w:r w:rsidRPr="00046A4C">
              <w:rPr>
                <w:sz w:val="18"/>
                <w:szCs w:val="18"/>
              </w:rPr>
              <w:t>22 and 25)</w:t>
            </w:r>
          </w:p>
        </w:tc>
        <w:tc>
          <w:tcPr>
            <w:tcW w:w="4112" w:type="dxa"/>
          </w:tcPr>
          <w:p w14:paraId="212D881A" w14:textId="77777777" w:rsidR="00543D47" w:rsidRPr="00046A4C" w:rsidRDefault="00543D47" w:rsidP="00D9610A">
            <w:pPr>
              <w:pStyle w:val="NormalBulleted"/>
              <w:numPr>
                <w:ilvl w:val="0"/>
                <w:numId w:val="0"/>
              </w:numPr>
              <w:rPr>
                <w:sz w:val="18"/>
                <w:szCs w:val="18"/>
              </w:rPr>
            </w:pPr>
          </w:p>
        </w:tc>
      </w:tr>
      <w:tr w:rsidR="00543D47" w:rsidRPr="00046A4C" w14:paraId="1F7D7715" w14:textId="77777777" w:rsidTr="00D9610A">
        <w:tc>
          <w:tcPr>
            <w:tcW w:w="1135" w:type="dxa"/>
          </w:tcPr>
          <w:p w14:paraId="0AA9DB7E" w14:textId="77777777" w:rsidR="00543D47" w:rsidRPr="00046A4C" w:rsidRDefault="00543D47" w:rsidP="00D9610A">
            <w:pPr>
              <w:pStyle w:val="NormalBulleted"/>
              <w:numPr>
                <w:ilvl w:val="0"/>
                <w:numId w:val="0"/>
              </w:numPr>
              <w:rPr>
                <w:sz w:val="18"/>
                <w:szCs w:val="18"/>
              </w:rPr>
            </w:pPr>
            <w:r w:rsidRPr="00046A4C">
              <w:rPr>
                <w:sz w:val="18"/>
                <w:szCs w:val="18"/>
              </w:rPr>
              <w:t>66822</w:t>
            </w:r>
          </w:p>
        </w:tc>
        <w:tc>
          <w:tcPr>
            <w:tcW w:w="4112" w:type="dxa"/>
          </w:tcPr>
          <w:p w14:paraId="31563556" w14:textId="77777777" w:rsidR="00543D47" w:rsidRPr="00046A4C" w:rsidRDefault="00543D47" w:rsidP="00D9610A">
            <w:pPr>
              <w:pStyle w:val="NormalBulleted"/>
              <w:numPr>
                <w:ilvl w:val="0"/>
                <w:numId w:val="0"/>
              </w:numPr>
              <w:rPr>
                <w:sz w:val="18"/>
                <w:szCs w:val="18"/>
              </w:rPr>
            </w:pPr>
            <w:r w:rsidRPr="00046A4C">
              <w:rPr>
                <w:sz w:val="18"/>
                <w:szCs w:val="18"/>
              </w:rPr>
              <w:t>Quantitation of copper, manganese, selenium, or zinc (except if item 66667 applies), in blood, urine or other body fluid - 2 or more tests. (Item is subject to rule</w:t>
            </w:r>
            <w:r>
              <w:rPr>
                <w:sz w:val="18"/>
                <w:szCs w:val="18"/>
              </w:rPr>
              <w:t>s</w:t>
            </w:r>
            <w:r w:rsidRPr="00046A4C">
              <w:rPr>
                <w:sz w:val="18"/>
                <w:szCs w:val="18"/>
              </w:rPr>
              <w:t xml:space="preserve"> 6, 22 and 25)</w:t>
            </w:r>
          </w:p>
        </w:tc>
        <w:tc>
          <w:tcPr>
            <w:tcW w:w="4112" w:type="dxa"/>
          </w:tcPr>
          <w:p w14:paraId="5348DF6F" w14:textId="77777777" w:rsidR="00543D47" w:rsidRDefault="00543D47" w:rsidP="00D9610A">
            <w:pPr>
              <w:pStyle w:val="NormalBulleted"/>
              <w:numPr>
                <w:ilvl w:val="0"/>
                <w:numId w:val="0"/>
              </w:numPr>
              <w:rPr>
                <w:sz w:val="18"/>
                <w:szCs w:val="18"/>
              </w:rPr>
            </w:pPr>
            <w:r w:rsidRPr="005B4427">
              <w:rPr>
                <w:sz w:val="18"/>
                <w:szCs w:val="18"/>
              </w:rPr>
              <w:t>Quantitation of copper, manganese, selenium, or zinc (except if item 66667 applies), in blood, urine or other body fluid - 2 or more tests. (Item is subject to rule</w:t>
            </w:r>
            <w:r>
              <w:rPr>
                <w:sz w:val="18"/>
                <w:szCs w:val="18"/>
              </w:rPr>
              <w:t>s</w:t>
            </w:r>
            <w:r w:rsidRPr="005B4427">
              <w:rPr>
                <w:sz w:val="18"/>
                <w:szCs w:val="18"/>
              </w:rPr>
              <w:t xml:space="preserve"> 6, 22 and 25)</w:t>
            </w:r>
          </w:p>
          <w:p w14:paraId="2DB09232" w14:textId="77777777" w:rsidR="00543D47" w:rsidRPr="00046A4C" w:rsidRDefault="00543D47" w:rsidP="00D9610A">
            <w:pPr>
              <w:pStyle w:val="NormalBulleted"/>
              <w:numPr>
                <w:ilvl w:val="0"/>
                <w:numId w:val="0"/>
              </w:numPr>
              <w:rPr>
                <w:b/>
                <w:i/>
                <w:sz w:val="18"/>
                <w:szCs w:val="18"/>
              </w:rPr>
            </w:pPr>
            <w:r w:rsidRPr="00046A4C">
              <w:rPr>
                <w:b/>
                <w:i/>
                <w:sz w:val="18"/>
                <w:szCs w:val="18"/>
              </w:rPr>
              <w:t>Explanatory note:</w:t>
            </w:r>
          </w:p>
          <w:p w14:paraId="69E55F14" w14:textId="77777777" w:rsidR="00543D47" w:rsidRPr="00046A4C" w:rsidRDefault="00543D47" w:rsidP="00D9610A">
            <w:pPr>
              <w:pStyle w:val="NormalBulleted"/>
              <w:numPr>
                <w:ilvl w:val="0"/>
                <w:numId w:val="0"/>
              </w:numPr>
              <w:rPr>
                <w:sz w:val="18"/>
                <w:szCs w:val="18"/>
              </w:rPr>
            </w:pPr>
            <w:r w:rsidRPr="00046A4C">
              <w:rPr>
                <w:i/>
                <w:sz w:val="18"/>
                <w:szCs w:val="18"/>
              </w:rPr>
              <w:t>Copper testing is useful in Wilson’s disease. Zinc testing is useful in patients with malnutrition or on TPN.</w:t>
            </w:r>
          </w:p>
        </w:tc>
      </w:tr>
    </w:tbl>
    <w:p w14:paraId="2B4E1AED" w14:textId="77777777" w:rsidR="00543D47" w:rsidRPr="00370DFD" w:rsidRDefault="00543D47" w:rsidP="00543D47">
      <w:pPr>
        <w:pStyle w:val="Heading2"/>
        <w:rPr>
          <w:lang w:val="en-AU"/>
        </w:rPr>
      </w:pPr>
      <w:bookmarkStart w:id="147" w:name="_Toc514247627"/>
      <w:r w:rsidRPr="00370DFD">
        <w:rPr>
          <w:lang w:val="en-AU"/>
        </w:rPr>
        <w:t>Amino acids and porphyrins</w:t>
      </w:r>
      <w:bookmarkEnd w:id="147"/>
    </w:p>
    <w:p w14:paraId="6E6BB5B6" w14:textId="77777777" w:rsidR="00543D47" w:rsidRPr="000721C1" w:rsidRDefault="00543D47" w:rsidP="00543D47">
      <w:pPr>
        <w:pStyle w:val="Heading3Numbered"/>
      </w:pPr>
      <w:r w:rsidRPr="000454E5">
        <w:t>Porphyrin testing</w:t>
      </w:r>
      <w:r>
        <w:t xml:space="preserve">: items </w:t>
      </w:r>
      <w:r w:rsidRPr="00A211C8">
        <w:t>66782–66792</w:t>
      </w:r>
    </w:p>
    <w:p w14:paraId="3526E920" w14:textId="77777777" w:rsidR="00543D47" w:rsidRPr="00370DFD" w:rsidRDefault="00543D47" w:rsidP="00543D47">
      <w:pPr>
        <w:pStyle w:val="Caption"/>
      </w:pPr>
      <w:bookmarkStart w:id="148" w:name="_Toc534374957"/>
      <w:r w:rsidRPr="00370DFD">
        <w:t xml:space="preserve">Table </w:t>
      </w:r>
      <w:r>
        <w:t>47</w:t>
      </w:r>
      <w:r w:rsidRPr="00370DFD">
        <w:t>. Item introduction</w:t>
      </w:r>
      <w:r>
        <w:t xml:space="preserve"> table for items </w:t>
      </w:r>
      <w:r w:rsidRPr="007B492F">
        <w:t>667</w:t>
      </w:r>
      <w:r>
        <w:t>82-66792</w:t>
      </w:r>
      <w:bookmarkEnd w:id="148"/>
    </w:p>
    <w:tbl>
      <w:tblPr>
        <w:tblStyle w:val="TableGrid"/>
        <w:tblW w:w="9145" w:type="dxa"/>
        <w:tblBorders>
          <w:insideV w:val="single" w:sz="4" w:space="0" w:color="984806" w:themeColor="accent6" w:themeShade="80"/>
        </w:tblBorders>
        <w:tblLayout w:type="fixed"/>
        <w:tblLook w:val="04A0" w:firstRow="1" w:lastRow="0" w:firstColumn="1" w:lastColumn="0" w:noHBand="0" w:noVBand="1"/>
        <w:tblCaption w:val="Introduction table for items 66782-66792"/>
        <w:tblDescription w:val="Table 47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4"/>
        <w:gridCol w:w="2857"/>
        <w:gridCol w:w="1066"/>
        <w:gridCol w:w="1219"/>
        <w:gridCol w:w="1060"/>
        <w:gridCol w:w="1060"/>
        <w:gridCol w:w="1179"/>
      </w:tblGrid>
      <w:tr w:rsidR="00543D47" w:rsidRPr="00370DFD" w14:paraId="6907CE8B" w14:textId="77777777" w:rsidTr="00D9610A">
        <w:trPr>
          <w:tblHeader/>
        </w:trPr>
        <w:tc>
          <w:tcPr>
            <w:tcW w:w="704" w:type="dxa"/>
            <w:vAlign w:val="center"/>
          </w:tcPr>
          <w:p w14:paraId="30CA3A95" w14:textId="77777777" w:rsidR="00543D47" w:rsidRPr="00370DFD" w:rsidRDefault="00543D47" w:rsidP="00D9610A">
            <w:pPr>
              <w:rPr>
                <w:sz w:val="18"/>
                <w:szCs w:val="18"/>
              </w:rPr>
            </w:pPr>
            <w:r w:rsidRPr="00370DFD">
              <w:rPr>
                <w:b/>
                <w:sz w:val="18"/>
                <w:szCs w:val="18"/>
              </w:rPr>
              <w:t>Item</w:t>
            </w:r>
          </w:p>
        </w:tc>
        <w:tc>
          <w:tcPr>
            <w:tcW w:w="2857" w:type="dxa"/>
            <w:vAlign w:val="center"/>
          </w:tcPr>
          <w:p w14:paraId="59362451"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0D1C2E7E" w14:textId="77777777" w:rsidR="00543D47" w:rsidRPr="00370DFD" w:rsidRDefault="00543D47" w:rsidP="00D9610A">
            <w:pPr>
              <w:rPr>
                <w:sz w:val="18"/>
                <w:szCs w:val="18"/>
              </w:rPr>
            </w:pPr>
            <w:r w:rsidRPr="00370DFD">
              <w:rPr>
                <w:b/>
                <w:sz w:val="18"/>
                <w:szCs w:val="18"/>
              </w:rPr>
              <w:t>Schedule</w:t>
            </w:r>
            <w:r>
              <w:rPr>
                <w:b/>
                <w:sz w:val="18"/>
                <w:szCs w:val="18"/>
              </w:rPr>
              <w:t xml:space="preserve"> f</w:t>
            </w:r>
            <w:r w:rsidRPr="00370DFD">
              <w:rPr>
                <w:b/>
                <w:sz w:val="18"/>
                <w:szCs w:val="18"/>
              </w:rPr>
              <w:t>ee</w:t>
            </w:r>
          </w:p>
        </w:tc>
        <w:tc>
          <w:tcPr>
            <w:tcW w:w="1219" w:type="dxa"/>
            <w:vAlign w:val="center"/>
          </w:tcPr>
          <w:p w14:paraId="0D303CF1"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0E9EA0A0" w14:textId="77777777" w:rsidR="00543D47" w:rsidRPr="00370DFD" w:rsidRDefault="00543D47" w:rsidP="00D9610A">
            <w:pPr>
              <w:rPr>
                <w:sz w:val="18"/>
                <w:szCs w:val="18"/>
              </w:rPr>
            </w:pPr>
            <w:r w:rsidRPr="00370DFD">
              <w:rPr>
                <w:b/>
                <w:sz w:val="18"/>
                <w:szCs w:val="18"/>
              </w:rPr>
              <w:t>Services</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7684E101" w14:textId="77777777" w:rsidR="00543D47" w:rsidRPr="00370DFD" w:rsidRDefault="00543D47" w:rsidP="00D9610A">
            <w:pPr>
              <w:rPr>
                <w:sz w:val="18"/>
                <w:szCs w:val="18"/>
              </w:rPr>
            </w:pPr>
            <w:r w:rsidRPr="00370DFD">
              <w:rPr>
                <w:b/>
                <w:sz w:val="18"/>
                <w:szCs w:val="18"/>
              </w:rPr>
              <w:t xml:space="preserve">Patient count </w:t>
            </w:r>
            <w:r>
              <w:rPr>
                <w:b/>
                <w:sz w:val="18"/>
                <w:szCs w:val="18"/>
              </w:rPr>
              <w:br/>
            </w:r>
            <w:r w:rsidRPr="00370DFD">
              <w:rPr>
                <w:b/>
                <w:sz w:val="18"/>
                <w:szCs w:val="18"/>
              </w:rPr>
              <w:t>2014-15</w:t>
            </w:r>
          </w:p>
        </w:tc>
        <w:tc>
          <w:tcPr>
            <w:tcW w:w="1179" w:type="dxa"/>
            <w:vAlign w:val="center"/>
          </w:tcPr>
          <w:p w14:paraId="62B8DD1F"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3B6B024C" w14:textId="77777777" w:rsidTr="00D9610A">
        <w:tc>
          <w:tcPr>
            <w:tcW w:w="704" w:type="dxa"/>
          </w:tcPr>
          <w:p w14:paraId="6B8B93FE" w14:textId="77777777" w:rsidR="00543D47" w:rsidRPr="00F42E0D" w:rsidRDefault="00543D47" w:rsidP="00D9610A">
            <w:pPr>
              <w:rPr>
                <w:sz w:val="18"/>
                <w:szCs w:val="18"/>
              </w:rPr>
            </w:pPr>
            <w:r w:rsidRPr="00F42E0D">
              <w:rPr>
                <w:sz w:val="18"/>
                <w:szCs w:val="18"/>
              </w:rPr>
              <w:t>66782</w:t>
            </w:r>
          </w:p>
        </w:tc>
        <w:tc>
          <w:tcPr>
            <w:tcW w:w="2857" w:type="dxa"/>
          </w:tcPr>
          <w:p w14:paraId="64B96DE2" w14:textId="77777777" w:rsidR="00543D47" w:rsidRPr="00F42E0D" w:rsidRDefault="00543D47" w:rsidP="00D9610A">
            <w:pPr>
              <w:rPr>
                <w:sz w:val="18"/>
                <w:szCs w:val="18"/>
              </w:rPr>
            </w:pPr>
            <w:r w:rsidRPr="00F42E0D">
              <w:rPr>
                <w:sz w:val="18"/>
                <w:szCs w:val="18"/>
              </w:rPr>
              <w:t>Porphyrins or porphyrins precursors - detection in plasma, red cells, urine or faeces - 1 or more tests</w:t>
            </w:r>
          </w:p>
        </w:tc>
        <w:tc>
          <w:tcPr>
            <w:tcW w:w="1066" w:type="dxa"/>
          </w:tcPr>
          <w:p w14:paraId="38B9659F" w14:textId="77777777" w:rsidR="00543D47" w:rsidRPr="00F42E0D" w:rsidRDefault="00543D47" w:rsidP="00D9610A">
            <w:pPr>
              <w:rPr>
                <w:sz w:val="18"/>
                <w:szCs w:val="18"/>
              </w:rPr>
            </w:pPr>
            <w:r w:rsidRPr="00F42E0D">
              <w:rPr>
                <w:sz w:val="18"/>
                <w:szCs w:val="18"/>
              </w:rPr>
              <w:t>13.15</w:t>
            </w:r>
          </w:p>
        </w:tc>
        <w:tc>
          <w:tcPr>
            <w:tcW w:w="1219" w:type="dxa"/>
          </w:tcPr>
          <w:p w14:paraId="3B7C5B87" w14:textId="77777777" w:rsidR="00543D47" w:rsidRPr="00F42E0D" w:rsidRDefault="00543D47" w:rsidP="00D9610A">
            <w:pPr>
              <w:rPr>
                <w:sz w:val="18"/>
                <w:szCs w:val="18"/>
              </w:rPr>
            </w:pPr>
            <w:r w:rsidRPr="00F42E0D">
              <w:rPr>
                <w:sz w:val="18"/>
                <w:szCs w:val="18"/>
              </w:rPr>
              <w:t>$9,283</w:t>
            </w:r>
          </w:p>
        </w:tc>
        <w:tc>
          <w:tcPr>
            <w:tcW w:w="1060" w:type="dxa"/>
          </w:tcPr>
          <w:p w14:paraId="2CD030EC" w14:textId="77777777" w:rsidR="00543D47" w:rsidRPr="00F42E0D" w:rsidRDefault="00543D47" w:rsidP="00D9610A">
            <w:pPr>
              <w:rPr>
                <w:sz w:val="18"/>
                <w:szCs w:val="18"/>
              </w:rPr>
            </w:pPr>
            <w:r w:rsidRPr="00F42E0D">
              <w:rPr>
                <w:sz w:val="18"/>
                <w:szCs w:val="18"/>
              </w:rPr>
              <w:t>859</w:t>
            </w:r>
          </w:p>
        </w:tc>
        <w:tc>
          <w:tcPr>
            <w:tcW w:w="1060" w:type="dxa"/>
          </w:tcPr>
          <w:p w14:paraId="49F19045" w14:textId="77777777" w:rsidR="00543D47" w:rsidRPr="00F42E0D" w:rsidRDefault="00543D47" w:rsidP="00D9610A">
            <w:pPr>
              <w:rPr>
                <w:sz w:val="18"/>
                <w:szCs w:val="18"/>
              </w:rPr>
            </w:pPr>
            <w:r w:rsidRPr="00F42E0D">
              <w:rPr>
                <w:sz w:val="18"/>
                <w:szCs w:val="18"/>
              </w:rPr>
              <w:t>643</w:t>
            </w:r>
          </w:p>
        </w:tc>
        <w:tc>
          <w:tcPr>
            <w:tcW w:w="1179" w:type="dxa"/>
          </w:tcPr>
          <w:p w14:paraId="53388C4B" w14:textId="77777777" w:rsidR="00543D47" w:rsidRPr="00F42E0D" w:rsidRDefault="00543D47" w:rsidP="00D9610A">
            <w:pPr>
              <w:rPr>
                <w:sz w:val="18"/>
                <w:szCs w:val="18"/>
              </w:rPr>
            </w:pPr>
            <w:r w:rsidRPr="00F42E0D">
              <w:rPr>
                <w:sz w:val="18"/>
                <w:szCs w:val="18"/>
              </w:rPr>
              <w:t>29.8%</w:t>
            </w:r>
          </w:p>
        </w:tc>
      </w:tr>
      <w:tr w:rsidR="00543D47" w:rsidRPr="00370DFD" w14:paraId="07B86E39" w14:textId="77777777" w:rsidTr="00D9610A">
        <w:tc>
          <w:tcPr>
            <w:tcW w:w="704" w:type="dxa"/>
          </w:tcPr>
          <w:p w14:paraId="1343EA6A" w14:textId="77777777" w:rsidR="00543D47" w:rsidRPr="00F42E0D" w:rsidRDefault="00543D47" w:rsidP="00D9610A">
            <w:pPr>
              <w:rPr>
                <w:sz w:val="18"/>
                <w:szCs w:val="18"/>
              </w:rPr>
            </w:pPr>
            <w:r w:rsidRPr="00F42E0D">
              <w:rPr>
                <w:sz w:val="18"/>
                <w:szCs w:val="18"/>
              </w:rPr>
              <w:t>66783</w:t>
            </w:r>
          </w:p>
        </w:tc>
        <w:tc>
          <w:tcPr>
            <w:tcW w:w="2857" w:type="dxa"/>
          </w:tcPr>
          <w:p w14:paraId="2F849EF4" w14:textId="77777777" w:rsidR="00543D47" w:rsidRPr="00F42E0D" w:rsidRDefault="00543D47" w:rsidP="00D9610A">
            <w:pPr>
              <w:rPr>
                <w:sz w:val="18"/>
                <w:szCs w:val="18"/>
              </w:rPr>
            </w:pPr>
            <w:r w:rsidRPr="00F42E0D">
              <w:rPr>
                <w:sz w:val="18"/>
                <w:szCs w:val="18"/>
              </w:rPr>
              <w:t>A test described in item 66782 if rendered by a receiving APP - 1 or more tests</w:t>
            </w:r>
            <w:r>
              <w:rPr>
                <w:sz w:val="18"/>
                <w:szCs w:val="18"/>
              </w:rPr>
              <w:t xml:space="preserve"> </w:t>
            </w:r>
            <w:r w:rsidRPr="00F42E0D">
              <w:rPr>
                <w:sz w:val="18"/>
                <w:szCs w:val="18"/>
              </w:rPr>
              <w:t>(Item is subject to rule 18)</w:t>
            </w:r>
          </w:p>
        </w:tc>
        <w:tc>
          <w:tcPr>
            <w:tcW w:w="1066" w:type="dxa"/>
          </w:tcPr>
          <w:p w14:paraId="0DD2C432" w14:textId="77777777" w:rsidR="00543D47" w:rsidRPr="00F42E0D" w:rsidRDefault="00543D47" w:rsidP="00D9610A">
            <w:pPr>
              <w:rPr>
                <w:sz w:val="18"/>
                <w:szCs w:val="18"/>
              </w:rPr>
            </w:pPr>
            <w:r w:rsidRPr="00F42E0D">
              <w:rPr>
                <w:sz w:val="18"/>
                <w:szCs w:val="18"/>
              </w:rPr>
              <w:t>13.15</w:t>
            </w:r>
          </w:p>
        </w:tc>
        <w:tc>
          <w:tcPr>
            <w:tcW w:w="1219" w:type="dxa"/>
          </w:tcPr>
          <w:p w14:paraId="69BD6590" w14:textId="77777777" w:rsidR="00543D47" w:rsidRPr="00F42E0D" w:rsidRDefault="00543D47" w:rsidP="00D9610A">
            <w:pPr>
              <w:rPr>
                <w:sz w:val="18"/>
                <w:szCs w:val="18"/>
              </w:rPr>
            </w:pPr>
            <w:r w:rsidRPr="00F42E0D">
              <w:rPr>
                <w:sz w:val="18"/>
                <w:szCs w:val="18"/>
              </w:rPr>
              <w:t>$7,409</w:t>
            </w:r>
          </w:p>
        </w:tc>
        <w:tc>
          <w:tcPr>
            <w:tcW w:w="1060" w:type="dxa"/>
          </w:tcPr>
          <w:p w14:paraId="21EE3662" w14:textId="77777777" w:rsidR="00543D47" w:rsidRPr="00F42E0D" w:rsidRDefault="00543D47" w:rsidP="00D9610A">
            <w:pPr>
              <w:rPr>
                <w:sz w:val="18"/>
                <w:szCs w:val="18"/>
              </w:rPr>
            </w:pPr>
            <w:r w:rsidRPr="00F42E0D">
              <w:rPr>
                <w:sz w:val="18"/>
                <w:szCs w:val="18"/>
              </w:rPr>
              <w:t>668</w:t>
            </w:r>
          </w:p>
        </w:tc>
        <w:tc>
          <w:tcPr>
            <w:tcW w:w="1060" w:type="dxa"/>
          </w:tcPr>
          <w:p w14:paraId="4AA904C0" w14:textId="77777777" w:rsidR="00543D47" w:rsidRPr="00F42E0D" w:rsidRDefault="00543D47" w:rsidP="00D9610A">
            <w:pPr>
              <w:rPr>
                <w:sz w:val="18"/>
                <w:szCs w:val="18"/>
              </w:rPr>
            </w:pPr>
            <w:r w:rsidRPr="00F42E0D">
              <w:rPr>
                <w:sz w:val="18"/>
                <w:szCs w:val="18"/>
              </w:rPr>
              <w:t>631</w:t>
            </w:r>
          </w:p>
        </w:tc>
        <w:tc>
          <w:tcPr>
            <w:tcW w:w="1179" w:type="dxa"/>
          </w:tcPr>
          <w:p w14:paraId="5128079A" w14:textId="77777777" w:rsidR="00543D47" w:rsidRPr="00F42E0D" w:rsidRDefault="00543D47" w:rsidP="00D9610A">
            <w:pPr>
              <w:rPr>
                <w:sz w:val="18"/>
                <w:szCs w:val="18"/>
              </w:rPr>
            </w:pPr>
            <w:r w:rsidRPr="00F42E0D">
              <w:rPr>
                <w:sz w:val="18"/>
                <w:szCs w:val="18"/>
              </w:rPr>
              <w:t>–5.7%</w:t>
            </w:r>
          </w:p>
        </w:tc>
      </w:tr>
      <w:tr w:rsidR="00543D47" w:rsidRPr="00370DFD" w14:paraId="58AEC16A" w14:textId="77777777" w:rsidTr="00D9610A">
        <w:tc>
          <w:tcPr>
            <w:tcW w:w="704" w:type="dxa"/>
          </w:tcPr>
          <w:p w14:paraId="49693AED" w14:textId="77777777" w:rsidR="00543D47" w:rsidRPr="00F42E0D" w:rsidRDefault="00543D47" w:rsidP="00D9610A">
            <w:pPr>
              <w:rPr>
                <w:sz w:val="18"/>
                <w:szCs w:val="18"/>
              </w:rPr>
            </w:pPr>
            <w:r w:rsidRPr="000721C1">
              <w:rPr>
                <w:rFonts w:ascii="Calibri" w:hAnsi="Calibri"/>
                <w:color w:val="000000"/>
                <w:sz w:val="18"/>
                <w:szCs w:val="18"/>
              </w:rPr>
              <w:t>66785</w:t>
            </w:r>
          </w:p>
        </w:tc>
        <w:tc>
          <w:tcPr>
            <w:tcW w:w="2857" w:type="dxa"/>
          </w:tcPr>
          <w:p w14:paraId="6506751B" w14:textId="77777777" w:rsidR="00543D47" w:rsidRPr="00F42E0D" w:rsidRDefault="00543D47" w:rsidP="00D9610A">
            <w:pPr>
              <w:rPr>
                <w:sz w:val="18"/>
                <w:szCs w:val="18"/>
              </w:rPr>
            </w:pPr>
            <w:r w:rsidRPr="000721C1">
              <w:rPr>
                <w:rFonts w:ascii="Calibri" w:hAnsi="Calibri"/>
                <w:color w:val="000000"/>
                <w:sz w:val="18"/>
                <w:szCs w:val="18"/>
              </w:rPr>
              <w:t>Porphyrins or porphyrins precursors - quantitation in plasma, red cells, urine or faeces - 1 test (Item is subject to rule 6)</w:t>
            </w:r>
          </w:p>
        </w:tc>
        <w:tc>
          <w:tcPr>
            <w:tcW w:w="1066" w:type="dxa"/>
          </w:tcPr>
          <w:p w14:paraId="43C772F0" w14:textId="77777777" w:rsidR="00543D47" w:rsidRPr="00F42E0D" w:rsidRDefault="00543D47" w:rsidP="00D9610A">
            <w:pPr>
              <w:rPr>
                <w:sz w:val="18"/>
                <w:szCs w:val="18"/>
              </w:rPr>
            </w:pPr>
            <w:r w:rsidRPr="000721C1">
              <w:rPr>
                <w:rFonts w:ascii="Calibri" w:hAnsi="Calibri"/>
                <w:color w:val="000000"/>
                <w:sz w:val="18"/>
                <w:szCs w:val="18"/>
              </w:rPr>
              <w:t>39.95</w:t>
            </w:r>
          </w:p>
        </w:tc>
        <w:tc>
          <w:tcPr>
            <w:tcW w:w="1219" w:type="dxa"/>
          </w:tcPr>
          <w:p w14:paraId="55912AC4" w14:textId="77777777" w:rsidR="00543D47" w:rsidRPr="00F42E0D" w:rsidRDefault="00543D47" w:rsidP="00D9610A">
            <w:pPr>
              <w:rPr>
                <w:sz w:val="18"/>
                <w:szCs w:val="18"/>
              </w:rPr>
            </w:pPr>
            <w:r w:rsidRPr="000721C1">
              <w:rPr>
                <w:rFonts w:ascii="Calibri" w:hAnsi="Calibri"/>
                <w:color w:val="000000"/>
                <w:sz w:val="18"/>
                <w:szCs w:val="18"/>
              </w:rPr>
              <w:t>$44,012</w:t>
            </w:r>
          </w:p>
        </w:tc>
        <w:tc>
          <w:tcPr>
            <w:tcW w:w="1060" w:type="dxa"/>
          </w:tcPr>
          <w:p w14:paraId="3D228947" w14:textId="77777777" w:rsidR="00543D47" w:rsidRPr="00F42E0D" w:rsidRDefault="00543D47" w:rsidP="00D9610A">
            <w:pPr>
              <w:rPr>
                <w:sz w:val="18"/>
                <w:szCs w:val="18"/>
              </w:rPr>
            </w:pPr>
            <w:r w:rsidRPr="000721C1">
              <w:rPr>
                <w:rFonts w:ascii="Calibri" w:hAnsi="Calibri"/>
                <w:color w:val="000000"/>
                <w:sz w:val="18"/>
                <w:szCs w:val="18"/>
              </w:rPr>
              <w:t>1,300</w:t>
            </w:r>
          </w:p>
        </w:tc>
        <w:tc>
          <w:tcPr>
            <w:tcW w:w="1060" w:type="dxa"/>
          </w:tcPr>
          <w:p w14:paraId="70F94E18" w14:textId="77777777" w:rsidR="00543D47" w:rsidRPr="00F42E0D" w:rsidRDefault="00543D47" w:rsidP="00D9610A">
            <w:pPr>
              <w:rPr>
                <w:sz w:val="18"/>
                <w:szCs w:val="18"/>
              </w:rPr>
            </w:pPr>
            <w:r w:rsidRPr="000721C1">
              <w:rPr>
                <w:rFonts w:ascii="Calibri" w:hAnsi="Calibri"/>
                <w:color w:val="000000"/>
                <w:sz w:val="18"/>
                <w:szCs w:val="18"/>
              </w:rPr>
              <w:t>1,145</w:t>
            </w:r>
          </w:p>
        </w:tc>
        <w:tc>
          <w:tcPr>
            <w:tcW w:w="1179" w:type="dxa"/>
          </w:tcPr>
          <w:p w14:paraId="2735DEBD" w14:textId="77777777" w:rsidR="00543D47" w:rsidRPr="00F42E0D" w:rsidRDefault="00543D47" w:rsidP="00D9610A">
            <w:pPr>
              <w:rPr>
                <w:sz w:val="18"/>
                <w:szCs w:val="18"/>
              </w:rPr>
            </w:pPr>
            <w:r w:rsidRPr="000721C1">
              <w:rPr>
                <w:rFonts w:ascii="Calibri" w:hAnsi="Calibri"/>
                <w:color w:val="000000"/>
                <w:sz w:val="18"/>
                <w:szCs w:val="18"/>
              </w:rPr>
              <w:t>-4.5%</w:t>
            </w:r>
          </w:p>
        </w:tc>
      </w:tr>
      <w:tr w:rsidR="00543D47" w:rsidRPr="00370DFD" w14:paraId="315F5CE4" w14:textId="77777777" w:rsidTr="00D9610A">
        <w:tc>
          <w:tcPr>
            <w:tcW w:w="704" w:type="dxa"/>
          </w:tcPr>
          <w:p w14:paraId="433EE7A9" w14:textId="77777777" w:rsidR="00543D47" w:rsidRPr="00F42E0D" w:rsidRDefault="00543D47" w:rsidP="00D9610A">
            <w:pPr>
              <w:rPr>
                <w:sz w:val="18"/>
                <w:szCs w:val="18"/>
              </w:rPr>
            </w:pPr>
            <w:r w:rsidRPr="000721C1">
              <w:rPr>
                <w:rFonts w:ascii="Calibri" w:hAnsi="Calibri"/>
                <w:color w:val="000000"/>
                <w:sz w:val="18"/>
                <w:szCs w:val="18"/>
              </w:rPr>
              <w:t>66788</w:t>
            </w:r>
          </w:p>
        </w:tc>
        <w:tc>
          <w:tcPr>
            <w:tcW w:w="2857" w:type="dxa"/>
          </w:tcPr>
          <w:p w14:paraId="5F4A044D" w14:textId="77777777" w:rsidR="00543D47" w:rsidRPr="00F42E0D" w:rsidRDefault="00543D47" w:rsidP="00D9610A">
            <w:pPr>
              <w:rPr>
                <w:sz w:val="18"/>
                <w:szCs w:val="18"/>
              </w:rPr>
            </w:pPr>
            <w:r w:rsidRPr="000721C1">
              <w:rPr>
                <w:rFonts w:ascii="Calibri" w:hAnsi="Calibri"/>
                <w:color w:val="000000"/>
                <w:sz w:val="18"/>
                <w:szCs w:val="18"/>
              </w:rPr>
              <w:t>Porphyrins or porphyrins precursors - quantitation in plasma, red cells, urine or faeces - 2 or more tests (Item is subject to rule 6)</w:t>
            </w:r>
          </w:p>
        </w:tc>
        <w:tc>
          <w:tcPr>
            <w:tcW w:w="1066" w:type="dxa"/>
          </w:tcPr>
          <w:p w14:paraId="3593E9DF" w14:textId="77777777" w:rsidR="00543D47" w:rsidRPr="00F42E0D" w:rsidRDefault="00543D47" w:rsidP="00D9610A">
            <w:pPr>
              <w:rPr>
                <w:sz w:val="18"/>
                <w:szCs w:val="18"/>
              </w:rPr>
            </w:pPr>
            <w:r w:rsidRPr="000721C1">
              <w:rPr>
                <w:rFonts w:ascii="Calibri" w:hAnsi="Calibri"/>
                <w:color w:val="000000"/>
                <w:sz w:val="18"/>
                <w:szCs w:val="18"/>
              </w:rPr>
              <w:t>65.85</w:t>
            </w:r>
          </w:p>
        </w:tc>
        <w:tc>
          <w:tcPr>
            <w:tcW w:w="1219" w:type="dxa"/>
          </w:tcPr>
          <w:p w14:paraId="067FD912" w14:textId="77777777" w:rsidR="00543D47" w:rsidRPr="00F42E0D" w:rsidRDefault="00543D47" w:rsidP="00D9610A">
            <w:pPr>
              <w:rPr>
                <w:sz w:val="18"/>
                <w:szCs w:val="18"/>
              </w:rPr>
            </w:pPr>
            <w:r w:rsidRPr="000721C1">
              <w:rPr>
                <w:rFonts w:ascii="Calibri" w:hAnsi="Calibri"/>
                <w:color w:val="000000"/>
                <w:sz w:val="18"/>
                <w:szCs w:val="18"/>
              </w:rPr>
              <w:t>$40,518</w:t>
            </w:r>
          </w:p>
        </w:tc>
        <w:tc>
          <w:tcPr>
            <w:tcW w:w="1060" w:type="dxa"/>
          </w:tcPr>
          <w:p w14:paraId="71B73ED5" w14:textId="77777777" w:rsidR="00543D47" w:rsidRPr="00F42E0D" w:rsidRDefault="00543D47" w:rsidP="00D9610A">
            <w:pPr>
              <w:rPr>
                <w:sz w:val="18"/>
                <w:szCs w:val="18"/>
              </w:rPr>
            </w:pPr>
            <w:r w:rsidRPr="000721C1">
              <w:rPr>
                <w:rFonts w:ascii="Calibri" w:hAnsi="Calibri"/>
                <w:color w:val="000000"/>
                <w:sz w:val="18"/>
                <w:szCs w:val="18"/>
              </w:rPr>
              <w:t>725</w:t>
            </w:r>
          </w:p>
        </w:tc>
        <w:tc>
          <w:tcPr>
            <w:tcW w:w="1060" w:type="dxa"/>
          </w:tcPr>
          <w:p w14:paraId="1DF27388" w14:textId="77777777" w:rsidR="00543D47" w:rsidRPr="00F42E0D" w:rsidRDefault="00543D47" w:rsidP="00D9610A">
            <w:pPr>
              <w:rPr>
                <w:sz w:val="18"/>
                <w:szCs w:val="18"/>
              </w:rPr>
            </w:pPr>
            <w:r w:rsidRPr="000721C1">
              <w:rPr>
                <w:rFonts w:ascii="Calibri" w:hAnsi="Calibri"/>
                <w:color w:val="000000"/>
                <w:sz w:val="18"/>
                <w:szCs w:val="18"/>
              </w:rPr>
              <w:t>672</w:t>
            </w:r>
          </w:p>
        </w:tc>
        <w:tc>
          <w:tcPr>
            <w:tcW w:w="1179" w:type="dxa"/>
          </w:tcPr>
          <w:p w14:paraId="7946EF83" w14:textId="77777777" w:rsidR="00543D47" w:rsidRPr="00F42E0D" w:rsidRDefault="00543D47" w:rsidP="00D9610A">
            <w:pPr>
              <w:rPr>
                <w:sz w:val="18"/>
                <w:szCs w:val="18"/>
              </w:rPr>
            </w:pPr>
            <w:r w:rsidRPr="000721C1">
              <w:rPr>
                <w:rFonts w:ascii="Calibri" w:hAnsi="Calibri"/>
                <w:color w:val="000000"/>
                <w:sz w:val="18"/>
                <w:szCs w:val="18"/>
              </w:rPr>
              <w:t>-1.5%</w:t>
            </w:r>
          </w:p>
        </w:tc>
      </w:tr>
      <w:tr w:rsidR="00543D47" w:rsidRPr="00370DFD" w14:paraId="596F2695" w14:textId="77777777" w:rsidTr="00D9610A">
        <w:tc>
          <w:tcPr>
            <w:tcW w:w="704" w:type="dxa"/>
          </w:tcPr>
          <w:p w14:paraId="327B6AAD" w14:textId="77777777" w:rsidR="00543D47" w:rsidRPr="00F42E0D" w:rsidRDefault="00543D47" w:rsidP="00D9610A">
            <w:pPr>
              <w:rPr>
                <w:sz w:val="18"/>
                <w:szCs w:val="18"/>
              </w:rPr>
            </w:pPr>
            <w:r w:rsidRPr="000721C1">
              <w:rPr>
                <w:rFonts w:ascii="Calibri" w:hAnsi="Calibri"/>
                <w:color w:val="000000"/>
                <w:sz w:val="18"/>
                <w:szCs w:val="18"/>
              </w:rPr>
              <w:t>66789</w:t>
            </w:r>
          </w:p>
        </w:tc>
        <w:tc>
          <w:tcPr>
            <w:tcW w:w="2857" w:type="dxa"/>
          </w:tcPr>
          <w:p w14:paraId="43B82C24" w14:textId="77777777" w:rsidR="00543D47" w:rsidRPr="00F42E0D" w:rsidRDefault="00543D47" w:rsidP="00D9610A">
            <w:pPr>
              <w:rPr>
                <w:sz w:val="18"/>
                <w:szCs w:val="18"/>
              </w:rPr>
            </w:pPr>
            <w:r w:rsidRPr="000721C1">
              <w:rPr>
                <w:rFonts w:ascii="Calibri" w:hAnsi="Calibri"/>
                <w:color w:val="000000"/>
                <w:sz w:val="18"/>
                <w:szCs w:val="18"/>
              </w:rPr>
              <w:t xml:space="preserve">A test described in item 66785 if rendered by a receiving APP, where no tests in the item have been </w:t>
            </w:r>
            <w:r w:rsidRPr="000721C1">
              <w:rPr>
                <w:rFonts w:ascii="Calibri" w:hAnsi="Calibri"/>
                <w:color w:val="000000"/>
                <w:sz w:val="18"/>
                <w:szCs w:val="18"/>
              </w:rPr>
              <w:lastRenderedPageBreak/>
              <w:t>rendered by the referring APP - 1 test</w:t>
            </w:r>
            <w:r>
              <w:rPr>
                <w:rFonts w:ascii="Calibri" w:hAnsi="Calibri"/>
                <w:color w:val="000000"/>
                <w:sz w:val="18"/>
                <w:szCs w:val="18"/>
              </w:rPr>
              <w:t xml:space="preserve"> </w:t>
            </w:r>
            <w:r w:rsidRPr="000721C1">
              <w:rPr>
                <w:rFonts w:ascii="Calibri" w:hAnsi="Calibri"/>
                <w:color w:val="000000"/>
                <w:sz w:val="18"/>
                <w:szCs w:val="18"/>
              </w:rPr>
              <w:t>(Item is subject to rule 6 and 18)</w:t>
            </w:r>
          </w:p>
        </w:tc>
        <w:tc>
          <w:tcPr>
            <w:tcW w:w="1066" w:type="dxa"/>
          </w:tcPr>
          <w:p w14:paraId="0B822AE3" w14:textId="77777777" w:rsidR="00543D47" w:rsidRPr="00F42E0D" w:rsidRDefault="00543D47" w:rsidP="00D9610A">
            <w:pPr>
              <w:rPr>
                <w:sz w:val="18"/>
                <w:szCs w:val="18"/>
              </w:rPr>
            </w:pPr>
            <w:r w:rsidRPr="000721C1">
              <w:rPr>
                <w:rFonts w:ascii="Calibri" w:hAnsi="Calibri"/>
                <w:color w:val="000000"/>
                <w:sz w:val="18"/>
                <w:szCs w:val="18"/>
              </w:rPr>
              <w:lastRenderedPageBreak/>
              <w:t>39.95</w:t>
            </w:r>
          </w:p>
        </w:tc>
        <w:tc>
          <w:tcPr>
            <w:tcW w:w="1219" w:type="dxa"/>
          </w:tcPr>
          <w:p w14:paraId="1BB3F6B9" w14:textId="77777777" w:rsidR="00543D47" w:rsidRPr="00F42E0D" w:rsidRDefault="00543D47" w:rsidP="00D9610A">
            <w:pPr>
              <w:rPr>
                <w:sz w:val="18"/>
                <w:szCs w:val="18"/>
              </w:rPr>
            </w:pPr>
            <w:r w:rsidRPr="000721C1">
              <w:rPr>
                <w:rFonts w:ascii="Calibri" w:hAnsi="Calibri"/>
                <w:color w:val="000000"/>
                <w:sz w:val="18"/>
                <w:szCs w:val="18"/>
              </w:rPr>
              <w:t>$18,475</w:t>
            </w:r>
          </w:p>
        </w:tc>
        <w:tc>
          <w:tcPr>
            <w:tcW w:w="1060" w:type="dxa"/>
          </w:tcPr>
          <w:p w14:paraId="620CC9C8" w14:textId="77777777" w:rsidR="00543D47" w:rsidRPr="00F42E0D" w:rsidRDefault="00543D47" w:rsidP="00D9610A">
            <w:pPr>
              <w:rPr>
                <w:sz w:val="18"/>
                <w:szCs w:val="18"/>
              </w:rPr>
            </w:pPr>
            <w:r w:rsidRPr="000721C1">
              <w:rPr>
                <w:rFonts w:ascii="Calibri" w:hAnsi="Calibri"/>
                <w:color w:val="000000"/>
                <w:sz w:val="18"/>
                <w:szCs w:val="18"/>
              </w:rPr>
              <w:t>545</w:t>
            </w:r>
          </w:p>
        </w:tc>
        <w:tc>
          <w:tcPr>
            <w:tcW w:w="1060" w:type="dxa"/>
          </w:tcPr>
          <w:p w14:paraId="1FA5EECD" w14:textId="77777777" w:rsidR="00543D47" w:rsidRPr="00F42E0D" w:rsidRDefault="00543D47" w:rsidP="00D9610A">
            <w:pPr>
              <w:rPr>
                <w:sz w:val="18"/>
                <w:szCs w:val="18"/>
              </w:rPr>
            </w:pPr>
            <w:r w:rsidRPr="000721C1">
              <w:rPr>
                <w:rFonts w:ascii="Calibri" w:hAnsi="Calibri"/>
                <w:color w:val="000000"/>
                <w:sz w:val="18"/>
                <w:szCs w:val="18"/>
              </w:rPr>
              <w:t>521</w:t>
            </w:r>
          </w:p>
        </w:tc>
        <w:tc>
          <w:tcPr>
            <w:tcW w:w="1179" w:type="dxa"/>
          </w:tcPr>
          <w:p w14:paraId="3BC6EC97" w14:textId="77777777" w:rsidR="00543D47" w:rsidRPr="00F42E0D" w:rsidRDefault="00543D47" w:rsidP="00D9610A">
            <w:pPr>
              <w:rPr>
                <w:sz w:val="18"/>
                <w:szCs w:val="18"/>
              </w:rPr>
            </w:pPr>
            <w:r w:rsidRPr="000721C1">
              <w:rPr>
                <w:rFonts w:ascii="Calibri" w:hAnsi="Calibri"/>
                <w:color w:val="000000"/>
                <w:sz w:val="18"/>
                <w:szCs w:val="18"/>
              </w:rPr>
              <w:t>-7.7%</w:t>
            </w:r>
          </w:p>
        </w:tc>
      </w:tr>
      <w:tr w:rsidR="00543D47" w:rsidRPr="00370DFD" w14:paraId="1EFF5BD7" w14:textId="77777777" w:rsidTr="00D9610A">
        <w:tc>
          <w:tcPr>
            <w:tcW w:w="704" w:type="dxa"/>
          </w:tcPr>
          <w:p w14:paraId="18281825" w14:textId="77777777" w:rsidR="00543D47" w:rsidRPr="00F42E0D" w:rsidRDefault="00543D47" w:rsidP="00D9610A">
            <w:pPr>
              <w:rPr>
                <w:sz w:val="18"/>
                <w:szCs w:val="18"/>
              </w:rPr>
            </w:pPr>
            <w:r w:rsidRPr="000721C1">
              <w:rPr>
                <w:rFonts w:ascii="Calibri" w:hAnsi="Calibri"/>
                <w:color w:val="000000"/>
                <w:sz w:val="18"/>
                <w:szCs w:val="18"/>
              </w:rPr>
              <w:t>66790</w:t>
            </w:r>
          </w:p>
        </w:tc>
        <w:tc>
          <w:tcPr>
            <w:tcW w:w="2857" w:type="dxa"/>
          </w:tcPr>
          <w:p w14:paraId="5532FA23" w14:textId="77777777" w:rsidR="00543D47" w:rsidRPr="00F42E0D" w:rsidRDefault="00543D47" w:rsidP="00D9610A">
            <w:pPr>
              <w:rPr>
                <w:sz w:val="18"/>
                <w:szCs w:val="18"/>
              </w:rPr>
            </w:pPr>
            <w:r w:rsidRPr="000721C1">
              <w:rPr>
                <w:rFonts w:ascii="Calibri" w:hAnsi="Calibri"/>
                <w:color w:val="000000"/>
                <w:sz w:val="18"/>
                <w:szCs w:val="18"/>
              </w:rPr>
              <w:t>A test described in item 66785 other than that described in 66789, if rendered by a receiving APP - to a maximum of 1 test</w:t>
            </w:r>
            <w:r>
              <w:rPr>
                <w:rFonts w:ascii="Calibri" w:hAnsi="Calibri"/>
                <w:color w:val="000000"/>
                <w:sz w:val="18"/>
                <w:szCs w:val="18"/>
              </w:rPr>
              <w:t xml:space="preserve"> </w:t>
            </w:r>
            <w:r w:rsidRPr="000721C1">
              <w:rPr>
                <w:rFonts w:ascii="Calibri" w:hAnsi="Calibri"/>
                <w:color w:val="000000"/>
                <w:sz w:val="18"/>
                <w:szCs w:val="18"/>
              </w:rPr>
              <w:t>(Item is subject to rule 6 and 18)</w:t>
            </w:r>
          </w:p>
        </w:tc>
        <w:tc>
          <w:tcPr>
            <w:tcW w:w="1066" w:type="dxa"/>
          </w:tcPr>
          <w:p w14:paraId="1FB3017C" w14:textId="77777777" w:rsidR="00543D47" w:rsidRPr="00F42E0D" w:rsidRDefault="00543D47" w:rsidP="00D9610A">
            <w:pPr>
              <w:rPr>
                <w:sz w:val="18"/>
                <w:szCs w:val="18"/>
              </w:rPr>
            </w:pPr>
            <w:r w:rsidRPr="000721C1">
              <w:rPr>
                <w:rFonts w:ascii="Calibri" w:hAnsi="Calibri"/>
                <w:color w:val="000000"/>
                <w:sz w:val="18"/>
                <w:szCs w:val="18"/>
              </w:rPr>
              <w:t>25.90</w:t>
            </w:r>
          </w:p>
        </w:tc>
        <w:tc>
          <w:tcPr>
            <w:tcW w:w="1219" w:type="dxa"/>
          </w:tcPr>
          <w:p w14:paraId="314CB3AF" w14:textId="77777777" w:rsidR="00543D47" w:rsidRPr="00F42E0D" w:rsidRDefault="00543D47" w:rsidP="00D9610A">
            <w:pPr>
              <w:rPr>
                <w:sz w:val="18"/>
                <w:szCs w:val="18"/>
              </w:rPr>
            </w:pPr>
            <w:r w:rsidRPr="000721C1">
              <w:rPr>
                <w:rFonts w:ascii="Calibri" w:hAnsi="Calibri"/>
                <w:color w:val="000000"/>
                <w:sz w:val="18"/>
                <w:szCs w:val="18"/>
              </w:rPr>
              <w:t>$32,309</w:t>
            </w:r>
          </w:p>
        </w:tc>
        <w:tc>
          <w:tcPr>
            <w:tcW w:w="1060" w:type="dxa"/>
          </w:tcPr>
          <w:p w14:paraId="66961EE8" w14:textId="77777777" w:rsidR="00543D47" w:rsidRPr="00F42E0D" w:rsidRDefault="00543D47" w:rsidP="00D9610A">
            <w:pPr>
              <w:rPr>
                <w:sz w:val="18"/>
                <w:szCs w:val="18"/>
              </w:rPr>
            </w:pPr>
            <w:r w:rsidRPr="000721C1">
              <w:rPr>
                <w:rFonts w:ascii="Calibri" w:hAnsi="Calibri"/>
                <w:color w:val="000000"/>
                <w:sz w:val="18"/>
                <w:szCs w:val="18"/>
              </w:rPr>
              <w:t>1,473</w:t>
            </w:r>
          </w:p>
        </w:tc>
        <w:tc>
          <w:tcPr>
            <w:tcW w:w="1060" w:type="dxa"/>
          </w:tcPr>
          <w:p w14:paraId="282C9E6C" w14:textId="77777777" w:rsidR="00543D47" w:rsidRPr="00F42E0D" w:rsidRDefault="00543D47" w:rsidP="00D9610A">
            <w:pPr>
              <w:rPr>
                <w:sz w:val="18"/>
                <w:szCs w:val="18"/>
              </w:rPr>
            </w:pPr>
            <w:r w:rsidRPr="000721C1">
              <w:rPr>
                <w:rFonts w:ascii="Calibri" w:hAnsi="Calibri"/>
                <w:color w:val="000000"/>
                <w:sz w:val="18"/>
                <w:szCs w:val="18"/>
              </w:rPr>
              <w:t>1,370</w:t>
            </w:r>
          </w:p>
        </w:tc>
        <w:tc>
          <w:tcPr>
            <w:tcW w:w="1179" w:type="dxa"/>
          </w:tcPr>
          <w:p w14:paraId="52C65D8A" w14:textId="77777777" w:rsidR="00543D47" w:rsidRPr="00F42E0D" w:rsidRDefault="00543D47" w:rsidP="00D9610A">
            <w:pPr>
              <w:rPr>
                <w:sz w:val="18"/>
                <w:szCs w:val="18"/>
              </w:rPr>
            </w:pPr>
            <w:r w:rsidRPr="000721C1">
              <w:rPr>
                <w:rFonts w:ascii="Calibri" w:hAnsi="Calibri"/>
                <w:color w:val="000000"/>
                <w:sz w:val="18"/>
                <w:szCs w:val="18"/>
              </w:rPr>
              <w:t>3.3%</w:t>
            </w:r>
          </w:p>
        </w:tc>
      </w:tr>
      <w:tr w:rsidR="00543D47" w:rsidRPr="00370DFD" w14:paraId="731DF1B4" w14:textId="77777777" w:rsidTr="00D9610A">
        <w:tc>
          <w:tcPr>
            <w:tcW w:w="704" w:type="dxa"/>
          </w:tcPr>
          <w:p w14:paraId="4572FF60" w14:textId="77777777" w:rsidR="00543D47" w:rsidRPr="00F42E0D" w:rsidRDefault="00543D47" w:rsidP="00D9610A">
            <w:pPr>
              <w:rPr>
                <w:sz w:val="18"/>
                <w:szCs w:val="18"/>
              </w:rPr>
            </w:pPr>
            <w:r w:rsidRPr="000721C1">
              <w:rPr>
                <w:rFonts w:ascii="Calibri" w:hAnsi="Calibri"/>
                <w:color w:val="000000"/>
                <w:sz w:val="18"/>
                <w:szCs w:val="18"/>
              </w:rPr>
              <w:t>66791</w:t>
            </w:r>
          </w:p>
        </w:tc>
        <w:tc>
          <w:tcPr>
            <w:tcW w:w="2857" w:type="dxa"/>
          </w:tcPr>
          <w:p w14:paraId="67BBEF86" w14:textId="77777777" w:rsidR="00543D47" w:rsidRPr="00F42E0D" w:rsidRDefault="00543D47" w:rsidP="00D9610A">
            <w:pPr>
              <w:rPr>
                <w:sz w:val="18"/>
                <w:szCs w:val="18"/>
              </w:rPr>
            </w:pPr>
            <w:r w:rsidRPr="000721C1">
              <w:rPr>
                <w:rFonts w:ascii="Calibri" w:hAnsi="Calibri"/>
                <w:color w:val="000000"/>
                <w:sz w:val="18"/>
                <w:szCs w:val="18"/>
              </w:rPr>
              <w:t>Porphyrin biosynthetic enzymes - measurement of activity in blood cells or other tissues - 1 or more tests</w:t>
            </w:r>
          </w:p>
        </w:tc>
        <w:tc>
          <w:tcPr>
            <w:tcW w:w="1066" w:type="dxa"/>
          </w:tcPr>
          <w:p w14:paraId="2FE0C5DE" w14:textId="77777777" w:rsidR="00543D47" w:rsidRPr="00F42E0D" w:rsidRDefault="00543D47" w:rsidP="00D9610A">
            <w:pPr>
              <w:rPr>
                <w:sz w:val="18"/>
                <w:szCs w:val="18"/>
              </w:rPr>
            </w:pPr>
            <w:r w:rsidRPr="000721C1">
              <w:rPr>
                <w:rFonts w:ascii="Calibri" w:hAnsi="Calibri"/>
                <w:color w:val="000000"/>
                <w:sz w:val="18"/>
                <w:szCs w:val="18"/>
              </w:rPr>
              <w:t>74.45</w:t>
            </w:r>
          </w:p>
        </w:tc>
        <w:tc>
          <w:tcPr>
            <w:tcW w:w="1219" w:type="dxa"/>
          </w:tcPr>
          <w:p w14:paraId="5D13957C" w14:textId="77777777" w:rsidR="00543D47" w:rsidRPr="00F42E0D" w:rsidRDefault="00543D47" w:rsidP="00D9610A">
            <w:pPr>
              <w:rPr>
                <w:sz w:val="18"/>
                <w:szCs w:val="18"/>
              </w:rPr>
            </w:pPr>
            <w:r w:rsidRPr="000721C1">
              <w:rPr>
                <w:rFonts w:ascii="Calibri" w:hAnsi="Calibri"/>
                <w:color w:val="000000"/>
                <w:sz w:val="18"/>
                <w:szCs w:val="18"/>
              </w:rPr>
              <w:t>$253</w:t>
            </w:r>
          </w:p>
        </w:tc>
        <w:tc>
          <w:tcPr>
            <w:tcW w:w="1060" w:type="dxa"/>
          </w:tcPr>
          <w:p w14:paraId="535AACF5" w14:textId="77777777" w:rsidR="00543D47" w:rsidRPr="00F42E0D" w:rsidRDefault="00543D47" w:rsidP="00D9610A">
            <w:pPr>
              <w:rPr>
                <w:sz w:val="18"/>
                <w:szCs w:val="18"/>
              </w:rPr>
            </w:pPr>
            <w:r w:rsidRPr="000721C1">
              <w:rPr>
                <w:rFonts w:ascii="Calibri" w:hAnsi="Calibri"/>
                <w:color w:val="000000"/>
                <w:sz w:val="18"/>
                <w:szCs w:val="18"/>
              </w:rPr>
              <w:t>4</w:t>
            </w:r>
          </w:p>
        </w:tc>
        <w:tc>
          <w:tcPr>
            <w:tcW w:w="1060" w:type="dxa"/>
          </w:tcPr>
          <w:p w14:paraId="58AA16F5" w14:textId="77777777" w:rsidR="00543D47" w:rsidRPr="00F42E0D" w:rsidRDefault="00543D47" w:rsidP="00D9610A">
            <w:pPr>
              <w:rPr>
                <w:sz w:val="18"/>
                <w:szCs w:val="18"/>
              </w:rPr>
            </w:pPr>
            <w:r w:rsidRPr="000721C1">
              <w:rPr>
                <w:rFonts w:ascii="Calibri" w:hAnsi="Calibri"/>
                <w:color w:val="000000"/>
                <w:sz w:val="18"/>
                <w:szCs w:val="18"/>
              </w:rPr>
              <w:t>3</w:t>
            </w:r>
          </w:p>
        </w:tc>
        <w:tc>
          <w:tcPr>
            <w:tcW w:w="1179" w:type="dxa"/>
          </w:tcPr>
          <w:p w14:paraId="103F9AAF" w14:textId="77777777" w:rsidR="00543D47" w:rsidRPr="00F42E0D" w:rsidRDefault="00543D47" w:rsidP="00D9610A">
            <w:pPr>
              <w:rPr>
                <w:sz w:val="18"/>
                <w:szCs w:val="18"/>
              </w:rPr>
            </w:pPr>
            <w:r w:rsidRPr="000721C1">
              <w:rPr>
                <w:rFonts w:ascii="Calibri" w:hAnsi="Calibri"/>
                <w:color w:val="000000"/>
                <w:sz w:val="18"/>
                <w:szCs w:val="18"/>
              </w:rPr>
              <w:t>-</w:t>
            </w:r>
          </w:p>
        </w:tc>
      </w:tr>
      <w:tr w:rsidR="00543D47" w:rsidRPr="00370DFD" w14:paraId="53FC476A" w14:textId="77777777" w:rsidTr="00D9610A">
        <w:tc>
          <w:tcPr>
            <w:tcW w:w="704" w:type="dxa"/>
          </w:tcPr>
          <w:p w14:paraId="5ECE8731" w14:textId="77777777" w:rsidR="00543D47" w:rsidRPr="00F42E0D" w:rsidRDefault="00543D47" w:rsidP="00D9610A">
            <w:pPr>
              <w:rPr>
                <w:sz w:val="18"/>
                <w:szCs w:val="18"/>
              </w:rPr>
            </w:pPr>
            <w:r w:rsidRPr="000721C1">
              <w:rPr>
                <w:rFonts w:ascii="Calibri" w:hAnsi="Calibri"/>
                <w:color w:val="000000"/>
                <w:sz w:val="18"/>
                <w:szCs w:val="18"/>
              </w:rPr>
              <w:t>66792</w:t>
            </w:r>
          </w:p>
        </w:tc>
        <w:tc>
          <w:tcPr>
            <w:tcW w:w="2857" w:type="dxa"/>
          </w:tcPr>
          <w:p w14:paraId="342545EF" w14:textId="77777777" w:rsidR="00543D47" w:rsidRPr="00F42E0D" w:rsidRDefault="00543D47" w:rsidP="00D9610A">
            <w:pPr>
              <w:rPr>
                <w:sz w:val="18"/>
                <w:szCs w:val="18"/>
              </w:rPr>
            </w:pPr>
            <w:r w:rsidRPr="000721C1">
              <w:rPr>
                <w:rFonts w:ascii="Calibri" w:hAnsi="Calibri"/>
                <w:color w:val="000000"/>
                <w:sz w:val="18"/>
                <w:szCs w:val="18"/>
              </w:rPr>
              <w:t>A test described in item 66791 if rendered by a receiving APP - 1 or more tests</w:t>
            </w:r>
            <w:r>
              <w:rPr>
                <w:rFonts w:ascii="Calibri" w:hAnsi="Calibri"/>
                <w:color w:val="000000"/>
                <w:sz w:val="18"/>
                <w:szCs w:val="18"/>
              </w:rPr>
              <w:t xml:space="preserve"> </w:t>
            </w:r>
            <w:r w:rsidRPr="000721C1">
              <w:rPr>
                <w:rFonts w:ascii="Calibri" w:hAnsi="Calibri"/>
                <w:color w:val="000000"/>
                <w:sz w:val="18"/>
                <w:szCs w:val="18"/>
              </w:rPr>
              <w:t>(Item is subject to rule 18)</w:t>
            </w:r>
          </w:p>
        </w:tc>
        <w:tc>
          <w:tcPr>
            <w:tcW w:w="1066" w:type="dxa"/>
          </w:tcPr>
          <w:p w14:paraId="14F8A137" w14:textId="77777777" w:rsidR="00543D47" w:rsidRPr="00F42E0D" w:rsidRDefault="00543D47" w:rsidP="00D9610A">
            <w:pPr>
              <w:rPr>
                <w:sz w:val="18"/>
                <w:szCs w:val="18"/>
              </w:rPr>
            </w:pPr>
            <w:r w:rsidRPr="000721C1">
              <w:rPr>
                <w:rFonts w:ascii="Calibri" w:hAnsi="Calibri"/>
                <w:color w:val="000000"/>
                <w:sz w:val="18"/>
                <w:szCs w:val="18"/>
              </w:rPr>
              <w:t>74.45</w:t>
            </w:r>
          </w:p>
        </w:tc>
        <w:tc>
          <w:tcPr>
            <w:tcW w:w="1219" w:type="dxa"/>
          </w:tcPr>
          <w:p w14:paraId="214D8815" w14:textId="77777777" w:rsidR="00543D47" w:rsidRPr="00F42E0D" w:rsidRDefault="00543D47" w:rsidP="00D9610A">
            <w:pPr>
              <w:rPr>
                <w:sz w:val="18"/>
                <w:szCs w:val="18"/>
              </w:rPr>
            </w:pPr>
            <w:r w:rsidRPr="000721C1">
              <w:rPr>
                <w:rFonts w:ascii="Calibri" w:hAnsi="Calibri"/>
                <w:color w:val="000000"/>
                <w:sz w:val="18"/>
                <w:szCs w:val="18"/>
              </w:rPr>
              <w:t>$428</w:t>
            </w:r>
          </w:p>
        </w:tc>
        <w:tc>
          <w:tcPr>
            <w:tcW w:w="1060" w:type="dxa"/>
          </w:tcPr>
          <w:p w14:paraId="366A63F2" w14:textId="77777777" w:rsidR="00543D47" w:rsidRPr="00F42E0D" w:rsidRDefault="00543D47" w:rsidP="00D9610A">
            <w:pPr>
              <w:rPr>
                <w:sz w:val="18"/>
                <w:szCs w:val="18"/>
              </w:rPr>
            </w:pPr>
            <w:r w:rsidRPr="000721C1">
              <w:rPr>
                <w:rFonts w:ascii="Calibri" w:hAnsi="Calibri"/>
                <w:color w:val="000000"/>
                <w:sz w:val="18"/>
                <w:szCs w:val="18"/>
              </w:rPr>
              <w:t>7</w:t>
            </w:r>
          </w:p>
        </w:tc>
        <w:tc>
          <w:tcPr>
            <w:tcW w:w="1060" w:type="dxa"/>
          </w:tcPr>
          <w:p w14:paraId="2A891E58" w14:textId="77777777" w:rsidR="00543D47" w:rsidRPr="00F42E0D" w:rsidRDefault="00543D47" w:rsidP="00D9610A">
            <w:pPr>
              <w:rPr>
                <w:sz w:val="18"/>
                <w:szCs w:val="18"/>
              </w:rPr>
            </w:pPr>
            <w:r w:rsidRPr="000721C1">
              <w:rPr>
                <w:rFonts w:ascii="Calibri" w:hAnsi="Calibri"/>
                <w:color w:val="000000"/>
                <w:sz w:val="18"/>
                <w:szCs w:val="18"/>
              </w:rPr>
              <w:t>7</w:t>
            </w:r>
          </w:p>
        </w:tc>
        <w:tc>
          <w:tcPr>
            <w:tcW w:w="1179" w:type="dxa"/>
          </w:tcPr>
          <w:p w14:paraId="695DF13B" w14:textId="77777777" w:rsidR="00543D47" w:rsidRPr="00F42E0D" w:rsidRDefault="00543D47" w:rsidP="00D9610A">
            <w:pPr>
              <w:rPr>
                <w:sz w:val="18"/>
                <w:szCs w:val="18"/>
              </w:rPr>
            </w:pPr>
            <w:r w:rsidRPr="000721C1">
              <w:rPr>
                <w:rFonts w:ascii="Calibri" w:hAnsi="Calibri"/>
                <w:color w:val="000000"/>
                <w:sz w:val="18"/>
                <w:szCs w:val="18"/>
              </w:rPr>
              <w:t>-6.9%</w:t>
            </w:r>
          </w:p>
        </w:tc>
      </w:tr>
    </w:tbl>
    <w:p w14:paraId="104C8554" w14:textId="77777777" w:rsidR="00543D47" w:rsidRPr="00370DFD" w:rsidRDefault="00543D47" w:rsidP="00543D47">
      <w:pPr>
        <w:pStyle w:val="Heading4"/>
        <w:rPr>
          <w:lang w:val="en-AU"/>
        </w:rPr>
      </w:pPr>
      <w:r w:rsidRPr="00370DFD">
        <w:rPr>
          <w:lang w:val="en-AU"/>
        </w:rPr>
        <w:t>Recommendation</w:t>
      </w:r>
    </w:p>
    <w:p w14:paraId="62A3967E" w14:textId="77777777" w:rsidR="00543D47" w:rsidRPr="00370DFD" w:rsidRDefault="00543D47" w:rsidP="00543D47">
      <w:pPr>
        <w:pStyle w:val="NormalBulleted"/>
        <w:numPr>
          <w:ilvl w:val="0"/>
          <w:numId w:val="0"/>
        </w:numPr>
        <w:ind w:left="431" w:hanging="431"/>
      </w:pPr>
      <w:r w:rsidRPr="00370DFD">
        <w:t xml:space="preserve">The </w:t>
      </w:r>
      <w:r>
        <w:t>Committee</w:t>
      </w:r>
      <w:r w:rsidRPr="00370DFD">
        <w:t xml:space="preserve"> proposes the following:</w:t>
      </w:r>
    </w:p>
    <w:p w14:paraId="38D15BB5" w14:textId="77777777" w:rsidR="00543D47" w:rsidRDefault="00543D47" w:rsidP="00543D47">
      <w:pPr>
        <w:pStyle w:val="NormalBulleted"/>
        <w:rPr>
          <w:lang w:eastAsia="en-US"/>
        </w:rPr>
      </w:pPr>
      <w:r>
        <w:rPr>
          <w:lang w:eastAsia="en-US"/>
        </w:rPr>
        <w:t>D</w:t>
      </w:r>
      <w:r w:rsidRPr="00370DFD">
        <w:rPr>
          <w:lang w:eastAsia="en-US"/>
        </w:rPr>
        <w:t>elete item 66783</w:t>
      </w:r>
    </w:p>
    <w:p w14:paraId="52B7F2DD" w14:textId="77777777" w:rsidR="00543D47" w:rsidRDefault="00543D47" w:rsidP="00543D47">
      <w:pPr>
        <w:pStyle w:val="NormalBulleted"/>
      </w:pPr>
      <w:r w:rsidRPr="0054223A">
        <w:t xml:space="preserve">Items </w:t>
      </w:r>
      <w:r w:rsidRPr="00C63817">
        <w:t>66782,</w:t>
      </w:r>
      <w:r w:rsidRPr="007B492F">
        <w:t xml:space="preserve"> </w:t>
      </w:r>
      <w:r>
        <w:t>66785, 66788 and</w:t>
      </w:r>
      <w:r w:rsidRPr="007B492F">
        <w:t xml:space="preserve"> 66789</w:t>
      </w:r>
      <w:r>
        <w:t xml:space="preserve"> should remain unchanged.</w:t>
      </w:r>
    </w:p>
    <w:p w14:paraId="75ECE664" w14:textId="77777777" w:rsidR="00543D47" w:rsidRDefault="00543D47" w:rsidP="00543D47">
      <w:pPr>
        <w:pStyle w:val="NormalBulleted"/>
        <w:rPr>
          <w:lang w:eastAsia="en-US"/>
        </w:rPr>
      </w:pPr>
      <w:r>
        <w:t>The Schedule fee for item 66790 should be increased to the fee for item 66789.</w:t>
      </w:r>
    </w:p>
    <w:p w14:paraId="1C4F8FEE" w14:textId="77777777" w:rsidR="00543D47" w:rsidRPr="00370DFD" w:rsidRDefault="00543D47" w:rsidP="00543D47">
      <w:pPr>
        <w:pStyle w:val="NormalBulleted"/>
        <w:rPr>
          <w:lang w:eastAsia="en-US"/>
        </w:rPr>
      </w:pPr>
      <w:r>
        <w:t xml:space="preserve">Delete items </w:t>
      </w:r>
      <w:r w:rsidRPr="000721C1">
        <w:t>66791, 66792</w:t>
      </w:r>
      <w:r>
        <w:t>.</w:t>
      </w:r>
    </w:p>
    <w:p w14:paraId="33514BD8" w14:textId="77777777" w:rsidR="00543D47" w:rsidRPr="00370DFD" w:rsidRDefault="00543D47" w:rsidP="00543D47">
      <w:pPr>
        <w:pStyle w:val="Heading4"/>
        <w:rPr>
          <w:lang w:val="en-AU"/>
        </w:rPr>
      </w:pPr>
      <w:r w:rsidRPr="00370DFD">
        <w:rPr>
          <w:lang w:val="en-AU"/>
        </w:rPr>
        <w:t>Rationale</w:t>
      </w:r>
    </w:p>
    <w:p w14:paraId="50D761A7" w14:textId="77777777" w:rsidR="00543D47" w:rsidRPr="00370DFD" w:rsidRDefault="00543D47" w:rsidP="00543D47">
      <w:pPr>
        <w:pStyle w:val="NormalBulleted"/>
        <w:rPr>
          <w:lang w:eastAsia="en-US"/>
        </w:rPr>
      </w:pPr>
      <w:r w:rsidRPr="00370DFD">
        <w:rPr>
          <w:lang w:eastAsia="en-US"/>
        </w:rPr>
        <w:t xml:space="preserve">Porphyrins cause diseases that affect skin or the nervous system or both. Porphyrin testing requires both considerable laboratory expertise and clinical interpretative skill. </w:t>
      </w:r>
    </w:p>
    <w:p w14:paraId="71CA28BE" w14:textId="77777777" w:rsidR="00543D47" w:rsidRDefault="00543D47" w:rsidP="00543D47">
      <w:pPr>
        <w:pStyle w:val="NormalBulleted"/>
        <w:rPr>
          <w:lang w:eastAsia="en-US"/>
        </w:rPr>
      </w:pPr>
      <w:r w:rsidRPr="00370DFD">
        <w:rPr>
          <w:lang w:eastAsia="en-US"/>
        </w:rPr>
        <w:t xml:space="preserve">The simpler part of the test, </w:t>
      </w:r>
      <w:proofErr w:type="spellStart"/>
      <w:r>
        <w:rPr>
          <w:lang w:eastAsia="en-US"/>
        </w:rPr>
        <w:t>ie</w:t>
      </w:r>
      <w:proofErr w:type="spellEnd"/>
      <w:r>
        <w:rPr>
          <w:lang w:eastAsia="en-US"/>
        </w:rPr>
        <w:t>,</w:t>
      </w:r>
      <w:r w:rsidRPr="00370DFD">
        <w:rPr>
          <w:lang w:eastAsia="en-US"/>
        </w:rPr>
        <w:t xml:space="preserve"> the urine testing</w:t>
      </w:r>
      <w:r>
        <w:rPr>
          <w:lang w:eastAsia="en-US"/>
        </w:rPr>
        <w:t>,</w:t>
      </w:r>
      <w:r w:rsidRPr="00370DFD">
        <w:rPr>
          <w:lang w:eastAsia="en-US"/>
        </w:rPr>
        <w:t xml:space="preserve"> is performed in one laboratory and the other part of the test, such as the faecal testing</w:t>
      </w:r>
      <w:r>
        <w:rPr>
          <w:lang w:eastAsia="en-US"/>
        </w:rPr>
        <w:t>,</w:t>
      </w:r>
      <w:r w:rsidRPr="00370DFD">
        <w:rPr>
          <w:lang w:eastAsia="en-US"/>
        </w:rPr>
        <w:t xml:space="preserve"> </w:t>
      </w:r>
      <w:r>
        <w:rPr>
          <w:lang w:eastAsia="en-US"/>
        </w:rPr>
        <w:t xml:space="preserve">is </w:t>
      </w:r>
      <w:r w:rsidRPr="00370DFD">
        <w:rPr>
          <w:lang w:eastAsia="en-US"/>
        </w:rPr>
        <w:t xml:space="preserve">referred to an expert laboratory centre within Australia. </w:t>
      </w:r>
      <w:r>
        <w:rPr>
          <w:lang w:eastAsia="en-US"/>
        </w:rPr>
        <w:t xml:space="preserve">TAS, ACT, NT do not have expert porphyrin testing centres. </w:t>
      </w:r>
    </w:p>
    <w:p w14:paraId="738A027F" w14:textId="77777777" w:rsidR="00543D47" w:rsidRDefault="00543D47" w:rsidP="00543D47">
      <w:pPr>
        <w:pStyle w:val="NormalBulleted"/>
        <w:rPr>
          <w:lang w:eastAsia="en-US"/>
        </w:rPr>
      </w:pPr>
      <w:r>
        <w:rPr>
          <w:lang w:eastAsia="en-US"/>
        </w:rPr>
        <w:t xml:space="preserve">The volumes and costs of porphyrin testing are low and there has been little increase in the volume of service use. </w:t>
      </w:r>
    </w:p>
    <w:p w14:paraId="108EBD8C" w14:textId="77777777" w:rsidR="00543D47" w:rsidRPr="003F5EF2" w:rsidRDefault="00543D47" w:rsidP="00543D47">
      <w:pPr>
        <w:pStyle w:val="NormalBulleted"/>
        <w:rPr>
          <w:lang w:eastAsia="en-US"/>
        </w:rPr>
      </w:pPr>
      <w:r>
        <w:rPr>
          <w:lang w:eastAsia="en-US"/>
        </w:rPr>
        <w:t>The Committee</w:t>
      </w:r>
      <w:r w:rsidRPr="00B31119">
        <w:rPr>
          <w:lang w:eastAsia="en-US"/>
        </w:rPr>
        <w:t xml:space="preserve"> noted</w:t>
      </w:r>
      <w:r>
        <w:rPr>
          <w:lang w:eastAsia="en-US"/>
        </w:rPr>
        <w:t xml:space="preserve"> that </w:t>
      </w:r>
      <w:r w:rsidRPr="003F5EF2">
        <w:rPr>
          <w:lang w:eastAsia="en-US"/>
        </w:rPr>
        <w:t>Item 66782 is a qualitative test</w:t>
      </w:r>
      <w:r>
        <w:rPr>
          <w:lang w:eastAsia="en-US"/>
        </w:rPr>
        <w:t>.</w:t>
      </w:r>
      <w:r w:rsidRPr="003F5EF2">
        <w:rPr>
          <w:lang w:eastAsia="en-US"/>
        </w:rPr>
        <w:t xml:space="preserve"> </w:t>
      </w:r>
      <w:r>
        <w:rPr>
          <w:lang w:eastAsia="en-US"/>
        </w:rPr>
        <w:t>Q</w:t>
      </w:r>
      <w:r w:rsidRPr="003F5EF2">
        <w:rPr>
          <w:lang w:eastAsia="en-US"/>
        </w:rPr>
        <w:t>ualitative testing</w:t>
      </w:r>
      <w:r>
        <w:rPr>
          <w:lang w:eastAsia="en-US"/>
        </w:rPr>
        <w:t xml:space="preserve"> is specified </w:t>
      </w:r>
      <w:r w:rsidRPr="003F5EF2">
        <w:rPr>
          <w:lang w:eastAsia="en-US"/>
        </w:rPr>
        <w:t xml:space="preserve">in </w:t>
      </w:r>
      <w:r>
        <w:rPr>
          <w:lang w:eastAsia="en-US"/>
        </w:rPr>
        <w:t xml:space="preserve">a </w:t>
      </w:r>
      <w:r w:rsidRPr="003F5EF2">
        <w:rPr>
          <w:lang w:eastAsia="en-US"/>
        </w:rPr>
        <w:t>suspected acute attack</w:t>
      </w:r>
      <w:r>
        <w:rPr>
          <w:lang w:eastAsia="en-US"/>
        </w:rPr>
        <w:t xml:space="preserve">, and </w:t>
      </w:r>
      <w:r w:rsidRPr="003F5EF2">
        <w:rPr>
          <w:lang w:eastAsia="en-US"/>
        </w:rPr>
        <w:t>should be followed by a quantitati</w:t>
      </w:r>
      <w:r>
        <w:rPr>
          <w:lang w:eastAsia="en-US"/>
        </w:rPr>
        <w:t>ve</w:t>
      </w:r>
      <w:r w:rsidRPr="003F5EF2">
        <w:rPr>
          <w:lang w:eastAsia="en-US"/>
        </w:rPr>
        <w:t xml:space="preserve"> test</w:t>
      </w:r>
      <w:r>
        <w:rPr>
          <w:lang w:eastAsia="en-US"/>
        </w:rPr>
        <w:t>,</w:t>
      </w:r>
      <w:r w:rsidRPr="003F5EF2">
        <w:rPr>
          <w:lang w:eastAsia="en-US"/>
        </w:rPr>
        <w:t xml:space="preserve"> if</w:t>
      </w:r>
      <w:r>
        <w:rPr>
          <w:lang w:eastAsia="en-US"/>
        </w:rPr>
        <w:t xml:space="preserve"> the</w:t>
      </w:r>
      <w:r w:rsidRPr="003F5EF2">
        <w:rPr>
          <w:lang w:eastAsia="en-US"/>
        </w:rPr>
        <w:t xml:space="preserve"> result is positive</w:t>
      </w:r>
      <w:r>
        <w:rPr>
          <w:lang w:eastAsia="en-US"/>
        </w:rPr>
        <w:t>.</w:t>
      </w:r>
    </w:p>
    <w:p w14:paraId="4F0A5DA1" w14:textId="77777777" w:rsidR="00543D47" w:rsidRPr="003F5EF2" w:rsidRDefault="00543D47" w:rsidP="00543D47">
      <w:pPr>
        <w:pStyle w:val="NormalBulleted"/>
        <w:rPr>
          <w:lang w:eastAsia="en-US"/>
        </w:rPr>
      </w:pPr>
      <w:r>
        <w:rPr>
          <w:lang w:eastAsia="en-US"/>
        </w:rPr>
        <w:lastRenderedPageBreak/>
        <w:t>I</w:t>
      </w:r>
      <w:r w:rsidRPr="003F5EF2">
        <w:rPr>
          <w:lang w:eastAsia="en-US"/>
        </w:rPr>
        <w:t xml:space="preserve">tem 66783 is </w:t>
      </w:r>
      <w:r>
        <w:rPr>
          <w:lang w:eastAsia="en-US"/>
        </w:rPr>
        <w:t xml:space="preserve">a </w:t>
      </w:r>
      <w:r w:rsidRPr="003F5EF2">
        <w:rPr>
          <w:lang w:eastAsia="en-US"/>
        </w:rPr>
        <w:t xml:space="preserve">referral to </w:t>
      </w:r>
      <w:r>
        <w:rPr>
          <w:lang w:eastAsia="en-US"/>
        </w:rPr>
        <w:t>subsequent</w:t>
      </w:r>
      <w:r w:rsidRPr="003F5EF2">
        <w:rPr>
          <w:lang w:eastAsia="en-US"/>
        </w:rPr>
        <w:t xml:space="preserve"> qualitative test</w:t>
      </w:r>
      <w:r>
        <w:rPr>
          <w:lang w:eastAsia="en-US"/>
        </w:rPr>
        <w:t>.</w:t>
      </w:r>
      <w:r w:rsidRPr="0090655B">
        <w:rPr>
          <w:lang w:eastAsia="en-US"/>
        </w:rPr>
        <w:t xml:space="preserve"> </w:t>
      </w:r>
      <w:r>
        <w:rPr>
          <w:lang w:eastAsia="en-US"/>
        </w:rPr>
        <w:t xml:space="preserve">This item should be </w:t>
      </w:r>
      <w:r w:rsidRPr="003F5EF2">
        <w:rPr>
          <w:lang w:eastAsia="en-US"/>
        </w:rPr>
        <w:t>delete</w:t>
      </w:r>
      <w:r>
        <w:rPr>
          <w:lang w:eastAsia="en-US"/>
        </w:rPr>
        <w:t xml:space="preserve">d, as all specimens referred on to other laboratories </w:t>
      </w:r>
      <w:r w:rsidRPr="003F5EF2">
        <w:rPr>
          <w:lang w:eastAsia="en-US"/>
        </w:rPr>
        <w:t>should be accompanied by quantitation (item</w:t>
      </w:r>
      <w:r>
        <w:rPr>
          <w:lang w:eastAsia="en-US"/>
        </w:rPr>
        <w:t>s</w:t>
      </w:r>
      <w:r w:rsidRPr="003F5EF2">
        <w:rPr>
          <w:lang w:eastAsia="en-US"/>
        </w:rPr>
        <w:t xml:space="preserve"> 66785 or 66789).</w:t>
      </w:r>
    </w:p>
    <w:p w14:paraId="5BB6C50D" w14:textId="77777777" w:rsidR="00543D47" w:rsidRPr="0090655B" w:rsidRDefault="00543D47" w:rsidP="00543D47">
      <w:pPr>
        <w:pStyle w:val="NormalBulleted"/>
        <w:rPr>
          <w:lang w:eastAsia="en-US"/>
        </w:rPr>
      </w:pPr>
      <w:r w:rsidRPr="003F5EF2">
        <w:rPr>
          <w:lang w:eastAsia="en-US"/>
        </w:rPr>
        <w:t>Item 66785 should be used for monitoring</w:t>
      </w:r>
      <w:r>
        <w:rPr>
          <w:lang w:eastAsia="en-US"/>
        </w:rPr>
        <w:t>, and</w:t>
      </w:r>
      <w:r w:rsidRPr="005D1E0D">
        <w:rPr>
          <w:lang w:eastAsia="en-US"/>
        </w:rPr>
        <w:t xml:space="preserve"> </w:t>
      </w:r>
      <w:r>
        <w:rPr>
          <w:lang w:eastAsia="en-US"/>
        </w:rPr>
        <w:t>there appears to be high utilisation of items 66785 and 66788 in QLD.</w:t>
      </w:r>
    </w:p>
    <w:p w14:paraId="0DB25C37" w14:textId="77777777" w:rsidR="00543D47" w:rsidRDefault="00543D47" w:rsidP="00543D47">
      <w:pPr>
        <w:pStyle w:val="NormalBulleted"/>
      </w:pPr>
      <w:r>
        <w:rPr>
          <w:lang w:eastAsia="en-US"/>
        </w:rPr>
        <w:t>The Committee recommended that</w:t>
      </w:r>
      <w:r w:rsidRPr="000721C1">
        <w:rPr>
          <w:lang w:eastAsia="en-US"/>
        </w:rPr>
        <w:t xml:space="preserve"> items 66785, 66788</w:t>
      </w:r>
      <w:r>
        <w:t xml:space="preserve"> and</w:t>
      </w:r>
      <w:r w:rsidRPr="000721C1">
        <w:t xml:space="preserve"> 66789</w:t>
      </w:r>
      <w:r>
        <w:t xml:space="preserve"> be left unchanged, as these tests are clinically appropriate.</w:t>
      </w:r>
    </w:p>
    <w:p w14:paraId="0E887151" w14:textId="77777777" w:rsidR="00543D47" w:rsidRDefault="00543D47" w:rsidP="00543D47">
      <w:pPr>
        <w:pStyle w:val="NormalBulleted"/>
      </w:pPr>
      <w:r>
        <w:t xml:space="preserve">Item </w:t>
      </w:r>
      <w:r w:rsidRPr="000721C1">
        <w:t>66790</w:t>
      </w:r>
      <w:r>
        <w:t xml:space="preserve"> allows for workup to be done in two laboratories: simpler testing in one laboratory and complex testing in another laboratory. The Committee recommended that the Schedule fee for item 66790 should be increased to the same fee as for item 66789.</w:t>
      </w:r>
    </w:p>
    <w:p w14:paraId="236FE0E8" w14:textId="77777777" w:rsidR="00543D47" w:rsidRPr="000721C1" w:rsidRDefault="00543D47" w:rsidP="00543D47">
      <w:pPr>
        <w:pStyle w:val="NormalBulleted"/>
      </w:pPr>
      <w:r>
        <w:t>Items 66791 and</w:t>
      </w:r>
      <w:r w:rsidRPr="000721C1">
        <w:t xml:space="preserve"> 66792</w:t>
      </w:r>
      <w:r>
        <w:t xml:space="preserve"> should be deleted as these tests are no longer performed. These items have become </w:t>
      </w:r>
      <w:proofErr w:type="gramStart"/>
      <w:r>
        <w:t>obsolete, and</w:t>
      </w:r>
      <w:proofErr w:type="gramEnd"/>
      <w:r>
        <w:t xml:space="preserve"> have been replaced by genetic testing in the last 15 years. </w:t>
      </w:r>
    </w:p>
    <w:p w14:paraId="1613EBC4" w14:textId="77777777" w:rsidR="00543D47" w:rsidRPr="0057193B" w:rsidRDefault="00543D47" w:rsidP="00543D47">
      <w:pPr>
        <w:pStyle w:val="Heading3Numbered"/>
      </w:pPr>
      <w:r w:rsidRPr="00370DFD">
        <w:rPr>
          <w:lang w:val="en-AU"/>
        </w:rPr>
        <w:t>Amino acid quantitation: items 66756, 66757</w:t>
      </w:r>
      <w:r w:rsidRPr="000721C1">
        <w:rPr>
          <w:lang w:val="en-AU"/>
        </w:rPr>
        <w:t xml:space="preserve"> </w:t>
      </w:r>
    </w:p>
    <w:p w14:paraId="15487C9F" w14:textId="77777777" w:rsidR="00543D47" w:rsidRPr="00370DFD" w:rsidRDefault="00543D47" w:rsidP="00543D47">
      <w:pPr>
        <w:pStyle w:val="Caption"/>
      </w:pPr>
      <w:bookmarkStart w:id="149" w:name="_Toc534374958"/>
      <w:r w:rsidRPr="00370DFD">
        <w:t xml:space="preserve">Table </w:t>
      </w:r>
      <w:r>
        <w:t>48</w:t>
      </w:r>
      <w:r w:rsidRPr="00370DFD">
        <w:t>. Item in</w:t>
      </w:r>
      <w:r>
        <w:t>troduction table for items 66756</w:t>
      </w:r>
      <w:r w:rsidRPr="00370DFD">
        <w:t xml:space="preserve"> and 66</w:t>
      </w:r>
      <w:r>
        <w:t>757</w:t>
      </w:r>
      <w:bookmarkEnd w:id="149"/>
    </w:p>
    <w:tbl>
      <w:tblPr>
        <w:tblStyle w:val="TableGrid"/>
        <w:tblW w:w="9020" w:type="dxa"/>
        <w:tblBorders>
          <w:insideV w:val="single" w:sz="4" w:space="0" w:color="984806" w:themeColor="accent6" w:themeShade="80"/>
        </w:tblBorders>
        <w:tblLook w:val="04A0" w:firstRow="1" w:lastRow="0" w:firstColumn="1" w:lastColumn="0" w:noHBand="0" w:noVBand="1"/>
        <w:tblCaption w:val="Introduction table for items 66756 and 66757"/>
        <w:tblDescription w:val="Table 48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4"/>
        <w:gridCol w:w="2857"/>
        <w:gridCol w:w="1066"/>
        <w:gridCol w:w="1219"/>
        <w:gridCol w:w="1060"/>
        <w:gridCol w:w="1060"/>
        <w:gridCol w:w="1054"/>
      </w:tblGrid>
      <w:tr w:rsidR="00543D47" w:rsidRPr="00370DFD" w14:paraId="6CFE2CD5" w14:textId="77777777" w:rsidTr="00D9610A">
        <w:trPr>
          <w:tblHeader/>
        </w:trPr>
        <w:tc>
          <w:tcPr>
            <w:tcW w:w="704" w:type="dxa"/>
            <w:vAlign w:val="center"/>
          </w:tcPr>
          <w:p w14:paraId="18E19F01" w14:textId="77777777" w:rsidR="00543D47" w:rsidRPr="00370DFD" w:rsidRDefault="00543D47" w:rsidP="00D9610A">
            <w:pPr>
              <w:rPr>
                <w:sz w:val="18"/>
                <w:szCs w:val="18"/>
              </w:rPr>
            </w:pPr>
            <w:r w:rsidRPr="00370DFD">
              <w:rPr>
                <w:b/>
                <w:sz w:val="18"/>
                <w:szCs w:val="18"/>
              </w:rPr>
              <w:t>Item</w:t>
            </w:r>
          </w:p>
        </w:tc>
        <w:tc>
          <w:tcPr>
            <w:tcW w:w="2857" w:type="dxa"/>
            <w:vAlign w:val="center"/>
          </w:tcPr>
          <w:p w14:paraId="229DA888"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1557219B" w14:textId="77777777" w:rsidR="00543D47" w:rsidRPr="00370DFD" w:rsidRDefault="00543D47" w:rsidP="00D9610A">
            <w:pPr>
              <w:rPr>
                <w:sz w:val="18"/>
                <w:szCs w:val="18"/>
              </w:rPr>
            </w:pPr>
            <w:r w:rsidRPr="00370DFD">
              <w:rPr>
                <w:b/>
                <w:sz w:val="18"/>
                <w:szCs w:val="18"/>
              </w:rPr>
              <w:t>Schedule</w:t>
            </w:r>
            <w:r>
              <w:rPr>
                <w:b/>
                <w:sz w:val="18"/>
                <w:szCs w:val="18"/>
              </w:rPr>
              <w:t xml:space="preserve"> f</w:t>
            </w:r>
            <w:r w:rsidRPr="00370DFD">
              <w:rPr>
                <w:b/>
                <w:sz w:val="18"/>
                <w:szCs w:val="18"/>
              </w:rPr>
              <w:t>ee</w:t>
            </w:r>
          </w:p>
        </w:tc>
        <w:tc>
          <w:tcPr>
            <w:tcW w:w="1219" w:type="dxa"/>
            <w:vAlign w:val="center"/>
          </w:tcPr>
          <w:p w14:paraId="4AB0F3A0"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017F236F" w14:textId="77777777" w:rsidR="00543D47" w:rsidRPr="00370DFD" w:rsidRDefault="00543D47" w:rsidP="00D9610A">
            <w:pPr>
              <w:rPr>
                <w:sz w:val="18"/>
                <w:szCs w:val="18"/>
              </w:rPr>
            </w:pPr>
            <w:r w:rsidRPr="00370DFD">
              <w:rPr>
                <w:b/>
                <w:sz w:val="18"/>
                <w:szCs w:val="18"/>
              </w:rPr>
              <w:t xml:space="preserve">Services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057F18CB" w14:textId="77777777" w:rsidR="00543D47" w:rsidRPr="00370DFD" w:rsidRDefault="00543D47" w:rsidP="00D9610A">
            <w:pPr>
              <w:rPr>
                <w:sz w:val="18"/>
                <w:szCs w:val="18"/>
              </w:rPr>
            </w:pPr>
            <w:r w:rsidRPr="00370DFD">
              <w:rPr>
                <w:b/>
                <w:sz w:val="18"/>
                <w:szCs w:val="18"/>
              </w:rPr>
              <w:t>Patient count 2014-15</w:t>
            </w:r>
          </w:p>
        </w:tc>
        <w:tc>
          <w:tcPr>
            <w:tcW w:w="1054" w:type="dxa"/>
            <w:vAlign w:val="center"/>
          </w:tcPr>
          <w:p w14:paraId="77E6D173"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63E35487" w14:textId="77777777" w:rsidTr="00D9610A">
        <w:tc>
          <w:tcPr>
            <w:tcW w:w="704" w:type="dxa"/>
          </w:tcPr>
          <w:p w14:paraId="6E0AD24D" w14:textId="77777777" w:rsidR="00543D47" w:rsidRPr="00370DFD" w:rsidRDefault="00543D47" w:rsidP="00D9610A">
            <w:pPr>
              <w:rPr>
                <w:sz w:val="18"/>
                <w:szCs w:val="18"/>
              </w:rPr>
            </w:pPr>
            <w:r w:rsidRPr="00370DFD">
              <w:rPr>
                <w:sz w:val="18"/>
                <w:szCs w:val="18"/>
              </w:rPr>
              <w:t>667</w:t>
            </w:r>
            <w:r>
              <w:rPr>
                <w:sz w:val="18"/>
                <w:szCs w:val="18"/>
              </w:rPr>
              <w:t>56</w:t>
            </w:r>
          </w:p>
        </w:tc>
        <w:tc>
          <w:tcPr>
            <w:tcW w:w="2857" w:type="dxa"/>
          </w:tcPr>
          <w:p w14:paraId="3032B59B" w14:textId="77777777" w:rsidR="00543D47" w:rsidRPr="00370DFD" w:rsidRDefault="00543D47" w:rsidP="00D9610A">
            <w:pPr>
              <w:rPr>
                <w:sz w:val="18"/>
                <w:szCs w:val="18"/>
              </w:rPr>
            </w:pPr>
            <w:r w:rsidRPr="00D433A9">
              <w:rPr>
                <w:sz w:val="18"/>
                <w:szCs w:val="18"/>
              </w:rPr>
              <w:t>Quantitation of 10 or more amino acids for the diagnosis of inborn errors of metabolism - up to 4 tests in a 12</w:t>
            </w:r>
            <w:r>
              <w:rPr>
                <w:sz w:val="18"/>
                <w:szCs w:val="18"/>
              </w:rPr>
              <w:t>-</w:t>
            </w:r>
            <w:r w:rsidRPr="00D433A9">
              <w:rPr>
                <w:sz w:val="18"/>
                <w:szCs w:val="18"/>
              </w:rPr>
              <w:t>month period on specimens of plasma, CSF and urine.</w:t>
            </w:r>
          </w:p>
        </w:tc>
        <w:tc>
          <w:tcPr>
            <w:tcW w:w="1066" w:type="dxa"/>
          </w:tcPr>
          <w:p w14:paraId="246DC8DD" w14:textId="77777777" w:rsidR="00543D47" w:rsidRPr="00370DFD" w:rsidRDefault="00543D47" w:rsidP="00D9610A">
            <w:pPr>
              <w:rPr>
                <w:sz w:val="18"/>
                <w:szCs w:val="18"/>
              </w:rPr>
            </w:pPr>
            <w:r w:rsidRPr="00D433A9">
              <w:rPr>
                <w:sz w:val="18"/>
                <w:szCs w:val="18"/>
              </w:rPr>
              <w:t>98.30</w:t>
            </w:r>
          </w:p>
        </w:tc>
        <w:tc>
          <w:tcPr>
            <w:tcW w:w="1219" w:type="dxa"/>
          </w:tcPr>
          <w:p w14:paraId="22BF79B0" w14:textId="77777777" w:rsidR="00543D47" w:rsidRPr="00370DFD" w:rsidRDefault="00543D47" w:rsidP="00D9610A">
            <w:pPr>
              <w:rPr>
                <w:sz w:val="18"/>
                <w:szCs w:val="18"/>
              </w:rPr>
            </w:pPr>
            <w:r w:rsidRPr="00D433A9">
              <w:rPr>
                <w:sz w:val="18"/>
                <w:szCs w:val="18"/>
              </w:rPr>
              <w:t>$376,016</w:t>
            </w:r>
          </w:p>
        </w:tc>
        <w:tc>
          <w:tcPr>
            <w:tcW w:w="1060" w:type="dxa"/>
          </w:tcPr>
          <w:p w14:paraId="26AC1FA5" w14:textId="77777777" w:rsidR="00543D47" w:rsidRPr="00370DFD" w:rsidRDefault="00543D47" w:rsidP="00D9610A">
            <w:pPr>
              <w:rPr>
                <w:sz w:val="18"/>
                <w:szCs w:val="18"/>
              </w:rPr>
            </w:pPr>
            <w:r w:rsidRPr="00D433A9">
              <w:rPr>
                <w:sz w:val="18"/>
                <w:szCs w:val="18"/>
              </w:rPr>
              <w:t>4,298</w:t>
            </w:r>
          </w:p>
        </w:tc>
        <w:tc>
          <w:tcPr>
            <w:tcW w:w="1060" w:type="dxa"/>
          </w:tcPr>
          <w:p w14:paraId="3446B417" w14:textId="77777777" w:rsidR="00543D47" w:rsidRPr="00370DFD" w:rsidRDefault="00543D47" w:rsidP="00D9610A">
            <w:pPr>
              <w:rPr>
                <w:sz w:val="18"/>
                <w:szCs w:val="18"/>
              </w:rPr>
            </w:pPr>
            <w:r w:rsidRPr="00D433A9">
              <w:rPr>
                <w:sz w:val="18"/>
                <w:szCs w:val="18"/>
              </w:rPr>
              <w:t>3,956</w:t>
            </w:r>
          </w:p>
        </w:tc>
        <w:tc>
          <w:tcPr>
            <w:tcW w:w="1054" w:type="dxa"/>
          </w:tcPr>
          <w:p w14:paraId="1777A435" w14:textId="77777777" w:rsidR="00543D47" w:rsidRPr="00370DFD" w:rsidRDefault="00543D47" w:rsidP="00D9610A">
            <w:pPr>
              <w:rPr>
                <w:sz w:val="18"/>
                <w:szCs w:val="18"/>
              </w:rPr>
            </w:pPr>
            <w:r w:rsidRPr="00D433A9">
              <w:rPr>
                <w:sz w:val="18"/>
                <w:szCs w:val="18"/>
              </w:rPr>
              <w:t>5.8%</w:t>
            </w:r>
          </w:p>
        </w:tc>
      </w:tr>
      <w:tr w:rsidR="00543D47" w:rsidRPr="00370DFD" w14:paraId="24734107" w14:textId="77777777" w:rsidTr="00D9610A">
        <w:tc>
          <w:tcPr>
            <w:tcW w:w="704" w:type="dxa"/>
          </w:tcPr>
          <w:p w14:paraId="232E9FA1" w14:textId="77777777" w:rsidR="00543D47" w:rsidRPr="00370DFD" w:rsidRDefault="00543D47" w:rsidP="00D9610A">
            <w:pPr>
              <w:rPr>
                <w:sz w:val="18"/>
                <w:szCs w:val="18"/>
              </w:rPr>
            </w:pPr>
            <w:r w:rsidRPr="00370DFD">
              <w:rPr>
                <w:sz w:val="18"/>
                <w:szCs w:val="18"/>
              </w:rPr>
              <w:t>667</w:t>
            </w:r>
            <w:r>
              <w:rPr>
                <w:sz w:val="18"/>
                <w:szCs w:val="18"/>
              </w:rPr>
              <w:t>57</w:t>
            </w:r>
          </w:p>
        </w:tc>
        <w:tc>
          <w:tcPr>
            <w:tcW w:w="2857" w:type="dxa"/>
          </w:tcPr>
          <w:p w14:paraId="4EAE9C22" w14:textId="77777777" w:rsidR="00543D47" w:rsidRPr="00370DFD" w:rsidRDefault="00543D47" w:rsidP="00D9610A">
            <w:pPr>
              <w:rPr>
                <w:sz w:val="18"/>
                <w:szCs w:val="18"/>
              </w:rPr>
            </w:pPr>
            <w:r w:rsidRPr="00D433A9">
              <w:rPr>
                <w:sz w:val="18"/>
                <w:szCs w:val="18"/>
              </w:rPr>
              <w:t>Quantitation of 10 or more amino acids for monitoring of previously diagnosed inborn errors of metabolism in 1 tissue type.</w:t>
            </w:r>
          </w:p>
        </w:tc>
        <w:tc>
          <w:tcPr>
            <w:tcW w:w="1066" w:type="dxa"/>
          </w:tcPr>
          <w:p w14:paraId="1BA8AA7B" w14:textId="77777777" w:rsidR="00543D47" w:rsidRPr="00370DFD" w:rsidRDefault="00543D47" w:rsidP="00D9610A">
            <w:pPr>
              <w:rPr>
                <w:sz w:val="18"/>
                <w:szCs w:val="18"/>
              </w:rPr>
            </w:pPr>
            <w:r w:rsidRPr="00D433A9">
              <w:rPr>
                <w:sz w:val="18"/>
                <w:szCs w:val="18"/>
              </w:rPr>
              <w:t>98.30</w:t>
            </w:r>
          </w:p>
        </w:tc>
        <w:tc>
          <w:tcPr>
            <w:tcW w:w="1219" w:type="dxa"/>
          </w:tcPr>
          <w:p w14:paraId="30A0FA44" w14:textId="77777777" w:rsidR="00543D47" w:rsidRPr="00370DFD" w:rsidRDefault="00543D47" w:rsidP="00D9610A">
            <w:pPr>
              <w:rPr>
                <w:sz w:val="18"/>
                <w:szCs w:val="18"/>
              </w:rPr>
            </w:pPr>
            <w:r w:rsidRPr="00D433A9">
              <w:rPr>
                <w:sz w:val="18"/>
                <w:szCs w:val="18"/>
              </w:rPr>
              <w:t>$37,071</w:t>
            </w:r>
          </w:p>
        </w:tc>
        <w:tc>
          <w:tcPr>
            <w:tcW w:w="1060" w:type="dxa"/>
          </w:tcPr>
          <w:p w14:paraId="2AADC46B" w14:textId="77777777" w:rsidR="00543D47" w:rsidRPr="00370DFD" w:rsidRDefault="00543D47" w:rsidP="00D9610A">
            <w:pPr>
              <w:rPr>
                <w:sz w:val="18"/>
                <w:szCs w:val="18"/>
              </w:rPr>
            </w:pPr>
            <w:r w:rsidRPr="00D433A9">
              <w:rPr>
                <w:sz w:val="18"/>
                <w:szCs w:val="18"/>
              </w:rPr>
              <w:t>446</w:t>
            </w:r>
          </w:p>
        </w:tc>
        <w:tc>
          <w:tcPr>
            <w:tcW w:w="1060" w:type="dxa"/>
          </w:tcPr>
          <w:p w14:paraId="6754FBCF" w14:textId="77777777" w:rsidR="00543D47" w:rsidRPr="00370DFD" w:rsidRDefault="00543D47" w:rsidP="00D9610A">
            <w:pPr>
              <w:rPr>
                <w:sz w:val="18"/>
                <w:szCs w:val="18"/>
              </w:rPr>
            </w:pPr>
            <w:r w:rsidRPr="00D433A9">
              <w:rPr>
                <w:sz w:val="18"/>
                <w:szCs w:val="18"/>
              </w:rPr>
              <w:t>182</w:t>
            </w:r>
          </w:p>
        </w:tc>
        <w:tc>
          <w:tcPr>
            <w:tcW w:w="1054" w:type="dxa"/>
          </w:tcPr>
          <w:p w14:paraId="424D2438" w14:textId="77777777" w:rsidR="00543D47" w:rsidRPr="00370DFD" w:rsidRDefault="00543D47" w:rsidP="00D9610A">
            <w:pPr>
              <w:rPr>
                <w:sz w:val="18"/>
                <w:szCs w:val="18"/>
              </w:rPr>
            </w:pPr>
            <w:r w:rsidRPr="00D433A9">
              <w:rPr>
                <w:sz w:val="18"/>
                <w:szCs w:val="18"/>
              </w:rPr>
              <w:t>4.0%</w:t>
            </w:r>
          </w:p>
        </w:tc>
      </w:tr>
    </w:tbl>
    <w:p w14:paraId="7492645C" w14:textId="77777777" w:rsidR="00543D47" w:rsidRPr="00370DFD" w:rsidRDefault="00543D47" w:rsidP="00543D47">
      <w:pPr>
        <w:pStyle w:val="Heading4"/>
        <w:rPr>
          <w:lang w:val="en-AU"/>
        </w:rPr>
      </w:pPr>
      <w:r w:rsidRPr="00370DFD">
        <w:rPr>
          <w:lang w:val="en-AU"/>
        </w:rPr>
        <w:t>Recommendation</w:t>
      </w:r>
      <w:r>
        <w:rPr>
          <w:lang w:val="en-AU"/>
        </w:rPr>
        <w:t>s</w:t>
      </w:r>
    </w:p>
    <w:p w14:paraId="2F210DD1" w14:textId="77777777" w:rsidR="00543D47" w:rsidRPr="00370DFD" w:rsidRDefault="00543D47" w:rsidP="00543D47">
      <w:pPr>
        <w:pStyle w:val="NormalBulleted"/>
        <w:numPr>
          <w:ilvl w:val="0"/>
          <w:numId w:val="0"/>
        </w:numPr>
        <w:ind w:left="431" w:hanging="431"/>
      </w:pPr>
      <w:r w:rsidRPr="00370DFD">
        <w:t xml:space="preserve">The </w:t>
      </w:r>
      <w:r>
        <w:t>Committee</w:t>
      </w:r>
      <w:r w:rsidRPr="00370DFD">
        <w:t xml:space="preserve"> proposes the following:</w:t>
      </w:r>
    </w:p>
    <w:p w14:paraId="221BD016" w14:textId="77777777" w:rsidR="00543D47" w:rsidRDefault="00543D47" w:rsidP="00543D47">
      <w:pPr>
        <w:pStyle w:val="NormalBulleted"/>
        <w:rPr>
          <w:lang w:eastAsia="en-US"/>
        </w:rPr>
      </w:pPr>
      <w:r>
        <w:rPr>
          <w:lang w:eastAsia="en-US"/>
        </w:rPr>
        <w:t>Consolidate items 66756 and 66757 into a single item.</w:t>
      </w:r>
    </w:p>
    <w:p w14:paraId="200AA892" w14:textId="77777777" w:rsidR="00543D47" w:rsidRDefault="00543D47" w:rsidP="00543D47">
      <w:pPr>
        <w:pStyle w:val="NormalBulleted"/>
      </w:pPr>
      <w:r>
        <w:t>Reword the item descriptor to reflect this change.</w:t>
      </w:r>
    </w:p>
    <w:p w14:paraId="53F1B4F1" w14:textId="77777777" w:rsidR="00543D47" w:rsidRDefault="00543D47" w:rsidP="00543D47">
      <w:pPr>
        <w:spacing w:before="0" w:after="0" w:line="240" w:lineRule="auto"/>
      </w:pPr>
      <w:r>
        <w:br w:type="page"/>
      </w:r>
    </w:p>
    <w:p w14:paraId="7AB75B76" w14:textId="77777777" w:rsidR="00543D47" w:rsidRPr="000721C1" w:rsidRDefault="00543D47" w:rsidP="00543D47">
      <w:pPr>
        <w:pStyle w:val="Caption"/>
        <w:rPr>
          <w:b/>
        </w:rPr>
      </w:pPr>
      <w:bookmarkStart w:id="150" w:name="_Toc534374959"/>
      <w:r w:rsidRPr="008501FA">
        <w:lastRenderedPageBreak/>
        <w:t xml:space="preserve">Table </w:t>
      </w:r>
      <w:r>
        <w:t>49</w:t>
      </w:r>
      <w:r w:rsidRPr="008501FA">
        <w:t>.</w:t>
      </w:r>
      <w:r>
        <w:rPr>
          <w:b/>
        </w:rPr>
        <w:t xml:space="preserve"> </w:t>
      </w:r>
      <w:r w:rsidRPr="00370DFD">
        <w:t>Current and propose</w:t>
      </w:r>
      <w:r>
        <w:t>d new item descriptor for item 66756/66757</w:t>
      </w:r>
      <w:bookmarkEnd w:id="150"/>
    </w:p>
    <w:tbl>
      <w:tblPr>
        <w:tblStyle w:val="TableGrid"/>
        <w:tblW w:w="0" w:type="auto"/>
        <w:tblBorders>
          <w:insideV w:val="single" w:sz="4" w:space="0" w:color="984806" w:themeColor="accent6" w:themeShade="80"/>
        </w:tblBorders>
        <w:tblLook w:val="04A0" w:firstRow="1" w:lastRow="0" w:firstColumn="1" w:lastColumn="0" w:noHBand="0" w:noVBand="1"/>
        <w:tblCaption w:val="66756 and 66757 item descriptor"/>
        <w:tblDescription w:val="Table 49 is a 3 column table. Column 1 lists the item number, column 2 displays the current item descriptor and column 3 displays the proposed new item descriptor"/>
      </w:tblPr>
      <w:tblGrid>
        <w:gridCol w:w="2122"/>
        <w:gridCol w:w="3402"/>
        <w:gridCol w:w="3492"/>
      </w:tblGrid>
      <w:tr w:rsidR="00543D47" w:rsidRPr="00370DFD" w14:paraId="0932689A" w14:textId="77777777" w:rsidTr="00D9610A">
        <w:trPr>
          <w:tblHeader/>
        </w:trPr>
        <w:tc>
          <w:tcPr>
            <w:tcW w:w="2122" w:type="dxa"/>
          </w:tcPr>
          <w:p w14:paraId="673CBCDE" w14:textId="77777777" w:rsidR="00543D47" w:rsidRPr="00370DFD" w:rsidRDefault="00543D47" w:rsidP="00D9610A">
            <w:pPr>
              <w:rPr>
                <w:b/>
                <w:sz w:val="18"/>
                <w:szCs w:val="18"/>
                <w:lang w:eastAsia="en-US"/>
              </w:rPr>
            </w:pPr>
            <w:r w:rsidRPr="00370DFD">
              <w:rPr>
                <w:b/>
                <w:sz w:val="18"/>
                <w:szCs w:val="18"/>
              </w:rPr>
              <w:t>Item</w:t>
            </w:r>
          </w:p>
        </w:tc>
        <w:tc>
          <w:tcPr>
            <w:tcW w:w="3402" w:type="dxa"/>
          </w:tcPr>
          <w:p w14:paraId="20268C5B" w14:textId="77777777" w:rsidR="00543D47" w:rsidRPr="00370DFD" w:rsidRDefault="00543D47" w:rsidP="00D9610A">
            <w:pPr>
              <w:rPr>
                <w:b/>
                <w:sz w:val="18"/>
                <w:szCs w:val="18"/>
                <w:lang w:eastAsia="en-US"/>
              </w:rPr>
            </w:pPr>
            <w:r w:rsidRPr="00370DFD">
              <w:rPr>
                <w:b/>
                <w:sz w:val="18"/>
                <w:szCs w:val="18"/>
              </w:rPr>
              <w:t>Current item descriptor</w:t>
            </w:r>
          </w:p>
        </w:tc>
        <w:tc>
          <w:tcPr>
            <w:tcW w:w="3492" w:type="dxa"/>
          </w:tcPr>
          <w:p w14:paraId="01E354A1" w14:textId="77777777" w:rsidR="00543D47" w:rsidRPr="00370DFD" w:rsidRDefault="00543D47" w:rsidP="00D9610A">
            <w:pPr>
              <w:rPr>
                <w:b/>
                <w:sz w:val="18"/>
                <w:szCs w:val="18"/>
                <w:lang w:eastAsia="en-US"/>
              </w:rPr>
            </w:pPr>
            <w:r w:rsidRPr="00370DFD">
              <w:rPr>
                <w:b/>
                <w:sz w:val="18"/>
                <w:szCs w:val="18"/>
              </w:rPr>
              <w:t>Proposed new item descriptor</w:t>
            </w:r>
          </w:p>
        </w:tc>
      </w:tr>
      <w:tr w:rsidR="00543D47" w:rsidRPr="00370DFD" w14:paraId="765A1F40" w14:textId="77777777" w:rsidTr="00D9610A">
        <w:tc>
          <w:tcPr>
            <w:tcW w:w="2122" w:type="dxa"/>
          </w:tcPr>
          <w:p w14:paraId="6DE393B1" w14:textId="77777777" w:rsidR="00543D47" w:rsidRPr="00370DFD" w:rsidRDefault="00543D47" w:rsidP="00D9610A">
            <w:pPr>
              <w:rPr>
                <w:sz w:val="18"/>
                <w:szCs w:val="18"/>
                <w:lang w:eastAsia="en-US"/>
              </w:rPr>
            </w:pPr>
            <w:r w:rsidRPr="00370DFD">
              <w:rPr>
                <w:sz w:val="18"/>
                <w:szCs w:val="18"/>
              </w:rPr>
              <w:t>66</w:t>
            </w:r>
            <w:r>
              <w:rPr>
                <w:sz w:val="18"/>
                <w:szCs w:val="18"/>
              </w:rPr>
              <w:t>756/66757</w:t>
            </w:r>
          </w:p>
        </w:tc>
        <w:tc>
          <w:tcPr>
            <w:tcW w:w="3402" w:type="dxa"/>
          </w:tcPr>
          <w:p w14:paraId="4EA5E387" w14:textId="77777777" w:rsidR="00543D47" w:rsidRPr="00370DFD" w:rsidRDefault="00543D47" w:rsidP="00D9610A">
            <w:pPr>
              <w:rPr>
                <w:sz w:val="18"/>
                <w:szCs w:val="18"/>
                <w:lang w:eastAsia="en-US"/>
              </w:rPr>
            </w:pPr>
            <w:r w:rsidRPr="00956F7A">
              <w:rPr>
                <w:sz w:val="18"/>
                <w:szCs w:val="18"/>
              </w:rPr>
              <w:t>Quantitation of 10 or more amino acids for the diagnosis of inborn errors of metabolism - up to 4 tests in a 12</w:t>
            </w:r>
            <w:r>
              <w:rPr>
                <w:sz w:val="18"/>
                <w:szCs w:val="18"/>
              </w:rPr>
              <w:t>-</w:t>
            </w:r>
            <w:r w:rsidRPr="00956F7A">
              <w:rPr>
                <w:sz w:val="18"/>
                <w:szCs w:val="18"/>
              </w:rPr>
              <w:t>month period on specimens of plasma, CSF and urine.</w:t>
            </w:r>
          </w:p>
        </w:tc>
        <w:tc>
          <w:tcPr>
            <w:tcW w:w="3492" w:type="dxa"/>
          </w:tcPr>
          <w:p w14:paraId="4D1694DF" w14:textId="77777777" w:rsidR="00543D47" w:rsidRPr="00370DFD" w:rsidRDefault="00543D47" w:rsidP="00D9610A">
            <w:pPr>
              <w:rPr>
                <w:sz w:val="18"/>
                <w:szCs w:val="18"/>
                <w:lang w:eastAsia="en-US"/>
              </w:rPr>
            </w:pPr>
            <w:r w:rsidRPr="00956F7A">
              <w:rPr>
                <w:sz w:val="18"/>
                <w:szCs w:val="18"/>
              </w:rPr>
              <w:t xml:space="preserve">Quantitation of 10 or more amino acids for the diagnosis and management of inborn errors of metabolism - up to 4 tests in a </w:t>
            </w:r>
            <w:r>
              <w:rPr>
                <w:sz w:val="18"/>
                <w:szCs w:val="18"/>
              </w:rPr>
              <w:t>12-month period</w:t>
            </w:r>
            <w:r w:rsidRPr="00956F7A">
              <w:rPr>
                <w:sz w:val="18"/>
                <w:szCs w:val="18"/>
              </w:rPr>
              <w:t xml:space="preserve"> on specimens of plasma, CSF and urine.</w:t>
            </w:r>
          </w:p>
        </w:tc>
      </w:tr>
    </w:tbl>
    <w:p w14:paraId="7A6DDE32" w14:textId="77777777" w:rsidR="00543D47" w:rsidRPr="00370DFD" w:rsidRDefault="00543D47" w:rsidP="00543D47">
      <w:pPr>
        <w:pStyle w:val="Heading4"/>
        <w:rPr>
          <w:lang w:val="en-AU"/>
        </w:rPr>
      </w:pPr>
      <w:r w:rsidRPr="00370DFD">
        <w:rPr>
          <w:lang w:val="en-AU"/>
        </w:rPr>
        <w:t>Rationale</w:t>
      </w:r>
    </w:p>
    <w:p w14:paraId="63F21F6B" w14:textId="77777777" w:rsidR="00543D47" w:rsidRDefault="00543D47" w:rsidP="00543D47">
      <w:pPr>
        <w:pStyle w:val="NormalBulleted"/>
        <w:rPr>
          <w:lang w:eastAsia="en-US"/>
        </w:rPr>
      </w:pPr>
      <w:r>
        <w:rPr>
          <w:lang w:eastAsia="en-US"/>
        </w:rPr>
        <w:t xml:space="preserve">These items are mainly requested by </w:t>
      </w:r>
      <w:proofErr w:type="gramStart"/>
      <w:r>
        <w:rPr>
          <w:lang w:eastAsia="en-US"/>
        </w:rPr>
        <w:t>paediatricians, and</w:t>
      </w:r>
      <w:proofErr w:type="gramEnd"/>
      <w:r>
        <w:rPr>
          <w:lang w:eastAsia="en-US"/>
        </w:rPr>
        <w:t xml:space="preserve"> have very low utilisation. Low utilisation may be due to them being provided more frequently as inpatient services within the public hospital system.</w:t>
      </w:r>
    </w:p>
    <w:p w14:paraId="5AAC446E" w14:textId="77777777" w:rsidR="00543D47" w:rsidRDefault="00543D47" w:rsidP="00543D47">
      <w:pPr>
        <w:pStyle w:val="NormalBulleted"/>
        <w:rPr>
          <w:lang w:eastAsia="en-US"/>
        </w:rPr>
      </w:pPr>
      <w:r>
        <w:rPr>
          <w:lang w:eastAsia="en-US"/>
        </w:rPr>
        <w:t>I</w:t>
      </w:r>
      <w:r w:rsidRPr="00B54746">
        <w:rPr>
          <w:lang w:eastAsia="en-US"/>
        </w:rPr>
        <w:t>tem</w:t>
      </w:r>
      <w:r>
        <w:rPr>
          <w:lang w:eastAsia="en-US"/>
        </w:rPr>
        <w:t xml:space="preserve"> 66756 is designed so that testing for diagnosis is comprehensive and can be carried out on all required specimens. However, the Committee has received expert advice from biochemical genetics, recommending the consolidation of the two items into one, to simplify the Schedule.</w:t>
      </w:r>
    </w:p>
    <w:p w14:paraId="1DCA13C5" w14:textId="77777777" w:rsidR="00543D47" w:rsidRDefault="00543D47" w:rsidP="00543D47">
      <w:pPr>
        <w:pStyle w:val="NormalBulleted"/>
        <w:numPr>
          <w:ilvl w:val="0"/>
          <w:numId w:val="0"/>
        </w:numPr>
        <w:ind w:left="431"/>
        <w:rPr>
          <w:lang w:eastAsia="en-US"/>
        </w:rPr>
      </w:pPr>
    </w:p>
    <w:p w14:paraId="6C651DF1" w14:textId="77777777" w:rsidR="00543D47" w:rsidRPr="000721C1" w:rsidRDefault="00543D47" w:rsidP="00543D47">
      <w:pPr>
        <w:pStyle w:val="Heading3Numbered"/>
        <w:rPr>
          <w:b w:val="0"/>
        </w:rPr>
      </w:pPr>
      <w:r w:rsidRPr="000721C1">
        <w:rPr>
          <w:lang w:val="en-AU"/>
        </w:rPr>
        <w:t>Quantitation of analytes: items 66752, 66755</w:t>
      </w:r>
    </w:p>
    <w:p w14:paraId="7E3A9B49" w14:textId="77777777" w:rsidR="00543D47" w:rsidRPr="00370DFD" w:rsidRDefault="00543D47" w:rsidP="00543D47">
      <w:pPr>
        <w:pStyle w:val="Caption"/>
      </w:pPr>
      <w:bookmarkStart w:id="151" w:name="_Toc534374960"/>
      <w:r w:rsidRPr="00370DFD">
        <w:t xml:space="preserve">Table </w:t>
      </w:r>
      <w:r>
        <w:t xml:space="preserve">50. </w:t>
      </w:r>
      <w:r w:rsidRPr="00370DFD">
        <w:t>Item in</w:t>
      </w:r>
      <w:r>
        <w:t>troduction table for items 66752 and 66755</w:t>
      </w:r>
      <w:bookmarkEnd w:id="151"/>
    </w:p>
    <w:tbl>
      <w:tblPr>
        <w:tblStyle w:val="TableGrid"/>
        <w:tblW w:w="9018" w:type="dxa"/>
        <w:tblBorders>
          <w:insideV w:val="single" w:sz="4" w:space="0" w:color="984806" w:themeColor="accent6" w:themeShade="80"/>
        </w:tblBorders>
        <w:tblLayout w:type="fixed"/>
        <w:tblLook w:val="04A0" w:firstRow="1" w:lastRow="0" w:firstColumn="1" w:lastColumn="0" w:noHBand="0" w:noVBand="1"/>
        <w:tblCaption w:val="Introduction table for items 66752 and 66755"/>
        <w:tblDescription w:val="Table 50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2"/>
        <w:gridCol w:w="2857"/>
        <w:gridCol w:w="1066"/>
        <w:gridCol w:w="1219"/>
        <w:gridCol w:w="1060"/>
        <w:gridCol w:w="1060"/>
        <w:gridCol w:w="1054"/>
      </w:tblGrid>
      <w:tr w:rsidR="00543D47" w:rsidRPr="00370DFD" w14:paraId="46A50CC2" w14:textId="77777777" w:rsidTr="00D9610A">
        <w:trPr>
          <w:tblHeader/>
        </w:trPr>
        <w:tc>
          <w:tcPr>
            <w:tcW w:w="702" w:type="dxa"/>
            <w:vAlign w:val="center"/>
          </w:tcPr>
          <w:p w14:paraId="29643FB9" w14:textId="77777777" w:rsidR="00543D47" w:rsidRPr="00370DFD" w:rsidRDefault="00543D47" w:rsidP="00D9610A">
            <w:pPr>
              <w:rPr>
                <w:sz w:val="18"/>
                <w:szCs w:val="18"/>
              </w:rPr>
            </w:pPr>
            <w:r w:rsidRPr="00370DFD">
              <w:rPr>
                <w:b/>
                <w:sz w:val="18"/>
                <w:szCs w:val="18"/>
              </w:rPr>
              <w:t>Item</w:t>
            </w:r>
          </w:p>
        </w:tc>
        <w:tc>
          <w:tcPr>
            <w:tcW w:w="2857" w:type="dxa"/>
            <w:vAlign w:val="center"/>
          </w:tcPr>
          <w:p w14:paraId="05ED6DF5"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00A00A01" w14:textId="77777777" w:rsidR="00543D47" w:rsidRPr="00370DFD" w:rsidRDefault="00543D47" w:rsidP="00D9610A">
            <w:pPr>
              <w:rPr>
                <w:sz w:val="18"/>
                <w:szCs w:val="18"/>
              </w:rPr>
            </w:pPr>
            <w:r w:rsidRPr="00370DFD">
              <w:rPr>
                <w:b/>
                <w:sz w:val="18"/>
                <w:szCs w:val="18"/>
              </w:rPr>
              <w:t>Schedule</w:t>
            </w:r>
            <w:r>
              <w:rPr>
                <w:b/>
                <w:sz w:val="18"/>
                <w:szCs w:val="18"/>
              </w:rPr>
              <w:t xml:space="preserve"> f</w:t>
            </w:r>
            <w:r w:rsidRPr="00370DFD">
              <w:rPr>
                <w:b/>
                <w:sz w:val="18"/>
                <w:szCs w:val="18"/>
              </w:rPr>
              <w:t>ee</w:t>
            </w:r>
          </w:p>
        </w:tc>
        <w:tc>
          <w:tcPr>
            <w:tcW w:w="1219" w:type="dxa"/>
            <w:vAlign w:val="center"/>
          </w:tcPr>
          <w:p w14:paraId="16AC6C1B"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6FBC13EF" w14:textId="77777777" w:rsidR="00543D47" w:rsidRPr="00370DFD" w:rsidRDefault="00543D47" w:rsidP="00D9610A">
            <w:pPr>
              <w:rPr>
                <w:sz w:val="18"/>
                <w:szCs w:val="18"/>
              </w:rPr>
            </w:pPr>
            <w:r w:rsidRPr="00370DFD">
              <w:rPr>
                <w:b/>
                <w:sz w:val="18"/>
                <w:szCs w:val="18"/>
              </w:rPr>
              <w:t xml:space="preserve">Services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1D55B226" w14:textId="77777777" w:rsidR="00543D47" w:rsidRPr="00370DFD" w:rsidRDefault="00543D47" w:rsidP="00D9610A">
            <w:pPr>
              <w:rPr>
                <w:sz w:val="18"/>
                <w:szCs w:val="18"/>
              </w:rPr>
            </w:pPr>
            <w:r w:rsidRPr="00370DFD">
              <w:rPr>
                <w:b/>
                <w:sz w:val="18"/>
                <w:szCs w:val="18"/>
              </w:rPr>
              <w:t>Patient count 2014-15</w:t>
            </w:r>
          </w:p>
        </w:tc>
        <w:tc>
          <w:tcPr>
            <w:tcW w:w="1054" w:type="dxa"/>
            <w:vAlign w:val="center"/>
          </w:tcPr>
          <w:p w14:paraId="7BA0107A"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14ED83A8" w14:textId="77777777" w:rsidTr="00D9610A">
        <w:tc>
          <w:tcPr>
            <w:tcW w:w="702" w:type="dxa"/>
          </w:tcPr>
          <w:p w14:paraId="44E752CE" w14:textId="77777777" w:rsidR="00543D47" w:rsidRPr="00CD1925" w:rsidRDefault="00543D47" w:rsidP="00D9610A">
            <w:pPr>
              <w:rPr>
                <w:sz w:val="18"/>
                <w:szCs w:val="18"/>
              </w:rPr>
            </w:pPr>
            <w:r w:rsidRPr="00CD1925">
              <w:rPr>
                <w:sz w:val="18"/>
                <w:szCs w:val="18"/>
              </w:rPr>
              <w:t>66752</w:t>
            </w:r>
          </w:p>
        </w:tc>
        <w:tc>
          <w:tcPr>
            <w:tcW w:w="2857" w:type="dxa"/>
          </w:tcPr>
          <w:p w14:paraId="79608AFD" w14:textId="77777777" w:rsidR="00543D47" w:rsidRPr="00CD1925" w:rsidRDefault="00543D47" w:rsidP="00D9610A">
            <w:pPr>
              <w:rPr>
                <w:sz w:val="18"/>
                <w:szCs w:val="18"/>
              </w:rPr>
            </w:pPr>
            <w:r w:rsidRPr="000721C1">
              <w:rPr>
                <w:rFonts w:ascii="Calibri" w:hAnsi="Calibri"/>
                <w:color w:val="000000"/>
                <w:sz w:val="18"/>
                <w:szCs w:val="18"/>
              </w:rPr>
              <w:t>Quantitation of acetoacetate, beta-hydroxybutyrate, citrate, oxalate, total free fatty acids, cysteine, homocysteine, cystine, lactate, pyruvate or other amino acids and hydroxyproline (except if performed as part of item 66773 or 66776) - 1 test</w:t>
            </w:r>
          </w:p>
        </w:tc>
        <w:tc>
          <w:tcPr>
            <w:tcW w:w="1066" w:type="dxa"/>
          </w:tcPr>
          <w:p w14:paraId="07C10A2B" w14:textId="77777777" w:rsidR="00543D47" w:rsidRPr="00CD1925" w:rsidRDefault="00543D47" w:rsidP="00D9610A">
            <w:pPr>
              <w:rPr>
                <w:sz w:val="18"/>
                <w:szCs w:val="18"/>
              </w:rPr>
            </w:pPr>
            <w:r w:rsidRPr="000721C1">
              <w:rPr>
                <w:rFonts w:ascii="Calibri" w:hAnsi="Calibri"/>
                <w:color w:val="000000"/>
                <w:sz w:val="18"/>
                <w:szCs w:val="18"/>
              </w:rPr>
              <w:t>24.70</w:t>
            </w:r>
          </w:p>
        </w:tc>
        <w:tc>
          <w:tcPr>
            <w:tcW w:w="1219" w:type="dxa"/>
          </w:tcPr>
          <w:p w14:paraId="13AFC9A6" w14:textId="77777777" w:rsidR="00543D47" w:rsidRPr="00CD1925" w:rsidRDefault="00543D47" w:rsidP="00D9610A">
            <w:pPr>
              <w:rPr>
                <w:sz w:val="18"/>
                <w:szCs w:val="18"/>
              </w:rPr>
            </w:pPr>
            <w:r w:rsidRPr="000721C1">
              <w:rPr>
                <w:rFonts w:ascii="Calibri" w:hAnsi="Calibri"/>
                <w:color w:val="000000"/>
                <w:sz w:val="18"/>
                <w:szCs w:val="18"/>
              </w:rPr>
              <w:t>$2,176,771</w:t>
            </w:r>
          </w:p>
        </w:tc>
        <w:tc>
          <w:tcPr>
            <w:tcW w:w="1060" w:type="dxa"/>
          </w:tcPr>
          <w:p w14:paraId="59D7975B" w14:textId="77777777" w:rsidR="00543D47" w:rsidRPr="00CD1925" w:rsidRDefault="00543D47" w:rsidP="00D9610A">
            <w:pPr>
              <w:rPr>
                <w:sz w:val="18"/>
                <w:szCs w:val="18"/>
              </w:rPr>
            </w:pPr>
            <w:r w:rsidRPr="000721C1">
              <w:rPr>
                <w:rFonts w:ascii="Calibri" w:hAnsi="Calibri"/>
                <w:color w:val="000000"/>
                <w:sz w:val="18"/>
                <w:szCs w:val="18"/>
              </w:rPr>
              <w:t>104,565</w:t>
            </w:r>
          </w:p>
        </w:tc>
        <w:tc>
          <w:tcPr>
            <w:tcW w:w="1060" w:type="dxa"/>
          </w:tcPr>
          <w:p w14:paraId="3ED664C9" w14:textId="77777777" w:rsidR="00543D47" w:rsidRPr="00CD1925" w:rsidRDefault="00543D47" w:rsidP="00D9610A">
            <w:pPr>
              <w:rPr>
                <w:sz w:val="18"/>
                <w:szCs w:val="18"/>
              </w:rPr>
            </w:pPr>
            <w:r w:rsidRPr="000721C1">
              <w:rPr>
                <w:rFonts w:ascii="Calibri" w:hAnsi="Calibri"/>
                <w:color w:val="000000"/>
                <w:sz w:val="18"/>
                <w:szCs w:val="18"/>
              </w:rPr>
              <w:t>88,489</w:t>
            </w:r>
          </w:p>
        </w:tc>
        <w:tc>
          <w:tcPr>
            <w:tcW w:w="1054" w:type="dxa"/>
          </w:tcPr>
          <w:p w14:paraId="41E54DFC" w14:textId="77777777" w:rsidR="00543D47" w:rsidRPr="00CD1925" w:rsidRDefault="00543D47" w:rsidP="00D9610A">
            <w:pPr>
              <w:rPr>
                <w:sz w:val="18"/>
                <w:szCs w:val="18"/>
              </w:rPr>
            </w:pPr>
            <w:r w:rsidRPr="000721C1">
              <w:rPr>
                <w:rFonts w:ascii="Calibri" w:hAnsi="Calibri"/>
                <w:color w:val="000000"/>
                <w:sz w:val="18"/>
                <w:szCs w:val="18"/>
              </w:rPr>
              <w:t>0.6%</w:t>
            </w:r>
          </w:p>
        </w:tc>
      </w:tr>
      <w:tr w:rsidR="00543D47" w:rsidRPr="00370DFD" w14:paraId="5172BA22" w14:textId="77777777" w:rsidTr="00D9610A">
        <w:tc>
          <w:tcPr>
            <w:tcW w:w="702" w:type="dxa"/>
          </w:tcPr>
          <w:p w14:paraId="76E085F7" w14:textId="77777777" w:rsidR="00543D47" w:rsidRPr="00CD1925" w:rsidRDefault="00543D47" w:rsidP="00D9610A">
            <w:pPr>
              <w:rPr>
                <w:sz w:val="18"/>
                <w:szCs w:val="18"/>
              </w:rPr>
            </w:pPr>
            <w:r w:rsidRPr="00CD1925">
              <w:rPr>
                <w:sz w:val="18"/>
                <w:szCs w:val="18"/>
              </w:rPr>
              <w:t>66755</w:t>
            </w:r>
          </w:p>
        </w:tc>
        <w:tc>
          <w:tcPr>
            <w:tcW w:w="2857" w:type="dxa"/>
          </w:tcPr>
          <w:p w14:paraId="1E804EF1" w14:textId="77777777" w:rsidR="00543D47" w:rsidRPr="00CD1925" w:rsidRDefault="00543D47" w:rsidP="00D9610A">
            <w:pPr>
              <w:rPr>
                <w:sz w:val="18"/>
                <w:szCs w:val="18"/>
              </w:rPr>
            </w:pPr>
            <w:r w:rsidRPr="000721C1">
              <w:rPr>
                <w:rFonts w:ascii="Calibri" w:hAnsi="Calibri"/>
                <w:color w:val="000000"/>
                <w:sz w:val="18"/>
                <w:szCs w:val="18"/>
              </w:rPr>
              <w:t>2 or more tests described in item 66752</w:t>
            </w:r>
          </w:p>
        </w:tc>
        <w:tc>
          <w:tcPr>
            <w:tcW w:w="1066" w:type="dxa"/>
          </w:tcPr>
          <w:p w14:paraId="3B6130EB" w14:textId="77777777" w:rsidR="00543D47" w:rsidRPr="00CD1925" w:rsidRDefault="00543D47" w:rsidP="00D9610A">
            <w:pPr>
              <w:rPr>
                <w:sz w:val="18"/>
                <w:szCs w:val="18"/>
              </w:rPr>
            </w:pPr>
            <w:r w:rsidRPr="000721C1">
              <w:rPr>
                <w:rFonts w:ascii="Calibri" w:hAnsi="Calibri"/>
                <w:color w:val="000000"/>
                <w:sz w:val="18"/>
                <w:szCs w:val="18"/>
              </w:rPr>
              <w:t>38.85</w:t>
            </w:r>
          </w:p>
        </w:tc>
        <w:tc>
          <w:tcPr>
            <w:tcW w:w="1219" w:type="dxa"/>
          </w:tcPr>
          <w:p w14:paraId="1A9E7825" w14:textId="77777777" w:rsidR="00543D47" w:rsidRPr="00CD1925" w:rsidRDefault="00543D47" w:rsidP="00D9610A">
            <w:pPr>
              <w:rPr>
                <w:sz w:val="18"/>
                <w:szCs w:val="18"/>
              </w:rPr>
            </w:pPr>
            <w:r w:rsidRPr="000721C1">
              <w:rPr>
                <w:rFonts w:ascii="Calibri" w:hAnsi="Calibri"/>
                <w:color w:val="000000"/>
                <w:sz w:val="18"/>
                <w:szCs w:val="18"/>
              </w:rPr>
              <w:t>$165,830</w:t>
            </w:r>
          </w:p>
        </w:tc>
        <w:tc>
          <w:tcPr>
            <w:tcW w:w="1060" w:type="dxa"/>
          </w:tcPr>
          <w:p w14:paraId="4C73F5F0" w14:textId="77777777" w:rsidR="00543D47" w:rsidRPr="00CD1925" w:rsidRDefault="00543D47" w:rsidP="00D9610A">
            <w:pPr>
              <w:rPr>
                <w:sz w:val="18"/>
                <w:szCs w:val="18"/>
              </w:rPr>
            </w:pPr>
            <w:r w:rsidRPr="000721C1">
              <w:rPr>
                <w:rFonts w:ascii="Calibri" w:hAnsi="Calibri"/>
                <w:color w:val="000000"/>
                <w:sz w:val="18"/>
                <w:szCs w:val="18"/>
              </w:rPr>
              <w:t>5,119</w:t>
            </w:r>
          </w:p>
        </w:tc>
        <w:tc>
          <w:tcPr>
            <w:tcW w:w="1060" w:type="dxa"/>
          </w:tcPr>
          <w:p w14:paraId="17AED181" w14:textId="77777777" w:rsidR="00543D47" w:rsidRPr="00CD1925" w:rsidRDefault="00543D47" w:rsidP="00D9610A">
            <w:pPr>
              <w:rPr>
                <w:sz w:val="18"/>
                <w:szCs w:val="18"/>
              </w:rPr>
            </w:pPr>
            <w:r w:rsidRPr="000721C1">
              <w:rPr>
                <w:rFonts w:ascii="Calibri" w:hAnsi="Calibri"/>
                <w:color w:val="000000"/>
                <w:sz w:val="18"/>
                <w:szCs w:val="18"/>
              </w:rPr>
              <w:t>4,355</w:t>
            </w:r>
          </w:p>
        </w:tc>
        <w:tc>
          <w:tcPr>
            <w:tcW w:w="1054" w:type="dxa"/>
          </w:tcPr>
          <w:p w14:paraId="28A8091F" w14:textId="77777777" w:rsidR="00543D47" w:rsidRPr="00CD1925" w:rsidRDefault="00543D47" w:rsidP="00D9610A">
            <w:pPr>
              <w:rPr>
                <w:sz w:val="18"/>
                <w:szCs w:val="18"/>
              </w:rPr>
            </w:pPr>
            <w:r w:rsidRPr="000721C1">
              <w:rPr>
                <w:rFonts w:ascii="Calibri" w:hAnsi="Calibri"/>
                <w:color w:val="000000"/>
                <w:sz w:val="18"/>
                <w:szCs w:val="18"/>
              </w:rPr>
              <w:t>0.7%</w:t>
            </w:r>
          </w:p>
        </w:tc>
      </w:tr>
    </w:tbl>
    <w:p w14:paraId="395B9C51" w14:textId="77777777" w:rsidR="00543D47" w:rsidRPr="00370DFD" w:rsidRDefault="00543D47" w:rsidP="00543D47">
      <w:pPr>
        <w:pStyle w:val="Heading4"/>
        <w:rPr>
          <w:lang w:val="en-AU"/>
        </w:rPr>
      </w:pPr>
      <w:r w:rsidRPr="00370DFD">
        <w:rPr>
          <w:lang w:val="en-AU"/>
        </w:rPr>
        <w:t>Recommendation</w:t>
      </w:r>
      <w:r>
        <w:rPr>
          <w:lang w:val="en-AU"/>
        </w:rPr>
        <w:t>s</w:t>
      </w:r>
      <w:r w:rsidRPr="00370DFD">
        <w:rPr>
          <w:lang w:val="en-AU"/>
        </w:rPr>
        <w:t xml:space="preserve"> </w:t>
      </w:r>
    </w:p>
    <w:p w14:paraId="0A88B3D5" w14:textId="77777777" w:rsidR="00543D47" w:rsidRPr="00370DFD" w:rsidRDefault="00543D47" w:rsidP="00543D47">
      <w:pPr>
        <w:pStyle w:val="BodyText"/>
      </w:pPr>
      <w:r w:rsidRPr="00370DFD">
        <w:t xml:space="preserve">The </w:t>
      </w:r>
      <w:r>
        <w:t>Committee</w:t>
      </w:r>
      <w:r w:rsidRPr="00370DFD">
        <w:t xml:space="preserve"> proposes the following:</w:t>
      </w:r>
    </w:p>
    <w:p w14:paraId="3967B524" w14:textId="77777777" w:rsidR="00543D47" w:rsidRDefault="00543D47" w:rsidP="00543D47">
      <w:pPr>
        <w:pStyle w:val="NormalBulleted"/>
        <w:rPr>
          <w:lang w:eastAsia="en-US"/>
        </w:rPr>
      </w:pPr>
      <w:r>
        <w:rPr>
          <w:lang w:eastAsia="en-US"/>
        </w:rPr>
        <w:t>Separate item 66752 into metabolites and amino acids</w:t>
      </w:r>
    </w:p>
    <w:p w14:paraId="5A9CF9D9" w14:textId="77777777" w:rsidR="00543D47" w:rsidRPr="005F45FF" w:rsidRDefault="00543D47" w:rsidP="00543D47">
      <w:pPr>
        <w:pStyle w:val="NormalBulleted"/>
        <w:rPr>
          <w:lang w:eastAsia="en-US"/>
        </w:rPr>
      </w:pPr>
      <w:r>
        <w:rPr>
          <w:lang w:eastAsia="en-US"/>
        </w:rPr>
        <w:t>Adjust item Schedule fees</w:t>
      </w:r>
    </w:p>
    <w:p w14:paraId="5329D684" w14:textId="77777777" w:rsidR="00543D47" w:rsidRPr="00370DFD" w:rsidRDefault="00543D47" w:rsidP="00543D47">
      <w:pPr>
        <w:pStyle w:val="NormalBulleted"/>
        <w:rPr>
          <w:lang w:eastAsia="en-US"/>
        </w:rPr>
      </w:pPr>
      <w:r>
        <w:rPr>
          <w:lang w:eastAsia="en-US"/>
        </w:rPr>
        <w:t>Remove hydroxyproline from the amino acids list.</w:t>
      </w:r>
    </w:p>
    <w:p w14:paraId="07177A3F" w14:textId="77777777" w:rsidR="00543D47" w:rsidRDefault="00543D47" w:rsidP="00543D47">
      <w:pPr>
        <w:pStyle w:val="Heading4"/>
        <w:rPr>
          <w:lang w:val="en-AU"/>
        </w:rPr>
      </w:pPr>
      <w:r w:rsidRPr="00370DFD">
        <w:rPr>
          <w:lang w:val="en-AU"/>
        </w:rPr>
        <w:lastRenderedPageBreak/>
        <w:t>Rationale</w:t>
      </w:r>
    </w:p>
    <w:p w14:paraId="2AB972C4" w14:textId="77777777" w:rsidR="00543D47" w:rsidRDefault="00543D47" w:rsidP="00543D47">
      <w:pPr>
        <w:pStyle w:val="NormalBulleted"/>
        <w:rPr>
          <w:lang w:eastAsia="en-US"/>
        </w:rPr>
      </w:pPr>
      <w:r>
        <w:rPr>
          <w:lang w:eastAsia="en-US"/>
        </w:rPr>
        <w:t xml:space="preserve">These items include a diverse mix of both simple and complex tests for metabolites, </w:t>
      </w:r>
      <w:r w:rsidRPr="007B492F">
        <w:rPr>
          <w:lang w:eastAsia="en-US"/>
        </w:rPr>
        <w:t>organic acids and amino acids</w:t>
      </w:r>
      <w:r>
        <w:rPr>
          <w:lang w:eastAsia="en-US"/>
        </w:rPr>
        <w:t xml:space="preserve">. During the financial year 2014–2015, the total expenditure was ~$2 million, with 85% of this done out of hospital. The main requestors of these items are GPs and surgeons, and the main driver </w:t>
      </w:r>
      <w:r w:rsidRPr="007B492F">
        <w:rPr>
          <w:lang w:eastAsia="en-US"/>
        </w:rPr>
        <w:t>of utilisation</w:t>
      </w:r>
      <w:r>
        <w:rPr>
          <w:lang w:eastAsia="en-US"/>
        </w:rPr>
        <w:t xml:space="preserve"> is</w:t>
      </w:r>
      <w:r w:rsidRPr="007B492F">
        <w:rPr>
          <w:lang w:eastAsia="en-US"/>
        </w:rPr>
        <w:t xml:space="preserve"> likely to be homocysteine</w:t>
      </w:r>
      <w:r>
        <w:rPr>
          <w:lang w:eastAsia="en-US"/>
        </w:rPr>
        <w:t xml:space="preserve"> testing. C</w:t>
      </w:r>
      <w:r w:rsidRPr="007B492F">
        <w:rPr>
          <w:lang w:eastAsia="en-US"/>
        </w:rPr>
        <w:t>itrate, oxalate and cysteine</w:t>
      </w:r>
      <w:r>
        <w:rPr>
          <w:lang w:eastAsia="en-US"/>
        </w:rPr>
        <w:t xml:space="preserve"> are commonly</w:t>
      </w:r>
      <w:r w:rsidRPr="007B492F">
        <w:rPr>
          <w:lang w:eastAsia="en-US"/>
        </w:rPr>
        <w:t xml:space="preserve"> ordered for investigation and management of renal stones</w:t>
      </w:r>
      <w:r>
        <w:rPr>
          <w:lang w:eastAsia="en-US"/>
        </w:rPr>
        <w:t>.</w:t>
      </w:r>
    </w:p>
    <w:p w14:paraId="2774A5AB" w14:textId="77777777" w:rsidR="00543D47" w:rsidRDefault="00543D47" w:rsidP="00543D47">
      <w:pPr>
        <w:pStyle w:val="NormalBulleted"/>
        <w:rPr>
          <w:lang w:eastAsia="en-US"/>
        </w:rPr>
      </w:pPr>
      <w:r>
        <w:rPr>
          <w:lang w:eastAsia="en-US"/>
        </w:rPr>
        <w:t xml:space="preserve">The Committee noted that </w:t>
      </w:r>
      <w:r w:rsidRPr="007B492F">
        <w:rPr>
          <w:lang w:eastAsia="en-US"/>
        </w:rPr>
        <w:t>there is a separate item for lactate in blood gases (item 66566).</w:t>
      </w:r>
      <w:r w:rsidRPr="004237B2">
        <w:rPr>
          <w:lang w:eastAsia="en-US"/>
        </w:rPr>
        <w:t xml:space="preserve"> </w:t>
      </w:r>
    </w:p>
    <w:p w14:paraId="41044A24" w14:textId="77777777" w:rsidR="00543D47" w:rsidRDefault="00543D47" w:rsidP="00543D47">
      <w:pPr>
        <w:pStyle w:val="NormalBulleted"/>
        <w:rPr>
          <w:lang w:eastAsia="en-US"/>
        </w:rPr>
      </w:pPr>
      <w:r>
        <w:rPr>
          <w:lang w:eastAsia="en-US"/>
        </w:rPr>
        <w:t xml:space="preserve">Item 66752 should be divided into separate categories of metabolites and amino acids. This would enable better data collection on test ordering and Schedule billing practices. </w:t>
      </w:r>
    </w:p>
    <w:p w14:paraId="5C9D29AF" w14:textId="77777777" w:rsidR="00543D47" w:rsidRDefault="00543D47" w:rsidP="00543D47">
      <w:pPr>
        <w:pStyle w:val="NormalBulleted"/>
      </w:pPr>
      <w:r>
        <w:rPr>
          <w:lang w:eastAsia="en-US"/>
        </w:rPr>
        <w:t>The Committee recommended a fee adjustment to these items to reflect the complexity of these tests.</w:t>
      </w:r>
    </w:p>
    <w:p w14:paraId="1454F9EA" w14:textId="77777777" w:rsidR="00543D47" w:rsidRPr="00F778FB" w:rsidRDefault="00543D47" w:rsidP="00543D47">
      <w:pPr>
        <w:pStyle w:val="NormalBulleted"/>
        <w:rPr>
          <w:lang w:val="en-US" w:eastAsia="en-US"/>
        </w:rPr>
      </w:pPr>
      <w:r>
        <w:rPr>
          <w:lang w:eastAsia="en-US"/>
        </w:rPr>
        <w:t xml:space="preserve">The use of hydroxyproline has been superseded by other more specific bone markers such as C-terminal telopeptide of collagen and </w:t>
      </w:r>
      <w:r w:rsidRPr="00D57ADA">
        <w:rPr>
          <w:lang w:val="en-US" w:eastAsia="en-US"/>
        </w:rPr>
        <w:t xml:space="preserve">Procollagen-1 N-terminal </w:t>
      </w:r>
      <w:proofErr w:type="spellStart"/>
      <w:r w:rsidRPr="00D57ADA">
        <w:rPr>
          <w:lang w:val="en-US" w:eastAsia="en-US"/>
        </w:rPr>
        <w:t>propeptide</w:t>
      </w:r>
      <w:proofErr w:type="spellEnd"/>
      <w:r>
        <w:rPr>
          <w:lang w:val="en-US" w:eastAsia="en-US"/>
        </w:rPr>
        <w:t>.</w:t>
      </w:r>
    </w:p>
    <w:p w14:paraId="1B044999" w14:textId="77777777" w:rsidR="00543D47" w:rsidRDefault="00543D47" w:rsidP="00543D47">
      <w:pPr>
        <w:pStyle w:val="Caption"/>
      </w:pPr>
      <w:bookmarkStart w:id="152" w:name="_Toc534374961"/>
      <w:r>
        <w:t>Table 51. Current and proposed item descriptor for item 66752</w:t>
      </w:r>
      <w:bookmarkEnd w:id="152"/>
    </w:p>
    <w:tbl>
      <w:tblPr>
        <w:tblStyle w:val="TableGrid"/>
        <w:tblW w:w="935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66752 item descriptor"/>
        <w:tblDescription w:val="Table 51 is a 3 column table. Column 1 is the item number, column 2 displays the current item descriptor and column 3 displays the proposed new item descriptor"/>
      </w:tblPr>
      <w:tblGrid>
        <w:gridCol w:w="1134"/>
        <w:gridCol w:w="4110"/>
        <w:gridCol w:w="4110"/>
      </w:tblGrid>
      <w:tr w:rsidR="00543D47" w:rsidRPr="00D20C84" w14:paraId="007D0145" w14:textId="77777777" w:rsidTr="00D9610A">
        <w:trPr>
          <w:tblHeader/>
        </w:trPr>
        <w:tc>
          <w:tcPr>
            <w:tcW w:w="1134" w:type="dxa"/>
          </w:tcPr>
          <w:p w14:paraId="0E881FEB" w14:textId="77777777" w:rsidR="00543D47" w:rsidRPr="00D20C84" w:rsidRDefault="00543D47" w:rsidP="00D9610A">
            <w:pPr>
              <w:rPr>
                <w:b/>
                <w:sz w:val="18"/>
                <w:szCs w:val="18"/>
              </w:rPr>
            </w:pPr>
            <w:r w:rsidRPr="00D20C84">
              <w:rPr>
                <w:b/>
                <w:sz w:val="18"/>
                <w:szCs w:val="18"/>
              </w:rPr>
              <w:t>Item</w:t>
            </w:r>
          </w:p>
        </w:tc>
        <w:tc>
          <w:tcPr>
            <w:tcW w:w="4110" w:type="dxa"/>
          </w:tcPr>
          <w:p w14:paraId="173D29BB" w14:textId="77777777" w:rsidR="00543D47" w:rsidRPr="00D20C84" w:rsidRDefault="00543D47" w:rsidP="00D9610A">
            <w:pPr>
              <w:rPr>
                <w:b/>
                <w:sz w:val="18"/>
                <w:szCs w:val="18"/>
              </w:rPr>
            </w:pPr>
            <w:r w:rsidRPr="00D20C84">
              <w:rPr>
                <w:b/>
                <w:sz w:val="18"/>
                <w:szCs w:val="18"/>
              </w:rPr>
              <w:t>Current item descriptor</w:t>
            </w:r>
          </w:p>
        </w:tc>
        <w:tc>
          <w:tcPr>
            <w:tcW w:w="4110" w:type="dxa"/>
          </w:tcPr>
          <w:p w14:paraId="2076969E" w14:textId="77777777" w:rsidR="00543D47" w:rsidRPr="00D20C84" w:rsidRDefault="00543D47" w:rsidP="00D9610A">
            <w:pPr>
              <w:rPr>
                <w:b/>
                <w:sz w:val="18"/>
                <w:szCs w:val="18"/>
              </w:rPr>
            </w:pPr>
            <w:r w:rsidRPr="00D20C84">
              <w:rPr>
                <w:b/>
                <w:sz w:val="18"/>
                <w:szCs w:val="18"/>
              </w:rPr>
              <w:t>Proposed item descriptor</w:t>
            </w:r>
          </w:p>
        </w:tc>
      </w:tr>
      <w:tr w:rsidR="00543D47" w:rsidRPr="00D20C84" w14:paraId="740C5627" w14:textId="77777777" w:rsidTr="00D9610A">
        <w:tc>
          <w:tcPr>
            <w:tcW w:w="1134" w:type="dxa"/>
          </w:tcPr>
          <w:p w14:paraId="56A66DAF" w14:textId="77777777" w:rsidR="00543D47" w:rsidRPr="00D20C84" w:rsidRDefault="00543D47" w:rsidP="00D9610A">
            <w:pPr>
              <w:rPr>
                <w:sz w:val="18"/>
                <w:szCs w:val="18"/>
              </w:rPr>
            </w:pPr>
            <w:r w:rsidRPr="00D20C84">
              <w:rPr>
                <w:sz w:val="18"/>
                <w:szCs w:val="18"/>
              </w:rPr>
              <w:t>66752</w:t>
            </w:r>
          </w:p>
        </w:tc>
        <w:tc>
          <w:tcPr>
            <w:tcW w:w="4110" w:type="dxa"/>
          </w:tcPr>
          <w:p w14:paraId="49CAC690" w14:textId="77777777" w:rsidR="00543D47" w:rsidRPr="00D20C84" w:rsidRDefault="00543D47" w:rsidP="00D9610A">
            <w:pPr>
              <w:rPr>
                <w:sz w:val="18"/>
                <w:szCs w:val="18"/>
              </w:rPr>
            </w:pPr>
            <w:r w:rsidRPr="00D20C84">
              <w:rPr>
                <w:sz w:val="18"/>
                <w:szCs w:val="18"/>
              </w:rPr>
              <w:t>Quantitation of acetoacetate, beta-hydroxybutyrate, citrate, oxalate, total free fatty acids, cysteine, homocysteine, cystine, lactate, pyruvate or other amino acids and hydroxyproline (except if performed as part of item 66773 or 66776) - 1 test</w:t>
            </w:r>
          </w:p>
        </w:tc>
        <w:tc>
          <w:tcPr>
            <w:tcW w:w="4110" w:type="dxa"/>
          </w:tcPr>
          <w:p w14:paraId="03306E83" w14:textId="77777777" w:rsidR="00543D47" w:rsidRPr="00D20C84" w:rsidRDefault="00543D47" w:rsidP="00D9610A">
            <w:pPr>
              <w:rPr>
                <w:i/>
                <w:sz w:val="18"/>
                <w:szCs w:val="18"/>
              </w:rPr>
            </w:pPr>
            <w:r w:rsidRPr="00D20C84">
              <w:rPr>
                <w:i/>
                <w:sz w:val="18"/>
                <w:szCs w:val="18"/>
              </w:rPr>
              <w:t>Quantitation of acetoacetate, beta-hydroxybutyrate, citrate, oxalate, total free fatty acids, (except if performed as part of item 66773 or 66776) - 1 test</w:t>
            </w:r>
          </w:p>
        </w:tc>
      </w:tr>
      <w:tr w:rsidR="00543D47" w:rsidRPr="00D20C84" w14:paraId="54E55783" w14:textId="77777777" w:rsidTr="00D9610A">
        <w:tc>
          <w:tcPr>
            <w:tcW w:w="1134" w:type="dxa"/>
          </w:tcPr>
          <w:p w14:paraId="185209B6" w14:textId="77777777" w:rsidR="00543D47" w:rsidRPr="00D20C84" w:rsidRDefault="00543D47" w:rsidP="00D9610A">
            <w:pPr>
              <w:rPr>
                <w:sz w:val="18"/>
                <w:szCs w:val="18"/>
              </w:rPr>
            </w:pPr>
            <w:r w:rsidRPr="00D20C84">
              <w:rPr>
                <w:sz w:val="18"/>
                <w:szCs w:val="18"/>
              </w:rPr>
              <w:t xml:space="preserve">New item </w:t>
            </w:r>
          </w:p>
        </w:tc>
        <w:tc>
          <w:tcPr>
            <w:tcW w:w="4110" w:type="dxa"/>
          </w:tcPr>
          <w:p w14:paraId="1E4B591F" w14:textId="77777777" w:rsidR="00543D47" w:rsidRPr="00D20C84" w:rsidRDefault="00543D47" w:rsidP="00D9610A">
            <w:pPr>
              <w:rPr>
                <w:sz w:val="18"/>
                <w:szCs w:val="18"/>
              </w:rPr>
            </w:pPr>
          </w:p>
        </w:tc>
        <w:tc>
          <w:tcPr>
            <w:tcW w:w="4110" w:type="dxa"/>
          </w:tcPr>
          <w:p w14:paraId="4BA6B11C" w14:textId="77777777" w:rsidR="00543D47" w:rsidRPr="00D20C84" w:rsidRDefault="00543D47" w:rsidP="00D9610A">
            <w:pPr>
              <w:rPr>
                <w:i/>
                <w:sz w:val="18"/>
                <w:szCs w:val="18"/>
              </w:rPr>
            </w:pPr>
            <w:r w:rsidRPr="00D20C84">
              <w:rPr>
                <w:i/>
                <w:sz w:val="18"/>
                <w:szCs w:val="18"/>
              </w:rPr>
              <w:t>Quantitation of cysteine, homocysteine, cyst</w:t>
            </w:r>
            <w:r>
              <w:rPr>
                <w:i/>
                <w:sz w:val="18"/>
                <w:szCs w:val="18"/>
              </w:rPr>
              <w:t>e</w:t>
            </w:r>
            <w:r w:rsidRPr="00D20C84">
              <w:rPr>
                <w:i/>
                <w:sz w:val="18"/>
                <w:szCs w:val="18"/>
              </w:rPr>
              <w:t>ine, lactate, pyruvate or other amino acids (except if performed as part of item 66773 or 66776) - 1 test</w:t>
            </w:r>
          </w:p>
        </w:tc>
      </w:tr>
    </w:tbl>
    <w:p w14:paraId="7D5B1C58" w14:textId="77777777" w:rsidR="00543D47" w:rsidRDefault="00543D47" w:rsidP="00543D47"/>
    <w:p w14:paraId="2B5B616B" w14:textId="77777777" w:rsidR="00543D47" w:rsidRDefault="00543D47" w:rsidP="00543D47">
      <w:pPr>
        <w:spacing w:before="0" w:after="0" w:line="240" w:lineRule="auto"/>
        <w:rPr>
          <w:rFonts w:eastAsiaTheme="minorHAnsi" w:cs="Arial"/>
          <w:b/>
          <w:bCs/>
          <w:iCs/>
          <w:color w:val="01653F"/>
          <w:sz w:val="26"/>
          <w:szCs w:val="22"/>
          <w:lang w:val="en-US" w:eastAsia="en-US"/>
        </w:rPr>
      </w:pPr>
      <w:r>
        <w:br w:type="page"/>
      </w:r>
    </w:p>
    <w:p w14:paraId="6BB50CAD" w14:textId="77777777" w:rsidR="00543D47" w:rsidRDefault="00543D47" w:rsidP="00543D47">
      <w:pPr>
        <w:pStyle w:val="Heading2"/>
      </w:pPr>
      <w:bookmarkStart w:id="153" w:name="_Toc514247628"/>
      <w:r>
        <w:lastRenderedPageBreak/>
        <w:t>Bone markers, HPLC, hormones and other</w:t>
      </w:r>
      <w:bookmarkEnd w:id="153"/>
    </w:p>
    <w:p w14:paraId="1BB43BA4" w14:textId="77777777" w:rsidR="00543D47" w:rsidRPr="00FE7006" w:rsidRDefault="00543D47" w:rsidP="00543D47">
      <w:pPr>
        <w:pStyle w:val="Heading3Numbered"/>
      </w:pPr>
      <w:r w:rsidRPr="00FE7006">
        <w:t>Collagen breakdown products: items 66773, 66776</w:t>
      </w:r>
    </w:p>
    <w:p w14:paraId="6C60C08B" w14:textId="77777777" w:rsidR="00543D47" w:rsidRPr="00370DFD" w:rsidRDefault="00543D47" w:rsidP="00543D47">
      <w:pPr>
        <w:pStyle w:val="Caption"/>
      </w:pPr>
      <w:bookmarkStart w:id="154" w:name="_Toc534374962"/>
      <w:r w:rsidRPr="00370DFD">
        <w:t xml:space="preserve">Table </w:t>
      </w:r>
      <w:r>
        <w:t>52</w:t>
      </w:r>
      <w:r w:rsidRPr="00370DFD">
        <w:t>. Item in</w:t>
      </w:r>
      <w:r>
        <w:t>troduction table for items 66773, 66776</w:t>
      </w:r>
      <w:bookmarkEnd w:id="154"/>
    </w:p>
    <w:tbl>
      <w:tblPr>
        <w:tblStyle w:val="TableGrid"/>
        <w:tblW w:w="9018" w:type="dxa"/>
        <w:tblBorders>
          <w:insideV w:val="single" w:sz="4" w:space="0" w:color="984806" w:themeColor="accent6" w:themeShade="80"/>
        </w:tblBorders>
        <w:tblLayout w:type="fixed"/>
        <w:tblLook w:val="04A0" w:firstRow="1" w:lastRow="0" w:firstColumn="1" w:lastColumn="0" w:noHBand="0" w:noVBand="1"/>
        <w:tblCaption w:val="Introduction table for items 66773 and 66776"/>
        <w:tblDescription w:val="Table 52 is a seven column table. Column 1 lists the items number, column 2 displays the item descriptor, column 3 displays the Schedule fee, column 4 displays the benefits paid in the 2014/15 financial year, column 5 displays the number of services provided in the 2014/15 financial year, column 6 displays the patient count in the 2014/15 financial year and column 7 shows the service change over 5 years displayed as a percentage"/>
      </w:tblPr>
      <w:tblGrid>
        <w:gridCol w:w="702"/>
        <w:gridCol w:w="2857"/>
        <w:gridCol w:w="1066"/>
        <w:gridCol w:w="1219"/>
        <w:gridCol w:w="1060"/>
        <w:gridCol w:w="1060"/>
        <w:gridCol w:w="1054"/>
      </w:tblGrid>
      <w:tr w:rsidR="00543D47" w:rsidRPr="00370DFD" w14:paraId="764E3F61" w14:textId="77777777" w:rsidTr="00D9610A">
        <w:trPr>
          <w:tblHeader/>
        </w:trPr>
        <w:tc>
          <w:tcPr>
            <w:tcW w:w="702" w:type="dxa"/>
            <w:vAlign w:val="center"/>
          </w:tcPr>
          <w:p w14:paraId="56C776A7" w14:textId="77777777" w:rsidR="00543D47" w:rsidRPr="00370DFD" w:rsidRDefault="00543D47" w:rsidP="00D9610A">
            <w:pPr>
              <w:rPr>
                <w:sz w:val="18"/>
                <w:szCs w:val="18"/>
              </w:rPr>
            </w:pPr>
            <w:r w:rsidRPr="00370DFD">
              <w:rPr>
                <w:b/>
                <w:sz w:val="18"/>
                <w:szCs w:val="18"/>
              </w:rPr>
              <w:t>Item</w:t>
            </w:r>
          </w:p>
        </w:tc>
        <w:tc>
          <w:tcPr>
            <w:tcW w:w="2857" w:type="dxa"/>
            <w:vAlign w:val="center"/>
          </w:tcPr>
          <w:p w14:paraId="3D1FBCB6"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05975602" w14:textId="77777777" w:rsidR="00543D47" w:rsidRPr="00370DFD" w:rsidRDefault="00543D47" w:rsidP="00D9610A">
            <w:pPr>
              <w:rPr>
                <w:sz w:val="18"/>
                <w:szCs w:val="18"/>
              </w:rPr>
            </w:pPr>
            <w:r w:rsidRPr="00370DFD">
              <w:rPr>
                <w:b/>
                <w:sz w:val="18"/>
                <w:szCs w:val="18"/>
              </w:rPr>
              <w:t>Schedule</w:t>
            </w:r>
            <w:r>
              <w:rPr>
                <w:b/>
                <w:sz w:val="18"/>
                <w:szCs w:val="18"/>
              </w:rPr>
              <w:t xml:space="preserve"> f</w:t>
            </w:r>
            <w:r w:rsidRPr="00370DFD">
              <w:rPr>
                <w:b/>
                <w:sz w:val="18"/>
                <w:szCs w:val="18"/>
              </w:rPr>
              <w:t>ee</w:t>
            </w:r>
          </w:p>
        </w:tc>
        <w:tc>
          <w:tcPr>
            <w:tcW w:w="1219" w:type="dxa"/>
            <w:vAlign w:val="center"/>
          </w:tcPr>
          <w:p w14:paraId="19CB2D92"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229FFF46" w14:textId="77777777" w:rsidR="00543D47" w:rsidRPr="00370DFD" w:rsidRDefault="00543D47" w:rsidP="00D9610A">
            <w:pPr>
              <w:rPr>
                <w:sz w:val="18"/>
                <w:szCs w:val="18"/>
              </w:rPr>
            </w:pPr>
            <w:r w:rsidRPr="00370DFD">
              <w:rPr>
                <w:b/>
                <w:sz w:val="18"/>
                <w:szCs w:val="18"/>
              </w:rPr>
              <w:t xml:space="preserve">Services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6F10F3F9" w14:textId="77777777" w:rsidR="00543D47" w:rsidRPr="00370DFD" w:rsidRDefault="00543D47" w:rsidP="00D9610A">
            <w:pPr>
              <w:rPr>
                <w:sz w:val="18"/>
                <w:szCs w:val="18"/>
              </w:rPr>
            </w:pPr>
            <w:r w:rsidRPr="00370DFD">
              <w:rPr>
                <w:b/>
                <w:sz w:val="18"/>
                <w:szCs w:val="18"/>
              </w:rPr>
              <w:t>Patient count 2014-15</w:t>
            </w:r>
          </w:p>
        </w:tc>
        <w:tc>
          <w:tcPr>
            <w:tcW w:w="1054" w:type="dxa"/>
            <w:vAlign w:val="center"/>
          </w:tcPr>
          <w:p w14:paraId="786C8599"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7FB92E62" w14:textId="77777777" w:rsidTr="00D9610A">
        <w:tc>
          <w:tcPr>
            <w:tcW w:w="702" w:type="dxa"/>
          </w:tcPr>
          <w:p w14:paraId="32E275BC" w14:textId="77777777" w:rsidR="00543D47" w:rsidRPr="00AC5169" w:rsidRDefault="00543D47" w:rsidP="00D9610A">
            <w:pPr>
              <w:rPr>
                <w:sz w:val="18"/>
                <w:szCs w:val="18"/>
              </w:rPr>
            </w:pPr>
            <w:r w:rsidRPr="00AC5169">
              <w:rPr>
                <w:sz w:val="18"/>
                <w:szCs w:val="18"/>
              </w:rPr>
              <w:t>66773</w:t>
            </w:r>
          </w:p>
        </w:tc>
        <w:tc>
          <w:tcPr>
            <w:tcW w:w="2857" w:type="dxa"/>
          </w:tcPr>
          <w:p w14:paraId="34CB6CC3" w14:textId="77777777" w:rsidR="00543D47" w:rsidRPr="00AC5169" w:rsidRDefault="00543D47" w:rsidP="00D9610A">
            <w:pPr>
              <w:rPr>
                <w:sz w:val="18"/>
                <w:szCs w:val="18"/>
              </w:rPr>
            </w:pPr>
            <w:r w:rsidRPr="000721C1">
              <w:rPr>
                <w:rFonts w:ascii="Calibri" w:hAnsi="Calibri"/>
                <w:color w:val="000000"/>
                <w:sz w:val="18"/>
                <w:szCs w:val="18"/>
              </w:rPr>
              <w:t>Quantitation of products of collagen breakdown or formation for the monitoring of patients with proven low bone mineral density, and if performed, a service described in item 66752 - 1 or more tests (Low bone densitometry is defined in the explanatory notes to Category 2 - Diagnostic Procedures and Investigations of the Medicare Benefits Schedule)</w:t>
            </w:r>
          </w:p>
        </w:tc>
        <w:tc>
          <w:tcPr>
            <w:tcW w:w="1066" w:type="dxa"/>
          </w:tcPr>
          <w:p w14:paraId="7B1848E8" w14:textId="77777777" w:rsidR="00543D47" w:rsidRPr="00AC5169" w:rsidRDefault="00543D47" w:rsidP="00D9610A">
            <w:pPr>
              <w:rPr>
                <w:sz w:val="18"/>
                <w:szCs w:val="18"/>
              </w:rPr>
            </w:pPr>
            <w:r w:rsidRPr="000721C1">
              <w:rPr>
                <w:rFonts w:ascii="Calibri" w:hAnsi="Calibri"/>
                <w:color w:val="000000"/>
                <w:sz w:val="18"/>
                <w:szCs w:val="18"/>
              </w:rPr>
              <w:t>24.65</w:t>
            </w:r>
          </w:p>
        </w:tc>
        <w:tc>
          <w:tcPr>
            <w:tcW w:w="1219" w:type="dxa"/>
          </w:tcPr>
          <w:p w14:paraId="6DB1E4D7" w14:textId="77777777" w:rsidR="00543D47" w:rsidRPr="00AC5169" w:rsidRDefault="00543D47" w:rsidP="00D9610A">
            <w:pPr>
              <w:rPr>
                <w:sz w:val="18"/>
                <w:szCs w:val="18"/>
              </w:rPr>
            </w:pPr>
            <w:r w:rsidRPr="000721C1">
              <w:rPr>
                <w:rFonts w:ascii="Calibri" w:hAnsi="Calibri"/>
                <w:color w:val="000000"/>
                <w:sz w:val="18"/>
                <w:szCs w:val="18"/>
              </w:rPr>
              <w:t>$906,370</w:t>
            </w:r>
          </w:p>
        </w:tc>
        <w:tc>
          <w:tcPr>
            <w:tcW w:w="1060" w:type="dxa"/>
          </w:tcPr>
          <w:p w14:paraId="5CA4EFFC" w14:textId="77777777" w:rsidR="00543D47" w:rsidRPr="00AC5169" w:rsidRDefault="00543D47" w:rsidP="00D9610A">
            <w:pPr>
              <w:rPr>
                <w:sz w:val="18"/>
                <w:szCs w:val="18"/>
              </w:rPr>
            </w:pPr>
            <w:r w:rsidRPr="000721C1">
              <w:rPr>
                <w:rFonts w:ascii="Calibri" w:hAnsi="Calibri"/>
                <w:color w:val="000000"/>
                <w:sz w:val="18"/>
                <w:szCs w:val="18"/>
              </w:rPr>
              <w:t>43,017</w:t>
            </w:r>
          </w:p>
        </w:tc>
        <w:tc>
          <w:tcPr>
            <w:tcW w:w="1060" w:type="dxa"/>
          </w:tcPr>
          <w:p w14:paraId="3E977555" w14:textId="77777777" w:rsidR="00543D47" w:rsidRPr="00AC5169" w:rsidRDefault="00543D47" w:rsidP="00D9610A">
            <w:pPr>
              <w:rPr>
                <w:sz w:val="18"/>
                <w:szCs w:val="18"/>
              </w:rPr>
            </w:pPr>
            <w:r w:rsidRPr="000721C1">
              <w:rPr>
                <w:rFonts w:ascii="Calibri" w:hAnsi="Calibri"/>
                <w:color w:val="000000"/>
                <w:sz w:val="18"/>
                <w:szCs w:val="18"/>
              </w:rPr>
              <w:t>34,260</w:t>
            </w:r>
          </w:p>
        </w:tc>
        <w:tc>
          <w:tcPr>
            <w:tcW w:w="1054" w:type="dxa"/>
          </w:tcPr>
          <w:p w14:paraId="537D0F1A" w14:textId="77777777" w:rsidR="00543D47" w:rsidRPr="00AC5169" w:rsidRDefault="00543D47" w:rsidP="00D9610A">
            <w:pPr>
              <w:rPr>
                <w:sz w:val="18"/>
                <w:szCs w:val="18"/>
              </w:rPr>
            </w:pPr>
            <w:r w:rsidRPr="000721C1">
              <w:rPr>
                <w:rFonts w:ascii="Calibri" w:hAnsi="Calibri"/>
                <w:color w:val="000000"/>
                <w:sz w:val="18"/>
                <w:szCs w:val="18"/>
              </w:rPr>
              <w:t>15.5%</w:t>
            </w:r>
          </w:p>
        </w:tc>
      </w:tr>
      <w:tr w:rsidR="00543D47" w:rsidRPr="00370DFD" w14:paraId="22031224" w14:textId="77777777" w:rsidTr="00D9610A">
        <w:tc>
          <w:tcPr>
            <w:tcW w:w="702" w:type="dxa"/>
          </w:tcPr>
          <w:p w14:paraId="7E3572EA" w14:textId="77777777" w:rsidR="00543D47" w:rsidRPr="00AC5169" w:rsidRDefault="00543D47" w:rsidP="00D9610A">
            <w:pPr>
              <w:rPr>
                <w:sz w:val="18"/>
                <w:szCs w:val="18"/>
              </w:rPr>
            </w:pPr>
            <w:r w:rsidRPr="00AC5169">
              <w:rPr>
                <w:sz w:val="18"/>
                <w:szCs w:val="18"/>
              </w:rPr>
              <w:t>66776</w:t>
            </w:r>
          </w:p>
        </w:tc>
        <w:tc>
          <w:tcPr>
            <w:tcW w:w="2857" w:type="dxa"/>
          </w:tcPr>
          <w:p w14:paraId="63866B06" w14:textId="77777777" w:rsidR="00543D47" w:rsidRPr="00AC5169" w:rsidRDefault="00543D47" w:rsidP="00D9610A">
            <w:pPr>
              <w:rPr>
                <w:sz w:val="18"/>
                <w:szCs w:val="18"/>
              </w:rPr>
            </w:pPr>
            <w:r w:rsidRPr="000721C1">
              <w:rPr>
                <w:rFonts w:ascii="Calibri" w:hAnsi="Calibri"/>
                <w:color w:val="000000"/>
                <w:sz w:val="18"/>
                <w:szCs w:val="18"/>
              </w:rPr>
              <w:t>Quantitation of products of collagen breakdown or formation for the monitoring of patients with metabolic bone disease or Paget's disease of bone, and if performed, a service described in item 66752 - 1 or more tests</w:t>
            </w:r>
          </w:p>
        </w:tc>
        <w:tc>
          <w:tcPr>
            <w:tcW w:w="1066" w:type="dxa"/>
          </w:tcPr>
          <w:p w14:paraId="36C4B44D" w14:textId="77777777" w:rsidR="00543D47" w:rsidRPr="00AC5169" w:rsidRDefault="00543D47" w:rsidP="00D9610A">
            <w:pPr>
              <w:rPr>
                <w:sz w:val="18"/>
                <w:szCs w:val="18"/>
              </w:rPr>
            </w:pPr>
            <w:r w:rsidRPr="000721C1">
              <w:rPr>
                <w:rFonts w:ascii="Calibri" w:hAnsi="Calibri"/>
                <w:color w:val="000000"/>
                <w:sz w:val="18"/>
                <w:szCs w:val="18"/>
              </w:rPr>
              <w:t>24.65</w:t>
            </w:r>
          </w:p>
        </w:tc>
        <w:tc>
          <w:tcPr>
            <w:tcW w:w="1219" w:type="dxa"/>
          </w:tcPr>
          <w:p w14:paraId="3345AFC3" w14:textId="77777777" w:rsidR="00543D47" w:rsidRPr="00AC5169" w:rsidRDefault="00543D47" w:rsidP="00D9610A">
            <w:pPr>
              <w:rPr>
                <w:sz w:val="18"/>
                <w:szCs w:val="18"/>
              </w:rPr>
            </w:pPr>
            <w:r w:rsidRPr="000721C1">
              <w:rPr>
                <w:rFonts w:ascii="Calibri" w:hAnsi="Calibri"/>
                <w:color w:val="000000"/>
                <w:sz w:val="18"/>
                <w:szCs w:val="18"/>
              </w:rPr>
              <w:t>$562,509</w:t>
            </w:r>
          </w:p>
        </w:tc>
        <w:tc>
          <w:tcPr>
            <w:tcW w:w="1060" w:type="dxa"/>
          </w:tcPr>
          <w:p w14:paraId="137491C0" w14:textId="77777777" w:rsidR="00543D47" w:rsidRPr="00AC5169" w:rsidRDefault="00543D47" w:rsidP="00D9610A">
            <w:pPr>
              <w:rPr>
                <w:sz w:val="18"/>
                <w:szCs w:val="18"/>
              </w:rPr>
            </w:pPr>
            <w:r w:rsidRPr="000721C1">
              <w:rPr>
                <w:rFonts w:ascii="Calibri" w:hAnsi="Calibri"/>
                <w:color w:val="000000"/>
                <w:sz w:val="18"/>
                <w:szCs w:val="18"/>
              </w:rPr>
              <w:t>26,409</w:t>
            </w:r>
          </w:p>
        </w:tc>
        <w:tc>
          <w:tcPr>
            <w:tcW w:w="1060" w:type="dxa"/>
          </w:tcPr>
          <w:p w14:paraId="7A083848" w14:textId="77777777" w:rsidR="00543D47" w:rsidRPr="00AC5169" w:rsidRDefault="00543D47" w:rsidP="00D9610A">
            <w:pPr>
              <w:rPr>
                <w:sz w:val="18"/>
                <w:szCs w:val="18"/>
              </w:rPr>
            </w:pPr>
            <w:r w:rsidRPr="000721C1">
              <w:rPr>
                <w:rFonts w:ascii="Calibri" w:hAnsi="Calibri"/>
                <w:color w:val="000000"/>
                <w:sz w:val="18"/>
                <w:szCs w:val="18"/>
              </w:rPr>
              <w:t>22,820</w:t>
            </w:r>
          </w:p>
        </w:tc>
        <w:tc>
          <w:tcPr>
            <w:tcW w:w="1054" w:type="dxa"/>
          </w:tcPr>
          <w:p w14:paraId="28641194" w14:textId="77777777" w:rsidR="00543D47" w:rsidRPr="00AC5169" w:rsidRDefault="00543D47" w:rsidP="00D9610A">
            <w:pPr>
              <w:rPr>
                <w:sz w:val="18"/>
                <w:szCs w:val="18"/>
              </w:rPr>
            </w:pPr>
            <w:r w:rsidRPr="000721C1">
              <w:rPr>
                <w:rFonts w:ascii="Calibri" w:hAnsi="Calibri"/>
                <w:color w:val="000000"/>
                <w:sz w:val="18"/>
                <w:szCs w:val="18"/>
              </w:rPr>
              <w:t>10.3%</w:t>
            </w:r>
          </w:p>
        </w:tc>
      </w:tr>
    </w:tbl>
    <w:p w14:paraId="6ADBAB78" w14:textId="77777777" w:rsidR="00543D47" w:rsidRPr="00370DFD" w:rsidRDefault="00543D47" w:rsidP="00543D47">
      <w:pPr>
        <w:pStyle w:val="Heading4"/>
        <w:rPr>
          <w:lang w:val="en-AU"/>
        </w:rPr>
      </w:pPr>
      <w:r w:rsidRPr="00370DFD">
        <w:rPr>
          <w:lang w:val="en-AU"/>
        </w:rPr>
        <w:t>Recommendation</w:t>
      </w:r>
      <w:r>
        <w:rPr>
          <w:lang w:val="en-AU"/>
        </w:rPr>
        <w:t>s</w:t>
      </w:r>
      <w:r w:rsidRPr="00370DFD">
        <w:rPr>
          <w:lang w:val="en-AU"/>
        </w:rPr>
        <w:t xml:space="preserve"> </w:t>
      </w:r>
    </w:p>
    <w:p w14:paraId="084E03DF" w14:textId="77777777" w:rsidR="00543D47" w:rsidRPr="00370DFD" w:rsidRDefault="00543D47" w:rsidP="00543D47">
      <w:pPr>
        <w:pStyle w:val="BodyText"/>
      </w:pPr>
      <w:r w:rsidRPr="00370DFD">
        <w:t xml:space="preserve">The </w:t>
      </w:r>
      <w:r>
        <w:t>Committee</w:t>
      </w:r>
      <w:r w:rsidRPr="00370DFD">
        <w:t xml:space="preserve"> proposes the following:</w:t>
      </w:r>
    </w:p>
    <w:p w14:paraId="33F73D6E" w14:textId="77777777" w:rsidR="00543D47" w:rsidRDefault="00543D47" w:rsidP="00543D47">
      <w:pPr>
        <w:pStyle w:val="NormalBulleted"/>
      </w:pPr>
      <w:r>
        <w:t xml:space="preserve">Limit testing to 2 tests within a 12-month period. </w:t>
      </w:r>
    </w:p>
    <w:p w14:paraId="2EFC8060" w14:textId="77777777" w:rsidR="00543D47" w:rsidRPr="00BD4D2A" w:rsidRDefault="00543D47" w:rsidP="00543D47">
      <w:pPr>
        <w:pStyle w:val="Heading4"/>
      </w:pPr>
      <w:r w:rsidRPr="00370DFD">
        <w:rPr>
          <w:lang w:val="en-AU"/>
        </w:rPr>
        <w:t>Rationale</w:t>
      </w:r>
    </w:p>
    <w:p w14:paraId="27D5AD6E" w14:textId="77777777" w:rsidR="00543D47" w:rsidRPr="00B668AC" w:rsidRDefault="00543D47" w:rsidP="00543D47">
      <w:pPr>
        <w:pStyle w:val="NormalBulleted"/>
      </w:pPr>
      <w:r>
        <w:t>Item 66773 is used to test collagen breakdown or formation products in patients with proven low bone mineral density.</w:t>
      </w:r>
      <w:r w:rsidRPr="004F3E6C">
        <w:t xml:space="preserve"> </w:t>
      </w:r>
      <w:r>
        <w:t xml:space="preserve">The definition for low bone mineral density for item 66773 is </w:t>
      </w:r>
      <w:r w:rsidRPr="00B668AC">
        <w:t>bone mineral density decrease of 1.5 SD below the age-matched mean or more than 2.5 SD below the young normal mean at the same site and in the same gender.</w:t>
      </w:r>
    </w:p>
    <w:p w14:paraId="4B6B2489" w14:textId="77777777" w:rsidR="00543D47" w:rsidRDefault="00543D47" w:rsidP="00543D47">
      <w:pPr>
        <w:pStyle w:val="NormalBulleted"/>
      </w:pPr>
      <w:r>
        <w:t xml:space="preserve">Item 66776 is used for monitoring patients with metabolic bone </w:t>
      </w:r>
      <w:proofErr w:type="gramStart"/>
      <w:r>
        <w:t>disease, and</w:t>
      </w:r>
      <w:proofErr w:type="gramEnd"/>
      <w:r>
        <w:t xml:space="preserve"> is used in conjunction with item 66752.</w:t>
      </w:r>
      <w:r w:rsidRPr="004F3E6C">
        <w:t xml:space="preserve"> </w:t>
      </w:r>
    </w:p>
    <w:p w14:paraId="686571DC" w14:textId="77777777" w:rsidR="00543D47" w:rsidRDefault="00543D47" w:rsidP="00543D47">
      <w:pPr>
        <w:pStyle w:val="NormalBulleted"/>
      </w:pPr>
      <w:r>
        <w:t xml:space="preserve">The International Osteoporosis Foundation and the International Federation of Clinical Chemistry and Laboratory Medicine recommend that C-terminal telopeptide of type 1 collagen (CTX) and procollagen type 1 N </w:t>
      </w:r>
      <w:proofErr w:type="spellStart"/>
      <w:r>
        <w:t>propeptide</w:t>
      </w:r>
      <w:proofErr w:type="spellEnd"/>
      <w:r>
        <w:t xml:space="preserve"> (P1NP) are used as markers for bone resorption and </w:t>
      </w:r>
      <w:r>
        <w:lastRenderedPageBreak/>
        <w:t>bone formation, respectively.</w:t>
      </w:r>
      <w:r>
        <w:fldChar w:fldCharType="begin"/>
      </w:r>
      <w:r>
        <w:instrText xml:space="preserve"> ADDIN EN.CITE &lt;EndNote&gt;&lt;Cite&gt;&lt;Author&gt;Practitioners&lt;/Author&gt;&lt;Year&gt;2010&lt;/Year&gt;&lt;RecNum&gt;39&lt;/RecNum&gt;&lt;DisplayText&gt;&lt;style face="superscript"&gt;16&lt;/style&gt;&lt;/DisplayText&gt;&lt;record&gt;&lt;rec-number&gt;39&lt;/rec-number&gt;&lt;foreign-keys&gt;&lt;key app="EN" db-id="dfs5xeapdpddpyexds6ppreypt5sp9spp2a5" timestamp="1497586416"&gt;39&lt;/key&gt;&lt;/foreign-keys&gt;&lt;ref-type name="Web Page"&gt;12&lt;/ref-type&gt;&lt;contributors&gt;&lt;authors&gt;&lt;author&gt;Royal Australian College of General Practitioners&lt;/author&gt;&lt;/authors&gt;&lt;/contributors&gt;&lt;titles&gt;&lt;title&gt;Clinical guideline for the prevention and treatment of osteoporosis in postmenopausal women and men over 50 years of age&lt;/title&gt;&lt;/titles&gt;&lt;volume&gt;2017&lt;/volume&gt;&lt;number&gt;16th June&lt;/number&gt;&lt;dates&gt;&lt;year&gt;2010&lt;/year&gt;&lt;/dates&gt;&lt;urls&gt;&lt;related-urls&gt;&lt;url&gt;http://www.racgp.org.au/download/Documents/Guidelines/Musculoskeletal/osteoporosis-guidelines.pdf&lt;/url&gt;&lt;/related-urls&gt;&lt;/urls&gt;&lt;/record&gt;&lt;/Cite&gt;&lt;/EndNote&gt;</w:instrText>
      </w:r>
      <w:r>
        <w:fldChar w:fldCharType="separate"/>
      </w:r>
      <w:r w:rsidRPr="00811642">
        <w:rPr>
          <w:noProof/>
          <w:vertAlign w:val="superscript"/>
        </w:rPr>
        <w:t>16</w:t>
      </w:r>
      <w:r>
        <w:fldChar w:fldCharType="end"/>
      </w:r>
      <w:r>
        <w:t xml:space="preserve"> Other markers such as alkaline phosphatase are still useful in detecting conditions with gross elevations in bon turnover such as Paget’s disease. Two recent papers published addressing this issues are: the Belgian Bone Club</w:t>
      </w:r>
      <w:r>
        <w:fldChar w:fldCharType="begin">
          <w:fldData xml:space="preserve">PEVuZE5vdGU+PENpdGU+PEF1dGhvcj5DYXZhbGllcjwvQXV0aG9yPjxZZWFyPjIwMTY8L1llYXI+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T3N0ZW9wb3Jvc2lzIEZvdW5kYXRpb24gb2YgdGhlIFVTQTwvYWJici0xPjwvcGVyaW9kaWNhbD48
YWx0LXBlcmlvZGljYWw+PGZ1bGwtdGl0bGU+T3N0ZW9wb3JvcyBJbnQ8L2Z1bGwtdGl0bGU+PGFi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b2YgdGhlIFVTQTwvYWJici0xPjwvYWx0LXBlcmlvZGljYWw+PHBhZ2VzPjIxODEtOTU8L3BhZ2Vz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</w:fldData>
        </w:fldChar>
      </w:r>
      <w:r>
        <w:instrText xml:space="preserve"> ADDIN EN.CITE </w:instrText>
      </w:r>
      <w:r>
        <w:fldChar w:fldCharType="begin">
          <w:fldData xml:space="preserve">PEVuZE5vdGU+PENpdGU+PEF1dGhvcj5DYXZhbGllcjwvQXV0aG9yPjxZZWFyPjIwMTY8L1llYXI+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T3N0ZW9wb3Jvc2lzIEZvdW5kYXRpb24gb2YgdGhlIFVTQTwvYWJici0xPjwvcGVyaW9kaWNhbD48
YWx0LXBlcmlvZGljYWw+PGZ1bGwtdGl0bGU+T3N0ZW9wb3JvcyBJbnQ8L2Z1bGwtdGl0bGU+PGFi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b2YgdGhlIFVTQTwvYWJici0xPjwvYWx0LXBlcmlvZGljYWw+PHBhZ2VzPjIxODEtOTU8L3BhZ2Vz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</w:fldData>
        </w:fldChar>
      </w:r>
      <w:r>
        <w:instrText xml:space="preserve"> ADDIN EN.CITE.DATA </w:instrText>
      </w:r>
      <w:r>
        <w:fldChar w:fldCharType="end"/>
      </w:r>
      <w:r>
        <w:fldChar w:fldCharType="separate"/>
      </w:r>
      <w:r w:rsidRPr="00811642">
        <w:rPr>
          <w:noProof/>
          <w:vertAlign w:val="superscript"/>
        </w:rPr>
        <w:t>17</w:t>
      </w:r>
      <w:r>
        <w:fldChar w:fldCharType="end"/>
      </w:r>
      <w:r>
        <w:t xml:space="preserve"> and </w:t>
      </w:r>
      <w:proofErr w:type="spellStart"/>
      <w:r>
        <w:t>Vasikaran</w:t>
      </w:r>
      <w:proofErr w:type="spellEnd"/>
      <w:r>
        <w:t xml:space="preserve"> &amp; Chubb.</w:t>
      </w:r>
      <w:r>
        <w:fldChar w:fldCharType="begin"/>
      </w:r>
      <w:r>
        <w:instrText xml:space="preserve"> ADDIN EN.CITE &lt;EndNote&gt;&lt;Cite&gt;&lt;Author&gt;Vasikaran&lt;/Author&gt;&lt;Year&gt;2016&lt;/Year&gt;&lt;RecNum&gt;7&lt;/RecNum&gt;&lt;DisplayText&gt;&lt;style face="superscript"&gt;18&lt;/style&gt;&lt;/DisplayText&gt;&lt;record&gt;&lt;rec-number&gt;7&lt;/rec-number&gt;&lt;foreign-keys&gt;&lt;key app="EN" db-id="dfs5xeapdpddpyexds6ppreypt5sp9spp2a5" timestamp="1475802896"&gt;7&lt;/key&gt;&lt;/foreign-keys&gt;&lt;ref-type name="Journal Article"&gt;17&lt;/ref-type&gt;&lt;contributors&gt;&lt;authors&gt;&lt;author&gt;Vasikaran, Samuel D.&lt;/author&gt;&lt;author&gt;Paul Chubb, S. A.&lt;/author&gt;&lt;/authors&gt;&lt;/contributors&gt;&lt;titles&gt;&lt;title&gt;The use of biochemical markers of bone turnover in the clinical management of primary and secondary osteoporosis&lt;/title&gt;&lt;secondary-title&gt;Endocrine&lt;/secondary-title&gt;&lt;/titles&gt;&lt;periodical&gt;&lt;full-title&gt;Endocrine&lt;/full-title&gt;&lt;/periodical&gt;&lt;pages&gt;222-225&lt;/pages&gt;&lt;volume&gt;52&lt;/volume&gt;&lt;number&gt;2&lt;/number&gt;&lt;dates&gt;&lt;year&gt;2016&lt;/year&gt;&lt;/dates&gt;&lt;isbn&gt;1559-0100&lt;/isbn&gt;&lt;label&gt;Vasikaran2016&lt;/label&gt;&lt;work-type&gt;journal article&lt;/work-type&gt;&lt;urls&gt;&lt;related-urls&gt;&lt;url&gt;http://dx.doi.org/10.1007/s12020-016-0900-2&lt;/url&gt;&lt;/related-urls&gt;&lt;/urls&gt;&lt;electronic-resource-num&gt;10.1007/s12020-016-0900-2&lt;/electronic-resource-num&gt;&lt;/record&gt;&lt;/Cite&gt;&lt;/EndNote&gt;</w:instrText>
      </w:r>
      <w:r>
        <w:fldChar w:fldCharType="separate"/>
      </w:r>
      <w:r w:rsidRPr="00811642">
        <w:rPr>
          <w:noProof/>
          <w:vertAlign w:val="superscript"/>
        </w:rPr>
        <w:t>18</w:t>
      </w:r>
      <w:r>
        <w:fldChar w:fldCharType="end"/>
      </w:r>
      <w:r>
        <w:t xml:space="preserve"> The paper by </w:t>
      </w:r>
      <w:proofErr w:type="spellStart"/>
      <w:r>
        <w:t>Vasikaran</w:t>
      </w:r>
      <w:proofErr w:type="spellEnd"/>
      <w:r>
        <w:t xml:space="preserve"> &amp; Chubb states that there is no evidence for the use of biochemical markers of bone turnover for decision to treat or treatment selection.</w:t>
      </w:r>
    </w:p>
    <w:p w14:paraId="16CDF9D0" w14:textId="77777777" w:rsidR="00543D47" w:rsidRDefault="00543D47" w:rsidP="00543D47">
      <w:pPr>
        <w:pStyle w:val="NormalBulleted"/>
      </w:pPr>
      <w:r>
        <w:t>The Alfred Hospital in VIC is a significant provider of these services with ~75% of requests for these items for both P1NP and CTX.</w:t>
      </w:r>
    </w:p>
    <w:p w14:paraId="76F561D2" w14:textId="77777777" w:rsidR="00543D47" w:rsidRDefault="00543D47" w:rsidP="00543D47">
      <w:pPr>
        <w:pStyle w:val="NormalBulleted"/>
      </w:pPr>
      <w:r>
        <w:t xml:space="preserve">The Committee noted that the Endocrine Clinical Committee has previously reviewed items 66773 and </w:t>
      </w:r>
      <w:proofErr w:type="gramStart"/>
      <w:r>
        <w:t>66776, and</w:t>
      </w:r>
      <w:proofErr w:type="gramEnd"/>
      <w:r>
        <w:t xml:space="preserve"> recommended that the items remain unchanged on the Schedule.</w:t>
      </w:r>
    </w:p>
    <w:p w14:paraId="3EB6BD82" w14:textId="77777777" w:rsidR="00543D47" w:rsidRDefault="00543D47" w:rsidP="00543D47">
      <w:pPr>
        <w:pStyle w:val="NormalBulleted"/>
      </w:pPr>
      <w:r>
        <w:t>The Committee recommend limiting testing to two tests within a 12-month period as there is no clinical necessity to repeat the test more often than that.</w:t>
      </w:r>
    </w:p>
    <w:p w14:paraId="039106C3" w14:textId="77777777" w:rsidR="00543D47" w:rsidRDefault="00543D47" w:rsidP="00543D47">
      <w:pPr>
        <w:pStyle w:val="Heading2"/>
      </w:pPr>
      <w:bookmarkStart w:id="155" w:name="_Toc514247629"/>
      <w:r w:rsidRPr="00FE7006">
        <w:t>Adrenaline</w:t>
      </w:r>
      <w:r>
        <w:t xml:space="preserve">, 5HIAA, </w:t>
      </w:r>
      <w:proofErr w:type="spellStart"/>
      <w:r>
        <w:t>metanephrins</w:t>
      </w:r>
      <w:proofErr w:type="spellEnd"/>
      <w:r>
        <w:t>: items 66779, 66780</w:t>
      </w:r>
      <w:bookmarkEnd w:id="155"/>
    </w:p>
    <w:p w14:paraId="6DBD14D8" w14:textId="77777777" w:rsidR="00543D47" w:rsidRPr="00370DFD" w:rsidRDefault="00543D47" w:rsidP="00543D47">
      <w:pPr>
        <w:pStyle w:val="Caption"/>
      </w:pPr>
      <w:bookmarkStart w:id="156" w:name="_Toc534374963"/>
      <w:r w:rsidRPr="00370DFD">
        <w:t xml:space="preserve">Table </w:t>
      </w:r>
      <w:r>
        <w:t>53</w:t>
      </w:r>
      <w:r w:rsidRPr="00370DFD">
        <w:t>. Item in</w:t>
      </w:r>
      <w:r>
        <w:t>troduction table for items 66779, 66780</w:t>
      </w:r>
      <w:bookmarkEnd w:id="156"/>
    </w:p>
    <w:tbl>
      <w:tblPr>
        <w:tblStyle w:val="TableGrid"/>
        <w:tblW w:w="9018" w:type="dxa"/>
        <w:tblBorders>
          <w:insideV w:val="single" w:sz="4" w:space="0" w:color="984806" w:themeColor="accent6" w:themeShade="80"/>
        </w:tblBorders>
        <w:tblLayout w:type="fixed"/>
        <w:tblLook w:val="04A0" w:firstRow="1" w:lastRow="0" w:firstColumn="1" w:lastColumn="0" w:noHBand="0" w:noVBand="1"/>
        <w:tblCaption w:val="Table 53. Item introduction table for items 66779, 66780"/>
        <w:tblDescription w:val="Table 55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w:tblPr>
      <w:tblGrid>
        <w:gridCol w:w="702"/>
        <w:gridCol w:w="2857"/>
        <w:gridCol w:w="1066"/>
        <w:gridCol w:w="1219"/>
        <w:gridCol w:w="1060"/>
        <w:gridCol w:w="1060"/>
        <w:gridCol w:w="1054"/>
      </w:tblGrid>
      <w:tr w:rsidR="00543D47" w:rsidRPr="00370DFD" w14:paraId="7DECE246" w14:textId="77777777" w:rsidTr="00D9610A">
        <w:trPr>
          <w:tblHeader/>
        </w:trPr>
        <w:tc>
          <w:tcPr>
            <w:tcW w:w="702" w:type="dxa"/>
            <w:vAlign w:val="center"/>
          </w:tcPr>
          <w:p w14:paraId="09D5908B" w14:textId="77777777" w:rsidR="00543D47" w:rsidRPr="00370DFD" w:rsidRDefault="00543D47" w:rsidP="00D9610A">
            <w:pPr>
              <w:rPr>
                <w:sz w:val="18"/>
                <w:szCs w:val="18"/>
              </w:rPr>
            </w:pPr>
            <w:r w:rsidRPr="00370DFD">
              <w:rPr>
                <w:b/>
                <w:sz w:val="18"/>
                <w:szCs w:val="18"/>
              </w:rPr>
              <w:t>Item</w:t>
            </w:r>
          </w:p>
        </w:tc>
        <w:tc>
          <w:tcPr>
            <w:tcW w:w="2857" w:type="dxa"/>
            <w:vAlign w:val="center"/>
          </w:tcPr>
          <w:p w14:paraId="6116D187"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43710840" w14:textId="77777777" w:rsidR="00543D47" w:rsidRPr="00370DFD" w:rsidRDefault="00543D47" w:rsidP="00D9610A">
            <w:pPr>
              <w:rPr>
                <w:sz w:val="18"/>
                <w:szCs w:val="18"/>
              </w:rPr>
            </w:pPr>
            <w:r w:rsidRPr="00370DFD">
              <w:rPr>
                <w:b/>
                <w:sz w:val="18"/>
                <w:szCs w:val="18"/>
              </w:rPr>
              <w:t>Schedule</w:t>
            </w:r>
            <w:r>
              <w:rPr>
                <w:b/>
                <w:sz w:val="18"/>
                <w:szCs w:val="18"/>
              </w:rPr>
              <w:br/>
              <w:t>f</w:t>
            </w:r>
            <w:r w:rsidRPr="00370DFD">
              <w:rPr>
                <w:b/>
                <w:sz w:val="18"/>
                <w:szCs w:val="18"/>
              </w:rPr>
              <w:t>ee</w:t>
            </w:r>
          </w:p>
        </w:tc>
        <w:tc>
          <w:tcPr>
            <w:tcW w:w="1219" w:type="dxa"/>
            <w:vAlign w:val="center"/>
          </w:tcPr>
          <w:p w14:paraId="625661C7"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26F20A07" w14:textId="77777777" w:rsidR="00543D47" w:rsidRPr="00370DFD" w:rsidRDefault="00543D47" w:rsidP="00D9610A">
            <w:pPr>
              <w:rPr>
                <w:sz w:val="18"/>
                <w:szCs w:val="18"/>
              </w:rPr>
            </w:pPr>
            <w:r w:rsidRPr="00370DFD">
              <w:rPr>
                <w:b/>
                <w:sz w:val="18"/>
                <w:szCs w:val="18"/>
              </w:rPr>
              <w:t xml:space="preserve">Services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2E777640" w14:textId="77777777" w:rsidR="00543D47" w:rsidRPr="00370DFD" w:rsidRDefault="00543D47" w:rsidP="00D9610A">
            <w:pPr>
              <w:rPr>
                <w:sz w:val="18"/>
                <w:szCs w:val="18"/>
              </w:rPr>
            </w:pPr>
            <w:r w:rsidRPr="00370DFD">
              <w:rPr>
                <w:b/>
                <w:sz w:val="18"/>
                <w:szCs w:val="18"/>
              </w:rPr>
              <w:t>Patient count 2014-15</w:t>
            </w:r>
          </w:p>
        </w:tc>
        <w:tc>
          <w:tcPr>
            <w:tcW w:w="1054" w:type="dxa"/>
            <w:vAlign w:val="center"/>
          </w:tcPr>
          <w:p w14:paraId="38004892"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51EEA951" w14:textId="77777777" w:rsidTr="00D9610A">
        <w:tc>
          <w:tcPr>
            <w:tcW w:w="702" w:type="dxa"/>
          </w:tcPr>
          <w:p w14:paraId="03B1A473" w14:textId="77777777" w:rsidR="00543D47" w:rsidRPr="00AC5169" w:rsidRDefault="00543D47" w:rsidP="00D9610A">
            <w:pPr>
              <w:rPr>
                <w:sz w:val="18"/>
                <w:szCs w:val="18"/>
              </w:rPr>
            </w:pPr>
            <w:r w:rsidRPr="00AC5169">
              <w:rPr>
                <w:sz w:val="18"/>
                <w:szCs w:val="18"/>
              </w:rPr>
              <w:t>66779</w:t>
            </w:r>
          </w:p>
        </w:tc>
        <w:tc>
          <w:tcPr>
            <w:tcW w:w="2857" w:type="dxa"/>
          </w:tcPr>
          <w:p w14:paraId="50FE7D8F" w14:textId="77777777" w:rsidR="00543D47" w:rsidRPr="00AC5169" w:rsidRDefault="00543D47" w:rsidP="00D9610A">
            <w:pPr>
              <w:rPr>
                <w:sz w:val="18"/>
                <w:szCs w:val="18"/>
              </w:rPr>
            </w:pPr>
            <w:r w:rsidRPr="000721C1">
              <w:rPr>
                <w:rFonts w:ascii="Calibri" w:hAnsi="Calibri"/>
                <w:color w:val="000000"/>
                <w:sz w:val="18"/>
                <w:szCs w:val="18"/>
              </w:rPr>
              <w:t xml:space="preserve">Adrenaline, noradrenaline, dopamine, histamine, </w:t>
            </w:r>
            <w:proofErr w:type="spellStart"/>
            <w:r w:rsidRPr="000721C1">
              <w:rPr>
                <w:rFonts w:ascii="Calibri" w:hAnsi="Calibri"/>
                <w:color w:val="000000"/>
                <w:sz w:val="18"/>
                <w:szCs w:val="18"/>
              </w:rPr>
              <w:t>hydroxyindoleacetic</w:t>
            </w:r>
            <w:proofErr w:type="spellEnd"/>
            <w:r w:rsidRPr="000721C1">
              <w:rPr>
                <w:rFonts w:ascii="Calibri" w:hAnsi="Calibri"/>
                <w:color w:val="000000"/>
                <w:sz w:val="18"/>
                <w:szCs w:val="18"/>
              </w:rPr>
              <w:t xml:space="preserve"> acid (5HIAA), </w:t>
            </w:r>
            <w:proofErr w:type="spellStart"/>
            <w:r w:rsidRPr="000721C1">
              <w:rPr>
                <w:rFonts w:ascii="Calibri" w:hAnsi="Calibri"/>
                <w:color w:val="000000"/>
                <w:sz w:val="18"/>
                <w:szCs w:val="18"/>
              </w:rPr>
              <w:t>hydroxymethoxymandelic</w:t>
            </w:r>
            <w:proofErr w:type="spellEnd"/>
            <w:r w:rsidRPr="000721C1">
              <w:rPr>
                <w:rFonts w:ascii="Calibri" w:hAnsi="Calibri"/>
                <w:color w:val="000000"/>
                <w:sz w:val="18"/>
                <w:szCs w:val="18"/>
              </w:rPr>
              <w:t xml:space="preserve"> acid (HMMA), </w:t>
            </w:r>
            <w:proofErr w:type="spellStart"/>
            <w:r w:rsidRPr="000721C1">
              <w:rPr>
                <w:rFonts w:ascii="Calibri" w:hAnsi="Calibri"/>
                <w:color w:val="000000"/>
                <w:sz w:val="18"/>
                <w:szCs w:val="18"/>
              </w:rPr>
              <w:t>homovanillic</w:t>
            </w:r>
            <w:proofErr w:type="spellEnd"/>
            <w:r w:rsidRPr="000721C1">
              <w:rPr>
                <w:rFonts w:ascii="Calibri" w:hAnsi="Calibri"/>
                <w:color w:val="000000"/>
                <w:sz w:val="18"/>
                <w:szCs w:val="18"/>
              </w:rPr>
              <w:t xml:space="preserve"> acid (HVA), </w:t>
            </w:r>
            <w:proofErr w:type="spellStart"/>
            <w:r w:rsidRPr="000721C1">
              <w:rPr>
                <w:rFonts w:ascii="Calibri" w:hAnsi="Calibri"/>
                <w:color w:val="000000"/>
                <w:sz w:val="18"/>
                <w:szCs w:val="18"/>
              </w:rPr>
              <w:t>metanephrines</w:t>
            </w:r>
            <w:proofErr w:type="spellEnd"/>
            <w:r w:rsidRPr="000721C1">
              <w:rPr>
                <w:rFonts w:ascii="Calibri" w:hAnsi="Calibri"/>
                <w:color w:val="000000"/>
                <w:sz w:val="18"/>
                <w:szCs w:val="18"/>
              </w:rPr>
              <w:t xml:space="preserve">, </w:t>
            </w:r>
            <w:proofErr w:type="spellStart"/>
            <w:r w:rsidRPr="000721C1">
              <w:rPr>
                <w:rFonts w:ascii="Calibri" w:hAnsi="Calibri"/>
                <w:color w:val="000000"/>
                <w:sz w:val="18"/>
                <w:szCs w:val="18"/>
              </w:rPr>
              <w:t>methoxyhydroxyphenylethylene</w:t>
            </w:r>
            <w:proofErr w:type="spellEnd"/>
            <w:r w:rsidRPr="000721C1">
              <w:rPr>
                <w:rFonts w:ascii="Calibri" w:hAnsi="Calibri"/>
                <w:color w:val="000000"/>
                <w:sz w:val="18"/>
                <w:szCs w:val="18"/>
              </w:rPr>
              <w:t xml:space="preserve"> glycol (MHPG), phenylacetic acid (PAA)or serotonin quantitation - 1 or more tests</w:t>
            </w:r>
          </w:p>
        </w:tc>
        <w:tc>
          <w:tcPr>
            <w:tcW w:w="1066" w:type="dxa"/>
          </w:tcPr>
          <w:p w14:paraId="4E23B01D" w14:textId="77777777" w:rsidR="00543D47" w:rsidRPr="00AC5169" w:rsidRDefault="00543D47" w:rsidP="00D9610A">
            <w:pPr>
              <w:rPr>
                <w:sz w:val="18"/>
                <w:szCs w:val="18"/>
              </w:rPr>
            </w:pPr>
            <w:r w:rsidRPr="000721C1">
              <w:rPr>
                <w:rFonts w:ascii="Calibri" w:hAnsi="Calibri"/>
                <w:color w:val="000000"/>
                <w:sz w:val="18"/>
                <w:szCs w:val="18"/>
              </w:rPr>
              <w:t>39.95</w:t>
            </w:r>
          </w:p>
        </w:tc>
        <w:tc>
          <w:tcPr>
            <w:tcW w:w="1219" w:type="dxa"/>
          </w:tcPr>
          <w:p w14:paraId="4A282838" w14:textId="77777777" w:rsidR="00543D47" w:rsidRPr="00AC5169" w:rsidRDefault="00543D47" w:rsidP="00D9610A">
            <w:pPr>
              <w:rPr>
                <w:sz w:val="18"/>
                <w:szCs w:val="18"/>
              </w:rPr>
            </w:pPr>
            <w:r w:rsidRPr="000721C1">
              <w:rPr>
                <w:rFonts w:ascii="Calibri" w:hAnsi="Calibri"/>
                <w:color w:val="000000"/>
                <w:sz w:val="18"/>
                <w:szCs w:val="18"/>
              </w:rPr>
              <w:t>$1,448,373</w:t>
            </w:r>
          </w:p>
        </w:tc>
        <w:tc>
          <w:tcPr>
            <w:tcW w:w="1060" w:type="dxa"/>
          </w:tcPr>
          <w:p w14:paraId="019BC477" w14:textId="77777777" w:rsidR="00543D47" w:rsidRPr="00AC5169" w:rsidRDefault="00543D47" w:rsidP="00D9610A">
            <w:pPr>
              <w:rPr>
                <w:sz w:val="18"/>
                <w:szCs w:val="18"/>
              </w:rPr>
            </w:pPr>
            <w:r w:rsidRPr="000721C1">
              <w:rPr>
                <w:rFonts w:ascii="Calibri" w:hAnsi="Calibri"/>
                <w:color w:val="000000"/>
                <w:sz w:val="18"/>
                <w:szCs w:val="18"/>
              </w:rPr>
              <w:t>42,115</w:t>
            </w:r>
          </w:p>
        </w:tc>
        <w:tc>
          <w:tcPr>
            <w:tcW w:w="1060" w:type="dxa"/>
          </w:tcPr>
          <w:p w14:paraId="4FCCADB8" w14:textId="77777777" w:rsidR="00543D47" w:rsidRPr="00AC5169" w:rsidRDefault="00543D47" w:rsidP="00D9610A">
            <w:pPr>
              <w:rPr>
                <w:sz w:val="18"/>
                <w:szCs w:val="18"/>
              </w:rPr>
            </w:pPr>
            <w:r w:rsidRPr="000721C1">
              <w:rPr>
                <w:rFonts w:ascii="Calibri" w:hAnsi="Calibri"/>
                <w:color w:val="000000"/>
                <w:sz w:val="18"/>
                <w:szCs w:val="18"/>
              </w:rPr>
              <w:t>36,899</w:t>
            </w:r>
          </w:p>
        </w:tc>
        <w:tc>
          <w:tcPr>
            <w:tcW w:w="1054" w:type="dxa"/>
          </w:tcPr>
          <w:p w14:paraId="7A31574A" w14:textId="77777777" w:rsidR="00543D47" w:rsidRPr="00AC5169" w:rsidRDefault="00543D47" w:rsidP="00D9610A">
            <w:pPr>
              <w:rPr>
                <w:sz w:val="18"/>
                <w:szCs w:val="18"/>
              </w:rPr>
            </w:pPr>
            <w:r w:rsidRPr="000721C1">
              <w:rPr>
                <w:rFonts w:ascii="Calibri" w:hAnsi="Calibri"/>
                <w:color w:val="000000"/>
                <w:sz w:val="18"/>
                <w:szCs w:val="18"/>
              </w:rPr>
              <w:t>4.5%</w:t>
            </w:r>
          </w:p>
        </w:tc>
      </w:tr>
      <w:tr w:rsidR="00543D47" w:rsidRPr="00370DFD" w14:paraId="62BBA7D5" w14:textId="77777777" w:rsidTr="00D9610A">
        <w:tc>
          <w:tcPr>
            <w:tcW w:w="702" w:type="dxa"/>
          </w:tcPr>
          <w:p w14:paraId="4BE276F2" w14:textId="77777777" w:rsidR="00543D47" w:rsidRPr="00AC5169" w:rsidRDefault="00543D47" w:rsidP="00D9610A">
            <w:pPr>
              <w:rPr>
                <w:sz w:val="18"/>
                <w:szCs w:val="18"/>
              </w:rPr>
            </w:pPr>
            <w:r w:rsidRPr="00AC5169">
              <w:rPr>
                <w:sz w:val="18"/>
                <w:szCs w:val="18"/>
              </w:rPr>
              <w:t>66780</w:t>
            </w:r>
          </w:p>
        </w:tc>
        <w:tc>
          <w:tcPr>
            <w:tcW w:w="2857" w:type="dxa"/>
          </w:tcPr>
          <w:p w14:paraId="49F9F8AE" w14:textId="77777777" w:rsidR="00543D47" w:rsidRPr="00AC5169" w:rsidRDefault="00543D47" w:rsidP="00D9610A">
            <w:pPr>
              <w:rPr>
                <w:sz w:val="18"/>
                <w:szCs w:val="18"/>
              </w:rPr>
            </w:pPr>
            <w:r w:rsidRPr="000721C1">
              <w:rPr>
                <w:rFonts w:ascii="Calibri" w:hAnsi="Calibri"/>
                <w:color w:val="000000"/>
                <w:sz w:val="18"/>
                <w:szCs w:val="18"/>
              </w:rPr>
              <w:t xml:space="preserve">A test described in item 66779 if rendered by a receiving APP - 1 or more </w:t>
            </w:r>
            <w:proofErr w:type="gramStart"/>
            <w:r w:rsidRPr="000721C1">
              <w:rPr>
                <w:rFonts w:ascii="Calibri" w:hAnsi="Calibri"/>
                <w:color w:val="000000"/>
                <w:sz w:val="18"/>
                <w:szCs w:val="18"/>
              </w:rPr>
              <w:t>tests(</w:t>
            </w:r>
            <w:proofErr w:type="gramEnd"/>
            <w:r w:rsidRPr="000721C1">
              <w:rPr>
                <w:rFonts w:ascii="Calibri" w:hAnsi="Calibri"/>
                <w:color w:val="000000"/>
                <w:sz w:val="18"/>
                <w:szCs w:val="18"/>
              </w:rPr>
              <w:t>Item is subject to rule 18)</w:t>
            </w:r>
          </w:p>
        </w:tc>
        <w:tc>
          <w:tcPr>
            <w:tcW w:w="1066" w:type="dxa"/>
          </w:tcPr>
          <w:p w14:paraId="15C61217" w14:textId="77777777" w:rsidR="00543D47" w:rsidRPr="00AC5169" w:rsidRDefault="00543D47" w:rsidP="00D9610A">
            <w:pPr>
              <w:rPr>
                <w:sz w:val="18"/>
                <w:szCs w:val="18"/>
              </w:rPr>
            </w:pPr>
            <w:r w:rsidRPr="000721C1">
              <w:rPr>
                <w:rFonts w:ascii="Calibri" w:hAnsi="Calibri"/>
                <w:color w:val="000000"/>
                <w:sz w:val="18"/>
                <w:szCs w:val="18"/>
              </w:rPr>
              <w:t>39.95</w:t>
            </w:r>
          </w:p>
        </w:tc>
        <w:tc>
          <w:tcPr>
            <w:tcW w:w="1219" w:type="dxa"/>
          </w:tcPr>
          <w:p w14:paraId="6AB0BEE4" w14:textId="77777777" w:rsidR="00543D47" w:rsidRPr="00AC5169" w:rsidRDefault="00543D47" w:rsidP="00D9610A">
            <w:pPr>
              <w:rPr>
                <w:sz w:val="18"/>
                <w:szCs w:val="18"/>
              </w:rPr>
            </w:pPr>
            <w:r w:rsidRPr="000721C1">
              <w:rPr>
                <w:rFonts w:ascii="Calibri" w:hAnsi="Calibri"/>
                <w:color w:val="000000"/>
                <w:sz w:val="18"/>
                <w:szCs w:val="18"/>
              </w:rPr>
              <w:t>$745,570</w:t>
            </w:r>
          </w:p>
        </w:tc>
        <w:tc>
          <w:tcPr>
            <w:tcW w:w="1060" w:type="dxa"/>
          </w:tcPr>
          <w:p w14:paraId="1998160F" w14:textId="77777777" w:rsidR="00543D47" w:rsidRPr="00AC5169" w:rsidRDefault="00543D47" w:rsidP="00D9610A">
            <w:pPr>
              <w:rPr>
                <w:sz w:val="18"/>
                <w:szCs w:val="18"/>
              </w:rPr>
            </w:pPr>
            <w:r w:rsidRPr="000721C1">
              <w:rPr>
                <w:rFonts w:ascii="Calibri" w:hAnsi="Calibri"/>
                <w:color w:val="000000"/>
                <w:sz w:val="18"/>
                <w:szCs w:val="18"/>
              </w:rPr>
              <w:t>22,010</w:t>
            </w:r>
          </w:p>
        </w:tc>
        <w:tc>
          <w:tcPr>
            <w:tcW w:w="1060" w:type="dxa"/>
          </w:tcPr>
          <w:p w14:paraId="7A930022" w14:textId="77777777" w:rsidR="00543D47" w:rsidRPr="00AC5169" w:rsidRDefault="00543D47" w:rsidP="00D9610A">
            <w:pPr>
              <w:rPr>
                <w:sz w:val="18"/>
                <w:szCs w:val="18"/>
              </w:rPr>
            </w:pPr>
            <w:r w:rsidRPr="000721C1">
              <w:rPr>
                <w:rFonts w:ascii="Calibri" w:hAnsi="Calibri"/>
                <w:color w:val="000000"/>
                <w:sz w:val="18"/>
                <w:szCs w:val="18"/>
              </w:rPr>
              <w:t>19,017</w:t>
            </w:r>
          </w:p>
        </w:tc>
        <w:tc>
          <w:tcPr>
            <w:tcW w:w="1054" w:type="dxa"/>
          </w:tcPr>
          <w:p w14:paraId="74790B83" w14:textId="77777777" w:rsidR="00543D47" w:rsidRPr="00AC5169" w:rsidRDefault="00543D47" w:rsidP="00D9610A">
            <w:pPr>
              <w:rPr>
                <w:sz w:val="18"/>
                <w:szCs w:val="18"/>
              </w:rPr>
            </w:pPr>
            <w:r w:rsidRPr="000721C1">
              <w:rPr>
                <w:rFonts w:ascii="Calibri" w:hAnsi="Calibri"/>
                <w:color w:val="000000"/>
                <w:sz w:val="18"/>
                <w:szCs w:val="18"/>
              </w:rPr>
              <w:t>8.2%</w:t>
            </w:r>
          </w:p>
        </w:tc>
      </w:tr>
    </w:tbl>
    <w:p w14:paraId="54229156" w14:textId="77777777" w:rsidR="00543D47" w:rsidRPr="00370DFD" w:rsidRDefault="00543D47" w:rsidP="00543D47">
      <w:pPr>
        <w:pStyle w:val="Heading4"/>
        <w:rPr>
          <w:lang w:val="en-AU"/>
        </w:rPr>
      </w:pPr>
      <w:r w:rsidRPr="00370DFD">
        <w:rPr>
          <w:lang w:val="en-AU"/>
        </w:rPr>
        <w:t>Recommendation</w:t>
      </w:r>
      <w:r>
        <w:rPr>
          <w:lang w:val="en-AU"/>
        </w:rPr>
        <w:t>s</w:t>
      </w:r>
      <w:r w:rsidRPr="00370DFD">
        <w:rPr>
          <w:lang w:val="en-AU"/>
        </w:rPr>
        <w:t xml:space="preserve"> </w:t>
      </w:r>
    </w:p>
    <w:p w14:paraId="4D2E6CDA" w14:textId="77777777" w:rsidR="00543D47" w:rsidRPr="00370DFD" w:rsidRDefault="00543D47" w:rsidP="00543D47">
      <w:pPr>
        <w:pStyle w:val="BodyText"/>
      </w:pPr>
      <w:r w:rsidRPr="00370DFD">
        <w:t xml:space="preserve">The </w:t>
      </w:r>
      <w:r>
        <w:t>Committee</w:t>
      </w:r>
      <w:r w:rsidRPr="00370DFD">
        <w:t xml:space="preserve"> proposes the following:</w:t>
      </w:r>
    </w:p>
    <w:p w14:paraId="0912D485" w14:textId="77777777" w:rsidR="00543D47" w:rsidRDefault="00543D47" w:rsidP="00543D47">
      <w:pPr>
        <w:pStyle w:val="NormalBulleted"/>
      </w:pPr>
      <w:r>
        <w:t>Split item 66779 into two items, based on their clinical differences:</w:t>
      </w:r>
    </w:p>
    <w:p w14:paraId="326FA651" w14:textId="77777777" w:rsidR="00543D47" w:rsidRDefault="00543D47" w:rsidP="00543D47">
      <w:pPr>
        <w:pStyle w:val="NormalBulleted"/>
        <w:numPr>
          <w:ilvl w:val="1"/>
          <w:numId w:val="7"/>
        </w:numPr>
        <w:ind w:left="1276" w:hanging="425"/>
      </w:pPr>
      <w:r>
        <w:t>first item:</w:t>
      </w:r>
      <w:r w:rsidRPr="0027655C">
        <w:t xml:space="preserve"> catecholamines and </w:t>
      </w:r>
      <w:proofErr w:type="spellStart"/>
      <w:r w:rsidRPr="0027655C">
        <w:t>metanephrines</w:t>
      </w:r>
      <w:proofErr w:type="spellEnd"/>
      <w:r w:rsidRPr="0027655C">
        <w:t xml:space="preserve"> in 24-hour urine samples or as plasma free </w:t>
      </w:r>
      <w:proofErr w:type="spellStart"/>
      <w:r w:rsidRPr="0027655C">
        <w:t>metanephrines</w:t>
      </w:r>
      <w:proofErr w:type="spellEnd"/>
    </w:p>
    <w:p w14:paraId="004C4D84" w14:textId="77777777" w:rsidR="00543D47" w:rsidRPr="00065F84" w:rsidRDefault="00543D47" w:rsidP="00543D47">
      <w:pPr>
        <w:pStyle w:val="NormalBulleted"/>
        <w:numPr>
          <w:ilvl w:val="1"/>
          <w:numId w:val="7"/>
        </w:numPr>
        <w:ind w:left="1276" w:hanging="425"/>
      </w:pPr>
      <w:r>
        <w:t xml:space="preserve">second item: </w:t>
      </w:r>
      <w:r w:rsidRPr="006B1FC4">
        <w:rPr>
          <w:rFonts w:cs="Arial"/>
        </w:rPr>
        <w:t>5HIAA and serotonin tests (which are important in the diagnosis of carcinoid tumours</w:t>
      </w:r>
      <w:r>
        <w:rPr>
          <w:rFonts w:cs="Arial"/>
        </w:rPr>
        <w:t>).</w:t>
      </w:r>
    </w:p>
    <w:p w14:paraId="0A467D80" w14:textId="77777777" w:rsidR="00543D47" w:rsidRDefault="00543D47" w:rsidP="00543D47">
      <w:pPr>
        <w:pStyle w:val="NormalBulleted"/>
      </w:pPr>
      <w:r>
        <w:t>Remove histamine from item 66779.</w:t>
      </w:r>
    </w:p>
    <w:p w14:paraId="4D4941FC" w14:textId="77777777" w:rsidR="00543D47" w:rsidRPr="00370DFD" w:rsidRDefault="00543D47" w:rsidP="00543D47">
      <w:pPr>
        <w:pStyle w:val="Heading4"/>
        <w:rPr>
          <w:lang w:val="en-AU"/>
        </w:rPr>
      </w:pPr>
      <w:r w:rsidRPr="00370DFD">
        <w:rPr>
          <w:lang w:val="en-AU"/>
        </w:rPr>
        <w:lastRenderedPageBreak/>
        <w:t>Rationale</w:t>
      </w:r>
    </w:p>
    <w:p w14:paraId="0E754864" w14:textId="77777777" w:rsidR="00543D47" w:rsidRDefault="00543D47" w:rsidP="00543D47">
      <w:pPr>
        <w:pStyle w:val="NormalBulleted"/>
      </w:pPr>
      <w:r>
        <w:t xml:space="preserve">Items 66779 and 66780 are tests are used in the diagnosis of </w:t>
      </w:r>
      <w:proofErr w:type="spellStart"/>
      <w:r>
        <w:t>phaecochromocytoma</w:t>
      </w:r>
      <w:proofErr w:type="spellEnd"/>
      <w:r>
        <w:t xml:space="preserve"> and paraganglioma. These two items are requested by GPs and specialists (10% endocrinologists, 10% internal medicine</w:t>
      </w:r>
      <w:r w:rsidRPr="0027655C">
        <w:t xml:space="preserve"> </w:t>
      </w:r>
      <w:r>
        <w:t xml:space="preserve">physicians, 6–7% cardiologists, 4% nephrologists). The repeat testing rate is 10% for 2 tests and 2% for 3 tests. The Committee noted that </w:t>
      </w:r>
      <w:proofErr w:type="spellStart"/>
      <w:r>
        <w:t>hydroxymethoxymandeliac</w:t>
      </w:r>
      <w:proofErr w:type="spellEnd"/>
      <w:r>
        <w:t xml:space="preserve"> acid (HMMA), </w:t>
      </w:r>
      <w:proofErr w:type="spellStart"/>
      <w:r>
        <w:t>homovanillic</w:t>
      </w:r>
      <w:proofErr w:type="spellEnd"/>
      <w:r>
        <w:t xml:space="preserve"> acid (HVA) and </w:t>
      </w:r>
      <w:proofErr w:type="spellStart"/>
      <w:r>
        <w:t>methoxyhydroxyphenylethylene</w:t>
      </w:r>
      <w:proofErr w:type="spellEnd"/>
      <w:r>
        <w:t xml:space="preserve"> glycol (MHPG) are outdated tests. LC-MS/MS is a newer technology used for these tests to diagnose phaeochromocytoma and paraganglioma. The Committee recommended removing HMMA, MHPG and phenylacetic acid from the item descriptors for items 66779 and 66780 as these tests are obsolete.</w:t>
      </w:r>
    </w:p>
    <w:p w14:paraId="4466E571" w14:textId="77777777" w:rsidR="00543D47" w:rsidRDefault="00543D47" w:rsidP="00543D47">
      <w:pPr>
        <w:pStyle w:val="NormalBulleted"/>
      </w:pPr>
      <w:r>
        <w:t>The Committee also noted the published literature supporting both urine catecholamines and metanephrines</w:t>
      </w:r>
      <w:r>
        <w:fldChar w:fldCharType="begin">
          <w:fldData xml:space="preserve">PEVuZE5vdGU+PENpdGU+PEF1dGhvcj5LdWR2YTwvQXV0aG9yPjxZZWFyPjIwMDM8L1llYXI+PFJl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</w:fldData>
        </w:fldChar>
      </w:r>
      <w:r>
        <w:instrText xml:space="preserve"> ADDIN EN.CITE </w:instrText>
      </w:r>
      <w:r>
        <w:fldChar w:fldCharType="begin">
          <w:fldData xml:space="preserve">PEVuZE5vdGU+PENpdGU+PEF1dGhvcj5LdWR2YTwvQXV0aG9yPjxZZWFyPjIwMDM8L1llYXI+PFJl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</w:fldData>
        </w:fldChar>
      </w:r>
      <w:r>
        <w:instrText xml:space="preserve"> ADDIN EN.CITE.DATA </w:instrText>
      </w:r>
      <w:r>
        <w:fldChar w:fldCharType="end"/>
      </w:r>
      <w:r>
        <w:fldChar w:fldCharType="separate"/>
      </w:r>
      <w:r w:rsidRPr="00811642">
        <w:rPr>
          <w:noProof/>
          <w:vertAlign w:val="superscript"/>
        </w:rPr>
        <w:t>19-21</w:t>
      </w:r>
      <w:r>
        <w:fldChar w:fldCharType="end"/>
      </w:r>
      <w:r>
        <w:t xml:space="preserve"> or plasma free metanephrines</w:t>
      </w:r>
      <w:r>
        <w:fldChar w:fldCharType="begin">
          <w:fldData xml:space="preserve">PEVuZE5vdGU+PENpdGU+PEF1dGhvcj5MZW5kZXJzPC9BdXRob3I+PFllYXI+MjAwMjwvWWVhcj48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==
</w:fldData>
        </w:fldChar>
      </w:r>
      <w:r>
        <w:instrText xml:space="preserve"> ADDIN EN.CITE </w:instrText>
      </w:r>
      <w:r>
        <w:fldChar w:fldCharType="begin">
          <w:fldData xml:space="preserve">PEVuZE5vdGU+PENpdGU+PEF1dGhvcj5MZW5kZXJzPC9BdXRob3I+PFllYXI+MjAwMjwvWWVhcj48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==
</w:fldData>
        </w:fldChar>
      </w:r>
      <w:r>
        <w:instrText xml:space="preserve"> ADDIN EN.CITE.DATA </w:instrText>
      </w:r>
      <w:r>
        <w:fldChar w:fldCharType="end"/>
      </w:r>
      <w:r>
        <w:fldChar w:fldCharType="separate"/>
      </w:r>
      <w:r w:rsidRPr="00811642">
        <w:rPr>
          <w:noProof/>
          <w:vertAlign w:val="superscript"/>
        </w:rPr>
        <w:t>22,23</w:t>
      </w:r>
      <w:r>
        <w:fldChar w:fldCharType="end"/>
      </w:r>
      <w:r>
        <w:t xml:space="preserve"> testing. The endocrine practice guidelines</w:t>
      </w:r>
      <w:r>
        <w:fldChar w:fldCharType="begin"/>
      </w:r>
      <w:r>
        <w:instrText xml:space="preserve"> ADDIN EN.CITE &lt;EndNote&gt;&lt;Cite&gt;&lt;Author&gt;Lenders&lt;/Author&gt;&lt;Year&gt;2014&lt;/Year&gt;&lt;RecNum&gt;46&lt;/RecNum&gt;&lt;DisplayText&gt;&lt;style face="superscript"&gt;24&lt;/style&gt;&lt;/DisplayText&gt;&lt;record&gt;&lt;rec-number&gt;46&lt;/rec-number&gt;&lt;foreign-keys&gt;&lt;key app="EN" db-id="dfs5xeapdpddpyexds6ppreypt5sp9spp2a5" timestamp="1497592003"&gt;46&lt;/key&gt;&lt;/foreign-keys&gt;&lt;ref-type name="Journal Article"&gt;17&lt;/ref-type&gt;&lt;contributors&gt;&lt;authors&gt;&lt;author&gt;Lenders, Jacques W. M.&lt;/author&gt;&lt;author&gt;Duh, Quan-Yang&lt;/author&gt;&lt;author&gt;Eisenhofer, Graeme&lt;/author&gt;&lt;author&gt;Gimenez-Roqueplo, Anne-Paule&lt;/author&gt;&lt;author&gt;Grebe, Stefan K. G.&lt;/author&gt;&lt;author&gt;Murad, Mohammad Hassan&lt;/author&gt;&lt;author&gt;Naruse, Mitsuhide&lt;/author&gt;&lt;author&gt;Pacak, Karel&lt;/author&gt;&lt;author&gt;Young, Jr William F.&lt;/author&gt;&lt;/authors&gt;&lt;/contributors&gt;&lt;titles&gt;&lt;title&gt;Pheochromocytoma and Paraganglioma: An Endocrine Society Clinical Practice Guideline&lt;/title&gt;&lt;secondary-title&gt;The Journal of Clinical Endocrinology &amp;amp; Metabolism&lt;/secondary-title&gt;&lt;/titles&gt;&lt;periodical&gt;&lt;full-title&gt;The Journal of Clinical Endocrinology &amp;amp; Metabolism&lt;/full-title&gt;&lt;/periodical&gt;&lt;pages&gt;1915-1942&lt;/pages&gt;&lt;volume&gt;99&lt;/volume&gt;&lt;number&gt;6&lt;/number&gt;&lt;dates&gt;&lt;year&gt;2014&lt;/year&gt;&lt;/dates&gt;&lt;isbn&gt;0021-972X&lt;/isbn&gt;&lt;urls&gt;&lt;related-urls&gt;&lt;url&gt;http://dx.doi.org/10.1210/jc.2014-1498&lt;/url&gt;&lt;/related-urls&gt;&lt;/urls&gt;&lt;electronic-resource-num&gt;10.1210/jc.2014-1498&lt;/electronic-resource-num&gt;&lt;/record&gt;&lt;/Cite&gt;&lt;/EndNote&gt;</w:instrText>
      </w:r>
      <w:r>
        <w:fldChar w:fldCharType="separate"/>
      </w:r>
      <w:r w:rsidRPr="00811642">
        <w:rPr>
          <w:noProof/>
          <w:vertAlign w:val="superscript"/>
        </w:rPr>
        <w:t>24</w:t>
      </w:r>
      <w:r>
        <w:fldChar w:fldCharType="end"/>
      </w:r>
      <w:r>
        <w:t xml:space="preserve"> support the use of both approaches (</w:t>
      </w:r>
      <w:proofErr w:type="spellStart"/>
      <w:r>
        <w:t>ie</w:t>
      </w:r>
      <w:proofErr w:type="spellEnd"/>
      <w:r>
        <w:t xml:space="preserve">, plasma free or urinary fractionated </w:t>
      </w:r>
      <w:proofErr w:type="spellStart"/>
      <w:r>
        <w:t>metanephrines</w:t>
      </w:r>
      <w:proofErr w:type="spellEnd"/>
      <w:r>
        <w:t>). The published literature also supports the use of 3-methoxythyramine as an additional marker for paragangliomas and malignant tumours;</w:t>
      </w:r>
      <w:r>
        <w:fldChar w:fldCharType="begin">
          <w:fldData xml:space="preserve">PEVuZE5vdGU+PENpdGU+PEF1dGhvcj5Ew6RycjwvQXV0aG9yPjxZZWFyPjIwMTQ8L1llYXI+PFJl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</w:fldData>
        </w:fldChar>
      </w:r>
      <w:r>
        <w:instrText xml:space="preserve"> ADDIN EN.CITE </w:instrText>
      </w:r>
      <w:r>
        <w:fldChar w:fldCharType="begin">
          <w:fldData xml:space="preserve">PEVuZE5vdGU+PENpdGU+PEF1dGhvcj5Ew6RycjwvQXV0aG9yPjxZZWFyPjIwMTQ8L1llYXI+PFJl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</w:fldData>
        </w:fldChar>
      </w:r>
      <w:r>
        <w:instrText xml:space="preserve"> ADDIN EN.CITE.DATA </w:instrText>
      </w:r>
      <w:r>
        <w:fldChar w:fldCharType="end"/>
      </w:r>
      <w:r>
        <w:fldChar w:fldCharType="separate"/>
      </w:r>
      <w:r w:rsidRPr="00811642">
        <w:rPr>
          <w:noProof/>
          <w:vertAlign w:val="superscript"/>
        </w:rPr>
        <w:t>25,26</w:t>
      </w:r>
      <w:r>
        <w:fldChar w:fldCharType="end"/>
      </w:r>
      <w:r>
        <w:t xml:space="preserve"> phenylacetic acid was found to have no function. There might be a role for </w:t>
      </w:r>
      <w:proofErr w:type="spellStart"/>
      <w:r>
        <w:t>homovanillic</w:t>
      </w:r>
      <w:proofErr w:type="spellEnd"/>
      <w:r>
        <w:t xml:space="preserve"> acid in neuroblastoma in children. The Committee also queried whether the item descriptor should stipulate that liquid chromatography tandem-mass spectrometry (LC-MS/MS) is the preferred measurement technique as it has been reported that high-performance liquid chromatography (HPLC) does not detect certain cases of phaeochromocytoma.</w:t>
      </w:r>
    </w:p>
    <w:p w14:paraId="3A7CF3F9" w14:textId="77777777" w:rsidR="00543D47" w:rsidRDefault="00543D47" w:rsidP="00543D47">
      <w:pPr>
        <w:pStyle w:val="NormalBulleted"/>
      </w:pPr>
      <w:r>
        <w:t>UpToDate states that 24-hour urinary 5HIAA is a useful initial diagnostic test for carcinoid syndrome; the test has over 90% sensitivity and 90% specificity for carcinoid syndrome, and sensitivity is low in patients with carcinoid tumours without the carcinoid syndrome.</w:t>
      </w:r>
      <w:r>
        <w:fldChar w:fldCharType="begin"/>
      </w:r>
      <w:r>
        <w:instrText xml:space="preserve"> ADDIN EN.CITE &lt;EndNote&gt;&lt;Cite&gt;&lt;Author&gt;Strosberg&lt;/Author&gt;&lt;Year&gt;2017&lt;/Year&gt;&lt;RecNum&gt;49&lt;/RecNum&gt;&lt;DisplayText&gt;&lt;style face="superscript"&gt;27&lt;/style&gt;&lt;/DisplayText&gt;&lt;record&gt;&lt;rec-number&gt;49&lt;/rec-number&gt;&lt;foreign-keys&gt;&lt;key app="EN" db-id="dfs5xeapdpddpyexds6ppreypt5sp9spp2a5" timestamp="1497592521"&gt;49&lt;/key&gt;&lt;/foreign-keys&gt;&lt;ref-type name="Electronic Book Section"&gt;60&lt;/ref-type&gt;&lt;contributors&gt;&lt;authors&gt;&lt;author&gt;Strosberg, J.R.&lt;/author&gt;&lt;/authors&gt;&lt;secondary-authors&gt;&lt;author&gt;Tanabe, K.K.&lt;/author&gt;&lt;author&gt;Whitcomb, D.C.&lt;/author&gt;&lt;/secondary-authors&gt;&lt;tertiary-authors&gt;&lt;author&gt;Savarese, D.M.F.&lt;/author&gt;&lt;/tertiary-authors&gt;&lt;/contributors&gt;&lt;titles&gt;&lt;title&gt;Urinary excretion of 5-HIAA&lt;/title&gt;&lt;secondary-title&gt;Diagnosis of the carcinoid syndrome and tumor localization&lt;/secondary-title&gt;&lt;/titles&gt;&lt;dates&gt;&lt;year&gt;2017&lt;/year&gt;&lt;/dates&gt;&lt;publisher&gt;UptoDate&lt;/publisher&gt;&lt;urls&gt;&lt;/urls&gt;&lt;/record&gt;&lt;/Cite&gt;&lt;/EndNote&gt;</w:instrText>
      </w:r>
      <w:r>
        <w:fldChar w:fldCharType="separate"/>
      </w:r>
      <w:r w:rsidRPr="00811642">
        <w:rPr>
          <w:noProof/>
          <w:vertAlign w:val="superscript"/>
        </w:rPr>
        <w:t>27</w:t>
      </w:r>
      <w:r>
        <w:fldChar w:fldCharType="end"/>
      </w:r>
      <w:r>
        <w:t xml:space="preserve"> Measurement of blood serotonin levels as a standard diagnostic test for the carcinoid syndrome is not recommended; measurement of urinary serotonin may have clinical utility in rare patients with foregut carcinoid. </w:t>
      </w:r>
    </w:p>
    <w:p w14:paraId="66A85BB7" w14:textId="77777777" w:rsidR="00543D47" w:rsidRDefault="00543D47" w:rsidP="00543D47">
      <w:pPr>
        <w:pStyle w:val="NormalBulleted"/>
      </w:pPr>
      <w:r>
        <w:t xml:space="preserve">The Committee recommended changing the item descriptor for item 66779 to require catecholamines and </w:t>
      </w:r>
      <w:proofErr w:type="spellStart"/>
      <w:r>
        <w:t>metanephrins</w:t>
      </w:r>
      <w:proofErr w:type="spellEnd"/>
      <w:r>
        <w:t xml:space="preserve"> either as 24-hour urine samples or as plasma free </w:t>
      </w:r>
      <w:proofErr w:type="spellStart"/>
      <w:r>
        <w:t>metanephrins</w:t>
      </w:r>
      <w:proofErr w:type="spellEnd"/>
      <w:r>
        <w:t xml:space="preserve">. The Committee also recommended to split the item descriptor to have a separate item for </w:t>
      </w:r>
      <w:proofErr w:type="spellStart"/>
      <w:r>
        <w:t>hydroxyinodoleacetic</w:t>
      </w:r>
      <w:proofErr w:type="spellEnd"/>
      <w:r>
        <w:t xml:space="preserve"> acid (5HIAA) and/or serotonin for the diagnosis and follow-up of carcinoid tumours.</w:t>
      </w:r>
      <w:r w:rsidRPr="004E64C7">
        <w:t xml:space="preserve"> This item should include information on the recommended method of testing, and usual indication, in the explanatory notes. The members requested information around how often these tests were performed, as they are potentially item</w:t>
      </w:r>
      <w:r>
        <w:t>s</w:t>
      </w:r>
      <w:r w:rsidRPr="004E64C7">
        <w:t xml:space="preserve"> that could be misused</w:t>
      </w:r>
      <w:r>
        <w:t>.</w:t>
      </w:r>
    </w:p>
    <w:p w14:paraId="63D36786" w14:textId="77777777" w:rsidR="00543D47" w:rsidRDefault="00543D47" w:rsidP="00543D47">
      <w:pPr>
        <w:pStyle w:val="NormalBulleted"/>
      </w:pPr>
      <w:r>
        <w:t xml:space="preserve">The Committee noted that </w:t>
      </w:r>
      <w:r w:rsidRPr="004E64C7">
        <w:t xml:space="preserve">histamine </w:t>
      </w:r>
      <w:r>
        <w:t xml:space="preserve">and histamine metabolites </w:t>
      </w:r>
      <w:r w:rsidRPr="004E64C7">
        <w:t>could be included in this group</w:t>
      </w:r>
      <w:r>
        <w:t>. T</w:t>
      </w:r>
      <w:r w:rsidRPr="004E64C7">
        <w:t>ryptase</w:t>
      </w:r>
      <w:r>
        <w:t xml:space="preserve"> is an additional valuable test in </w:t>
      </w:r>
      <w:proofErr w:type="spellStart"/>
      <w:r>
        <w:t>mastocytosis</w:t>
      </w:r>
      <w:proofErr w:type="spellEnd"/>
      <w:r>
        <w:t xml:space="preserve"> and anaphylactic reactions that is already in the pathology table (item 71198). Histamine is present in mast cell </w:t>
      </w:r>
      <w:r w:rsidRPr="006C07B0">
        <w:t>granules and released into the bloodstream in increased amounts either acutely, for example, immediate allergic reactions, or chronically, in conditions of mast cell proliferation.</w:t>
      </w:r>
      <w:r>
        <w:t xml:space="preserve"> </w:t>
      </w:r>
      <w:r w:rsidRPr="00A82038">
        <w:t>Tryptase, an enzyme in mast cell granules, is released after Ig</w:t>
      </w:r>
      <w:r>
        <w:t xml:space="preserve"> </w:t>
      </w:r>
      <w:r w:rsidRPr="00A82038">
        <w:t>E-mediated anaphylactic and non-Ig</w:t>
      </w:r>
      <w:r>
        <w:t xml:space="preserve"> </w:t>
      </w:r>
      <w:r w:rsidRPr="00A82038">
        <w:t xml:space="preserve">E-mediated </w:t>
      </w:r>
      <w:r w:rsidRPr="00A82038">
        <w:lastRenderedPageBreak/>
        <w:t>anaphylactoid reactions. Serum levels typically peak after one hour and decline to baseline over the next 8-24 hours. Levels are persistently raised in some chronic disorders.</w:t>
      </w:r>
    </w:p>
    <w:p w14:paraId="40377D09" w14:textId="77777777" w:rsidR="00543D47" w:rsidRDefault="00543D47" w:rsidP="00543D47">
      <w:pPr>
        <w:pStyle w:val="NormalBulleted"/>
      </w:pPr>
      <w:r>
        <w:t>B</w:t>
      </w:r>
      <w:r w:rsidRPr="006C07B0">
        <w:t>lood</w:t>
      </w:r>
      <w:r>
        <w:t xml:space="preserve"> histamine</w:t>
      </w:r>
      <w:r w:rsidRPr="006C07B0">
        <w:t xml:space="preserve"> levels are insensitive and unreliable as a marker of mast cell proliferation (for example, </w:t>
      </w:r>
      <w:proofErr w:type="spellStart"/>
      <w:r w:rsidRPr="006C07B0">
        <w:t>mastocytosis</w:t>
      </w:r>
      <w:proofErr w:type="spellEnd"/>
      <w:r w:rsidRPr="006C07B0">
        <w:t>), urine being preferred. However, while elevated urine histamine or N-methyl histamine levels can be useful, normal levels also do not exclude mast cell activation.</w:t>
      </w:r>
      <w:r>
        <w:fldChar w:fldCharType="begin"/>
      </w:r>
      <w:r>
        <w:instrText xml:space="preserve"> ADDIN EN.CITE &lt;EndNote&gt;&lt;Cite&gt;&lt;Author&gt;van Toorenenbergen&lt;/Author&gt;&lt;Year&gt;2005&lt;/Year&gt;&lt;RecNum&gt;16&lt;/RecNum&gt;&lt;DisplayText&gt;&lt;style face="superscript"&gt;28&lt;/style&gt;&lt;/DisplayText&gt;&lt;record&gt;&lt;rec-number&gt;16&lt;/rec-number&gt;&lt;foreign-keys&gt;&lt;key app="EN" db-id="axta02z59p0tzoext0jprf27f2a5pp2era22" timestamp="1502845505"&gt;16&lt;/key&gt;&lt;/foreign-keys&gt;&lt;ref-type name="Journal Article"&gt;17&lt;/ref-type&gt;&lt;contributors&gt;&lt;authors&gt;&lt;author&gt;van Toorenenbergen, A. W.&lt;/author&gt;&lt;author&gt;Oranje, A. P.&lt;/author&gt;&lt;/authors&gt;&lt;/contributors&gt;&lt;titles&gt;&lt;title&gt;Comparison of serum tryptase and urine N-methylhistamine in patients with suspected mastocytosis&lt;/title&gt;&lt;secondary-title&gt;Clinica Chimica Acta&lt;/secondary-title&gt;&lt;/titles&gt;&lt;periodical&gt;&lt;full-title&gt;Clinica Chimica Acta&lt;/full-title&gt;&lt;/periodical&gt;&lt;pages&gt;72-77&lt;/pages&gt;&lt;volume&gt;359&lt;/volume&gt;&lt;number&gt;1&lt;/number&gt;&lt;keywords&gt;&lt;keyword&gt;Tryptase&lt;/keyword&gt;&lt;keyword&gt;-methylhistamine&lt;/keyword&gt;&lt;keyword&gt;Mastocytosis&lt;/keyword&gt;&lt;/keywords&gt;&lt;dates&gt;&lt;year&gt;2005&lt;/year&gt;&lt;pub-dates&gt;&lt;date&gt;2005/09/01/&lt;/date&gt;&lt;/pub-dates&gt;&lt;/dates&gt;&lt;isbn&gt;0009-8981&lt;/isbn&gt;&lt;urls&gt;&lt;related-urls&gt;&lt;url&gt;http://www.sciencedirect.com/science/article/pii/S0009898105002111&lt;/url&gt;&lt;/related-urls&gt;&lt;/urls&gt;&lt;electronic-resource-num&gt;http://dx.doi.org/10.1016/j.cccn.2005.03.041&lt;/electronic-resource-num&gt;&lt;/record&gt;&lt;/Cite&gt;&lt;/EndNote&gt;</w:instrText>
      </w:r>
      <w:r>
        <w:fldChar w:fldCharType="separate"/>
      </w:r>
      <w:r w:rsidRPr="00811642">
        <w:rPr>
          <w:noProof/>
          <w:vertAlign w:val="superscript"/>
        </w:rPr>
        <w:t>28</w:t>
      </w:r>
      <w:r>
        <w:fldChar w:fldCharType="end"/>
      </w:r>
      <w:r>
        <w:t xml:space="preserve"> </w:t>
      </w:r>
      <w:r w:rsidRPr="006C07B0">
        <w:t>Tryptase is reported to be a more sensitive marker of mast cell proliferation and to show better correlation with disease activity.</w:t>
      </w:r>
      <w:r>
        <w:t xml:space="preserve"> </w:t>
      </w:r>
      <w:r w:rsidRPr="00132BDB">
        <w:t xml:space="preserve">The </w:t>
      </w:r>
      <w:r>
        <w:t xml:space="preserve">optimal </w:t>
      </w:r>
      <w:r w:rsidRPr="00132BDB">
        <w:t xml:space="preserve">time for measuring tryptase </w:t>
      </w:r>
      <w:r>
        <w:t xml:space="preserve">in anaphylaxis is </w:t>
      </w:r>
      <w:r w:rsidRPr="00132BDB">
        <w:t>1</w:t>
      </w:r>
      <w:r>
        <w:t>–</w:t>
      </w:r>
      <w:r w:rsidRPr="00132BDB">
        <w:t xml:space="preserve">2 h after the reaction (not greater than 6 h), whereas for </w:t>
      </w:r>
      <w:r>
        <w:t xml:space="preserve">plasma </w:t>
      </w:r>
      <w:r w:rsidRPr="00132BDB">
        <w:t xml:space="preserve">histamine it was 10 min to 1 h. </w:t>
      </w:r>
      <w:r>
        <w:t>M</w:t>
      </w:r>
      <w:r w:rsidRPr="00132BDB">
        <w:t>easurement of plasma tryptase along with measurement of plasma histamine may aid in diagnosis of anaphylaxis.</w:t>
      </w:r>
      <w:r>
        <w:t xml:space="preserve"> </w:t>
      </w:r>
      <w:r w:rsidRPr="00132BDB">
        <w:t xml:space="preserve">Measurement </w:t>
      </w:r>
      <w:r>
        <w:t xml:space="preserve">of histamine </w:t>
      </w:r>
      <w:r w:rsidRPr="00132BDB">
        <w:t xml:space="preserve">in blood </w:t>
      </w:r>
      <w:r>
        <w:t xml:space="preserve">(plasma) </w:t>
      </w:r>
      <w:r w:rsidRPr="00132BDB">
        <w:t xml:space="preserve">is difficult, due to very short half-life of about </w:t>
      </w:r>
      <w:r>
        <w:t>2</w:t>
      </w:r>
      <w:r w:rsidRPr="00132BDB">
        <w:t xml:space="preserve"> minutes, and possible artefact, due to release from basophils during collection and separation.</w:t>
      </w:r>
      <w:r>
        <w:fldChar w:fldCharType="begin"/>
      </w:r>
      <w:r>
        <w:instrText xml:space="preserve"> ADDIN EN.CITE &lt;EndNote&gt;&lt;Cite&gt;&lt;Author&gt;Laroche&lt;/Author&gt;&lt;Year&gt;1991&lt;/Year&gt;&lt;RecNum&gt;18&lt;/RecNum&gt;&lt;DisplayText&gt;&lt;style face="superscript"&gt;29&lt;/style&gt;&lt;/DisplayText&gt;&lt;record&gt;&lt;rec-number&gt;18&lt;/rec-number&gt;&lt;foreign-keys&gt;&lt;key app="EN" db-id="axta02z59p0tzoext0jprf27f2a5pp2era22" timestamp="1502846680"&gt;18&lt;/key&gt;&lt;/foreign-keys&gt;&lt;ref-type name="Journal Article"&gt;17&lt;/ref-type&gt;&lt;contributors&gt;&lt;authors&gt;&lt;author&gt;Laroche, M. D. Ph D. Dominique&lt;/author&gt;&lt;author&gt;Vergnaud, M. D. Marie-Claude&lt;/author&gt;&lt;author&gt;Sillard, M. D. Béatrice&lt;/author&gt;&lt;author&gt;Soufarapis, M. D. Henri&lt;/author&gt;&lt;author&gt;Bricard, M. D. Henri&lt;/author&gt;&lt;/authors&gt;&lt;/contributors&gt;&lt;titles&gt;&lt;title&gt;Biochemical Markers of Anaphylactoid Reactions to Drugs Comparison of Plasma Histamine and Tryptase&lt;/title&gt;&lt;secondary-title&gt;Anesthesiology&lt;/secondary-title&gt;&lt;/titles&gt;&lt;periodical&gt;&lt;full-title&gt;Anesthesiology&lt;/full-title&gt;&lt;/periodical&gt;&lt;pages&gt;945-949&lt;/pages&gt;&lt;volume&gt;75&lt;/volume&gt;&lt;number&gt;6&lt;/number&gt;&lt;dates&gt;&lt;year&gt;1991&lt;/year&gt;&lt;/dates&gt;&lt;isbn&gt;0003-3022&lt;/isbn&gt;&lt;urls&gt;&lt;related-urls&gt;&lt;url&gt;http://dx.doi.org/&lt;/url&gt;&lt;/related-urls&gt;&lt;/urls&gt;&lt;/record&gt;&lt;/Cite&gt;&lt;/EndNote&gt;</w:instrText>
      </w:r>
      <w:r>
        <w:fldChar w:fldCharType="separate"/>
      </w:r>
      <w:r w:rsidRPr="00811642">
        <w:rPr>
          <w:noProof/>
          <w:vertAlign w:val="superscript"/>
        </w:rPr>
        <w:t>29</w:t>
      </w:r>
      <w:r>
        <w:fldChar w:fldCharType="end"/>
      </w:r>
      <w:r w:rsidRPr="00132BDB">
        <w:t xml:space="preserve"> Blood samples can be taken after an acute allergic, flushing or hypotensive episode, but elevation in blood is very short and timing collection is usually impractical.</w:t>
      </w:r>
      <w:r>
        <w:t xml:space="preserve"> A review of requesting indicates that histamine and tryptase are rarely co-requested. Tryptase tends to be requested for anaphylaxis and </w:t>
      </w:r>
      <w:proofErr w:type="spellStart"/>
      <w:r>
        <w:t>mastocytosis</w:t>
      </w:r>
      <w:proofErr w:type="spellEnd"/>
      <w:r>
        <w:t>, whereas histamine has a wider range of clinical notes being provided with requests and appears to be a popular alternative health test. After considering the available evidence and analysing requesting behaviour, the Committee recommended that histamine be removed from item 66779.</w:t>
      </w:r>
    </w:p>
    <w:p w14:paraId="2BC497B0" w14:textId="77777777" w:rsidR="00543D47" w:rsidRDefault="00543D47" w:rsidP="00543D47">
      <w:pPr>
        <w:pStyle w:val="NormalBulleted"/>
      </w:pPr>
      <w:r>
        <w:t xml:space="preserve">The Committee also noted that </w:t>
      </w:r>
      <w:r w:rsidRPr="004E64C7">
        <w:t xml:space="preserve">that dopamine would require additional information in the explanatory notes, particularly </w:t>
      </w:r>
      <w:r>
        <w:t xml:space="preserve">in relation to </w:t>
      </w:r>
      <w:r w:rsidRPr="004E64C7">
        <w:t>application and usual indication.</w:t>
      </w:r>
      <w:r>
        <w:t xml:space="preserve"> </w:t>
      </w:r>
      <w:r w:rsidRPr="004E64C7">
        <w:t>For example, dopamine should be measured but not reported if elevated in isolation, as it would have questionable clinical significance.</w:t>
      </w:r>
    </w:p>
    <w:p w14:paraId="2FFC177A" w14:textId="77777777" w:rsidR="00543D47" w:rsidRDefault="00543D47" w:rsidP="00543D47">
      <w:pPr>
        <w:pStyle w:val="Caption"/>
      </w:pPr>
      <w:bookmarkStart w:id="157" w:name="_Toc534374964"/>
      <w:r>
        <w:t>Table 54. Current and proposed item descriptor for item 66779</w:t>
      </w:r>
      <w:bookmarkEnd w:id="157"/>
    </w:p>
    <w:tbl>
      <w:tblPr>
        <w:tblStyle w:val="TableGrid"/>
        <w:tblW w:w="9354" w:type="dxa"/>
        <w:tblInd w:w="-5"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Table 54. Current and proposed item descriptor for item 66779"/>
        <w:tblDescription w:val="Table 54 has 2 columns. Column 1 lists the iten number, column 2 lists the current descriptor, column 3 lists the proposed item descriptor"/>
      </w:tblPr>
      <w:tblGrid>
        <w:gridCol w:w="1134"/>
        <w:gridCol w:w="4110"/>
        <w:gridCol w:w="4110"/>
      </w:tblGrid>
      <w:tr w:rsidR="00543D47" w:rsidRPr="0027655C" w14:paraId="4C7E7F51" w14:textId="77777777" w:rsidTr="00D9610A">
        <w:trPr>
          <w:trHeight w:val="403"/>
          <w:tblHeader/>
        </w:trPr>
        <w:tc>
          <w:tcPr>
            <w:tcW w:w="1134" w:type="dxa"/>
          </w:tcPr>
          <w:p w14:paraId="751D634E" w14:textId="77777777" w:rsidR="00543D47" w:rsidRPr="005B34AF" w:rsidRDefault="00543D47" w:rsidP="00D9610A">
            <w:pPr>
              <w:pStyle w:val="01squarebullet"/>
              <w:numPr>
                <w:ilvl w:val="0"/>
                <w:numId w:val="0"/>
              </w:numPr>
              <w:ind w:left="34"/>
              <w:rPr>
                <w:rFonts w:ascii="Times New Roman" w:hAnsi="Times New Roman" w:cs="Arial"/>
                <w:sz w:val="18"/>
                <w:szCs w:val="18"/>
                <w:lang w:val="en-AU"/>
              </w:rPr>
            </w:pPr>
            <w:r w:rsidRPr="005B34AF">
              <w:rPr>
                <w:b/>
                <w:sz w:val="18"/>
                <w:szCs w:val="18"/>
              </w:rPr>
              <w:t xml:space="preserve">Item </w:t>
            </w:r>
          </w:p>
        </w:tc>
        <w:tc>
          <w:tcPr>
            <w:tcW w:w="4110" w:type="dxa"/>
          </w:tcPr>
          <w:p w14:paraId="0377AC30" w14:textId="77777777" w:rsidR="00543D47" w:rsidRPr="005B34AF" w:rsidRDefault="00543D47" w:rsidP="00D9610A">
            <w:pPr>
              <w:pStyle w:val="01squarebullet"/>
              <w:numPr>
                <w:ilvl w:val="0"/>
                <w:numId w:val="0"/>
              </w:numPr>
              <w:rPr>
                <w:rFonts w:ascii="Times New Roman" w:hAnsi="Times New Roman" w:cs="Arial"/>
                <w:sz w:val="18"/>
                <w:szCs w:val="18"/>
                <w:lang w:val="en-AU"/>
              </w:rPr>
            </w:pPr>
            <w:r w:rsidRPr="005B34AF">
              <w:rPr>
                <w:b/>
                <w:sz w:val="18"/>
                <w:szCs w:val="18"/>
              </w:rPr>
              <w:t>Current item descriptor</w:t>
            </w:r>
          </w:p>
        </w:tc>
        <w:tc>
          <w:tcPr>
            <w:tcW w:w="4110" w:type="dxa"/>
          </w:tcPr>
          <w:p w14:paraId="211562DD" w14:textId="77777777" w:rsidR="00543D47" w:rsidRPr="005B34AF" w:rsidRDefault="00543D47" w:rsidP="00D9610A">
            <w:pPr>
              <w:pStyle w:val="01squarebullet"/>
              <w:numPr>
                <w:ilvl w:val="0"/>
                <w:numId w:val="0"/>
              </w:numPr>
              <w:rPr>
                <w:rFonts w:ascii="Times New Roman" w:hAnsi="Times New Roman" w:cs="Arial"/>
                <w:sz w:val="18"/>
                <w:szCs w:val="18"/>
                <w:lang w:val="en-AU"/>
              </w:rPr>
            </w:pPr>
            <w:r w:rsidRPr="005B34AF">
              <w:rPr>
                <w:b/>
                <w:sz w:val="18"/>
                <w:szCs w:val="18"/>
              </w:rPr>
              <w:t xml:space="preserve">Proposed item descriptor </w:t>
            </w:r>
          </w:p>
        </w:tc>
      </w:tr>
      <w:tr w:rsidR="00543D47" w:rsidRPr="0027655C" w14:paraId="3830E69A" w14:textId="77777777" w:rsidTr="00D9610A">
        <w:trPr>
          <w:trHeight w:val="2644"/>
        </w:trPr>
        <w:tc>
          <w:tcPr>
            <w:tcW w:w="1134" w:type="dxa"/>
          </w:tcPr>
          <w:p w14:paraId="2BE727C2" w14:textId="77777777" w:rsidR="00543D47" w:rsidRPr="005B34AF" w:rsidRDefault="00543D47" w:rsidP="00D9610A">
            <w:pPr>
              <w:pStyle w:val="01squarebullet"/>
              <w:numPr>
                <w:ilvl w:val="0"/>
                <w:numId w:val="0"/>
              </w:numPr>
              <w:rPr>
                <w:rFonts w:ascii="Times New Roman" w:hAnsi="Times New Roman" w:cs="Arial"/>
                <w:sz w:val="18"/>
                <w:szCs w:val="18"/>
                <w:lang w:val="en-AU"/>
              </w:rPr>
            </w:pPr>
            <w:r w:rsidRPr="005B34AF">
              <w:rPr>
                <w:sz w:val="18"/>
                <w:szCs w:val="18"/>
              </w:rPr>
              <w:t>66779</w:t>
            </w:r>
          </w:p>
        </w:tc>
        <w:tc>
          <w:tcPr>
            <w:tcW w:w="4110" w:type="dxa"/>
            <w:vAlign w:val="center"/>
          </w:tcPr>
          <w:p w14:paraId="5DED1571" w14:textId="77777777" w:rsidR="00543D47" w:rsidRPr="005B34AF" w:rsidRDefault="00543D47" w:rsidP="00D9610A">
            <w:pPr>
              <w:pStyle w:val="01squarebullet"/>
              <w:numPr>
                <w:ilvl w:val="0"/>
                <w:numId w:val="0"/>
              </w:numPr>
              <w:rPr>
                <w:rFonts w:ascii="Times New Roman" w:hAnsi="Times New Roman" w:cs="Arial"/>
                <w:sz w:val="18"/>
                <w:szCs w:val="18"/>
                <w:lang w:val="en-AU"/>
              </w:rPr>
            </w:pPr>
            <w:r w:rsidRPr="005B34AF">
              <w:rPr>
                <w:sz w:val="18"/>
                <w:szCs w:val="18"/>
              </w:rPr>
              <w:t xml:space="preserve">Adrenaline, noradrenaline, dopamine, histamine, </w:t>
            </w:r>
            <w:proofErr w:type="spellStart"/>
            <w:r w:rsidRPr="005B34AF">
              <w:rPr>
                <w:sz w:val="18"/>
                <w:szCs w:val="18"/>
              </w:rPr>
              <w:t>hydroxyindoleacetic</w:t>
            </w:r>
            <w:proofErr w:type="spellEnd"/>
            <w:r w:rsidRPr="005B34AF">
              <w:rPr>
                <w:sz w:val="18"/>
                <w:szCs w:val="18"/>
              </w:rPr>
              <w:t xml:space="preserve"> acid (5HIAA), </w:t>
            </w:r>
            <w:proofErr w:type="spellStart"/>
            <w:r w:rsidRPr="005B34AF">
              <w:rPr>
                <w:sz w:val="18"/>
                <w:szCs w:val="18"/>
              </w:rPr>
              <w:t>hydroxymethoxymandelic</w:t>
            </w:r>
            <w:proofErr w:type="spellEnd"/>
            <w:r w:rsidRPr="005B34AF">
              <w:rPr>
                <w:sz w:val="18"/>
                <w:szCs w:val="18"/>
              </w:rPr>
              <w:t xml:space="preserve"> acid (HMMA), </w:t>
            </w:r>
            <w:proofErr w:type="spellStart"/>
            <w:r w:rsidRPr="005B34AF">
              <w:rPr>
                <w:sz w:val="18"/>
                <w:szCs w:val="18"/>
              </w:rPr>
              <w:t>homovanillic</w:t>
            </w:r>
            <w:proofErr w:type="spellEnd"/>
            <w:r w:rsidRPr="005B34AF">
              <w:rPr>
                <w:sz w:val="18"/>
                <w:szCs w:val="18"/>
              </w:rPr>
              <w:t xml:space="preserve"> acid (HVA), </w:t>
            </w:r>
            <w:proofErr w:type="spellStart"/>
            <w:r w:rsidRPr="005B34AF">
              <w:rPr>
                <w:sz w:val="18"/>
                <w:szCs w:val="18"/>
              </w:rPr>
              <w:t>metanephrines</w:t>
            </w:r>
            <w:proofErr w:type="spellEnd"/>
            <w:r w:rsidRPr="005B34AF">
              <w:rPr>
                <w:sz w:val="18"/>
                <w:szCs w:val="18"/>
              </w:rPr>
              <w:t xml:space="preserve">, </w:t>
            </w:r>
            <w:proofErr w:type="spellStart"/>
            <w:r w:rsidRPr="005B34AF">
              <w:rPr>
                <w:sz w:val="18"/>
                <w:szCs w:val="18"/>
              </w:rPr>
              <w:t>methoxyhydroxyphenylethylene</w:t>
            </w:r>
            <w:proofErr w:type="spellEnd"/>
            <w:r w:rsidRPr="005B34AF">
              <w:rPr>
                <w:sz w:val="18"/>
                <w:szCs w:val="18"/>
              </w:rPr>
              <w:t xml:space="preserve"> glycol (MHPG), phenylacetic acid (PAA)or</w:t>
            </w:r>
            <w:r>
              <w:rPr>
                <w:sz w:val="18"/>
                <w:szCs w:val="18"/>
              </w:rPr>
              <w:t xml:space="preserve"> </w:t>
            </w:r>
            <w:r w:rsidRPr="005B34AF">
              <w:rPr>
                <w:sz w:val="18"/>
                <w:szCs w:val="18"/>
              </w:rPr>
              <w:t>serotonin</w:t>
            </w:r>
            <w:r>
              <w:rPr>
                <w:sz w:val="18"/>
                <w:szCs w:val="18"/>
              </w:rPr>
              <w:t xml:space="preserve"> </w:t>
            </w:r>
            <w:r w:rsidRPr="005B34AF">
              <w:rPr>
                <w:sz w:val="18"/>
                <w:szCs w:val="18"/>
              </w:rPr>
              <w:t>quantitation - 1 or more tests</w:t>
            </w:r>
          </w:p>
        </w:tc>
        <w:tc>
          <w:tcPr>
            <w:tcW w:w="4110" w:type="dxa"/>
            <w:vAlign w:val="center"/>
          </w:tcPr>
          <w:p w14:paraId="6B5C7354" w14:textId="77777777" w:rsidR="00543D47" w:rsidRDefault="00543D47" w:rsidP="00D9610A">
            <w:pPr>
              <w:pStyle w:val="01squarebullet"/>
              <w:numPr>
                <w:ilvl w:val="0"/>
                <w:numId w:val="0"/>
              </w:numPr>
              <w:rPr>
                <w:sz w:val="18"/>
                <w:szCs w:val="18"/>
                <w:lang w:val="en-AU" w:eastAsia="en-AU"/>
              </w:rPr>
            </w:pPr>
            <w:r w:rsidRPr="004E64C7">
              <w:rPr>
                <w:sz w:val="18"/>
                <w:szCs w:val="18"/>
                <w:lang w:val="en-AU" w:eastAsia="en-AU"/>
              </w:rPr>
              <w:t xml:space="preserve">Catecholamines and </w:t>
            </w:r>
            <w:proofErr w:type="spellStart"/>
            <w:r w:rsidRPr="004E64C7">
              <w:rPr>
                <w:sz w:val="18"/>
                <w:szCs w:val="18"/>
                <w:lang w:val="en-AU" w:eastAsia="en-AU"/>
              </w:rPr>
              <w:t>metanephrines</w:t>
            </w:r>
            <w:proofErr w:type="spellEnd"/>
            <w:r w:rsidRPr="004E64C7">
              <w:rPr>
                <w:sz w:val="18"/>
                <w:szCs w:val="18"/>
                <w:lang w:val="en-AU" w:eastAsia="en-AU"/>
              </w:rPr>
              <w:t xml:space="preserve"> in 24-hour urine samples or as plasma free </w:t>
            </w:r>
            <w:proofErr w:type="spellStart"/>
            <w:r w:rsidRPr="004E64C7">
              <w:rPr>
                <w:sz w:val="18"/>
                <w:szCs w:val="18"/>
                <w:lang w:val="en-AU" w:eastAsia="en-AU"/>
              </w:rPr>
              <w:t>metanephrines</w:t>
            </w:r>
            <w:proofErr w:type="spellEnd"/>
            <w:r w:rsidRPr="004E64C7">
              <w:rPr>
                <w:sz w:val="18"/>
                <w:szCs w:val="18"/>
                <w:lang w:val="en-AU" w:eastAsia="en-AU"/>
              </w:rPr>
              <w:t xml:space="preserve"> - 1 or more tests</w:t>
            </w:r>
          </w:p>
          <w:p w14:paraId="54C15134" w14:textId="77777777" w:rsidR="00543D47" w:rsidRDefault="00543D47" w:rsidP="00D9610A">
            <w:pPr>
              <w:rPr>
                <w:b/>
                <w:i/>
                <w:sz w:val="18"/>
                <w:szCs w:val="18"/>
              </w:rPr>
            </w:pPr>
            <w:r>
              <w:rPr>
                <w:b/>
                <w:i/>
                <w:sz w:val="18"/>
                <w:szCs w:val="18"/>
              </w:rPr>
              <w:t>Explanatory note</w:t>
            </w:r>
          </w:p>
          <w:p w14:paraId="1755231E" w14:textId="77777777" w:rsidR="00543D47" w:rsidRPr="005B34AF" w:rsidRDefault="00543D47" w:rsidP="00D9610A">
            <w:pPr>
              <w:pStyle w:val="01squarebullet"/>
              <w:numPr>
                <w:ilvl w:val="0"/>
                <w:numId w:val="0"/>
              </w:numPr>
              <w:rPr>
                <w:rFonts w:ascii="Times New Roman" w:hAnsi="Times New Roman" w:cs="Arial"/>
                <w:sz w:val="18"/>
                <w:szCs w:val="18"/>
                <w:lang w:val="en-AU"/>
              </w:rPr>
            </w:pPr>
            <w:r>
              <w:rPr>
                <w:i/>
                <w:sz w:val="18"/>
                <w:szCs w:val="18"/>
              </w:rPr>
              <w:t xml:space="preserve">Dopamine should be measured but not reported if dopamine levels are elevated without an elevation in catecholamines or </w:t>
            </w:r>
            <w:proofErr w:type="spellStart"/>
            <w:r>
              <w:rPr>
                <w:i/>
                <w:sz w:val="18"/>
                <w:szCs w:val="18"/>
              </w:rPr>
              <w:t>metanephrins</w:t>
            </w:r>
            <w:proofErr w:type="spellEnd"/>
            <w:r>
              <w:rPr>
                <w:i/>
                <w:sz w:val="18"/>
                <w:szCs w:val="18"/>
              </w:rPr>
              <w:t>.</w:t>
            </w:r>
          </w:p>
        </w:tc>
      </w:tr>
      <w:tr w:rsidR="00543D47" w:rsidRPr="0027655C" w14:paraId="567ED757" w14:textId="77777777" w:rsidTr="00D9610A">
        <w:trPr>
          <w:trHeight w:val="1134"/>
        </w:trPr>
        <w:tc>
          <w:tcPr>
            <w:tcW w:w="1134" w:type="dxa"/>
          </w:tcPr>
          <w:p w14:paraId="470B7E55" w14:textId="77777777" w:rsidR="00543D47" w:rsidRDefault="00543D47" w:rsidP="00D9610A">
            <w:pPr>
              <w:pStyle w:val="01squarebullet"/>
              <w:numPr>
                <w:ilvl w:val="0"/>
                <w:numId w:val="0"/>
              </w:numPr>
              <w:rPr>
                <w:sz w:val="18"/>
                <w:szCs w:val="18"/>
              </w:rPr>
            </w:pPr>
          </w:p>
          <w:p w14:paraId="1EFA5B4C" w14:textId="77777777" w:rsidR="00543D47" w:rsidRPr="004E64C7" w:rsidRDefault="00543D47" w:rsidP="00D9610A">
            <w:pPr>
              <w:pStyle w:val="01squarebullet"/>
              <w:numPr>
                <w:ilvl w:val="0"/>
                <w:numId w:val="0"/>
              </w:numPr>
              <w:rPr>
                <w:sz w:val="18"/>
                <w:szCs w:val="18"/>
              </w:rPr>
            </w:pPr>
            <w:r>
              <w:rPr>
                <w:sz w:val="18"/>
                <w:szCs w:val="18"/>
              </w:rPr>
              <w:t>New item</w:t>
            </w:r>
          </w:p>
        </w:tc>
        <w:tc>
          <w:tcPr>
            <w:tcW w:w="4110" w:type="dxa"/>
            <w:vAlign w:val="center"/>
          </w:tcPr>
          <w:p w14:paraId="058D32FA" w14:textId="77777777" w:rsidR="00543D47" w:rsidRPr="004E64C7" w:rsidRDefault="00543D47" w:rsidP="00D9610A">
            <w:pPr>
              <w:pStyle w:val="01squarebullet"/>
              <w:numPr>
                <w:ilvl w:val="0"/>
                <w:numId w:val="0"/>
              </w:numPr>
              <w:rPr>
                <w:sz w:val="18"/>
                <w:szCs w:val="18"/>
              </w:rPr>
            </w:pPr>
          </w:p>
        </w:tc>
        <w:tc>
          <w:tcPr>
            <w:tcW w:w="4110" w:type="dxa"/>
            <w:vAlign w:val="center"/>
          </w:tcPr>
          <w:p w14:paraId="14E9556C" w14:textId="77777777" w:rsidR="00543D47" w:rsidRPr="003500C8" w:rsidRDefault="00543D47" w:rsidP="00D9610A">
            <w:pPr>
              <w:pStyle w:val="01squarebullet"/>
              <w:numPr>
                <w:ilvl w:val="0"/>
                <w:numId w:val="0"/>
              </w:numPr>
              <w:rPr>
                <w:i/>
                <w:sz w:val="18"/>
                <w:szCs w:val="18"/>
                <w:lang w:val="en-AU" w:eastAsia="en-AU"/>
              </w:rPr>
            </w:pPr>
            <w:r w:rsidRPr="003500C8">
              <w:rPr>
                <w:i/>
                <w:sz w:val="18"/>
                <w:szCs w:val="18"/>
                <w:lang w:val="en-AU" w:eastAsia="en-AU"/>
              </w:rPr>
              <w:t xml:space="preserve">5HIAA or serotonin quantitation in </w:t>
            </w:r>
            <w:proofErr w:type="gramStart"/>
            <w:r w:rsidRPr="003500C8">
              <w:rPr>
                <w:i/>
                <w:sz w:val="18"/>
                <w:szCs w:val="18"/>
                <w:lang w:val="en-AU" w:eastAsia="en-AU"/>
              </w:rPr>
              <w:t>24 hour</w:t>
            </w:r>
            <w:proofErr w:type="gramEnd"/>
            <w:r w:rsidRPr="003500C8">
              <w:rPr>
                <w:i/>
                <w:sz w:val="18"/>
                <w:szCs w:val="18"/>
                <w:lang w:val="en-AU" w:eastAsia="en-AU"/>
              </w:rPr>
              <w:t xml:space="preserve"> urine</w:t>
            </w:r>
          </w:p>
        </w:tc>
      </w:tr>
    </w:tbl>
    <w:p w14:paraId="5B180CE8" w14:textId="77777777" w:rsidR="00543D47" w:rsidRDefault="00543D47" w:rsidP="00543D47">
      <w:pPr>
        <w:pStyle w:val="Heading3Numbered"/>
      </w:pPr>
      <w:r>
        <w:lastRenderedPageBreak/>
        <w:t>Enzymes in solid tissue: item 66683</w:t>
      </w:r>
    </w:p>
    <w:p w14:paraId="44B3F420" w14:textId="77777777" w:rsidR="00543D47" w:rsidRPr="00370DFD" w:rsidRDefault="00543D47" w:rsidP="00543D47">
      <w:pPr>
        <w:pStyle w:val="Caption"/>
      </w:pPr>
      <w:bookmarkStart w:id="158" w:name="_Toc534374965"/>
      <w:r w:rsidRPr="00370DFD">
        <w:t xml:space="preserve">Table </w:t>
      </w:r>
      <w:r>
        <w:t>55</w:t>
      </w:r>
      <w:r w:rsidRPr="00370DFD">
        <w:t>. Item in</w:t>
      </w:r>
      <w:r>
        <w:t>troduction table for item 66683</w:t>
      </w:r>
      <w:bookmarkEnd w:id="158"/>
    </w:p>
    <w:tbl>
      <w:tblPr>
        <w:tblStyle w:val="TableGrid"/>
        <w:tblW w:w="9018" w:type="dxa"/>
        <w:tblBorders>
          <w:insideV w:val="single" w:sz="4" w:space="0" w:color="984806" w:themeColor="accent6" w:themeShade="80"/>
        </w:tblBorders>
        <w:tblLayout w:type="fixed"/>
        <w:tblLook w:val="04A0" w:firstRow="1" w:lastRow="0" w:firstColumn="1" w:lastColumn="0" w:noHBand="0" w:noVBand="1"/>
        <w:tblCaption w:val="Table 55. Item introduction table for item 66683"/>
        <w:tblDescription w:val="Table 55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w:tblPr>
      <w:tblGrid>
        <w:gridCol w:w="702"/>
        <w:gridCol w:w="2857"/>
        <w:gridCol w:w="1066"/>
        <w:gridCol w:w="1219"/>
        <w:gridCol w:w="1060"/>
        <w:gridCol w:w="1060"/>
        <w:gridCol w:w="1054"/>
      </w:tblGrid>
      <w:tr w:rsidR="00543D47" w:rsidRPr="00370DFD" w14:paraId="17046A19" w14:textId="77777777" w:rsidTr="00D9610A">
        <w:trPr>
          <w:tblHeader/>
        </w:trPr>
        <w:tc>
          <w:tcPr>
            <w:tcW w:w="702" w:type="dxa"/>
            <w:vAlign w:val="center"/>
          </w:tcPr>
          <w:p w14:paraId="46A95348" w14:textId="77777777" w:rsidR="00543D47" w:rsidRPr="00370DFD" w:rsidRDefault="00543D47" w:rsidP="00D9610A">
            <w:pPr>
              <w:rPr>
                <w:sz w:val="18"/>
                <w:szCs w:val="18"/>
              </w:rPr>
            </w:pPr>
            <w:r w:rsidRPr="00370DFD">
              <w:rPr>
                <w:b/>
                <w:sz w:val="18"/>
                <w:szCs w:val="18"/>
              </w:rPr>
              <w:t>Item</w:t>
            </w:r>
          </w:p>
        </w:tc>
        <w:tc>
          <w:tcPr>
            <w:tcW w:w="2857" w:type="dxa"/>
            <w:vAlign w:val="center"/>
          </w:tcPr>
          <w:p w14:paraId="68ECBAF5" w14:textId="77777777" w:rsidR="00543D47" w:rsidRPr="00370DFD" w:rsidRDefault="00543D47" w:rsidP="00D9610A">
            <w:pPr>
              <w:rPr>
                <w:sz w:val="18"/>
                <w:szCs w:val="18"/>
              </w:rPr>
            </w:pPr>
            <w:r w:rsidRPr="00370DFD">
              <w:rPr>
                <w:b/>
                <w:sz w:val="18"/>
                <w:szCs w:val="18"/>
              </w:rPr>
              <w:t>Long item descriptor</w:t>
            </w:r>
          </w:p>
        </w:tc>
        <w:tc>
          <w:tcPr>
            <w:tcW w:w="1066" w:type="dxa"/>
            <w:vAlign w:val="center"/>
          </w:tcPr>
          <w:p w14:paraId="5CCD45FC" w14:textId="77777777" w:rsidR="00543D47" w:rsidRPr="00370DFD" w:rsidRDefault="00543D47" w:rsidP="00D9610A">
            <w:pPr>
              <w:rPr>
                <w:sz w:val="18"/>
                <w:szCs w:val="18"/>
              </w:rPr>
            </w:pPr>
            <w:r w:rsidRPr="00370DFD">
              <w:rPr>
                <w:b/>
                <w:sz w:val="18"/>
                <w:szCs w:val="18"/>
              </w:rPr>
              <w:t>Schedule</w:t>
            </w:r>
            <w:r>
              <w:rPr>
                <w:b/>
                <w:sz w:val="18"/>
                <w:szCs w:val="18"/>
              </w:rPr>
              <w:br/>
              <w:t>f</w:t>
            </w:r>
            <w:r w:rsidRPr="00370DFD">
              <w:rPr>
                <w:b/>
                <w:sz w:val="18"/>
                <w:szCs w:val="18"/>
              </w:rPr>
              <w:t>ee</w:t>
            </w:r>
          </w:p>
        </w:tc>
        <w:tc>
          <w:tcPr>
            <w:tcW w:w="1219" w:type="dxa"/>
            <w:vAlign w:val="center"/>
          </w:tcPr>
          <w:p w14:paraId="4A02AD7D" w14:textId="77777777" w:rsidR="00543D47" w:rsidRPr="00370DFD" w:rsidRDefault="00543D47" w:rsidP="00D9610A">
            <w:pPr>
              <w:rPr>
                <w:sz w:val="18"/>
                <w:szCs w:val="18"/>
              </w:rPr>
            </w:pPr>
            <w:r w:rsidRPr="00370DFD">
              <w:rPr>
                <w:b/>
                <w:sz w:val="18"/>
                <w:szCs w:val="18"/>
              </w:rPr>
              <w:t xml:space="preserve">Benefits </w:t>
            </w:r>
            <w:r>
              <w:rPr>
                <w:b/>
                <w:sz w:val="18"/>
                <w:szCs w:val="18"/>
              </w:rPr>
              <w:br/>
            </w:r>
            <w:r w:rsidRPr="00370DFD">
              <w:rPr>
                <w:b/>
                <w:sz w:val="18"/>
                <w:szCs w:val="18"/>
              </w:rPr>
              <w:t>FY</w:t>
            </w:r>
            <w:r>
              <w:rPr>
                <w:b/>
                <w:sz w:val="18"/>
                <w:szCs w:val="18"/>
              </w:rPr>
              <w:t xml:space="preserve"> </w:t>
            </w:r>
            <w:r w:rsidRPr="00370DFD">
              <w:rPr>
                <w:b/>
                <w:sz w:val="18"/>
                <w:szCs w:val="18"/>
              </w:rPr>
              <w:t>2014-15</w:t>
            </w:r>
          </w:p>
        </w:tc>
        <w:tc>
          <w:tcPr>
            <w:tcW w:w="1060" w:type="dxa"/>
            <w:vAlign w:val="center"/>
          </w:tcPr>
          <w:p w14:paraId="63C65F30" w14:textId="77777777" w:rsidR="00543D47" w:rsidRPr="00370DFD" w:rsidRDefault="00543D47" w:rsidP="00D9610A">
            <w:pPr>
              <w:rPr>
                <w:sz w:val="18"/>
                <w:szCs w:val="18"/>
              </w:rPr>
            </w:pPr>
            <w:r w:rsidRPr="00370DFD">
              <w:rPr>
                <w:b/>
                <w:sz w:val="18"/>
                <w:szCs w:val="18"/>
              </w:rPr>
              <w:t>Services</w:t>
            </w:r>
            <w:r>
              <w:rPr>
                <w:b/>
                <w:sz w:val="18"/>
                <w:szCs w:val="18"/>
              </w:rPr>
              <w:br/>
            </w:r>
            <w:r w:rsidRPr="00370DFD">
              <w:rPr>
                <w:b/>
                <w:sz w:val="18"/>
                <w:szCs w:val="18"/>
              </w:rPr>
              <w:t xml:space="preserve"> FY</w:t>
            </w:r>
            <w:r>
              <w:rPr>
                <w:b/>
                <w:sz w:val="18"/>
                <w:szCs w:val="18"/>
              </w:rPr>
              <w:t xml:space="preserve"> </w:t>
            </w:r>
            <w:r w:rsidRPr="00370DFD">
              <w:rPr>
                <w:b/>
                <w:sz w:val="18"/>
                <w:szCs w:val="18"/>
              </w:rPr>
              <w:t>2014-15</w:t>
            </w:r>
          </w:p>
        </w:tc>
        <w:tc>
          <w:tcPr>
            <w:tcW w:w="1060" w:type="dxa"/>
            <w:vAlign w:val="center"/>
          </w:tcPr>
          <w:p w14:paraId="4C3E98EA" w14:textId="77777777" w:rsidR="00543D47" w:rsidRPr="00370DFD" w:rsidRDefault="00543D47" w:rsidP="00D9610A">
            <w:pPr>
              <w:rPr>
                <w:sz w:val="18"/>
                <w:szCs w:val="18"/>
              </w:rPr>
            </w:pPr>
            <w:r w:rsidRPr="00370DFD">
              <w:rPr>
                <w:b/>
                <w:sz w:val="18"/>
                <w:szCs w:val="18"/>
              </w:rPr>
              <w:t>Patient count 2014-15</w:t>
            </w:r>
          </w:p>
        </w:tc>
        <w:tc>
          <w:tcPr>
            <w:tcW w:w="1054" w:type="dxa"/>
            <w:vAlign w:val="center"/>
          </w:tcPr>
          <w:p w14:paraId="187D391A" w14:textId="77777777" w:rsidR="00543D47" w:rsidRPr="00370DFD" w:rsidRDefault="00543D47" w:rsidP="00D9610A">
            <w:pPr>
              <w:rPr>
                <w:sz w:val="18"/>
                <w:szCs w:val="18"/>
              </w:rPr>
            </w:pPr>
            <w:r>
              <w:rPr>
                <w:b/>
                <w:sz w:val="18"/>
                <w:szCs w:val="18"/>
              </w:rPr>
              <w:t>5-year service</w:t>
            </w:r>
            <w:r w:rsidRPr="00370DFD">
              <w:rPr>
                <w:b/>
                <w:sz w:val="18"/>
                <w:szCs w:val="18"/>
              </w:rPr>
              <w:t xml:space="preserve"> change % (CAGR)</w:t>
            </w:r>
          </w:p>
        </w:tc>
      </w:tr>
      <w:tr w:rsidR="00543D47" w:rsidRPr="00370DFD" w14:paraId="7CFC69D4" w14:textId="77777777" w:rsidTr="00D9610A">
        <w:tc>
          <w:tcPr>
            <w:tcW w:w="702" w:type="dxa"/>
          </w:tcPr>
          <w:p w14:paraId="1F66F7C8" w14:textId="77777777" w:rsidR="00543D47" w:rsidRPr="00304586" w:rsidRDefault="00543D47" w:rsidP="00D9610A">
            <w:pPr>
              <w:rPr>
                <w:sz w:val="18"/>
                <w:szCs w:val="18"/>
              </w:rPr>
            </w:pPr>
            <w:r w:rsidRPr="00304586">
              <w:rPr>
                <w:sz w:val="18"/>
                <w:szCs w:val="18"/>
              </w:rPr>
              <w:t>66683</w:t>
            </w:r>
          </w:p>
        </w:tc>
        <w:tc>
          <w:tcPr>
            <w:tcW w:w="2857" w:type="dxa"/>
          </w:tcPr>
          <w:p w14:paraId="4C3C7E0F" w14:textId="77777777" w:rsidR="00543D47" w:rsidRPr="00304586" w:rsidRDefault="00543D47" w:rsidP="00D9610A">
            <w:pPr>
              <w:rPr>
                <w:sz w:val="18"/>
                <w:szCs w:val="18"/>
              </w:rPr>
            </w:pPr>
            <w:r w:rsidRPr="000721C1">
              <w:rPr>
                <w:rFonts w:ascii="Calibri" w:hAnsi="Calibri"/>
                <w:color w:val="000000"/>
                <w:sz w:val="18"/>
                <w:szCs w:val="18"/>
              </w:rPr>
              <w:t>Enzymes - quantitation in solid tissue or tissues other than blood elements or intestinal tissue - 1 or more tests</w:t>
            </w:r>
          </w:p>
        </w:tc>
        <w:tc>
          <w:tcPr>
            <w:tcW w:w="1066" w:type="dxa"/>
          </w:tcPr>
          <w:p w14:paraId="47BCED73" w14:textId="77777777" w:rsidR="00543D47" w:rsidRPr="00304586" w:rsidRDefault="00543D47" w:rsidP="00D9610A">
            <w:pPr>
              <w:rPr>
                <w:sz w:val="18"/>
                <w:szCs w:val="18"/>
              </w:rPr>
            </w:pPr>
            <w:r w:rsidRPr="000721C1">
              <w:rPr>
                <w:rFonts w:ascii="Calibri" w:hAnsi="Calibri"/>
                <w:color w:val="000000"/>
                <w:sz w:val="18"/>
                <w:szCs w:val="18"/>
              </w:rPr>
              <w:t>74.45</w:t>
            </w:r>
          </w:p>
        </w:tc>
        <w:tc>
          <w:tcPr>
            <w:tcW w:w="1219" w:type="dxa"/>
          </w:tcPr>
          <w:p w14:paraId="35EE331D" w14:textId="77777777" w:rsidR="00543D47" w:rsidRPr="00304586" w:rsidRDefault="00543D47" w:rsidP="00D9610A">
            <w:pPr>
              <w:rPr>
                <w:sz w:val="18"/>
                <w:szCs w:val="18"/>
              </w:rPr>
            </w:pPr>
            <w:r w:rsidRPr="000721C1">
              <w:rPr>
                <w:rFonts w:ascii="Calibri" w:hAnsi="Calibri"/>
                <w:color w:val="000000"/>
                <w:sz w:val="18"/>
                <w:szCs w:val="18"/>
              </w:rPr>
              <w:t>$1,110</w:t>
            </w:r>
          </w:p>
        </w:tc>
        <w:tc>
          <w:tcPr>
            <w:tcW w:w="1060" w:type="dxa"/>
          </w:tcPr>
          <w:p w14:paraId="0E2BAD50" w14:textId="77777777" w:rsidR="00543D47" w:rsidRPr="00304586" w:rsidRDefault="00543D47" w:rsidP="00D9610A">
            <w:pPr>
              <w:rPr>
                <w:sz w:val="18"/>
                <w:szCs w:val="18"/>
              </w:rPr>
            </w:pPr>
            <w:r w:rsidRPr="000721C1">
              <w:rPr>
                <w:rFonts w:ascii="Calibri" w:hAnsi="Calibri"/>
                <w:color w:val="000000"/>
                <w:sz w:val="18"/>
                <w:szCs w:val="18"/>
              </w:rPr>
              <w:t>19</w:t>
            </w:r>
          </w:p>
        </w:tc>
        <w:tc>
          <w:tcPr>
            <w:tcW w:w="1060" w:type="dxa"/>
          </w:tcPr>
          <w:p w14:paraId="3CA49E5E" w14:textId="77777777" w:rsidR="00543D47" w:rsidRPr="00304586" w:rsidRDefault="00543D47" w:rsidP="00D9610A">
            <w:pPr>
              <w:rPr>
                <w:sz w:val="18"/>
                <w:szCs w:val="18"/>
              </w:rPr>
            </w:pPr>
            <w:r w:rsidRPr="000721C1">
              <w:rPr>
                <w:rFonts w:ascii="Calibri" w:hAnsi="Calibri"/>
                <w:color w:val="000000"/>
                <w:sz w:val="18"/>
                <w:szCs w:val="18"/>
              </w:rPr>
              <w:t>19</w:t>
            </w:r>
          </w:p>
        </w:tc>
        <w:tc>
          <w:tcPr>
            <w:tcW w:w="1054" w:type="dxa"/>
          </w:tcPr>
          <w:p w14:paraId="125C60DB" w14:textId="77777777" w:rsidR="00543D47" w:rsidRPr="00304586" w:rsidRDefault="00543D47" w:rsidP="00D9610A">
            <w:pPr>
              <w:rPr>
                <w:sz w:val="18"/>
                <w:szCs w:val="18"/>
              </w:rPr>
            </w:pPr>
            <w:r>
              <w:rPr>
                <w:rFonts w:ascii="Calibri" w:hAnsi="Calibri"/>
                <w:color w:val="000000"/>
                <w:sz w:val="18"/>
                <w:szCs w:val="18"/>
              </w:rPr>
              <w:t>-43.3%</w:t>
            </w:r>
          </w:p>
        </w:tc>
      </w:tr>
    </w:tbl>
    <w:p w14:paraId="7A74D3A9" w14:textId="77777777" w:rsidR="00543D47" w:rsidRPr="00370DFD" w:rsidRDefault="00543D47" w:rsidP="00543D47">
      <w:pPr>
        <w:pStyle w:val="Heading4"/>
        <w:rPr>
          <w:lang w:val="en-AU"/>
        </w:rPr>
      </w:pPr>
      <w:r w:rsidRPr="00370DFD">
        <w:rPr>
          <w:lang w:val="en-AU"/>
        </w:rPr>
        <w:t>Recommendation</w:t>
      </w:r>
      <w:r>
        <w:rPr>
          <w:lang w:val="en-AU"/>
        </w:rPr>
        <w:t>s</w:t>
      </w:r>
      <w:r w:rsidRPr="00370DFD">
        <w:rPr>
          <w:lang w:val="en-AU"/>
        </w:rPr>
        <w:t xml:space="preserve"> </w:t>
      </w:r>
    </w:p>
    <w:p w14:paraId="6EE8FF17" w14:textId="77777777" w:rsidR="00543D47" w:rsidRPr="00370DFD" w:rsidRDefault="00543D47" w:rsidP="00543D47">
      <w:pPr>
        <w:pStyle w:val="BodyText"/>
      </w:pPr>
      <w:r w:rsidRPr="00370DFD">
        <w:t xml:space="preserve">The </w:t>
      </w:r>
      <w:r>
        <w:t>Committee</w:t>
      </w:r>
      <w:r w:rsidRPr="00370DFD">
        <w:t xml:space="preserve"> proposes the following:</w:t>
      </w:r>
    </w:p>
    <w:p w14:paraId="7B8F0991" w14:textId="77777777" w:rsidR="00543D47" w:rsidRDefault="00543D47" w:rsidP="00543D47">
      <w:pPr>
        <w:pStyle w:val="NormalBulleted"/>
      </w:pPr>
      <w:r>
        <w:t xml:space="preserve">Delete item 66683. </w:t>
      </w:r>
    </w:p>
    <w:p w14:paraId="396EF564" w14:textId="77777777" w:rsidR="00543D47" w:rsidRPr="00370DFD" w:rsidRDefault="00543D47" w:rsidP="00543D47">
      <w:pPr>
        <w:pStyle w:val="Heading4"/>
        <w:rPr>
          <w:lang w:val="en-AU"/>
        </w:rPr>
      </w:pPr>
      <w:r w:rsidRPr="00370DFD">
        <w:rPr>
          <w:lang w:val="en-AU"/>
        </w:rPr>
        <w:t>Rationale</w:t>
      </w:r>
    </w:p>
    <w:p w14:paraId="70C8BE97" w14:textId="77777777" w:rsidR="00543D47" w:rsidRPr="00C41664" w:rsidRDefault="00543D47" w:rsidP="00543D47">
      <w:pPr>
        <w:pStyle w:val="NormalBulleted"/>
      </w:pPr>
      <w:r>
        <w:t xml:space="preserve">This item was requested only 19 times during the 2014–15 financial </w:t>
      </w:r>
      <w:proofErr w:type="gramStart"/>
      <w:r>
        <w:t>year, and</w:t>
      </w:r>
      <w:proofErr w:type="gramEnd"/>
      <w:r>
        <w:t xml:space="preserve"> was mainly requested by specialists (surgeons and neurologists). The Committee recommend deleting this item due to low volume/utilisation.</w:t>
      </w:r>
      <w:bookmarkStart w:id="159" w:name="_Toc456613858"/>
      <w:bookmarkEnd w:id="79"/>
      <w:bookmarkEnd w:id="80"/>
    </w:p>
    <w:p w14:paraId="604488B6" w14:textId="77777777" w:rsidR="00543D47" w:rsidRPr="00C06C9B" w:rsidRDefault="00543D47" w:rsidP="00543D47">
      <w:pPr>
        <w:pStyle w:val="Heading1"/>
      </w:pPr>
      <w:bookmarkStart w:id="160" w:name="_Toc487753531"/>
      <w:bookmarkStart w:id="161" w:name="_Toc490744103"/>
      <w:bookmarkStart w:id="162" w:name="_Toc514247630"/>
      <w:proofErr w:type="spellStart"/>
      <w:r w:rsidRPr="00C06C9B">
        <w:lastRenderedPageBreak/>
        <w:t>Tumour</w:t>
      </w:r>
      <w:proofErr w:type="spellEnd"/>
      <w:r w:rsidRPr="00C06C9B">
        <w:t xml:space="preserve"> marker items – 66650</w:t>
      </w:r>
      <w:r>
        <w:t>–</w:t>
      </w:r>
      <w:r w:rsidRPr="00C06C9B">
        <w:t>66653 and 66629</w:t>
      </w:r>
      <w:bookmarkEnd w:id="160"/>
      <w:bookmarkEnd w:id="161"/>
      <w:bookmarkEnd w:id="162"/>
    </w:p>
    <w:p w14:paraId="403D90A6" w14:textId="77777777" w:rsidR="00543D47" w:rsidRDefault="00543D47" w:rsidP="00543D47">
      <w:pPr>
        <w:rPr>
          <w:rFonts w:eastAsia="Calibri"/>
        </w:rPr>
      </w:pPr>
      <w:bookmarkStart w:id="163" w:name="_Toc490646852"/>
      <w:r>
        <w:rPr>
          <w:rFonts w:eastAsia="Calibri"/>
        </w:rPr>
        <w:t>Before the start</w:t>
      </w:r>
      <w:r w:rsidRPr="008C23E9">
        <w:rPr>
          <w:rFonts w:eastAsia="Calibri"/>
        </w:rPr>
        <w:t xml:space="preserve"> of the MBS Review process, the requesting of tumour markers</w:t>
      </w:r>
      <w:r>
        <w:rPr>
          <w:rFonts w:eastAsia="Calibri"/>
        </w:rPr>
        <w:t xml:space="preserve"> (TM)</w:t>
      </w:r>
      <w:r w:rsidRPr="008C23E9">
        <w:rPr>
          <w:rFonts w:eastAsia="Calibri"/>
        </w:rPr>
        <w:t xml:space="preserve"> had already been identified as an area of concern</w:t>
      </w:r>
      <w:r>
        <w:rPr>
          <w:rFonts w:eastAsia="Calibri"/>
        </w:rPr>
        <w:t xml:space="preserve">, </w:t>
      </w:r>
      <w:r w:rsidRPr="008C23E9">
        <w:rPr>
          <w:rFonts w:eastAsia="Calibri"/>
        </w:rPr>
        <w:t>w</w:t>
      </w:r>
      <w:r>
        <w:rPr>
          <w:rFonts w:eastAsia="Calibri"/>
        </w:rPr>
        <w:t xml:space="preserve">here reform might be required. </w:t>
      </w:r>
      <w:r w:rsidRPr="008C23E9">
        <w:rPr>
          <w:rFonts w:eastAsia="Calibri"/>
        </w:rPr>
        <w:t xml:space="preserve">Due to the specialised nature of these items, a </w:t>
      </w:r>
      <w:r>
        <w:rPr>
          <w:rFonts w:eastAsia="Calibri"/>
        </w:rPr>
        <w:t>s</w:t>
      </w:r>
      <w:r w:rsidRPr="008C23E9">
        <w:rPr>
          <w:rFonts w:eastAsia="Calibri"/>
        </w:rPr>
        <w:t xml:space="preserve">ubgroup was formed to review the </w:t>
      </w:r>
      <w:r>
        <w:rPr>
          <w:rFonts w:eastAsia="Calibri"/>
        </w:rPr>
        <w:t>TM items, comprising pathologists, GP representatives,</w:t>
      </w:r>
      <w:r w:rsidRPr="008C23E9">
        <w:rPr>
          <w:rFonts w:eastAsia="Calibri"/>
        </w:rPr>
        <w:t xml:space="preserve"> practising oncologists and a government medical adviser with </w:t>
      </w:r>
      <w:r>
        <w:rPr>
          <w:rFonts w:eastAsia="Calibri"/>
        </w:rPr>
        <w:t xml:space="preserve">a </w:t>
      </w:r>
      <w:r w:rsidRPr="008C23E9">
        <w:rPr>
          <w:rFonts w:eastAsia="Calibri"/>
        </w:rPr>
        <w:t>professional background in oncology</w:t>
      </w:r>
      <w:r>
        <w:rPr>
          <w:rFonts w:eastAsia="Calibri"/>
        </w:rPr>
        <w:t>. The recommendations that follow were made over two meetings, after careful consideration of the current data and a literature review.</w:t>
      </w:r>
      <w:r>
        <w:rPr>
          <w:rFonts w:eastAsia="Calibri"/>
        </w:rPr>
        <w:fldChar w:fldCharType="begin"/>
      </w:r>
      <w:r>
        <w:rPr>
          <w:rFonts w:eastAsia="Calibri"/>
        </w:rPr>
        <w:instrText xml:space="preserve"> ADDIN EN.CITE &lt;EndNote&gt;&lt;Cite&gt;&lt;Author&gt;HealthConsult for the Department of Health&lt;/Author&gt;&lt;Year&gt;2015&lt;/Year&gt;&lt;RecNum&gt;12&lt;/RecNum&gt;&lt;DisplayText&gt;&lt;style face="superscript"&gt;30&lt;/style&gt;&lt;/DisplayText&gt;&lt;record&gt;&lt;rec-number&gt;12&lt;/rec-number&gt;&lt;foreign-keys&gt;&lt;key app="EN" db-id="axta02z59p0tzoext0jprf27f2a5pp2era22" timestamp="1491280385"&gt;12&lt;/key&gt;&lt;/foreign-keys&gt;&lt;ref-type name="Report"&gt;27&lt;/ref-type&gt;&lt;contributors&gt;&lt;authors&gt;&lt;author&gt;HealthConsult for the Department of Health,&lt;/author&gt;&lt;/authors&gt;&lt;tertiary-authors&gt;&lt;author&gt;HealthConsult Pty Ltd &lt;/author&gt;&lt;/tertiary-authors&gt;&lt;/contributors&gt;&lt;titles&gt;&lt;title&gt;MBS item numbers - Tumour markers: Literature overview&lt;/title&gt;&lt;/titles&gt;&lt;dates&gt;&lt;year&gt;2015&lt;/year&gt;&lt;/dates&gt;&lt;pub-location&gt;Sydney, NSW&lt;/pub-location&gt;&lt;urls&gt;&lt;/urls&gt;&lt;/record&gt;&lt;/Cite&gt;&lt;/EndNote&gt;</w:instrText>
      </w:r>
      <w:r>
        <w:rPr>
          <w:rFonts w:eastAsia="Calibri"/>
        </w:rPr>
        <w:fldChar w:fldCharType="separate"/>
      </w:r>
      <w:r w:rsidRPr="006D2955">
        <w:rPr>
          <w:rFonts w:eastAsia="Calibri"/>
          <w:noProof/>
          <w:vertAlign w:val="superscript"/>
        </w:rPr>
        <w:t>30</w:t>
      </w:r>
      <w:r>
        <w:rPr>
          <w:rFonts w:eastAsia="Calibri"/>
        </w:rPr>
        <w:fldChar w:fldCharType="end"/>
      </w:r>
    </w:p>
    <w:p w14:paraId="14E304AD" w14:textId="77777777" w:rsidR="00543D47" w:rsidRPr="00C06C9B" w:rsidRDefault="00543D47" w:rsidP="00543D47">
      <w:pPr>
        <w:pStyle w:val="Caption"/>
      </w:pPr>
      <w:bookmarkStart w:id="164" w:name="_Toc534374966"/>
      <w:r w:rsidRPr="006F1A69">
        <w:t xml:space="preserve">Table </w:t>
      </w:r>
      <w:r>
        <w:t>56</w:t>
      </w:r>
      <w:r w:rsidRPr="006F1A69">
        <w:t>.</w:t>
      </w:r>
      <w:r w:rsidRPr="00C06C9B">
        <w:t xml:space="preserve"> Item introduction table for items 66650, 66651, 66652, 66653 and 66629</w:t>
      </w:r>
      <w:bookmarkEnd w:id="163"/>
      <w:bookmarkEnd w:id="164"/>
    </w:p>
    <w:tbl>
      <w:tblPr>
        <w:tblStyle w:val="TableGrid2"/>
        <w:tblW w:w="9058"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Table 56. Item introduction table for items 66650, 66651, 66652, 66653 and 66629"/>
        <w:tblDescription w:val="Table 56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w:tblPr>
      <w:tblGrid>
        <w:gridCol w:w="701"/>
        <w:gridCol w:w="2842"/>
        <w:gridCol w:w="1061"/>
        <w:gridCol w:w="1213"/>
        <w:gridCol w:w="1127"/>
        <w:gridCol w:w="1060"/>
        <w:gridCol w:w="1054"/>
      </w:tblGrid>
      <w:tr w:rsidR="00543D47" w:rsidRPr="00C06C9B" w14:paraId="1F094058" w14:textId="77777777" w:rsidTr="00D9610A">
        <w:trPr>
          <w:trHeight w:val="729"/>
          <w:tblHeader/>
        </w:trPr>
        <w:tc>
          <w:tcPr>
            <w:tcW w:w="701" w:type="dxa"/>
            <w:vAlign w:val="center"/>
            <w:hideMark/>
          </w:tcPr>
          <w:p w14:paraId="6437288D" w14:textId="77777777" w:rsidR="00543D47" w:rsidRPr="00347B62" w:rsidRDefault="00543D47" w:rsidP="00D9610A">
            <w:pPr>
              <w:rPr>
                <w:rFonts w:ascii="Calibri" w:hAnsi="Calibri" w:cs="Arial"/>
                <w:b/>
                <w:color w:val="000000"/>
                <w:sz w:val="18"/>
                <w:szCs w:val="18"/>
              </w:rPr>
            </w:pPr>
            <w:r w:rsidRPr="00347B62">
              <w:rPr>
                <w:rFonts w:ascii="Calibri" w:hAnsi="Calibri" w:cs="Arial"/>
                <w:b/>
                <w:color w:val="000000"/>
                <w:sz w:val="18"/>
                <w:szCs w:val="18"/>
              </w:rPr>
              <w:t>Item</w:t>
            </w:r>
          </w:p>
        </w:tc>
        <w:tc>
          <w:tcPr>
            <w:tcW w:w="2842" w:type="dxa"/>
            <w:vAlign w:val="center"/>
            <w:hideMark/>
          </w:tcPr>
          <w:p w14:paraId="331BA2E8" w14:textId="77777777" w:rsidR="00543D47" w:rsidRPr="00347B62" w:rsidRDefault="00543D47" w:rsidP="00D9610A">
            <w:pPr>
              <w:rPr>
                <w:rFonts w:ascii="Calibri" w:hAnsi="Calibri" w:cs="Arial"/>
                <w:b/>
                <w:color w:val="000000"/>
                <w:sz w:val="18"/>
                <w:szCs w:val="18"/>
              </w:rPr>
            </w:pPr>
            <w:r w:rsidRPr="00347B62">
              <w:rPr>
                <w:rFonts w:ascii="Calibri" w:hAnsi="Calibri" w:cs="Arial"/>
                <w:b/>
                <w:color w:val="000000"/>
                <w:sz w:val="18"/>
                <w:szCs w:val="18"/>
              </w:rPr>
              <w:t>Long item descriptor</w:t>
            </w:r>
          </w:p>
        </w:tc>
        <w:tc>
          <w:tcPr>
            <w:tcW w:w="1061" w:type="dxa"/>
            <w:vAlign w:val="center"/>
            <w:hideMark/>
          </w:tcPr>
          <w:p w14:paraId="46457785" w14:textId="77777777" w:rsidR="00543D47" w:rsidRPr="00347B62" w:rsidRDefault="00543D47" w:rsidP="00D9610A">
            <w:pPr>
              <w:rPr>
                <w:rFonts w:ascii="Calibri" w:hAnsi="Calibri" w:cs="Arial"/>
                <w:b/>
                <w:color w:val="000000"/>
                <w:sz w:val="18"/>
                <w:szCs w:val="18"/>
              </w:rPr>
            </w:pPr>
            <w:r w:rsidRPr="00347B62">
              <w:rPr>
                <w:rFonts w:ascii="Calibri" w:hAnsi="Calibri" w:cs="Arial"/>
                <w:b/>
                <w:color w:val="000000"/>
                <w:sz w:val="18"/>
                <w:szCs w:val="18"/>
              </w:rPr>
              <w:t>Schedule</w:t>
            </w:r>
            <w:r w:rsidRPr="00347B62">
              <w:rPr>
                <w:rFonts w:ascii="Calibri" w:hAnsi="Calibri" w:cs="Arial"/>
                <w:b/>
                <w:color w:val="000000"/>
                <w:sz w:val="18"/>
                <w:szCs w:val="18"/>
              </w:rPr>
              <w:br/>
              <w:t>fee</w:t>
            </w:r>
          </w:p>
        </w:tc>
        <w:tc>
          <w:tcPr>
            <w:tcW w:w="1213" w:type="dxa"/>
            <w:vAlign w:val="center"/>
          </w:tcPr>
          <w:p w14:paraId="72070FF7" w14:textId="77777777" w:rsidR="00543D47" w:rsidRPr="00347B62" w:rsidRDefault="00543D47" w:rsidP="00D9610A">
            <w:pPr>
              <w:rPr>
                <w:rFonts w:ascii="Calibri" w:hAnsi="Calibri" w:cs="Arial"/>
                <w:b/>
                <w:color w:val="000000"/>
                <w:sz w:val="18"/>
                <w:szCs w:val="18"/>
              </w:rPr>
            </w:pPr>
            <w:r w:rsidRPr="00347B62">
              <w:rPr>
                <w:rFonts w:ascii="Calibri" w:hAnsi="Calibri" w:cs="Arial"/>
                <w:b/>
                <w:color w:val="000000"/>
                <w:sz w:val="18"/>
                <w:szCs w:val="18"/>
              </w:rPr>
              <w:t xml:space="preserve">Services </w:t>
            </w:r>
            <w:r w:rsidRPr="00347B62">
              <w:rPr>
                <w:rFonts w:ascii="Calibri" w:hAnsi="Calibri" w:cs="Arial"/>
                <w:b/>
                <w:color w:val="000000"/>
                <w:sz w:val="18"/>
                <w:szCs w:val="18"/>
              </w:rPr>
              <w:br/>
              <w:t>FY 2014-15</w:t>
            </w:r>
          </w:p>
        </w:tc>
        <w:tc>
          <w:tcPr>
            <w:tcW w:w="1127" w:type="dxa"/>
            <w:vAlign w:val="center"/>
          </w:tcPr>
          <w:p w14:paraId="13FC7117" w14:textId="77777777" w:rsidR="00543D47" w:rsidRPr="00347B62" w:rsidRDefault="00543D47" w:rsidP="00D9610A">
            <w:pPr>
              <w:rPr>
                <w:rFonts w:ascii="Calibri" w:hAnsi="Calibri" w:cs="Arial"/>
                <w:b/>
                <w:color w:val="000000"/>
                <w:sz w:val="18"/>
                <w:szCs w:val="18"/>
              </w:rPr>
            </w:pPr>
            <w:r w:rsidRPr="00347B62">
              <w:rPr>
                <w:rFonts w:ascii="Calibri" w:hAnsi="Calibri" w:cs="Arial"/>
                <w:b/>
                <w:color w:val="000000"/>
                <w:sz w:val="18"/>
                <w:szCs w:val="18"/>
              </w:rPr>
              <w:t xml:space="preserve">Benefits </w:t>
            </w:r>
            <w:r w:rsidRPr="00347B62">
              <w:rPr>
                <w:rFonts w:ascii="Calibri" w:hAnsi="Calibri" w:cs="Arial"/>
                <w:b/>
                <w:color w:val="000000"/>
                <w:sz w:val="18"/>
                <w:szCs w:val="18"/>
              </w:rPr>
              <w:br/>
              <w:t>FY 2014-15</w:t>
            </w:r>
          </w:p>
        </w:tc>
        <w:tc>
          <w:tcPr>
            <w:tcW w:w="1060" w:type="dxa"/>
            <w:vAlign w:val="center"/>
            <w:hideMark/>
          </w:tcPr>
          <w:p w14:paraId="568B4AA8" w14:textId="77777777" w:rsidR="00543D47" w:rsidRPr="00347B62" w:rsidRDefault="00543D47" w:rsidP="00D9610A">
            <w:pPr>
              <w:rPr>
                <w:rFonts w:ascii="Calibri" w:hAnsi="Calibri" w:cs="Arial"/>
                <w:b/>
                <w:color w:val="000000"/>
                <w:sz w:val="18"/>
                <w:szCs w:val="18"/>
              </w:rPr>
            </w:pPr>
            <w:r w:rsidRPr="00347B62">
              <w:rPr>
                <w:rFonts w:ascii="Calibri" w:hAnsi="Calibri" w:cs="Arial"/>
                <w:b/>
                <w:color w:val="000000"/>
                <w:sz w:val="18"/>
                <w:szCs w:val="18"/>
              </w:rPr>
              <w:t>Patient count 2014-15</w:t>
            </w:r>
          </w:p>
        </w:tc>
        <w:tc>
          <w:tcPr>
            <w:tcW w:w="1054" w:type="dxa"/>
            <w:vAlign w:val="center"/>
            <w:hideMark/>
          </w:tcPr>
          <w:p w14:paraId="38BBFDED" w14:textId="77777777" w:rsidR="00543D47" w:rsidRPr="00347B62" w:rsidRDefault="00543D47" w:rsidP="00D9610A">
            <w:pPr>
              <w:rPr>
                <w:rFonts w:ascii="Calibri" w:hAnsi="Calibri" w:cs="Arial"/>
                <w:b/>
                <w:color w:val="000000"/>
                <w:sz w:val="18"/>
                <w:szCs w:val="18"/>
              </w:rPr>
            </w:pPr>
            <w:r w:rsidRPr="00347B62">
              <w:rPr>
                <w:rFonts w:ascii="Calibri" w:hAnsi="Calibri" w:cs="Arial"/>
                <w:b/>
                <w:color w:val="000000"/>
                <w:sz w:val="18"/>
                <w:szCs w:val="18"/>
              </w:rPr>
              <w:t>5-year service change % (CAGR)</w:t>
            </w:r>
          </w:p>
        </w:tc>
      </w:tr>
      <w:tr w:rsidR="00543D47" w:rsidRPr="00C06C9B" w14:paraId="09B3F50F" w14:textId="77777777" w:rsidTr="00D9610A">
        <w:trPr>
          <w:trHeight w:val="300"/>
        </w:trPr>
        <w:tc>
          <w:tcPr>
            <w:tcW w:w="701" w:type="dxa"/>
            <w:noWrap/>
            <w:hideMark/>
          </w:tcPr>
          <w:p w14:paraId="40F6423E"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66650</w:t>
            </w:r>
          </w:p>
        </w:tc>
        <w:tc>
          <w:tcPr>
            <w:tcW w:w="2842" w:type="dxa"/>
            <w:noWrap/>
          </w:tcPr>
          <w:p w14:paraId="425808EF"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Alpha-fetoprotein, CA-15.3 antigen (CA15.3), CA-125 antigen (CA125), CA-19.9 antigen (CA19.9), cancer</w:t>
            </w:r>
            <w:r>
              <w:rPr>
                <w:rFonts w:ascii="Calibri" w:hAnsi="Calibri" w:cs="Arial"/>
                <w:sz w:val="18"/>
                <w:szCs w:val="18"/>
              </w:rPr>
              <w:t>-</w:t>
            </w:r>
            <w:r w:rsidRPr="00C06C9B">
              <w:rPr>
                <w:rFonts w:ascii="Calibri" w:hAnsi="Calibri" w:cs="Arial"/>
                <w:sz w:val="18"/>
                <w:szCs w:val="18"/>
              </w:rPr>
              <w:t xml:space="preserve">associated serum antigen (CASA), carcinoembryonic antigen (CEA), human chorionic gonadotrophin (HCG), neuron specific enolase (NSE), thyroglobulin in serum or other body fluid, in the monitoring of malignancy or in the detection or monitoring of hepatic </w:t>
            </w:r>
            <w:proofErr w:type="spellStart"/>
            <w:r w:rsidRPr="00C06C9B">
              <w:rPr>
                <w:rFonts w:ascii="Calibri" w:hAnsi="Calibri" w:cs="Arial"/>
                <w:sz w:val="18"/>
                <w:szCs w:val="18"/>
              </w:rPr>
              <w:t>tumours</w:t>
            </w:r>
            <w:proofErr w:type="spellEnd"/>
            <w:r w:rsidRPr="00C06C9B">
              <w:rPr>
                <w:rFonts w:ascii="Calibri" w:hAnsi="Calibri" w:cs="Arial"/>
                <w:sz w:val="18"/>
                <w:szCs w:val="18"/>
              </w:rPr>
              <w:t xml:space="preserve">, gestational trophoblastic disease or germ cell </w:t>
            </w:r>
            <w:proofErr w:type="spellStart"/>
            <w:r w:rsidRPr="00C06C9B">
              <w:rPr>
                <w:rFonts w:ascii="Calibri" w:hAnsi="Calibri" w:cs="Arial"/>
                <w:sz w:val="18"/>
                <w:szCs w:val="18"/>
              </w:rPr>
              <w:t>tumour</w:t>
            </w:r>
            <w:proofErr w:type="spellEnd"/>
            <w:r w:rsidRPr="00C06C9B">
              <w:rPr>
                <w:rFonts w:ascii="Calibri" w:hAnsi="Calibri" w:cs="Arial"/>
                <w:sz w:val="18"/>
                <w:szCs w:val="18"/>
              </w:rPr>
              <w:t xml:space="preserve"> - quantitation - 1 test</w:t>
            </w:r>
          </w:p>
        </w:tc>
        <w:tc>
          <w:tcPr>
            <w:tcW w:w="1061" w:type="dxa"/>
            <w:noWrap/>
          </w:tcPr>
          <w:p w14:paraId="465B8C72"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$24.35</w:t>
            </w:r>
          </w:p>
        </w:tc>
        <w:tc>
          <w:tcPr>
            <w:tcW w:w="1213" w:type="dxa"/>
            <w:noWrap/>
          </w:tcPr>
          <w:p w14:paraId="4127C02A"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513,703</w:t>
            </w:r>
          </w:p>
          <w:p w14:paraId="2D03E16D" w14:textId="77777777" w:rsidR="00543D47" w:rsidRPr="00C06C9B" w:rsidRDefault="00543D47" w:rsidP="00D9610A">
            <w:pPr>
              <w:rPr>
                <w:rFonts w:ascii="Calibri" w:hAnsi="Calibri" w:cs="Arial"/>
                <w:color w:val="000000"/>
                <w:sz w:val="18"/>
                <w:szCs w:val="18"/>
              </w:rPr>
            </w:pPr>
          </w:p>
        </w:tc>
        <w:tc>
          <w:tcPr>
            <w:tcW w:w="1127" w:type="dxa"/>
          </w:tcPr>
          <w:p w14:paraId="08EBE818"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$10,616,167</w:t>
            </w:r>
          </w:p>
          <w:p w14:paraId="5D339DDC" w14:textId="77777777" w:rsidR="00543D47" w:rsidRPr="00C06C9B" w:rsidRDefault="00543D47" w:rsidP="00D9610A">
            <w:pPr>
              <w:rPr>
                <w:rFonts w:ascii="Calibri" w:hAnsi="Calibri" w:cs="Arial"/>
                <w:color w:val="000000"/>
                <w:sz w:val="18"/>
                <w:szCs w:val="18"/>
              </w:rPr>
            </w:pPr>
          </w:p>
        </w:tc>
        <w:tc>
          <w:tcPr>
            <w:tcW w:w="1060" w:type="dxa"/>
            <w:noWrap/>
          </w:tcPr>
          <w:p w14:paraId="203BE328"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318,833</w:t>
            </w:r>
          </w:p>
          <w:p w14:paraId="34862E07" w14:textId="77777777" w:rsidR="00543D47" w:rsidRPr="00C06C9B" w:rsidRDefault="00543D47" w:rsidP="00D9610A">
            <w:pPr>
              <w:rPr>
                <w:rFonts w:ascii="Calibri" w:hAnsi="Calibri" w:cs="Arial"/>
                <w:color w:val="000000"/>
                <w:sz w:val="18"/>
                <w:szCs w:val="18"/>
              </w:rPr>
            </w:pPr>
          </w:p>
        </w:tc>
        <w:tc>
          <w:tcPr>
            <w:tcW w:w="1054" w:type="dxa"/>
            <w:noWrap/>
          </w:tcPr>
          <w:p w14:paraId="1AA09ABC"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2.5%</w:t>
            </w:r>
          </w:p>
          <w:p w14:paraId="1E5CF01F" w14:textId="77777777" w:rsidR="00543D47" w:rsidRPr="00C06C9B" w:rsidRDefault="00543D47" w:rsidP="00D9610A">
            <w:pPr>
              <w:rPr>
                <w:rFonts w:ascii="Calibri" w:hAnsi="Calibri" w:cs="Arial"/>
                <w:color w:val="000000"/>
                <w:sz w:val="18"/>
                <w:szCs w:val="18"/>
              </w:rPr>
            </w:pPr>
          </w:p>
          <w:p w14:paraId="6E749639" w14:textId="77777777" w:rsidR="00543D47" w:rsidRPr="00C06C9B" w:rsidRDefault="00543D47" w:rsidP="00D9610A">
            <w:pPr>
              <w:rPr>
                <w:rFonts w:ascii="Calibri" w:hAnsi="Calibri" w:cs="Arial"/>
                <w:color w:val="000000"/>
                <w:sz w:val="18"/>
                <w:szCs w:val="18"/>
              </w:rPr>
            </w:pPr>
          </w:p>
        </w:tc>
      </w:tr>
      <w:tr w:rsidR="00543D47" w:rsidRPr="00C06C9B" w14:paraId="476BF3C4" w14:textId="77777777" w:rsidTr="00D9610A">
        <w:trPr>
          <w:trHeight w:val="300"/>
        </w:trPr>
        <w:tc>
          <w:tcPr>
            <w:tcW w:w="701" w:type="dxa"/>
            <w:noWrap/>
            <w:hideMark/>
          </w:tcPr>
          <w:p w14:paraId="57CCE6BD"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66651</w:t>
            </w:r>
          </w:p>
        </w:tc>
        <w:tc>
          <w:tcPr>
            <w:tcW w:w="2842" w:type="dxa"/>
            <w:noWrap/>
          </w:tcPr>
          <w:p w14:paraId="6ABCB387"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A test described in item 66650 if rendered by a receiving APP, where no tests in the item have been rendered by the referring APP - 1 test</w:t>
            </w:r>
          </w:p>
        </w:tc>
        <w:tc>
          <w:tcPr>
            <w:tcW w:w="1061" w:type="dxa"/>
            <w:noWrap/>
          </w:tcPr>
          <w:p w14:paraId="64403E32"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$24.35</w:t>
            </w:r>
          </w:p>
        </w:tc>
        <w:tc>
          <w:tcPr>
            <w:tcW w:w="1213" w:type="dxa"/>
            <w:noWrap/>
          </w:tcPr>
          <w:p w14:paraId="0F9F038C"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9,166</w:t>
            </w:r>
          </w:p>
          <w:p w14:paraId="6257BD3E" w14:textId="77777777" w:rsidR="00543D47" w:rsidRPr="00C06C9B" w:rsidRDefault="00543D47" w:rsidP="00D9610A">
            <w:pPr>
              <w:rPr>
                <w:rFonts w:ascii="Calibri" w:hAnsi="Calibri" w:cs="Arial"/>
                <w:color w:val="000000"/>
                <w:sz w:val="18"/>
                <w:szCs w:val="18"/>
              </w:rPr>
            </w:pPr>
          </w:p>
        </w:tc>
        <w:tc>
          <w:tcPr>
            <w:tcW w:w="1127" w:type="dxa"/>
          </w:tcPr>
          <w:p w14:paraId="5B03D3E1"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$189,339</w:t>
            </w:r>
          </w:p>
          <w:p w14:paraId="3CE44F35" w14:textId="77777777" w:rsidR="00543D47" w:rsidRPr="00C06C9B" w:rsidRDefault="00543D47" w:rsidP="00D9610A">
            <w:pPr>
              <w:rPr>
                <w:rFonts w:ascii="Calibri" w:hAnsi="Calibri" w:cs="Arial"/>
                <w:color w:val="000000"/>
                <w:sz w:val="18"/>
                <w:szCs w:val="18"/>
              </w:rPr>
            </w:pPr>
          </w:p>
        </w:tc>
        <w:tc>
          <w:tcPr>
            <w:tcW w:w="1060" w:type="dxa"/>
            <w:noWrap/>
          </w:tcPr>
          <w:p w14:paraId="1DBF7062"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7,604</w:t>
            </w:r>
          </w:p>
          <w:p w14:paraId="5447280E" w14:textId="77777777" w:rsidR="00543D47" w:rsidRPr="00C06C9B" w:rsidRDefault="00543D47" w:rsidP="00D9610A">
            <w:pPr>
              <w:rPr>
                <w:rFonts w:ascii="Calibri" w:hAnsi="Calibri" w:cs="Arial"/>
                <w:color w:val="000000"/>
                <w:sz w:val="18"/>
                <w:szCs w:val="18"/>
              </w:rPr>
            </w:pPr>
          </w:p>
        </w:tc>
        <w:tc>
          <w:tcPr>
            <w:tcW w:w="1054" w:type="dxa"/>
            <w:noWrap/>
          </w:tcPr>
          <w:p w14:paraId="48D893BA"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1.8%</w:t>
            </w:r>
          </w:p>
          <w:p w14:paraId="37A81CF7" w14:textId="77777777" w:rsidR="00543D47" w:rsidRPr="00C06C9B" w:rsidRDefault="00543D47" w:rsidP="00D9610A">
            <w:pPr>
              <w:rPr>
                <w:rFonts w:ascii="Calibri" w:hAnsi="Calibri" w:cs="Arial"/>
                <w:color w:val="000000"/>
                <w:sz w:val="18"/>
                <w:szCs w:val="18"/>
              </w:rPr>
            </w:pPr>
          </w:p>
        </w:tc>
      </w:tr>
      <w:tr w:rsidR="00543D47" w:rsidRPr="00C06C9B" w14:paraId="59DCBC20" w14:textId="77777777" w:rsidTr="00D9610A">
        <w:trPr>
          <w:trHeight w:val="300"/>
        </w:trPr>
        <w:tc>
          <w:tcPr>
            <w:tcW w:w="701" w:type="dxa"/>
            <w:noWrap/>
            <w:hideMark/>
          </w:tcPr>
          <w:p w14:paraId="13737D59"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66652</w:t>
            </w:r>
          </w:p>
        </w:tc>
        <w:tc>
          <w:tcPr>
            <w:tcW w:w="2842" w:type="dxa"/>
            <w:noWrap/>
          </w:tcPr>
          <w:p w14:paraId="509C7C53"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A test described in item 66650 if rendered by a receiving APP - other than that described in 66651, if rendered by a receiving AP</w:t>
            </w:r>
            <w:r>
              <w:rPr>
                <w:rFonts w:ascii="Calibri" w:hAnsi="Calibri" w:cs="Arial"/>
                <w:sz w:val="18"/>
                <w:szCs w:val="18"/>
              </w:rPr>
              <w:t xml:space="preserve"> -</w:t>
            </w:r>
            <w:r w:rsidRPr="00C06C9B">
              <w:rPr>
                <w:rFonts w:ascii="Calibri" w:hAnsi="Calibri" w:cs="Arial"/>
                <w:sz w:val="18"/>
                <w:szCs w:val="18"/>
              </w:rPr>
              <w:t xml:space="preserve"> 1 test</w:t>
            </w:r>
          </w:p>
        </w:tc>
        <w:tc>
          <w:tcPr>
            <w:tcW w:w="1061" w:type="dxa"/>
            <w:noWrap/>
          </w:tcPr>
          <w:p w14:paraId="1E5A5073"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$20.30</w:t>
            </w:r>
          </w:p>
        </w:tc>
        <w:tc>
          <w:tcPr>
            <w:tcW w:w="1213" w:type="dxa"/>
            <w:noWrap/>
          </w:tcPr>
          <w:p w14:paraId="09CD0C85"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4,117</w:t>
            </w:r>
          </w:p>
          <w:p w14:paraId="1A65FB66" w14:textId="77777777" w:rsidR="00543D47" w:rsidRPr="00C06C9B" w:rsidRDefault="00543D47" w:rsidP="00D9610A">
            <w:pPr>
              <w:rPr>
                <w:rFonts w:ascii="Calibri" w:hAnsi="Calibri" w:cs="Arial"/>
                <w:color w:val="000000"/>
                <w:sz w:val="18"/>
                <w:szCs w:val="18"/>
              </w:rPr>
            </w:pPr>
          </w:p>
        </w:tc>
        <w:tc>
          <w:tcPr>
            <w:tcW w:w="1127" w:type="dxa"/>
          </w:tcPr>
          <w:p w14:paraId="556A2A8E"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$71,106</w:t>
            </w:r>
          </w:p>
          <w:p w14:paraId="64EF73C2" w14:textId="77777777" w:rsidR="00543D47" w:rsidRPr="00C06C9B" w:rsidRDefault="00543D47" w:rsidP="00D9610A">
            <w:pPr>
              <w:rPr>
                <w:rFonts w:ascii="Calibri" w:hAnsi="Calibri" w:cs="Arial"/>
                <w:color w:val="000000"/>
                <w:sz w:val="18"/>
                <w:szCs w:val="18"/>
              </w:rPr>
            </w:pPr>
          </w:p>
        </w:tc>
        <w:tc>
          <w:tcPr>
            <w:tcW w:w="1060" w:type="dxa"/>
            <w:noWrap/>
          </w:tcPr>
          <w:p w14:paraId="5138C213"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3,380</w:t>
            </w:r>
          </w:p>
          <w:p w14:paraId="097A42A0" w14:textId="77777777" w:rsidR="00543D47" w:rsidRPr="00C06C9B" w:rsidRDefault="00543D47" w:rsidP="00D9610A">
            <w:pPr>
              <w:rPr>
                <w:rFonts w:ascii="Calibri" w:hAnsi="Calibri" w:cs="Arial"/>
                <w:color w:val="000000"/>
                <w:sz w:val="18"/>
                <w:szCs w:val="18"/>
              </w:rPr>
            </w:pPr>
          </w:p>
        </w:tc>
        <w:tc>
          <w:tcPr>
            <w:tcW w:w="1054" w:type="dxa"/>
            <w:noWrap/>
          </w:tcPr>
          <w:p w14:paraId="325AA0EF"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5.2%</w:t>
            </w:r>
          </w:p>
        </w:tc>
      </w:tr>
      <w:tr w:rsidR="00543D47" w:rsidRPr="00C06C9B" w14:paraId="5199848F" w14:textId="77777777" w:rsidTr="00D9610A">
        <w:trPr>
          <w:trHeight w:val="300"/>
        </w:trPr>
        <w:tc>
          <w:tcPr>
            <w:tcW w:w="701" w:type="dxa"/>
            <w:noWrap/>
            <w:hideMark/>
          </w:tcPr>
          <w:p w14:paraId="042A0686"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66653</w:t>
            </w:r>
          </w:p>
        </w:tc>
        <w:tc>
          <w:tcPr>
            <w:tcW w:w="2842" w:type="dxa"/>
            <w:noWrap/>
          </w:tcPr>
          <w:p w14:paraId="5B48EF8F"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2 or more tests described in item 66650</w:t>
            </w:r>
          </w:p>
        </w:tc>
        <w:tc>
          <w:tcPr>
            <w:tcW w:w="1061" w:type="dxa"/>
            <w:noWrap/>
          </w:tcPr>
          <w:p w14:paraId="181B3996"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$44.60</w:t>
            </w:r>
          </w:p>
        </w:tc>
        <w:tc>
          <w:tcPr>
            <w:tcW w:w="1213" w:type="dxa"/>
            <w:noWrap/>
          </w:tcPr>
          <w:p w14:paraId="677CF3E6"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264,540</w:t>
            </w:r>
          </w:p>
        </w:tc>
        <w:tc>
          <w:tcPr>
            <w:tcW w:w="1127" w:type="dxa"/>
          </w:tcPr>
          <w:p w14:paraId="3FA5B88A"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$10,020,483</w:t>
            </w:r>
          </w:p>
        </w:tc>
        <w:tc>
          <w:tcPr>
            <w:tcW w:w="1060" w:type="dxa"/>
            <w:noWrap/>
          </w:tcPr>
          <w:p w14:paraId="53A554E2"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198,722</w:t>
            </w:r>
          </w:p>
        </w:tc>
        <w:tc>
          <w:tcPr>
            <w:tcW w:w="1054" w:type="dxa"/>
            <w:noWrap/>
          </w:tcPr>
          <w:p w14:paraId="08B63846"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5.6%</w:t>
            </w:r>
          </w:p>
        </w:tc>
      </w:tr>
      <w:tr w:rsidR="00543D47" w:rsidRPr="00C06C9B" w14:paraId="6765DB11" w14:textId="77777777" w:rsidTr="00D9610A">
        <w:trPr>
          <w:trHeight w:val="300"/>
        </w:trPr>
        <w:tc>
          <w:tcPr>
            <w:tcW w:w="701" w:type="dxa"/>
            <w:noWrap/>
          </w:tcPr>
          <w:p w14:paraId="097F4575"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66629</w:t>
            </w:r>
          </w:p>
          <w:p w14:paraId="7298555E" w14:textId="77777777" w:rsidR="00543D47" w:rsidRPr="00C06C9B" w:rsidRDefault="00543D47" w:rsidP="00D9610A">
            <w:pPr>
              <w:rPr>
                <w:rFonts w:ascii="Calibri" w:hAnsi="Calibri" w:cs="Arial"/>
                <w:color w:val="000000"/>
                <w:sz w:val="18"/>
                <w:szCs w:val="18"/>
              </w:rPr>
            </w:pPr>
          </w:p>
        </w:tc>
        <w:tc>
          <w:tcPr>
            <w:tcW w:w="2842" w:type="dxa"/>
            <w:noWrap/>
          </w:tcPr>
          <w:p w14:paraId="590FFC5F"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Beta-2-microglobulin - quantitation in serum, urine or other body fluids - 1 or more tests</w:t>
            </w:r>
          </w:p>
        </w:tc>
        <w:tc>
          <w:tcPr>
            <w:tcW w:w="1061" w:type="dxa"/>
            <w:noWrap/>
          </w:tcPr>
          <w:p w14:paraId="5551A0DA"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$20.10</w:t>
            </w:r>
          </w:p>
        </w:tc>
        <w:tc>
          <w:tcPr>
            <w:tcW w:w="1213" w:type="dxa"/>
            <w:noWrap/>
          </w:tcPr>
          <w:p w14:paraId="3794AAF4"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66,823</w:t>
            </w:r>
          </w:p>
          <w:p w14:paraId="5D6F31B9" w14:textId="77777777" w:rsidR="00543D47" w:rsidRPr="00C06C9B" w:rsidRDefault="00543D47" w:rsidP="00D9610A">
            <w:pPr>
              <w:rPr>
                <w:rFonts w:ascii="Calibri" w:hAnsi="Calibri" w:cs="Arial"/>
                <w:color w:val="000000"/>
                <w:sz w:val="18"/>
                <w:szCs w:val="18"/>
              </w:rPr>
            </w:pPr>
          </w:p>
        </w:tc>
        <w:tc>
          <w:tcPr>
            <w:tcW w:w="1127" w:type="dxa"/>
          </w:tcPr>
          <w:p w14:paraId="0DD3734E"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$1,129,587</w:t>
            </w:r>
          </w:p>
          <w:p w14:paraId="03FB3CCC" w14:textId="77777777" w:rsidR="00543D47" w:rsidRPr="00C06C9B" w:rsidRDefault="00543D47" w:rsidP="00D9610A">
            <w:pPr>
              <w:rPr>
                <w:rFonts w:ascii="Calibri" w:hAnsi="Calibri" w:cs="Arial"/>
                <w:color w:val="000000"/>
                <w:sz w:val="18"/>
                <w:szCs w:val="18"/>
              </w:rPr>
            </w:pPr>
          </w:p>
        </w:tc>
        <w:tc>
          <w:tcPr>
            <w:tcW w:w="1060" w:type="dxa"/>
            <w:noWrap/>
          </w:tcPr>
          <w:p w14:paraId="58582032"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38,029</w:t>
            </w:r>
          </w:p>
          <w:p w14:paraId="47D7FFF2" w14:textId="77777777" w:rsidR="00543D47" w:rsidRPr="00C06C9B" w:rsidRDefault="00543D47" w:rsidP="00D9610A">
            <w:pPr>
              <w:rPr>
                <w:rFonts w:ascii="Calibri" w:hAnsi="Calibri" w:cs="Arial"/>
                <w:color w:val="000000"/>
                <w:sz w:val="18"/>
                <w:szCs w:val="18"/>
              </w:rPr>
            </w:pPr>
          </w:p>
        </w:tc>
        <w:tc>
          <w:tcPr>
            <w:tcW w:w="1054" w:type="dxa"/>
            <w:noWrap/>
          </w:tcPr>
          <w:p w14:paraId="4482C254"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4.7%</w:t>
            </w:r>
          </w:p>
        </w:tc>
      </w:tr>
    </w:tbl>
    <w:p w14:paraId="4992111D" w14:textId="77777777" w:rsidR="00543D47" w:rsidRPr="00C06C9B" w:rsidRDefault="00543D47" w:rsidP="00543D47">
      <w:pPr>
        <w:keepNext/>
        <w:spacing w:before="240" w:line="240" w:lineRule="auto"/>
        <w:outlineLvl w:val="3"/>
        <w:rPr>
          <w:rFonts w:ascii="Calibri" w:eastAsia="Calibri" w:hAnsi="Calibri" w:cs="Arial"/>
          <w:bCs/>
          <w:i/>
          <w:color w:val="B56012"/>
          <w:szCs w:val="26"/>
          <w:lang w:val="en-US"/>
        </w:rPr>
      </w:pPr>
      <w:r w:rsidRPr="00C06C9B">
        <w:rPr>
          <w:rFonts w:ascii="Calibri" w:eastAsia="Calibri" w:hAnsi="Calibri" w:cs="Arial"/>
          <w:bCs/>
          <w:i/>
          <w:color w:val="B56012"/>
          <w:szCs w:val="26"/>
          <w:lang w:val="en-US"/>
        </w:rPr>
        <w:lastRenderedPageBreak/>
        <w:t>Recommendation</w:t>
      </w:r>
    </w:p>
    <w:p w14:paraId="03A75BA2" w14:textId="77777777" w:rsidR="00543D47" w:rsidRPr="00C06C9B" w:rsidRDefault="00543D47" w:rsidP="00543D47">
      <w:pPr>
        <w:rPr>
          <w:rFonts w:ascii="Calibri" w:hAnsi="Calibri"/>
          <w:lang w:val="en-US"/>
        </w:rPr>
      </w:pPr>
      <w:r w:rsidRPr="00C06C9B">
        <w:rPr>
          <w:rFonts w:ascii="Calibri" w:hAnsi="Calibri"/>
          <w:lang w:val="en-US"/>
        </w:rPr>
        <w:t>The Committee propose</w:t>
      </w:r>
      <w:r>
        <w:rPr>
          <w:rFonts w:ascii="Calibri" w:hAnsi="Calibri"/>
          <w:lang w:val="en-US"/>
        </w:rPr>
        <w:t>s</w:t>
      </w:r>
      <w:r w:rsidRPr="00C06C9B">
        <w:rPr>
          <w:rFonts w:ascii="Calibri" w:hAnsi="Calibri"/>
          <w:lang w:val="en-US"/>
        </w:rPr>
        <w:t xml:space="preserve"> the following:</w:t>
      </w:r>
    </w:p>
    <w:p w14:paraId="4672FE03" w14:textId="77777777" w:rsidR="00543D47" w:rsidRPr="00C06C9B" w:rsidRDefault="00543D47" w:rsidP="00543D47">
      <w:pPr>
        <w:pStyle w:val="NormalBulleted"/>
        <w:rPr>
          <w:szCs w:val="22"/>
          <w:lang w:val="en-US"/>
        </w:rPr>
      </w:pPr>
      <w:r w:rsidRPr="00C06C9B">
        <w:rPr>
          <w:lang w:val="en-US"/>
        </w:rPr>
        <w:t xml:space="preserve">Rewording the item descriptors to specify which cancer and stage of disease a TM is indicated for (outlined in Table </w:t>
      </w:r>
      <w:r>
        <w:rPr>
          <w:lang w:val="en-US"/>
        </w:rPr>
        <w:t>57</w:t>
      </w:r>
      <w:r w:rsidRPr="00C06C9B">
        <w:rPr>
          <w:lang w:val="en-US"/>
        </w:rPr>
        <w:t xml:space="preserve"> below), to encourage appropriate, evidence-based requesting.</w:t>
      </w:r>
    </w:p>
    <w:p w14:paraId="4487A0B7" w14:textId="77777777" w:rsidR="00543D47" w:rsidRPr="00C06C9B" w:rsidRDefault="00543D47" w:rsidP="00543D47">
      <w:pPr>
        <w:pStyle w:val="NormalBulleted"/>
        <w:rPr>
          <w:szCs w:val="22"/>
          <w:lang w:val="en-US"/>
        </w:rPr>
      </w:pPr>
      <w:r w:rsidRPr="00C06C9B">
        <w:rPr>
          <w:lang w:val="en-US"/>
        </w:rPr>
        <w:t>To</w:t>
      </w:r>
      <w:r w:rsidRPr="00C06C9B">
        <w:rPr>
          <w:szCs w:val="22"/>
          <w:lang w:val="en-US"/>
        </w:rPr>
        <w:t xml:space="preserve"> remove cancer</w:t>
      </w:r>
      <w:r>
        <w:rPr>
          <w:szCs w:val="22"/>
          <w:lang w:val="en-US"/>
        </w:rPr>
        <w:t>-</w:t>
      </w:r>
      <w:r w:rsidRPr="00C06C9B">
        <w:rPr>
          <w:szCs w:val="22"/>
          <w:lang w:val="en-US"/>
        </w:rPr>
        <w:t>associated serum antigen (CASA) from the list of TMs in item 66650.</w:t>
      </w:r>
    </w:p>
    <w:p w14:paraId="222D6E57" w14:textId="77777777" w:rsidR="00543D47" w:rsidRPr="00C06C9B" w:rsidRDefault="00543D47" w:rsidP="00543D47">
      <w:pPr>
        <w:pStyle w:val="NormalBulleted"/>
        <w:rPr>
          <w:szCs w:val="22"/>
          <w:lang w:val="en-US"/>
        </w:rPr>
      </w:pPr>
      <w:r w:rsidRPr="00C06C9B">
        <w:rPr>
          <w:szCs w:val="22"/>
          <w:lang w:val="en-US"/>
        </w:rPr>
        <w:t>To remove thyroglobulin from the list of TMs in item 66650.</w:t>
      </w:r>
    </w:p>
    <w:p w14:paraId="43EEBBA0" w14:textId="77777777" w:rsidR="00543D47" w:rsidRPr="00C06C9B" w:rsidRDefault="00543D47" w:rsidP="00543D47">
      <w:pPr>
        <w:pStyle w:val="NormalBulleted"/>
        <w:rPr>
          <w:lang w:val="en-US"/>
        </w:rPr>
      </w:pPr>
      <w:r w:rsidRPr="00C06C9B">
        <w:rPr>
          <w:lang w:val="en-US"/>
        </w:rPr>
        <w:t xml:space="preserve">To refer </w:t>
      </w:r>
      <w:r>
        <w:t>c</w:t>
      </w:r>
      <w:r w:rsidRPr="00C06C9B">
        <w:t>hromogranin A for MSAC assessment, with a view to its inclusion in the list of TMs in item 66650, noting that a very clear descriptor will be required to ensure appropriate use in the most suitable patient populations.</w:t>
      </w:r>
    </w:p>
    <w:p w14:paraId="38A0AF8F" w14:textId="77777777" w:rsidR="00543D47" w:rsidRPr="00C06C9B" w:rsidRDefault="00543D47" w:rsidP="00543D47">
      <w:pPr>
        <w:pStyle w:val="NormalBulleted"/>
        <w:rPr>
          <w:szCs w:val="22"/>
        </w:rPr>
      </w:pPr>
      <w:r w:rsidRPr="00C06C9B">
        <w:rPr>
          <w:lang w:val="en-US"/>
        </w:rPr>
        <w:t xml:space="preserve">To refer </w:t>
      </w:r>
      <w:bookmarkStart w:id="165" w:name="_Hlk479000761"/>
      <w:r w:rsidRPr="00C06C9B">
        <w:rPr>
          <w:rFonts w:eastAsia="Arial" w:cs="Calibri"/>
        </w:rPr>
        <w:t>human epididymis protein 4</w:t>
      </w:r>
      <w:r w:rsidRPr="00C06C9B">
        <w:rPr>
          <w:rFonts w:eastAsia="Arial" w:cs="Calibri"/>
          <w:b/>
        </w:rPr>
        <w:t xml:space="preserve"> </w:t>
      </w:r>
      <w:r w:rsidRPr="00C06C9B">
        <w:t>(HE-4)</w:t>
      </w:r>
      <w:bookmarkEnd w:id="165"/>
      <w:r w:rsidRPr="00C06C9B">
        <w:t xml:space="preserve"> for MSAC assessment, with a view to its inclusion in</w:t>
      </w:r>
      <w:r>
        <w:t xml:space="preserve"> </w:t>
      </w:r>
      <w:r w:rsidRPr="00C06C9B">
        <w:t xml:space="preserve">the list of TMs in item 66650, noting that </w:t>
      </w:r>
      <w:r>
        <w:t xml:space="preserve">a </w:t>
      </w:r>
      <w:r w:rsidRPr="00C06C9B">
        <w:rPr>
          <w:szCs w:val="22"/>
        </w:rPr>
        <w:t>very clear descriptor will be required to ensure appropriate use in the most suitable patient populations.</w:t>
      </w:r>
    </w:p>
    <w:p w14:paraId="077BD0E7" w14:textId="77777777" w:rsidR="00543D47" w:rsidRPr="00C06C9B" w:rsidRDefault="00543D47" w:rsidP="00543D47">
      <w:pPr>
        <w:pStyle w:val="NormalBulleted"/>
        <w:rPr>
          <w:szCs w:val="22"/>
          <w:lang w:val="en-US"/>
        </w:rPr>
      </w:pPr>
      <w:r w:rsidRPr="00C06C9B">
        <w:rPr>
          <w:szCs w:val="22"/>
          <w:lang w:val="en-US"/>
        </w:rPr>
        <w:t>That item 66629 be retained as an MBS item rather than including beta-2-microglobulin in the list of TMs in item 66650.</w:t>
      </w:r>
    </w:p>
    <w:p w14:paraId="3409DA20" w14:textId="77777777" w:rsidR="00543D47" w:rsidRPr="00C06C9B" w:rsidRDefault="00543D47" w:rsidP="00543D47">
      <w:pPr>
        <w:pStyle w:val="NormalBulleted"/>
        <w:rPr>
          <w:szCs w:val="22"/>
          <w:lang w:val="en-US"/>
        </w:rPr>
      </w:pPr>
      <w:r w:rsidRPr="00C06C9B">
        <w:rPr>
          <w:lang w:val="en-US"/>
        </w:rPr>
        <w:t xml:space="preserve">A comprehensive campaign to educate requestors about the changes to these items and to encourage more appropriate requesting of TMs. </w:t>
      </w:r>
    </w:p>
    <w:p w14:paraId="7901DDE8" w14:textId="77777777" w:rsidR="00543D47" w:rsidRPr="00C06C9B" w:rsidRDefault="00543D47" w:rsidP="00543D47">
      <w:pPr>
        <w:keepNext/>
        <w:spacing w:before="240" w:line="240" w:lineRule="auto"/>
        <w:outlineLvl w:val="3"/>
        <w:rPr>
          <w:rFonts w:ascii="Calibri" w:eastAsia="Calibri" w:hAnsi="Calibri" w:cs="Arial"/>
          <w:bCs/>
          <w:i/>
          <w:color w:val="B56012"/>
          <w:szCs w:val="26"/>
          <w:lang w:val="en-US"/>
        </w:rPr>
      </w:pPr>
      <w:r w:rsidRPr="00C06C9B">
        <w:rPr>
          <w:rFonts w:ascii="Calibri" w:eastAsia="Calibri" w:hAnsi="Calibri" w:cs="Arial"/>
          <w:bCs/>
          <w:i/>
          <w:color w:val="B56012"/>
          <w:szCs w:val="26"/>
          <w:lang w:val="en-US"/>
        </w:rPr>
        <w:t>Rationale</w:t>
      </w:r>
    </w:p>
    <w:p w14:paraId="57AAF6C7" w14:textId="77777777" w:rsidR="00543D47" w:rsidRPr="00EE21AA" w:rsidRDefault="00543D47" w:rsidP="00543D47">
      <w:pPr>
        <w:pStyle w:val="NormalBulleted"/>
        <w:rPr>
          <w:rFonts w:ascii="Calibri" w:hAnsi="Calibri"/>
          <w:szCs w:val="22"/>
        </w:rPr>
      </w:pPr>
      <w:r>
        <w:t>The recommendations from this Committee is supported by a brief literature review undertaken by Health Consult on behalf of Secretariat for the Pathology Services Advisory Committee (PSAC) in early 2015;</w:t>
      </w:r>
      <w:r>
        <w:fldChar w:fldCharType="begin"/>
      </w:r>
      <w:r>
        <w:instrText xml:space="preserve"> ADDIN EN.CITE &lt;EndNote&gt;&lt;Cite&gt;&lt;Author&gt;Department of Health&lt;/Author&gt;&lt;Year&gt;2012&lt;/Year&gt;&lt;RecNum&gt;14&lt;/RecNum&gt;&lt;DisplayText&gt;&lt;style face="superscript"&gt;31&lt;/style&gt;&lt;/DisplayText&gt;&lt;record&gt;&lt;rec-number&gt;14&lt;/rec-number&gt;&lt;foreign-keys&gt;&lt;key app="EN" db-id="axta02z59p0tzoext0jprf27f2a5pp2era22" timestamp="1491537460"&gt;14&lt;/key&gt;&lt;/foreign-keys&gt;&lt;ref-type name="Report"&gt;27&lt;/ref-type&gt;&lt;contributors&gt;&lt;authors&gt;&lt;author&gt;Department of Health, &lt;/author&gt;&lt;/authors&gt;&lt;/contributors&gt;&lt;titles&gt;&lt;title&gt;Integrated Analysis of Quality Use of Pathology Program (QUPP) Final Reports&lt;/title&gt;&lt;/titles&gt;&lt;dates&gt;&lt;year&gt;2012&lt;/year&gt;&lt;/dates&gt;&lt;urls&gt;&lt;related-urls&gt;&lt;url&gt;http://www.health.gov.au/internet/main/publishing.nsf/Content/qupp-endorsed-rep-integanal-qupp&lt;/url&gt;&lt;/related-urls&gt;&lt;/urls&gt;&lt;access-date&gt;7 April 2017&lt;/access-date&gt;&lt;/record&gt;&lt;/Cite&gt;&lt;/EndNote&gt;</w:instrText>
      </w:r>
      <w:r>
        <w:fldChar w:fldCharType="separate"/>
      </w:r>
      <w:r w:rsidRPr="006D2955">
        <w:rPr>
          <w:noProof/>
          <w:vertAlign w:val="superscript"/>
        </w:rPr>
        <w:t>31</w:t>
      </w:r>
      <w:r>
        <w:fldChar w:fldCharType="end"/>
      </w:r>
      <w:r>
        <w:t xml:space="preserve"> that is, prior to the MBS Review. The purpose of the review was to determine whether current MBS TM tests remained clinically relevant, but also whether there were other TMs that were clinically relevant and not currently on the MBS. While not undertaken systematically, the overview of recent systemic reviews identified </w:t>
      </w:r>
      <w:proofErr w:type="gramStart"/>
      <w:r>
        <w:t>a number of</w:t>
      </w:r>
      <w:proofErr w:type="gramEnd"/>
      <w:r>
        <w:t xml:space="preserve"> publications indicating the potential utility of HE-4 as a diagnostic TM in ovarian and endometrial cancer, with the authors suggesting it could be considered for a more detailed assessment.</w:t>
      </w:r>
    </w:p>
    <w:p w14:paraId="54CA26E7" w14:textId="77777777" w:rsidR="00543D47" w:rsidRPr="00C06C9B" w:rsidRDefault="00543D47" w:rsidP="00543D47">
      <w:pPr>
        <w:pStyle w:val="NormalBulleted"/>
      </w:pPr>
      <w:r w:rsidRPr="00C06C9B">
        <w:t>MBS tumour marker (TM) expenditure in 2014-15 was $20.9 million. While only moderate in terms of cost to the government, inappropriate TM testing</w:t>
      </w:r>
      <w:r>
        <w:t xml:space="preserve">, particularly in the case of screening, </w:t>
      </w:r>
      <w:r w:rsidRPr="00C06C9B">
        <w:t xml:space="preserve">can lead to unnecessary </w:t>
      </w:r>
      <w:r>
        <w:t xml:space="preserve">downstream </w:t>
      </w:r>
      <w:r w:rsidRPr="00C06C9B">
        <w:t>imaging and other interventions</w:t>
      </w:r>
      <w:r>
        <w:t>, driven by high rates of false positive testing</w:t>
      </w:r>
      <w:r w:rsidRPr="00C06C9B">
        <w:t xml:space="preserve">. Data show moderate growth, with services for item 66650 growing at 2.5% annually, 66653 at 5.6% annually and 66629 at 4.7% per year. </w:t>
      </w:r>
    </w:p>
    <w:p w14:paraId="6A435A5C" w14:textId="77777777" w:rsidR="00543D47" w:rsidRDefault="00543D47" w:rsidP="00543D47">
      <w:pPr>
        <w:pStyle w:val="NormalBulleted"/>
      </w:pPr>
      <w:r w:rsidRPr="00C06C9B">
        <w:t xml:space="preserve">In </w:t>
      </w:r>
      <w:r w:rsidRPr="00B93142">
        <w:t xml:space="preserve">2014-15, GPs requested approximately 30% of item 66650 services, and almost 50% of services for item 66653 (when including data for both VR and non-VR GPs), compared with approximately 20% ordered by medical oncologists. Item 66629 (beta-2-microglobulin) was predominantly ordered by haematologists (almost 50% of requests) with approximately 8% </w:t>
      </w:r>
      <w:r w:rsidRPr="00BA28DD">
        <w:t xml:space="preserve">ordered by nephrologists (Figures 13 and 14). </w:t>
      </w:r>
    </w:p>
    <w:p w14:paraId="34EE7196" w14:textId="77777777" w:rsidR="00543D47" w:rsidRPr="001A12E4" w:rsidRDefault="00543D47" w:rsidP="00543D47">
      <w:pPr>
        <w:pStyle w:val="NormalBulleted"/>
        <w:rPr>
          <w:szCs w:val="22"/>
          <w:lang w:val="en-US"/>
        </w:rPr>
      </w:pPr>
      <w:r w:rsidRPr="001A12E4">
        <w:rPr>
          <w:lang w:val="en-US"/>
        </w:rPr>
        <w:t>Both published</w:t>
      </w:r>
      <w:r w:rsidRPr="001A12E4">
        <w:rPr>
          <w:lang w:val="en-US"/>
        </w:rPr>
        <w:fldChar w:fldCharType="begin">
          <w:fldData xml:space="preserve">PEVuZE5vdGU+PENpdGU+PEF1dGhvcj5Mb2k8L0F1dGhvcj48WWVhcj4yMDA0PC9ZZWFyPjxSZWNO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</w:fldData>
        </w:fldChar>
      </w:r>
      <w:r w:rsidRPr="001A12E4">
        <w:rPr>
          <w:lang w:val="en-US"/>
        </w:rPr>
        <w:instrText xml:space="preserve"> ADDIN EN.CITE </w:instrText>
      </w:r>
      <w:r w:rsidRPr="001A12E4">
        <w:rPr>
          <w:lang w:val="en-US"/>
        </w:rPr>
        <w:fldChar w:fldCharType="begin">
          <w:fldData xml:space="preserve">PEVuZE5vdGU+PENpdGU+PEF1dGhvcj5Mb2k8L0F1dGhvcj48WWVhcj4yMDA0PC9ZZWFyPjxSZWNO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</w:fldData>
        </w:fldChar>
      </w:r>
      <w:r w:rsidRPr="001A12E4">
        <w:rPr>
          <w:lang w:val="en-US"/>
        </w:rPr>
        <w:instrText xml:space="preserve"> ADDIN EN.CITE.DATA </w:instrText>
      </w:r>
      <w:r w:rsidRPr="001A12E4">
        <w:rPr>
          <w:lang w:val="en-US"/>
        </w:rPr>
      </w:r>
      <w:r w:rsidRPr="001A12E4">
        <w:rPr>
          <w:lang w:val="en-US"/>
        </w:rPr>
        <w:fldChar w:fldCharType="end"/>
      </w:r>
      <w:r w:rsidRPr="001A12E4">
        <w:rPr>
          <w:lang w:val="en-US"/>
        </w:rPr>
      </w:r>
      <w:r w:rsidRPr="001A12E4">
        <w:rPr>
          <w:lang w:val="en-US"/>
        </w:rPr>
        <w:fldChar w:fldCharType="separate"/>
      </w:r>
      <w:r w:rsidRPr="001A12E4">
        <w:rPr>
          <w:noProof/>
          <w:vertAlign w:val="superscript"/>
          <w:lang w:val="en-US"/>
        </w:rPr>
        <w:t>32</w:t>
      </w:r>
      <w:r w:rsidRPr="001A12E4">
        <w:rPr>
          <w:lang w:val="en-US"/>
        </w:rPr>
        <w:fldChar w:fldCharType="end"/>
      </w:r>
      <w:r w:rsidRPr="001A12E4">
        <w:rPr>
          <w:lang w:val="en-US"/>
        </w:rPr>
        <w:t xml:space="preserve"> and anecdotal</w:t>
      </w:r>
      <w:r w:rsidRPr="001A12E4">
        <w:rPr>
          <w:lang w:val="en-US"/>
        </w:rPr>
        <w:fldChar w:fldCharType="begin"/>
      </w:r>
      <w:r w:rsidRPr="001A12E4">
        <w:rPr>
          <w:lang w:val="en-US"/>
        </w:rPr>
        <w:instrText xml:space="preserve"> ADDIN EN.CITE &lt;EndNote&gt;&lt;Cite&gt;&lt;Author&gt;Department of Health&lt;/Author&gt;&lt;Year&gt;2012&lt;/Year&gt;&lt;RecNum&gt;14&lt;/RecNum&gt;&lt;DisplayText&gt;&lt;style face="superscript"&gt;31&lt;/style&gt;&lt;/DisplayText&gt;&lt;record&gt;&lt;rec-number&gt;14&lt;/rec-number&gt;&lt;foreign-keys&gt;&lt;key app="EN" db-id="axta02z59p0tzoext0jprf27f2a5pp2era22" timestamp="1491537460"&gt;14&lt;/key&gt;&lt;/foreign-keys&gt;&lt;ref-type name="Report"&gt;27&lt;/ref-type&gt;&lt;contributors&gt;&lt;authors&gt;&lt;author&gt;Department of Health, &lt;/author&gt;&lt;/authors&gt;&lt;/contributors&gt;&lt;titles&gt;&lt;title&gt;Integrated Analysis of Quality Use of Pathology Program (QUPP) Final Reports&lt;/title&gt;&lt;/titles&gt;&lt;dates&gt;&lt;year&gt;2012&lt;/year&gt;&lt;/dates&gt;&lt;urls&gt;&lt;related-urls&gt;&lt;url&gt;http://www.health.gov.au/internet/main/publishing.nsf/Content/qupp-endorsed-rep-integanal-qupp&lt;/url&gt;&lt;/related-urls&gt;&lt;/urls&gt;&lt;access-date&gt;7 April 2017&lt;/access-date&gt;&lt;/record&gt;&lt;/Cite&gt;&lt;/EndNote&gt;</w:instrText>
      </w:r>
      <w:r w:rsidRPr="001A12E4">
        <w:rPr>
          <w:lang w:val="en-US"/>
        </w:rPr>
        <w:fldChar w:fldCharType="separate"/>
      </w:r>
      <w:r w:rsidRPr="001A12E4">
        <w:rPr>
          <w:noProof/>
          <w:vertAlign w:val="superscript"/>
          <w:lang w:val="en-US"/>
        </w:rPr>
        <w:t>31</w:t>
      </w:r>
      <w:r w:rsidRPr="001A12E4">
        <w:rPr>
          <w:lang w:val="en-US"/>
        </w:rPr>
        <w:fldChar w:fldCharType="end"/>
      </w:r>
      <w:r w:rsidRPr="001A12E4">
        <w:rPr>
          <w:lang w:val="en-US"/>
        </w:rPr>
        <w:t xml:space="preserve"> evidence and the growth in MBS services for these items point to inappropriate use of TMs for screening. The Committee concluded that these tests are being </w:t>
      </w:r>
      <w:r w:rsidRPr="001A12E4">
        <w:rPr>
          <w:lang w:val="en-US"/>
        </w:rPr>
        <w:lastRenderedPageBreak/>
        <w:t xml:space="preserve">used for screening even though the current items preclude their use for screening and make clear that the tests are only available for diagnosis and monitoring and in quite specific circumstances. </w:t>
      </w:r>
      <w:proofErr w:type="gramStart"/>
      <w:r w:rsidRPr="001A12E4">
        <w:rPr>
          <w:lang w:val="en-US"/>
        </w:rPr>
        <w:t>Indeed</w:t>
      </w:r>
      <w:proofErr w:type="gramEnd"/>
      <w:r w:rsidRPr="001A12E4">
        <w:rPr>
          <w:lang w:val="en-US"/>
        </w:rPr>
        <w:t xml:space="preserve"> the TM items are a good example of how item descriptors alone do not lead to appropriate care and that other strategies are needed. </w:t>
      </w:r>
      <w:r w:rsidRPr="001A12E4">
        <w:rPr>
          <w:lang w:val="en"/>
        </w:rPr>
        <w:t>The Royal College of Pathologists of Australia identified TMs as one of the tests that should be questioned in its Choosing Wisely recommendations, noting that: ‘</w:t>
      </w:r>
      <w:r w:rsidRPr="001A12E4">
        <w:rPr>
          <w:rFonts w:cs="Arial"/>
          <w:color w:val="221E20"/>
          <w:lang w:val="en"/>
        </w:rPr>
        <w:t>testing for a broad range of biomarkers in patients with non-specific symptoms in the hope of finding an undetected cancer is not supported by the evidence from numerous systematic reviews.’</w:t>
      </w:r>
      <w:r w:rsidRPr="001A12E4">
        <w:rPr>
          <w:lang w:val="en-US"/>
        </w:rPr>
        <w:fldChar w:fldCharType="begin"/>
      </w:r>
      <w:r w:rsidRPr="001A12E4">
        <w:rPr>
          <w:lang w:val="en-US"/>
        </w:rPr>
        <w:instrText xml:space="preserve"> ADDIN EN.CITE &lt;EndNote&gt;&lt;Cite&gt;&lt;Author&gt;Choosing Wisely Australia&lt;/Author&gt;&lt;Year&gt;2015&lt;/Year&gt;&lt;RecNum&gt;13&lt;/RecNum&gt;&lt;DisplayText&gt;&lt;style face="superscript"&gt;33&lt;/style&gt;&lt;/DisplayText&gt;&lt;record&gt;&lt;rec-number&gt;13&lt;/rec-number&gt;&lt;foreign-keys&gt;&lt;key app="EN" db-id="axta02z59p0tzoext0jprf27f2a5pp2era22" timestamp="1491281739"&gt;13&lt;/key&gt;&lt;/foreign-keys&gt;&lt;ref-type name="Web Page"&gt;12&lt;/ref-type&gt;&lt;contributors&gt;&lt;authors&gt;&lt;author&gt;Choosing Wisely Australia,&lt;/author&gt;&lt;/authors&gt;&lt;/contributors&gt;&lt;titles&gt;&lt;title&gt;The Royal College of Pathologists of Australasia: tests, treatments and procedures clinicians and consumers should question&lt;/title&gt;&lt;/titles&gt;&lt;number&gt;4 April, 2017 &lt;/number&gt;&lt;dates&gt;&lt;year&gt;2015&lt;/year&gt;&lt;/dates&gt;&lt;urls&gt;&lt;related-urls&gt;&lt;url&gt;http://www.choosingwisely.org.au/recommendations/rcpa&lt;/url&gt;&lt;/related-urls&gt;&lt;/urls&gt;&lt;/record&gt;&lt;/Cite&gt;&lt;/EndNote&gt;</w:instrText>
      </w:r>
      <w:r w:rsidRPr="001A12E4">
        <w:rPr>
          <w:lang w:val="en-US"/>
        </w:rPr>
        <w:fldChar w:fldCharType="separate"/>
      </w:r>
      <w:r w:rsidRPr="001A12E4">
        <w:rPr>
          <w:noProof/>
          <w:vertAlign w:val="superscript"/>
          <w:lang w:val="en-US"/>
        </w:rPr>
        <w:t>33</w:t>
      </w:r>
      <w:r w:rsidRPr="001A12E4">
        <w:rPr>
          <w:lang w:val="en-US"/>
        </w:rPr>
        <w:fldChar w:fldCharType="end"/>
      </w:r>
      <w:r w:rsidRPr="001A12E4">
        <w:rPr>
          <w:lang w:val="en-US"/>
        </w:rPr>
        <w:t xml:space="preserve"> The Committee believes that including more prescriptive descriptors for these items may help as part of the effort to discourage inappropriate use of TMs</w:t>
      </w:r>
      <w:r w:rsidRPr="001A12E4">
        <w:rPr>
          <w:sz w:val="24"/>
          <w:lang w:val="en-US"/>
        </w:rPr>
        <w:t xml:space="preserve">. </w:t>
      </w:r>
      <w:r w:rsidRPr="001A12E4">
        <w:rPr>
          <w:szCs w:val="22"/>
          <w:lang w:val="en-US"/>
        </w:rPr>
        <w:t xml:space="preserve">This needs to be supported by appropriate education of requestors. </w:t>
      </w:r>
      <w:r w:rsidRPr="001A12E4">
        <w:rPr>
          <w:lang w:val="en-US"/>
        </w:rPr>
        <w:t>MBS data showed that in 30% of GP requests for TM items, there was no specialist involvement.</w:t>
      </w:r>
      <w:r w:rsidRPr="001A12E4">
        <w:t xml:space="preserve"> </w:t>
      </w:r>
      <w:r w:rsidRPr="001A12E4">
        <w:rPr>
          <w:szCs w:val="22"/>
          <w:lang w:val="en-US"/>
        </w:rPr>
        <w:t xml:space="preserve">Anecdotal evidence suggests that some GPs are using these items as screening tests for cancer, which was not their intended purpose and is not supported by evidence. Whereas, in other instances GPs are requesting the item as intended to monitor a patient’s progress after a </w:t>
      </w:r>
      <w:proofErr w:type="spellStart"/>
      <w:r w:rsidRPr="001A12E4">
        <w:rPr>
          <w:szCs w:val="22"/>
          <w:lang w:val="en-US"/>
        </w:rPr>
        <w:t>tumour</w:t>
      </w:r>
      <w:proofErr w:type="spellEnd"/>
      <w:r w:rsidRPr="001A12E4">
        <w:rPr>
          <w:szCs w:val="22"/>
          <w:lang w:val="en-US"/>
        </w:rPr>
        <w:t xml:space="preserve"> is excised in partnership with their specialist. </w:t>
      </w:r>
    </w:p>
    <w:p w14:paraId="3A884C21" w14:textId="77777777" w:rsidR="00543D47" w:rsidRPr="00C06C9B" w:rsidRDefault="00543D47" w:rsidP="00543D47">
      <w:pPr>
        <w:pStyle w:val="NormalBulleted"/>
        <w:rPr>
          <w:lang w:val="en-US"/>
        </w:rPr>
      </w:pPr>
      <w:r w:rsidRPr="00C06C9B">
        <w:t>Cancer</w:t>
      </w:r>
      <w:r>
        <w:t>-</w:t>
      </w:r>
      <w:r w:rsidRPr="00C06C9B">
        <w:t>associated serum antigen (CASA) is obsolete.</w:t>
      </w:r>
    </w:p>
    <w:p w14:paraId="19DD5027" w14:textId="77777777" w:rsidR="00543D47" w:rsidRPr="00C06C9B" w:rsidRDefault="00543D47" w:rsidP="00543D47">
      <w:pPr>
        <w:pStyle w:val="NormalBulleted"/>
        <w:rPr>
          <w:bCs/>
          <w:iCs/>
        </w:rPr>
      </w:pPr>
      <w:r w:rsidRPr="00C06C9B">
        <w:rPr>
          <w:bCs/>
          <w:iCs/>
        </w:rPr>
        <w:t xml:space="preserve">The </w:t>
      </w:r>
      <w:r w:rsidRPr="00C06C9B">
        <w:t>Endocrine Clinical Committee (ECC) has recommended the removal of thyroglobulin from item 66650 and that thyroglobulin and thyroglobulin antibody be instead grouped together in a new MBS item for thyroid cancer follow-up</w:t>
      </w:r>
      <w:r w:rsidRPr="00C06C9B">
        <w:rPr>
          <w:bCs/>
          <w:iCs/>
        </w:rPr>
        <w:t>.</w:t>
      </w:r>
      <w:r>
        <w:rPr>
          <w:bCs/>
          <w:iCs/>
        </w:rPr>
        <w:t xml:space="preserve"> </w:t>
      </w:r>
      <w:r w:rsidRPr="00C06C9B">
        <w:rPr>
          <w:bCs/>
          <w:iCs/>
        </w:rPr>
        <w:t xml:space="preserve">The Committee supports the ECC recommendations. </w:t>
      </w:r>
    </w:p>
    <w:p w14:paraId="5A58AA8E" w14:textId="77777777" w:rsidR="00543D47" w:rsidRPr="00C06C9B" w:rsidRDefault="00543D47" w:rsidP="00543D47">
      <w:pPr>
        <w:pStyle w:val="NormalBulleted"/>
      </w:pPr>
      <w:r w:rsidRPr="00C06C9B">
        <w:t xml:space="preserve">There is evidence for the utility of </w:t>
      </w:r>
      <w:bookmarkStart w:id="166" w:name="_Hlk479002047"/>
      <w:r>
        <w:t>c</w:t>
      </w:r>
      <w:r w:rsidRPr="00C06C9B">
        <w:t xml:space="preserve">hromogranin A </w:t>
      </w:r>
      <w:bookmarkEnd w:id="166"/>
      <w:r w:rsidRPr="00C06C9B">
        <w:t>f</w:t>
      </w:r>
      <w:r w:rsidRPr="00C06C9B">
        <w:rPr>
          <w:bCs/>
        </w:rPr>
        <w:t>or assessment and follow-up of neuroendocrine tumours</w:t>
      </w:r>
      <w:r w:rsidRPr="00C06C9B">
        <w:t>.</w:t>
      </w:r>
      <w:r w:rsidRPr="00C06C9B">
        <w:fldChar w:fldCharType="begin">
          <w:fldData xml:space="preserve">PEVuZE5vdGU+PENpdGU+PEF1dGhvcj5CaW5kZXJ1cDwvQXV0aG9yPjxZZWFyPjIwMTM8L1llYXI+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=
</w:fldData>
        </w:fldChar>
      </w:r>
      <w:r>
        <w:instrText xml:space="preserve"> ADDIN EN.CITE </w:instrText>
      </w:r>
      <w:r>
        <w:fldChar w:fldCharType="begin">
          <w:fldData xml:space="preserve">PEVuZE5vdGU+PENpdGU+PEF1dGhvcj5CaW5kZXJ1cDwvQXV0aG9yPjxZZWFyPjIwMTM8L1llYXI+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=
</w:fldData>
        </w:fldChar>
      </w:r>
      <w:r>
        <w:instrText xml:space="preserve"> ADDIN EN.CITE.DATA </w:instrText>
      </w:r>
      <w:r>
        <w:fldChar w:fldCharType="end"/>
      </w:r>
      <w:r w:rsidRPr="00C06C9B">
        <w:fldChar w:fldCharType="separate"/>
      </w:r>
      <w:r w:rsidRPr="006D2955">
        <w:rPr>
          <w:noProof/>
          <w:vertAlign w:val="superscript"/>
        </w:rPr>
        <w:t>34-39</w:t>
      </w:r>
      <w:r w:rsidRPr="00C06C9B">
        <w:fldChar w:fldCharType="end"/>
      </w:r>
      <w:r w:rsidRPr="00C06C9B">
        <w:t xml:space="preserve"> The Royal College of Pathologists of Australasia also supports inclusion of </w:t>
      </w:r>
      <w:r>
        <w:t>c</w:t>
      </w:r>
      <w:r w:rsidRPr="00C06C9B">
        <w:t>hromogranin A in the MBS tumour marker items. The Committee has referred this recommendation to the MSAC for further evaluation.</w:t>
      </w:r>
    </w:p>
    <w:p w14:paraId="1693E0E1" w14:textId="77777777" w:rsidR="00543D47" w:rsidRPr="00C06C9B" w:rsidRDefault="00543D47" w:rsidP="00543D47">
      <w:pPr>
        <w:pStyle w:val="NormalBulleted"/>
      </w:pPr>
      <w:r w:rsidRPr="00C06C9B">
        <w:t>There is evidence for the utility of human epididymis protein 4 (HE-4) in ovarian cancer.</w:t>
      </w:r>
      <w:r w:rsidRPr="00C06C9B">
        <w:fldChar w:fldCharType="begin">
          <w:fldData xml:space="preserve">PEVuZE5vdGU+PENpdGU+PEF1dGhvcj5IZWFsdGhDb25zdWx0IGZvciB0aGUgRGVwYXJ0bWVudCBv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</w:fldData>
        </w:fldChar>
      </w:r>
      <w:r>
        <w:instrText xml:space="preserve"> ADDIN EN.CITE </w:instrText>
      </w:r>
      <w:r>
        <w:fldChar w:fldCharType="begin">
          <w:fldData xml:space="preserve">PEVuZE5vdGU+PENpdGU+PEF1dGhvcj5IZWFsdGhDb25zdWx0IGZvciB0aGUgRGVwYXJ0bWVudCBv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</w:fldData>
        </w:fldChar>
      </w:r>
      <w:r>
        <w:instrText xml:space="preserve"> ADDIN EN.CITE.DATA </w:instrText>
      </w:r>
      <w:r>
        <w:fldChar w:fldCharType="end"/>
      </w:r>
      <w:r w:rsidRPr="00C06C9B">
        <w:fldChar w:fldCharType="separate"/>
      </w:r>
      <w:r w:rsidRPr="006D2955">
        <w:rPr>
          <w:noProof/>
          <w:vertAlign w:val="superscript"/>
        </w:rPr>
        <w:t>30</w:t>
      </w:r>
      <w:r w:rsidRPr="00C06C9B">
        <w:fldChar w:fldCharType="end"/>
      </w:r>
      <w:r w:rsidRPr="00C06C9B">
        <w:t xml:space="preserve"> The Royal</w:t>
      </w:r>
      <w:r>
        <w:t xml:space="preserve"> </w:t>
      </w:r>
      <w:r w:rsidRPr="00C06C9B">
        <w:t>Australian</w:t>
      </w:r>
      <w:r>
        <w:t xml:space="preserve"> </w:t>
      </w:r>
      <w:r w:rsidRPr="00C06C9B">
        <w:t>and</w:t>
      </w:r>
      <w:r>
        <w:t xml:space="preserve"> </w:t>
      </w:r>
      <w:r w:rsidRPr="00C06C9B">
        <w:t>New</w:t>
      </w:r>
      <w:r>
        <w:t xml:space="preserve"> </w:t>
      </w:r>
      <w:r w:rsidRPr="00C06C9B">
        <w:t>Zealand</w:t>
      </w:r>
      <w:r>
        <w:t xml:space="preserve"> </w:t>
      </w:r>
      <w:r w:rsidRPr="00C06C9B">
        <w:t>College</w:t>
      </w:r>
      <w:r>
        <w:t xml:space="preserve"> </w:t>
      </w:r>
      <w:r w:rsidRPr="00C06C9B">
        <w:t>of</w:t>
      </w:r>
      <w:r>
        <w:t xml:space="preserve"> </w:t>
      </w:r>
      <w:r w:rsidRPr="00C06C9B">
        <w:t>Obstetricians</w:t>
      </w:r>
      <w:r>
        <w:t xml:space="preserve"> </w:t>
      </w:r>
      <w:r w:rsidRPr="00C06C9B">
        <w:t>and</w:t>
      </w:r>
      <w:r>
        <w:t xml:space="preserve"> </w:t>
      </w:r>
      <w:r w:rsidRPr="00C06C9B">
        <w:t xml:space="preserve">Gynaecologists (RANZCOG) supports inclusion of HE-4 on the MBS, noting: </w:t>
      </w:r>
    </w:p>
    <w:p w14:paraId="4226E2AB" w14:textId="77777777" w:rsidR="00543D47" w:rsidRPr="00C06C9B" w:rsidRDefault="00543D47" w:rsidP="00543D47">
      <w:pPr>
        <w:pStyle w:val="NormalBulleted"/>
        <w:numPr>
          <w:ilvl w:val="1"/>
          <w:numId w:val="7"/>
        </w:numPr>
        <w:ind w:left="1276" w:hanging="425"/>
      </w:pPr>
      <w:r w:rsidRPr="00C06C9B">
        <w:t>The test is used in conjunction with CA125 to calculate the Risk of Malignancy Algorithm (ROMA). HE-4 is useful in women with an elevated CA125 and a pelvic mass, in order to determine whether a mass is likely to be malignant. Common benign causes of raised CA125 and pelvic mass (endometriosis, fibroids) will have a normal HE-4</w:t>
      </w:r>
      <w:r>
        <w:t xml:space="preserve"> and therefore a different ROMA score</w:t>
      </w:r>
      <w:r w:rsidRPr="00C06C9B">
        <w:t>.</w:t>
      </w:r>
    </w:p>
    <w:p w14:paraId="68D2862C" w14:textId="77777777" w:rsidR="00543D47" w:rsidRPr="00C06C9B" w:rsidRDefault="00543D47" w:rsidP="00543D47">
      <w:pPr>
        <w:pStyle w:val="NormalBulleted"/>
        <w:numPr>
          <w:ilvl w:val="1"/>
          <w:numId w:val="7"/>
        </w:numPr>
        <w:ind w:left="1276" w:hanging="425"/>
      </w:pPr>
      <w:r w:rsidRPr="00C06C9B">
        <w:t xml:space="preserve">HE-4 and other TMs should not be used for </w:t>
      </w:r>
      <w:proofErr w:type="gramStart"/>
      <w:r w:rsidRPr="00C06C9B">
        <w:t>screening, but</w:t>
      </w:r>
      <w:proofErr w:type="gramEnd"/>
      <w:r w:rsidRPr="00C06C9B">
        <w:t xml:space="preserve"> have value in the assessment and triage of patients with a pelvic mass. </w:t>
      </w:r>
    </w:p>
    <w:p w14:paraId="6F722DD5" w14:textId="77777777" w:rsidR="00543D47" w:rsidRPr="00C06C9B" w:rsidRDefault="00543D47" w:rsidP="00543D47">
      <w:pPr>
        <w:pStyle w:val="NormalBulleted"/>
      </w:pPr>
      <w:r w:rsidRPr="00C06C9B">
        <w:t>The Committee has referred this recommendation to the MSAC for further evaluation.</w:t>
      </w:r>
    </w:p>
    <w:p w14:paraId="0A553B25" w14:textId="77777777" w:rsidR="00543D47" w:rsidRPr="00C06C9B" w:rsidRDefault="00543D47" w:rsidP="00543D47">
      <w:pPr>
        <w:pStyle w:val="NormalBulleted"/>
      </w:pPr>
      <w:r w:rsidRPr="00C06C9B">
        <w:rPr>
          <w:szCs w:val="22"/>
        </w:rPr>
        <w:t>B</w:t>
      </w:r>
      <w:r w:rsidRPr="00C06C9B">
        <w:rPr>
          <w:rFonts w:cs="Calibri"/>
          <w:bCs/>
          <w:iCs/>
          <w:szCs w:val="22"/>
        </w:rPr>
        <w:t>eta-2-microglobulin</w:t>
      </w:r>
      <w:r w:rsidRPr="00C06C9B">
        <w:t xml:space="preserve"> is a TM, primarily requested by haematologists for the assessment and follow up of multiple myeloma and lymphoma. However, around 8% of requests for item 66629 in 2014-15 were from nephrologists, with beta-2-microglobulin testing also used for assessing the efficiency of dialysis. While use of item 66629 in nephrology is decreasing with the </w:t>
      </w:r>
      <w:r w:rsidRPr="00C06C9B">
        <w:lastRenderedPageBreak/>
        <w:t>increasing uptake of hi-flux dialysis, it still has clinical utility and needs to be retained on the Schedule.</w:t>
      </w:r>
      <w:r>
        <w:t xml:space="preserve"> </w:t>
      </w:r>
    </w:p>
    <w:p w14:paraId="02CAAA2D" w14:textId="77777777" w:rsidR="00543D47" w:rsidRDefault="00543D47" w:rsidP="00543D47">
      <w:pPr>
        <w:pStyle w:val="NormalBulleted"/>
      </w:pPr>
      <w:r w:rsidRPr="00C06C9B">
        <w:t>Committee members were unanimous in their belief that to achieve meaningful change in behaviour, any changes in the TM descriptors will need to be accompanied by an education campaign targeted at requestors, including both GPs and specialist requestors. Organisations that could be enlisted to support this campaign include NPS MedicineWise, pathology providers and the relevant medical colleges.</w:t>
      </w:r>
    </w:p>
    <w:p w14:paraId="33EF2883" w14:textId="77777777" w:rsidR="00543D47" w:rsidRPr="00C06C9B" w:rsidRDefault="00543D47" w:rsidP="00543D47">
      <w:pPr>
        <w:pStyle w:val="NormalBulleted"/>
      </w:pPr>
      <w:r>
        <w:t>To better identify usage of specific items and better direct education efforts, the Committee recommended individual items for specific tumour markers.</w:t>
      </w:r>
    </w:p>
    <w:p w14:paraId="78F1EADA" w14:textId="77777777" w:rsidR="00543D47" w:rsidRPr="009A7EF5" w:rsidRDefault="00543D47" w:rsidP="00543D47">
      <w:pPr>
        <w:pStyle w:val="Caption"/>
        <w:rPr>
          <w:lang w:val="en-US"/>
        </w:rPr>
      </w:pPr>
      <w:bookmarkStart w:id="167" w:name="_Toc490646853"/>
      <w:bookmarkStart w:id="168" w:name="_Toc534374967"/>
      <w:r w:rsidRPr="00C06C9B">
        <w:rPr>
          <w:lang w:val="en-US"/>
        </w:rPr>
        <w:t xml:space="preserve">Table </w:t>
      </w:r>
      <w:r>
        <w:rPr>
          <w:lang w:val="en-US"/>
        </w:rPr>
        <w:t>57</w:t>
      </w:r>
      <w:r w:rsidRPr="00C06C9B">
        <w:rPr>
          <w:lang w:val="en-US"/>
        </w:rPr>
        <w:t xml:space="preserve">. Current and proposed item descriptor for items 66650 </w:t>
      </w:r>
      <w:r>
        <w:rPr>
          <w:lang w:val="en-US"/>
        </w:rPr>
        <w:t>–</w:t>
      </w:r>
      <w:r w:rsidRPr="00C06C9B">
        <w:rPr>
          <w:lang w:val="en-US"/>
        </w:rPr>
        <w:t xml:space="preserve"> 66653</w:t>
      </w:r>
      <w:bookmarkEnd w:id="167"/>
      <w:r>
        <w:rPr>
          <w:lang w:val="en-US"/>
        </w:rPr>
        <w:t xml:space="preserve"> and 66629*</w:t>
      </w:r>
      <w:bookmarkEnd w:id="168"/>
    </w:p>
    <w:tbl>
      <w:tblPr>
        <w:tblStyle w:val="TableGrid2"/>
        <w:tblW w:w="9354"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Table 57. Current and proposed item descriptor for items 66650 – 66653 and 66629*"/>
        <w:tblDescription w:val="Table 57 has 3 columns. Column 1 lists the item number, column 2 lists the current descriptor and column 3 lists the proposed descriptor."/>
      </w:tblPr>
      <w:tblGrid>
        <w:gridCol w:w="1134"/>
        <w:gridCol w:w="4110"/>
        <w:gridCol w:w="4110"/>
      </w:tblGrid>
      <w:tr w:rsidR="00543D47" w:rsidRPr="00C06C9B" w14:paraId="16C3E47C" w14:textId="77777777" w:rsidTr="00D9610A">
        <w:trPr>
          <w:tblHeader/>
        </w:trPr>
        <w:tc>
          <w:tcPr>
            <w:tcW w:w="1134" w:type="dxa"/>
          </w:tcPr>
          <w:p w14:paraId="73CBA60D" w14:textId="77777777" w:rsidR="00543D47" w:rsidRPr="00347B62" w:rsidRDefault="00543D47" w:rsidP="00D9610A">
            <w:pPr>
              <w:rPr>
                <w:rFonts w:ascii="Calibri" w:hAnsi="Calibri" w:cs="Arial"/>
                <w:b/>
                <w:sz w:val="18"/>
                <w:szCs w:val="18"/>
              </w:rPr>
            </w:pPr>
            <w:r w:rsidRPr="00347B62">
              <w:rPr>
                <w:rFonts w:ascii="Calibri" w:hAnsi="Calibri" w:cs="Arial"/>
                <w:b/>
                <w:sz w:val="18"/>
                <w:szCs w:val="18"/>
              </w:rPr>
              <w:t>Item</w:t>
            </w:r>
          </w:p>
        </w:tc>
        <w:tc>
          <w:tcPr>
            <w:tcW w:w="4110" w:type="dxa"/>
          </w:tcPr>
          <w:p w14:paraId="66AE4079" w14:textId="77777777" w:rsidR="00543D47" w:rsidRPr="00347B62" w:rsidRDefault="00543D47" w:rsidP="00D9610A">
            <w:pPr>
              <w:rPr>
                <w:rFonts w:ascii="Calibri" w:hAnsi="Calibri" w:cs="Arial"/>
                <w:b/>
                <w:sz w:val="18"/>
                <w:szCs w:val="18"/>
              </w:rPr>
            </w:pPr>
            <w:r w:rsidRPr="00347B62">
              <w:rPr>
                <w:rFonts w:ascii="Calibri" w:hAnsi="Calibri" w:cs="Arial"/>
                <w:b/>
                <w:sz w:val="18"/>
                <w:szCs w:val="18"/>
              </w:rPr>
              <w:t xml:space="preserve">Current descriptor </w:t>
            </w:r>
          </w:p>
        </w:tc>
        <w:tc>
          <w:tcPr>
            <w:tcW w:w="4110" w:type="dxa"/>
          </w:tcPr>
          <w:p w14:paraId="45EC569F" w14:textId="77777777" w:rsidR="00543D47" w:rsidRPr="00347B62" w:rsidRDefault="00543D47" w:rsidP="00D9610A">
            <w:pPr>
              <w:rPr>
                <w:rFonts w:ascii="Calibri" w:hAnsi="Calibri" w:cs="Arial"/>
                <w:b/>
                <w:sz w:val="18"/>
                <w:szCs w:val="18"/>
              </w:rPr>
            </w:pPr>
            <w:r w:rsidRPr="00347B62">
              <w:rPr>
                <w:rFonts w:ascii="Calibri" w:hAnsi="Calibri" w:cs="Arial"/>
                <w:b/>
                <w:sz w:val="18"/>
                <w:szCs w:val="18"/>
              </w:rPr>
              <w:t xml:space="preserve">New descriptor </w:t>
            </w:r>
          </w:p>
        </w:tc>
      </w:tr>
      <w:tr w:rsidR="00543D47" w:rsidRPr="00C06C9B" w14:paraId="44A8711C" w14:textId="77777777" w:rsidTr="00D9610A">
        <w:tc>
          <w:tcPr>
            <w:tcW w:w="1134" w:type="dxa"/>
          </w:tcPr>
          <w:p w14:paraId="742130E6" w14:textId="77777777" w:rsidR="00543D47" w:rsidRPr="00C06C9B" w:rsidRDefault="00543D47" w:rsidP="00D9610A">
            <w:pPr>
              <w:rPr>
                <w:rFonts w:ascii="Calibri" w:hAnsi="Calibri" w:cs="Arial"/>
                <w:sz w:val="18"/>
                <w:szCs w:val="18"/>
              </w:rPr>
            </w:pPr>
            <w:r w:rsidRPr="00C06C9B">
              <w:rPr>
                <w:rFonts w:ascii="Calibri" w:hAnsi="Calibri" w:cs="Arial"/>
                <w:color w:val="000000"/>
                <w:sz w:val="18"/>
                <w:szCs w:val="18"/>
              </w:rPr>
              <w:t>66650</w:t>
            </w:r>
          </w:p>
        </w:tc>
        <w:tc>
          <w:tcPr>
            <w:tcW w:w="4110" w:type="dxa"/>
          </w:tcPr>
          <w:p w14:paraId="385DEF2D" w14:textId="77777777" w:rsidR="00543D47" w:rsidRPr="00C06C9B" w:rsidRDefault="00543D47" w:rsidP="00D9610A">
            <w:pPr>
              <w:rPr>
                <w:rFonts w:ascii="Calibri" w:hAnsi="Calibri" w:cs="Arial"/>
                <w:sz w:val="18"/>
                <w:szCs w:val="18"/>
              </w:rPr>
            </w:pPr>
            <w:r w:rsidRPr="00C06C9B">
              <w:rPr>
                <w:rFonts w:ascii="Calibri" w:hAnsi="Calibri" w:cs="Arial"/>
                <w:sz w:val="18"/>
                <w:szCs w:val="18"/>
              </w:rPr>
              <w:t>Alpha-fetoprotein, CA-15.3 antigen (CA15.3), CA-125 antigen (CA125), CA-19.9 antigen (CA19.9), cancer</w:t>
            </w:r>
            <w:r>
              <w:rPr>
                <w:rFonts w:ascii="Calibri" w:hAnsi="Calibri" w:cs="Arial"/>
                <w:sz w:val="18"/>
                <w:szCs w:val="18"/>
              </w:rPr>
              <w:t>-</w:t>
            </w:r>
            <w:r w:rsidRPr="00C06C9B">
              <w:rPr>
                <w:rFonts w:ascii="Calibri" w:hAnsi="Calibri" w:cs="Arial"/>
                <w:sz w:val="18"/>
                <w:szCs w:val="18"/>
              </w:rPr>
              <w:t xml:space="preserve">associated serum antigen (CASA), carcinoembryonic antigen (CEA), human chorionic gonadotrophin (HCG), neuron specific enolase (NSE), thyroglobulin in serum or other body fluid, in the monitoring of malignancy or in the detection or monitoring of hepatic </w:t>
            </w:r>
            <w:proofErr w:type="spellStart"/>
            <w:r w:rsidRPr="00C06C9B">
              <w:rPr>
                <w:rFonts w:ascii="Calibri" w:hAnsi="Calibri" w:cs="Arial"/>
                <w:sz w:val="18"/>
                <w:szCs w:val="18"/>
              </w:rPr>
              <w:t>tumours</w:t>
            </w:r>
            <w:proofErr w:type="spellEnd"/>
            <w:r w:rsidRPr="00C06C9B">
              <w:rPr>
                <w:rFonts w:ascii="Calibri" w:hAnsi="Calibri" w:cs="Arial"/>
                <w:sz w:val="18"/>
                <w:szCs w:val="18"/>
              </w:rPr>
              <w:t xml:space="preserve">, gestational trophoblastic disease or germ cell </w:t>
            </w:r>
            <w:proofErr w:type="spellStart"/>
            <w:r w:rsidRPr="00C06C9B">
              <w:rPr>
                <w:rFonts w:ascii="Calibri" w:hAnsi="Calibri" w:cs="Arial"/>
                <w:sz w:val="18"/>
                <w:szCs w:val="18"/>
              </w:rPr>
              <w:t>tumour</w:t>
            </w:r>
            <w:proofErr w:type="spellEnd"/>
            <w:r w:rsidRPr="00C06C9B">
              <w:rPr>
                <w:rFonts w:ascii="Calibri" w:hAnsi="Calibri" w:cs="Arial"/>
                <w:sz w:val="18"/>
                <w:szCs w:val="18"/>
              </w:rPr>
              <w:t xml:space="preserve"> - quantitation - 1 test</w:t>
            </w:r>
          </w:p>
        </w:tc>
        <w:tc>
          <w:tcPr>
            <w:tcW w:w="4110" w:type="dxa"/>
          </w:tcPr>
          <w:p w14:paraId="06AD6280" w14:textId="77777777" w:rsidR="00543D47" w:rsidRPr="00C06C9B" w:rsidRDefault="00543D47" w:rsidP="00D9610A">
            <w:pPr>
              <w:rPr>
                <w:rFonts w:ascii="Calibri" w:hAnsi="Calibri" w:cs="Arial"/>
                <w:sz w:val="18"/>
                <w:szCs w:val="18"/>
              </w:rPr>
            </w:pPr>
            <w:r w:rsidRPr="00C06C9B">
              <w:rPr>
                <w:rFonts w:ascii="Calibri" w:hAnsi="Calibri" w:cs="Arial"/>
                <w:sz w:val="18"/>
                <w:szCs w:val="18"/>
              </w:rPr>
              <w:t xml:space="preserve">Alpha-fetoprotein in the detection or monitoring of a hepatic </w:t>
            </w:r>
            <w:proofErr w:type="spellStart"/>
            <w:r w:rsidRPr="00C06C9B">
              <w:rPr>
                <w:rFonts w:ascii="Calibri" w:hAnsi="Calibri" w:cs="Arial"/>
                <w:sz w:val="18"/>
                <w:szCs w:val="18"/>
              </w:rPr>
              <w:t>tumour</w:t>
            </w:r>
            <w:proofErr w:type="spellEnd"/>
            <w:r w:rsidRPr="00C06C9B">
              <w:rPr>
                <w:rFonts w:ascii="Calibri" w:hAnsi="Calibri" w:cs="Arial"/>
                <w:sz w:val="18"/>
                <w:szCs w:val="18"/>
              </w:rPr>
              <w:t xml:space="preserve"> in a patient with existing liver cirrhosis or for the initial diagnostic work-up or follow up of a germ cell </w:t>
            </w:r>
            <w:proofErr w:type="spellStart"/>
            <w:r w:rsidRPr="00C06C9B">
              <w:rPr>
                <w:rFonts w:ascii="Calibri" w:hAnsi="Calibri" w:cs="Arial"/>
                <w:sz w:val="18"/>
                <w:szCs w:val="18"/>
              </w:rPr>
              <w:t>tumour</w:t>
            </w:r>
            <w:proofErr w:type="spellEnd"/>
            <w:r>
              <w:rPr>
                <w:rFonts w:ascii="Calibri" w:hAnsi="Calibri" w:cs="Arial"/>
                <w:sz w:val="18"/>
                <w:szCs w:val="18"/>
              </w:rPr>
              <w:t xml:space="preserve"> </w:t>
            </w:r>
            <w:r w:rsidRPr="00C06C9B">
              <w:rPr>
                <w:rFonts w:ascii="Calibri" w:hAnsi="Calibri" w:cs="Arial"/>
                <w:sz w:val="18"/>
                <w:szCs w:val="18"/>
              </w:rPr>
              <w:t>(Item is subject to rule 6)</w:t>
            </w:r>
          </w:p>
        </w:tc>
      </w:tr>
      <w:tr w:rsidR="00543D47" w:rsidRPr="00C06C9B" w14:paraId="22E91F4C" w14:textId="77777777" w:rsidTr="00D9610A">
        <w:tc>
          <w:tcPr>
            <w:tcW w:w="1134" w:type="dxa"/>
          </w:tcPr>
          <w:p w14:paraId="0D082A3F"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New item</w:t>
            </w:r>
          </w:p>
        </w:tc>
        <w:tc>
          <w:tcPr>
            <w:tcW w:w="4110" w:type="dxa"/>
          </w:tcPr>
          <w:p w14:paraId="0D497C05" w14:textId="77777777" w:rsidR="00543D47" w:rsidRPr="00C06C9B" w:rsidRDefault="00543D47" w:rsidP="00D9610A">
            <w:pPr>
              <w:rPr>
                <w:rFonts w:ascii="Calibri" w:hAnsi="Calibri" w:cs="Arial"/>
                <w:sz w:val="18"/>
                <w:szCs w:val="18"/>
              </w:rPr>
            </w:pPr>
          </w:p>
        </w:tc>
        <w:tc>
          <w:tcPr>
            <w:tcW w:w="4110" w:type="dxa"/>
          </w:tcPr>
          <w:p w14:paraId="57278A15" w14:textId="77777777" w:rsidR="00543D47" w:rsidRPr="00C06C9B" w:rsidRDefault="00543D47" w:rsidP="00D9610A">
            <w:pPr>
              <w:rPr>
                <w:rFonts w:ascii="Calibri" w:hAnsi="Calibri" w:cs="Arial"/>
                <w:sz w:val="18"/>
                <w:szCs w:val="18"/>
              </w:rPr>
            </w:pPr>
            <w:r w:rsidRPr="00C06C9B">
              <w:rPr>
                <w:rFonts w:ascii="Calibri" w:hAnsi="Calibri" w:cs="Arial"/>
                <w:sz w:val="18"/>
                <w:szCs w:val="18"/>
              </w:rPr>
              <w:t xml:space="preserve">Human chorionic gonadotrophin (HCG) quantitation for the initial diagnostic work-up or follow up of gestational trophoblastic disease, choriocarcinoma or germ cell </w:t>
            </w:r>
            <w:proofErr w:type="spellStart"/>
            <w:r>
              <w:rPr>
                <w:rFonts w:ascii="Calibri" w:hAnsi="Calibri" w:cs="Arial"/>
                <w:sz w:val="18"/>
                <w:szCs w:val="18"/>
              </w:rPr>
              <w:t>tumour</w:t>
            </w:r>
            <w:proofErr w:type="spellEnd"/>
            <w:r>
              <w:rPr>
                <w:rFonts w:ascii="Calibri" w:hAnsi="Calibri" w:cs="Arial"/>
                <w:sz w:val="18"/>
                <w:szCs w:val="18"/>
              </w:rPr>
              <w:t xml:space="preserve"> </w:t>
            </w:r>
            <w:r w:rsidRPr="00C06C9B">
              <w:rPr>
                <w:rFonts w:ascii="Calibri" w:hAnsi="Calibri" w:cs="Arial"/>
                <w:sz w:val="18"/>
                <w:szCs w:val="18"/>
              </w:rPr>
              <w:t>(Item is subject to rule 6)</w:t>
            </w:r>
          </w:p>
        </w:tc>
      </w:tr>
      <w:tr w:rsidR="00543D47" w:rsidRPr="00C06C9B" w14:paraId="57E783F7" w14:textId="77777777" w:rsidTr="00D9610A">
        <w:tc>
          <w:tcPr>
            <w:tcW w:w="1134" w:type="dxa"/>
          </w:tcPr>
          <w:p w14:paraId="64626E04"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New item</w:t>
            </w:r>
          </w:p>
        </w:tc>
        <w:tc>
          <w:tcPr>
            <w:tcW w:w="4110" w:type="dxa"/>
          </w:tcPr>
          <w:p w14:paraId="2F236D44" w14:textId="77777777" w:rsidR="00543D47" w:rsidRPr="00C06C9B" w:rsidRDefault="00543D47" w:rsidP="00D9610A">
            <w:pPr>
              <w:rPr>
                <w:rFonts w:ascii="Calibri" w:hAnsi="Calibri" w:cs="Arial"/>
                <w:sz w:val="18"/>
                <w:szCs w:val="18"/>
              </w:rPr>
            </w:pPr>
          </w:p>
        </w:tc>
        <w:tc>
          <w:tcPr>
            <w:tcW w:w="4110" w:type="dxa"/>
          </w:tcPr>
          <w:p w14:paraId="7D238D0F" w14:textId="77777777" w:rsidR="00543D47" w:rsidRPr="00C06C9B" w:rsidRDefault="00543D47" w:rsidP="00D9610A">
            <w:pPr>
              <w:rPr>
                <w:rFonts w:ascii="Calibri" w:hAnsi="Calibri" w:cs="Arial"/>
                <w:sz w:val="18"/>
                <w:szCs w:val="18"/>
              </w:rPr>
            </w:pPr>
            <w:r w:rsidRPr="00C06C9B">
              <w:rPr>
                <w:rFonts w:ascii="Calibri" w:hAnsi="Calibri" w:cs="Arial"/>
                <w:sz w:val="18"/>
                <w:szCs w:val="18"/>
              </w:rPr>
              <w:t>CA-15.3 antigen (CA15.3) in the initial diagnostic work-up and follow up of metastatic breast canc</w:t>
            </w:r>
            <w:r>
              <w:rPr>
                <w:rFonts w:ascii="Calibri" w:hAnsi="Calibri" w:cs="Arial"/>
                <w:sz w:val="18"/>
                <w:szCs w:val="18"/>
              </w:rPr>
              <w:t xml:space="preserve">er </w:t>
            </w:r>
            <w:r w:rsidRPr="00C06C9B">
              <w:rPr>
                <w:rFonts w:ascii="Calibri" w:hAnsi="Calibri" w:cs="Arial"/>
                <w:sz w:val="18"/>
                <w:szCs w:val="18"/>
              </w:rPr>
              <w:t>(Item is subject to rule 6)</w:t>
            </w:r>
          </w:p>
        </w:tc>
      </w:tr>
      <w:tr w:rsidR="00543D47" w:rsidRPr="00C06C9B" w14:paraId="05B0A92A" w14:textId="77777777" w:rsidTr="00D9610A">
        <w:tc>
          <w:tcPr>
            <w:tcW w:w="1134" w:type="dxa"/>
          </w:tcPr>
          <w:p w14:paraId="67BE7CF6"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New item</w:t>
            </w:r>
          </w:p>
        </w:tc>
        <w:tc>
          <w:tcPr>
            <w:tcW w:w="4110" w:type="dxa"/>
          </w:tcPr>
          <w:p w14:paraId="11CCC83B" w14:textId="77777777" w:rsidR="00543D47" w:rsidRPr="00C06C9B" w:rsidRDefault="00543D47" w:rsidP="00D9610A">
            <w:pPr>
              <w:rPr>
                <w:rFonts w:ascii="Calibri" w:hAnsi="Calibri" w:cs="Arial"/>
                <w:sz w:val="18"/>
                <w:szCs w:val="18"/>
              </w:rPr>
            </w:pPr>
          </w:p>
        </w:tc>
        <w:tc>
          <w:tcPr>
            <w:tcW w:w="4110" w:type="dxa"/>
          </w:tcPr>
          <w:p w14:paraId="782A3142" w14:textId="77777777" w:rsidR="00543D47" w:rsidRPr="00C06C9B" w:rsidRDefault="00543D47" w:rsidP="00D9610A">
            <w:pPr>
              <w:rPr>
                <w:rFonts w:ascii="Calibri" w:hAnsi="Calibri" w:cs="Arial"/>
                <w:sz w:val="18"/>
                <w:szCs w:val="18"/>
              </w:rPr>
            </w:pPr>
            <w:r w:rsidRPr="00C06C9B">
              <w:rPr>
                <w:rFonts w:ascii="Calibri" w:hAnsi="Calibri" w:cs="Arial"/>
                <w:sz w:val="18"/>
                <w:szCs w:val="18"/>
              </w:rPr>
              <w:t>CA-125 antigen (CA125) for early detection in a woman with a hereditary cancer syndrome, or in the initial diagnostic work-up or follow up of ovarian cance</w:t>
            </w:r>
            <w:r>
              <w:rPr>
                <w:rFonts w:ascii="Calibri" w:hAnsi="Calibri" w:cs="Arial"/>
                <w:sz w:val="18"/>
                <w:szCs w:val="18"/>
              </w:rPr>
              <w:t xml:space="preserve">r </w:t>
            </w:r>
            <w:r w:rsidRPr="00C06C9B">
              <w:rPr>
                <w:rFonts w:ascii="Calibri" w:hAnsi="Calibri" w:cs="Arial"/>
                <w:sz w:val="18"/>
                <w:szCs w:val="18"/>
              </w:rPr>
              <w:t>(Item is subject to rule 6)</w:t>
            </w:r>
          </w:p>
        </w:tc>
      </w:tr>
      <w:tr w:rsidR="00543D47" w:rsidRPr="00C06C9B" w14:paraId="246472C6" w14:textId="77777777" w:rsidTr="00D9610A">
        <w:tc>
          <w:tcPr>
            <w:tcW w:w="1134" w:type="dxa"/>
          </w:tcPr>
          <w:p w14:paraId="65567138"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New item</w:t>
            </w:r>
          </w:p>
        </w:tc>
        <w:tc>
          <w:tcPr>
            <w:tcW w:w="4110" w:type="dxa"/>
          </w:tcPr>
          <w:p w14:paraId="40425DB1" w14:textId="77777777" w:rsidR="00543D47" w:rsidRPr="00C06C9B" w:rsidRDefault="00543D47" w:rsidP="00D9610A">
            <w:pPr>
              <w:rPr>
                <w:rFonts w:ascii="Calibri" w:hAnsi="Calibri" w:cs="Arial"/>
                <w:sz w:val="18"/>
                <w:szCs w:val="18"/>
              </w:rPr>
            </w:pPr>
          </w:p>
        </w:tc>
        <w:tc>
          <w:tcPr>
            <w:tcW w:w="4110" w:type="dxa"/>
          </w:tcPr>
          <w:p w14:paraId="4D111BCD" w14:textId="77777777" w:rsidR="00543D47" w:rsidRPr="00C06C9B" w:rsidRDefault="00543D47" w:rsidP="00D9610A">
            <w:pPr>
              <w:rPr>
                <w:rFonts w:ascii="Calibri" w:hAnsi="Calibri" w:cs="Arial"/>
                <w:sz w:val="18"/>
                <w:szCs w:val="18"/>
              </w:rPr>
            </w:pPr>
            <w:r w:rsidRPr="00C06C9B">
              <w:rPr>
                <w:rFonts w:ascii="Calibri" w:hAnsi="Calibri" w:cs="Arial"/>
                <w:bCs/>
                <w:sz w:val="18"/>
                <w:szCs w:val="18"/>
              </w:rPr>
              <w:t>Human epididymis protein 4</w:t>
            </w:r>
            <w:r w:rsidRPr="00C06C9B">
              <w:rPr>
                <w:rFonts w:ascii="Calibri" w:hAnsi="Calibri" w:cs="Arial"/>
                <w:sz w:val="18"/>
                <w:szCs w:val="18"/>
              </w:rPr>
              <w:t xml:space="preserve"> (HE-4) in conjunction with CA125 in the initial diagnostic work-up of a wom</w:t>
            </w:r>
            <w:r>
              <w:rPr>
                <w:rFonts w:ascii="Calibri" w:hAnsi="Calibri" w:cs="Arial"/>
                <w:sz w:val="18"/>
                <w:szCs w:val="18"/>
              </w:rPr>
              <w:t>a</w:t>
            </w:r>
            <w:r w:rsidRPr="00C06C9B">
              <w:rPr>
                <w:rFonts w:ascii="Calibri" w:hAnsi="Calibri" w:cs="Arial"/>
                <w:sz w:val="18"/>
                <w:szCs w:val="18"/>
              </w:rPr>
              <w:t xml:space="preserve">n with a pelvic mass to calculate a Risk of </w:t>
            </w:r>
            <w:r>
              <w:rPr>
                <w:rFonts w:ascii="Calibri" w:hAnsi="Calibri" w:cs="Arial"/>
                <w:sz w:val="18"/>
                <w:szCs w:val="18"/>
              </w:rPr>
              <w:t xml:space="preserve">Ovarian </w:t>
            </w:r>
            <w:r w:rsidRPr="00C06C9B">
              <w:rPr>
                <w:rFonts w:ascii="Calibri" w:hAnsi="Calibri" w:cs="Arial"/>
                <w:sz w:val="18"/>
                <w:szCs w:val="18"/>
              </w:rPr>
              <w:t>Malignancy Algorithm (ROMA)</w:t>
            </w:r>
            <w:r>
              <w:rPr>
                <w:rFonts w:ascii="Calibri" w:hAnsi="Calibri" w:cs="Arial"/>
                <w:sz w:val="18"/>
                <w:szCs w:val="18"/>
              </w:rPr>
              <w:t xml:space="preserve"> </w:t>
            </w:r>
            <w:r w:rsidRPr="00C06C9B">
              <w:rPr>
                <w:rFonts w:ascii="Calibri" w:hAnsi="Calibri" w:cs="Arial"/>
                <w:sz w:val="18"/>
                <w:szCs w:val="18"/>
              </w:rPr>
              <w:t>(Item is subject to rule 6)</w:t>
            </w:r>
          </w:p>
        </w:tc>
      </w:tr>
      <w:tr w:rsidR="00543D47" w:rsidRPr="00C06C9B" w14:paraId="13D2F5FD" w14:textId="77777777" w:rsidTr="00D9610A">
        <w:tc>
          <w:tcPr>
            <w:tcW w:w="1134" w:type="dxa"/>
          </w:tcPr>
          <w:p w14:paraId="3C93CD9A"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New item</w:t>
            </w:r>
          </w:p>
        </w:tc>
        <w:tc>
          <w:tcPr>
            <w:tcW w:w="4110" w:type="dxa"/>
          </w:tcPr>
          <w:p w14:paraId="0D436537" w14:textId="77777777" w:rsidR="00543D47" w:rsidRPr="00C06C9B" w:rsidRDefault="00543D47" w:rsidP="00D9610A">
            <w:pPr>
              <w:rPr>
                <w:rFonts w:ascii="Calibri" w:hAnsi="Calibri" w:cs="Arial"/>
                <w:sz w:val="18"/>
                <w:szCs w:val="18"/>
              </w:rPr>
            </w:pPr>
          </w:p>
        </w:tc>
        <w:tc>
          <w:tcPr>
            <w:tcW w:w="4110" w:type="dxa"/>
          </w:tcPr>
          <w:p w14:paraId="6D8EA168" w14:textId="77777777" w:rsidR="00543D47" w:rsidRPr="00C06C9B" w:rsidRDefault="00543D47" w:rsidP="00D9610A">
            <w:pPr>
              <w:rPr>
                <w:rFonts w:ascii="Calibri" w:hAnsi="Calibri" w:cs="Arial"/>
                <w:sz w:val="18"/>
                <w:szCs w:val="18"/>
              </w:rPr>
            </w:pPr>
            <w:r w:rsidRPr="00C06C9B">
              <w:rPr>
                <w:rFonts w:ascii="Calibri" w:hAnsi="Calibri" w:cs="Arial"/>
                <w:sz w:val="18"/>
                <w:szCs w:val="18"/>
              </w:rPr>
              <w:t>CA-19.9 antigen (CA19.9) in the initial diagnostic work-up or follow up of pancreatic or gastric cancer</w:t>
            </w:r>
            <w:r>
              <w:rPr>
                <w:rFonts w:ascii="Calibri" w:hAnsi="Calibri" w:cs="Arial"/>
                <w:sz w:val="18"/>
                <w:szCs w:val="18"/>
              </w:rPr>
              <w:t xml:space="preserve"> </w:t>
            </w:r>
            <w:r w:rsidRPr="00C06C9B">
              <w:rPr>
                <w:rFonts w:ascii="Calibri" w:hAnsi="Calibri" w:cs="Arial"/>
                <w:sz w:val="18"/>
                <w:szCs w:val="18"/>
              </w:rPr>
              <w:t>(Item is subject to rule 6)</w:t>
            </w:r>
          </w:p>
        </w:tc>
      </w:tr>
      <w:tr w:rsidR="00543D47" w:rsidRPr="00C06C9B" w14:paraId="34A49EA2" w14:textId="77777777" w:rsidTr="00D9610A">
        <w:tc>
          <w:tcPr>
            <w:tcW w:w="1134" w:type="dxa"/>
          </w:tcPr>
          <w:p w14:paraId="1F33B145"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lastRenderedPageBreak/>
              <w:t>New item</w:t>
            </w:r>
          </w:p>
        </w:tc>
        <w:tc>
          <w:tcPr>
            <w:tcW w:w="4110" w:type="dxa"/>
          </w:tcPr>
          <w:p w14:paraId="1D246D0D" w14:textId="77777777" w:rsidR="00543D47" w:rsidRPr="00C06C9B" w:rsidRDefault="00543D47" w:rsidP="00D9610A">
            <w:pPr>
              <w:rPr>
                <w:rFonts w:ascii="Calibri" w:hAnsi="Calibri" w:cs="Arial"/>
                <w:sz w:val="18"/>
                <w:szCs w:val="18"/>
              </w:rPr>
            </w:pPr>
          </w:p>
        </w:tc>
        <w:tc>
          <w:tcPr>
            <w:tcW w:w="4110" w:type="dxa"/>
          </w:tcPr>
          <w:p w14:paraId="19783C0E" w14:textId="77777777" w:rsidR="00543D47" w:rsidRPr="00C06C9B" w:rsidRDefault="00543D47" w:rsidP="00D9610A">
            <w:pPr>
              <w:rPr>
                <w:rFonts w:ascii="Calibri" w:hAnsi="Calibri" w:cs="Arial"/>
                <w:sz w:val="18"/>
                <w:szCs w:val="18"/>
              </w:rPr>
            </w:pPr>
            <w:r w:rsidRPr="00C06C9B">
              <w:rPr>
                <w:rFonts w:ascii="Calibri" w:hAnsi="Calibri" w:cs="Arial"/>
                <w:sz w:val="18"/>
                <w:szCs w:val="18"/>
              </w:rPr>
              <w:t>Carcinoembryonic antigen (CEA) in the initial diagnostic work-up or follow up of a patient with an adenocarcinoma</w:t>
            </w:r>
            <w:r>
              <w:rPr>
                <w:rFonts w:ascii="Calibri" w:hAnsi="Calibri" w:cs="Arial"/>
                <w:sz w:val="18"/>
                <w:szCs w:val="18"/>
              </w:rPr>
              <w:t xml:space="preserve"> </w:t>
            </w:r>
            <w:r w:rsidRPr="00C06C9B">
              <w:rPr>
                <w:rFonts w:ascii="Calibri" w:hAnsi="Calibri" w:cs="Arial"/>
                <w:sz w:val="18"/>
                <w:szCs w:val="18"/>
              </w:rPr>
              <w:t>(Item is subject to rule 6)</w:t>
            </w:r>
          </w:p>
        </w:tc>
      </w:tr>
      <w:tr w:rsidR="00543D47" w:rsidRPr="00C06C9B" w14:paraId="46FAF126" w14:textId="77777777" w:rsidTr="00D9610A">
        <w:tc>
          <w:tcPr>
            <w:tcW w:w="1134" w:type="dxa"/>
          </w:tcPr>
          <w:p w14:paraId="2A667383"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New item</w:t>
            </w:r>
          </w:p>
        </w:tc>
        <w:tc>
          <w:tcPr>
            <w:tcW w:w="4110" w:type="dxa"/>
          </w:tcPr>
          <w:p w14:paraId="376A2715" w14:textId="77777777" w:rsidR="00543D47" w:rsidRPr="00C06C9B" w:rsidRDefault="00543D47" w:rsidP="00D9610A">
            <w:pPr>
              <w:rPr>
                <w:rFonts w:ascii="Calibri" w:hAnsi="Calibri" w:cs="Arial"/>
                <w:sz w:val="18"/>
                <w:szCs w:val="18"/>
              </w:rPr>
            </w:pPr>
          </w:p>
        </w:tc>
        <w:tc>
          <w:tcPr>
            <w:tcW w:w="4110" w:type="dxa"/>
          </w:tcPr>
          <w:p w14:paraId="7E6A16D5" w14:textId="77777777" w:rsidR="00543D47" w:rsidRPr="00C06C9B" w:rsidRDefault="00543D47" w:rsidP="00D9610A">
            <w:pPr>
              <w:rPr>
                <w:rFonts w:ascii="Calibri" w:hAnsi="Calibri" w:cs="Arial"/>
                <w:sz w:val="18"/>
                <w:szCs w:val="18"/>
              </w:rPr>
            </w:pPr>
            <w:r w:rsidRPr="00C06C9B">
              <w:rPr>
                <w:rFonts w:ascii="Calibri" w:hAnsi="Calibri" w:cs="Arial"/>
                <w:sz w:val="18"/>
                <w:szCs w:val="18"/>
              </w:rPr>
              <w:t>Chromogranin A (</w:t>
            </w:r>
            <w:proofErr w:type="spellStart"/>
            <w:r w:rsidRPr="00C06C9B">
              <w:rPr>
                <w:rFonts w:ascii="Calibri" w:hAnsi="Calibri" w:cs="Arial"/>
                <w:sz w:val="18"/>
                <w:szCs w:val="18"/>
              </w:rPr>
              <w:t>CgA</w:t>
            </w:r>
            <w:proofErr w:type="spellEnd"/>
            <w:r w:rsidRPr="00C06C9B">
              <w:rPr>
                <w:rFonts w:ascii="Calibri" w:hAnsi="Calibri" w:cs="Arial"/>
                <w:sz w:val="18"/>
                <w:szCs w:val="18"/>
              </w:rPr>
              <w:t xml:space="preserve">) or </w:t>
            </w:r>
            <w:r>
              <w:rPr>
                <w:rFonts w:ascii="Calibri" w:hAnsi="Calibri" w:cs="Arial"/>
                <w:sz w:val="18"/>
                <w:szCs w:val="18"/>
              </w:rPr>
              <w:t>n</w:t>
            </w:r>
            <w:r w:rsidRPr="00C06C9B">
              <w:rPr>
                <w:rFonts w:ascii="Calibri" w:hAnsi="Calibri" w:cs="Arial"/>
                <w:sz w:val="18"/>
                <w:szCs w:val="18"/>
              </w:rPr>
              <w:t xml:space="preserve">euron specific enolase (NSE) in the initial diagnostic work-up or follow up of a neuroendocrine </w:t>
            </w:r>
            <w:proofErr w:type="spellStart"/>
            <w:r w:rsidRPr="00C06C9B">
              <w:rPr>
                <w:rFonts w:ascii="Calibri" w:hAnsi="Calibri" w:cs="Arial"/>
                <w:sz w:val="18"/>
                <w:szCs w:val="18"/>
              </w:rPr>
              <w:t>tumour</w:t>
            </w:r>
            <w:proofErr w:type="spellEnd"/>
            <w:r>
              <w:rPr>
                <w:rFonts w:ascii="Calibri" w:hAnsi="Calibri" w:cs="Arial"/>
                <w:sz w:val="18"/>
                <w:szCs w:val="18"/>
              </w:rPr>
              <w:t xml:space="preserve"> </w:t>
            </w:r>
            <w:r w:rsidRPr="00C06C9B">
              <w:rPr>
                <w:rFonts w:ascii="Calibri" w:hAnsi="Calibri" w:cs="Arial"/>
                <w:sz w:val="18"/>
                <w:szCs w:val="18"/>
              </w:rPr>
              <w:t>(Item is subject to rule 6)</w:t>
            </w:r>
          </w:p>
        </w:tc>
      </w:tr>
      <w:tr w:rsidR="00543D47" w:rsidRPr="00C06C9B" w14:paraId="19BCEC9D" w14:textId="77777777" w:rsidTr="00D9610A">
        <w:tc>
          <w:tcPr>
            <w:tcW w:w="1134" w:type="dxa"/>
          </w:tcPr>
          <w:p w14:paraId="24021DBE"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66651</w:t>
            </w:r>
          </w:p>
        </w:tc>
        <w:tc>
          <w:tcPr>
            <w:tcW w:w="4110" w:type="dxa"/>
          </w:tcPr>
          <w:p w14:paraId="003BBAD3" w14:textId="77777777" w:rsidR="00543D47" w:rsidRPr="00C06C9B" w:rsidRDefault="00543D47" w:rsidP="00D9610A">
            <w:pPr>
              <w:rPr>
                <w:rFonts w:ascii="Calibri" w:hAnsi="Calibri" w:cs="Arial"/>
                <w:color w:val="000000"/>
                <w:sz w:val="18"/>
                <w:szCs w:val="18"/>
              </w:rPr>
            </w:pPr>
            <w:r w:rsidRPr="00C06C9B">
              <w:rPr>
                <w:rFonts w:ascii="Calibri" w:hAnsi="Calibri" w:cs="Arial"/>
                <w:sz w:val="18"/>
                <w:szCs w:val="18"/>
              </w:rPr>
              <w:t>A test described in item 66650 if rendered by a receiving APP, where no tests in the item have been rendered by the referring APP - 1 test</w:t>
            </w:r>
          </w:p>
        </w:tc>
        <w:tc>
          <w:tcPr>
            <w:tcW w:w="4110" w:type="dxa"/>
          </w:tcPr>
          <w:p w14:paraId="0E7AD7FE" w14:textId="77777777" w:rsidR="00543D47" w:rsidRPr="00C06C9B" w:rsidRDefault="00543D47" w:rsidP="00D9610A">
            <w:pPr>
              <w:spacing w:after="160" w:line="256" w:lineRule="auto"/>
              <w:rPr>
                <w:rFonts w:ascii="Calibri" w:hAnsi="Calibri" w:cs="Arial"/>
                <w:sz w:val="18"/>
                <w:szCs w:val="18"/>
              </w:rPr>
            </w:pPr>
            <w:r w:rsidRPr="00C06C9B">
              <w:rPr>
                <w:rFonts w:ascii="Calibri" w:hAnsi="Calibri" w:cs="Arial"/>
                <w:sz w:val="18"/>
                <w:szCs w:val="18"/>
              </w:rPr>
              <w:t>A test described in item 66650 if rendered by a receiving APP, where no tests in the item have been rendered by the referring APP - 1 test</w:t>
            </w:r>
            <w:r>
              <w:rPr>
                <w:rFonts w:ascii="Calibri" w:hAnsi="Calibri" w:cs="Arial"/>
                <w:sz w:val="18"/>
                <w:szCs w:val="18"/>
              </w:rPr>
              <w:t xml:space="preserve"> </w:t>
            </w:r>
            <w:r w:rsidRPr="00C06C9B">
              <w:rPr>
                <w:rFonts w:ascii="Calibri" w:hAnsi="Calibri" w:cs="Arial"/>
                <w:sz w:val="18"/>
                <w:szCs w:val="18"/>
              </w:rPr>
              <w:t>(Item is subject to rule</w:t>
            </w:r>
            <w:r>
              <w:rPr>
                <w:rFonts w:ascii="Calibri" w:hAnsi="Calibri" w:cs="Arial"/>
                <w:sz w:val="18"/>
                <w:szCs w:val="18"/>
              </w:rPr>
              <w:t>s</w:t>
            </w:r>
            <w:r w:rsidRPr="00C06C9B">
              <w:rPr>
                <w:rFonts w:ascii="Calibri" w:hAnsi="Calibri" w:cs="Arial"/>
                <w:sz w:val="18"/>
                <w:szCs w:val="18"/>
              </w:rPr>
              <w:t xml:space="preserve"> 6 and 18)</w:t>
            </w:r>
          </w:p>
        </w:tc>
      </w:tr>
      <w:tr w:rsidR="00543D47" w:rsidRPr="00C06C9B" w14:paraId="7BCAD78F" w14:textId="77777777" w:rsidTr="00D9610A">
        <w:tc>
          <w:tcPr>
            <w:tcW w:w="1134" w:type="dxa"/>
          </w:tcPr>
          <w:p w14:paraId="7FCE13DC"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66652</w:t>
            </w:r>
          </w:p>
        </w:tc>
        <w:tc>
          <w:tcPr>
            <w:tcW w:w="4110" w:type="dxa"/>
          </w:tcPr>
          <w:p w14:paraId="1FDCE69A" w14:textId="77777777" w:rsidR="00543D47" w:rsidRPr="00C06C9B" w:rsidRDefault="00543D47" w:rsidP="00D9610A">
            <w:pPr>
              <w:rPr>
                <w:rFonts w:ascii="Calibri" w:hAnsi="Calibri" w:cs="Arial"/>
                <w:sz w:val="18"/>
                <w:szCs w:val="18"/>
              </w:rPr>
            </w:pPr>
            <w:r w:rsidRPr="00C06C9B">
              <w:rPr>
                <w:rFonts w:ascii="Calibri" w:hAnsi="Calibri" w:cs="Arial"/>
                <w:sz w:val="18"/>
                <w:szCs w:val="18"/>
              </w:rPr>
              <w:t>A test described in item 66650 if rendered by a receiving APP - other than that described in 66651, if rendered by a receiving APP, 1 test</w:t>
            </w:r>
          </w:p>
        </w:tc>
        <w:tc>
          <w:tcPr>
            <w:tcW w:w="4110" w:type="dxa"/>
          </w:tcPr>
          <w:p w14:paraId="78875B6A" w14:textId="77777777" w:rsidR="00543D47" w:rsidRPr="00C06C9B" w:rsidRDefault="00543D47" w:rsidP="00D9610A">
            <w:pPr>
              <w:autoSpaceDE w:val="0"/>
              <w:autoSpaceDN w:val="0"/>
              <w:adjustRightInd w:val="0"/>
              <w:spacing w:after="160"/>
              <w:contextualSpacing/>
              <w:rPr>
                <w:rFonts w:ascii="Calibri" w:eastAsia="MS Mincho" w:hAnsi="Calibri" w:cs="Arial"/>
                <w:b/>
                <w:sz w:val="18"/>
                <w:szCs w:val="18"/>
              </w:rPr>
            </w:pPr>
          </w:p>
        </w:tc>
      </w:tr>
      <w:tr w:rsidR="00543D47" w:rsidRPr="00C06C9B" w14:paraId="659D4CF3" w14:textId="77777777" w:rsidTr="00D9610A">
        <w:trPr>
          <w:trHeight w:val="602"/>
        </w:trPr>
        <w:tc>
          <w:tcPr>
            <w:tcW w:w="1134" w:type="dxa"/>
          </w:tcPr>
          <w:p w14:paraId="2FBC7213" w14:textId="77777777" w:rsidR="00543D47" w:rsidRPr="00C06C9B" w:rsidRDefault="00543D47" w:rsidP="00D9610A">
            <w:pPr>
              <w:rPr>
                <w:rFonts w:ascii="Calibri" w:hAnsi="Calibri" w:cs="Arial"/>
                <w:color w:val="000000"/>
                <w:sz w:val="18"/>
                <w:szCs w:val="18"/>
              </w:rPr>
            </w:pPr>
            <w:r w:rsidRPr="00C06C9B">
              <w:rPr>
                <w:rFonts w:ascii="Calibri" w:hAnsi="Calibri" w:cs="Arial"/>
                <w:color w:val="000000"/>
                <w:sz w:val="18"/>
                <w:szCs w:val="18"/>
              </w:rPr>
              <w:t>66653</w:t>
            </w:r>
          </w:p>
        </w:tc>
        <w:tc>
          <w:tcPr>
            <w:tcW w:w="4110" w:type="dxa"/>
          </w:tcPr>
          <w:p w14:paraId="6B7116BF" w14:textId="77777777" w:rsidR="00543D47" w:rsidRPr="00C06C9B" w:rsidRDefault="00543D47" w:rsidP="00D9610A">
            <w:pPr>
              <w:rPr>
                <w:rFonts w:ascii="Calibri" w:hAnsi="Calibri" w:cs="Arial"/>
                <w:sz w:val="18"/>
                <w:szCs w:val="18"/>
              </w:rPr>
            </w:pPr>
            <w:r w:rsidRPr="00C06C9B">
              <w:rPr>
                <w:rFonts w:ascii="Calibri" w:hAnsi="Calibri" w:cs="Arial"/>
                <w:sz w:val="18"/>
                <w:szCs w:val="18"/>
              </w:rPr>
              <w:t>2 or more tests described in item 66650</w:t>
            </w:r>
          </w:p>
        </w:tc>
        <w:tc>
          <w:tcPr>
            <w:tcW w:w="4110" w:type="dxa"/>
          </w:tcPr>
          <w:p w14:paraId="6C82810A" w14:textId="77777777" w:rsidR="00543D47" w:rsidRPr="00C06C9B" w:rsidRDefault="00543D47" w:rsidP="00D9610A">
            <w:pPr>
              <w:spacing w:after="160" w:line="256" w:lineRule="auto"/>
              <w:rPr>
                <w:rFonts w:ascii="Calibri" w:eastAsia="MS Mincho" w:hAnsi="Calibri" w:cs="Arial"/>
                <w:b/>
                <w:sz w:val="18"/>
                <w:szCs w:val="18"/>
              </w:rPr>
            </w:pPr>
            <w:r w:rsidRPr="00C06C9B">
              <w:rPr>
                <w:rFonts w:ascii="Calibri" w:hAnsi="Calibri" w:cs="Arial"/>
                <w:sz w:val="18"/>
                <w:szCs w:val="18"/>
              </w:rPr>
              <w:t xml:space="preserve">2 or more tests described in item 66650 or for </w:t>
            </w:r>
            <w:proofErr w:type="spellStart"/>
            <w:r w:rsidRPr="00C06C9B">
              <w:rPr>
                <w:rFonts w:ascii="Calibri" w:hAnsi="Calibri" w:cs="Arial"/>
                <w:sz w:val="18"/>
                <w:szCs w:val="18"/>
              </w:rPr>
              <w:t>tumour</w:t>
            </w:r>
            <w:proofErr w:type="spellEnd"/>
            <w:r w:rsidRPr="00C06C9B">
              <w:rPr>
                <w:rFonts w:ascii="Calibri" w:hAnsi="Calibri" w:cs="Arial"/>
                <w:sz w:val="18"/>
                <w:szCs w:val="18"/>
              </w:rPr>
              <w:t xml:space="preserve"> marker estimation in the management of metastatic adenocarcinoma of unknown primary.</w:t>
            </w:r>
          </w:p>
        </w:tc>
      </w:tr>
      <w:tr w:rsidR="00543D47" w:rsidRPr="00C06C9B" w14:paraId="01A05E34" w14:textId="77777777" w:rsidTr="00D9610A">
        <w:tc>
          <w:tcPr>
            <w:tcW w:w="1134" w:type="dxa"/>
          </w:tcPr>
          <w:p w14:paraId="5E9DEAE8" w14:textId="77777777" w:rsidR="00543D47" w:rsidRPr="00C06C9B" w:rsidRDefault="00543D47" w:rsidP="00D9610A">
            <w:pPr>
              <w:spacing w:after="160" w:line="256" w:lineRule="auto"/>
              <w:rPr>
                <w:rFonts w:ascii="Calibri" w:hAnsi="Calibri" w:cs="Arial"/>
                <w:color w:val="000000"/>
                <w:sz w:val="18"/>
                <w:szCs w:val="18"/>
              </w:rPr>
            </w:pPr>
            <w:r w:rsidRPr="00C06C9B">
              <w:rPr>
                <w:rFonts w:ascii="Calibri" w:hAnsi="Calibri" w:cs="Arial"/>
                <w:color w:val="000000"/>
                <w:sz w:val="18"/>
                <w:szCs w:val="18"/>
              </w:rPr>
              <w:t>66629</w:t>
            </w:r>
          </w:p>
          <w:p w14:paraId="6B499DF2" w14:textId="77777777" w:rsidR="00543D47" w:rsidRPr="00C06C9B" w:rsidRDefault="00543D47" w:rsidP="00D9610A">
            <w:pPr>
              <w:rPr>
                <w:rFonts w:ascii="Calibri" w:hAnsi="Calibri" w:cs="Arial"/>
                <w:color w:val="000000"/>
                <w:sz w:val="18"/>
                <w:szCs w:val="18"/>
              </w:rPr>
            </w:pPr>
          </w:p>
        </w:tc>
        <w:tc>
          <w:tcPr>
            <w:tcW w:w="4110" w:type="dxa"/>
          </w:tcPr>
          <w:p w14:paraId="023D3AB0" w14:textId="77777777" w:rsidR="00543D47" w:rsidRPr="00C06C9B" w:rsidRDefault="00543D47" w:rsidP="00D9610A">
            <w:pPr>
              <w:rPr>
                <w:rFonts w:ascii="Calibri" w:hAnsi="Calibri" w:cs="Arial"/>
                <w:sz w:val="18"/>
                <w:szCs w:val="18"/>
              </w:rPr>
            </w:pPr>
            <w:r w:rsidRPr="00C06C9B">
              <w:rPr>
                <w:rFonts w:ascii="Calibri" w:hAnsi="Calibri" w:cs="Arial"/>
                <w:sz w:val="18"/>
                <w:szCs w:val="18"/>
              </w:rPr>
              <w:t>Beta-2-microglobulin - quantitation in serum, urine or other body fluids - 1 or more tests</w:t>
            </w:r>
          </w:p>
        </w:tc>
        <w:tc>
          <w:tcPr>
            <w:tcW w:w="4110" w:type="dxa"/>
          </w:tcPr>
          <w:p w14:paraId="02012977" w14:textId="77777777" w:rsidR="00543D47" w:rsidRPr="00C06C9B" w:rsidRDefault="00543D47" w:rsidP="00D9610A">
            <w:pPr>
              <w:spacing w:after="160" w:line="256" w:lineRule="auto"/>
              <w:rPr>
                <w:rFonts w:ascii="Calibri" w:eastAsia="MS Mincho" w:hAnsi="Calibri" w:cs="Arial"/>
                <w:b/>
                <w:sz w:val="18"/>
                <w:szCs w:val="18"/>
              </w:rPr>
            </w:pPr>
            <w:r w:rsidRPr="00C06C9B">
              <w:rPr>
                <w:rFonts w:ascii="Calibri" w:hAnsi="Calibri" w:cs="Arial"/>
                <w:sz w:val="18"/>
                <w:szCs w:val="18"/>
              </w:rPr>
              <w:t>Beta-2-microglobulin - quantitation in serum, urine or other body fluids - 1 or more tests</w:t>
            </w:r>
          </w:p>
        </w:tc>
      </w:tr>
    </w:tbl>
    <w:p w14:paraId="004A9C33" w14:textId="77777777" w:rsidR="00543D47" w:rsidRDefault="00543D47" w:rsidP="00543D47">
      <w:pPr>
        <w:rPr>
          <w:rFonts w:ascii="Calibri" w:hAnsi="Calibri"/>
        </w:rPr>
      </w:pPr>
      <w:r>
        <w:rPr>
          <w:rFonts w:ascii="Calibri" w:hAnsi="Calibri"/>
        </w:rPr>
        <w:t xml:space="preserve">* The Committee recognises that agreement to the proposed items is not unanimous. An alternate view and concerns have been raised and are described below: </w:t>
      </w:r>
    </w:p>
    <w:p w14:paraId="4956FBED" w14:textId="77777777" w:rsidR="00543D47" w:rsidRPr="004452FD" w:rsidRDefault="00543D47" w:rsidP="00543D47">
      <w:pPr>
        <w:keepNext/>
        <w:spacing w:before="240" w:line="240" w:lineRule="auto"/>
        <w:outlineLvl w:val="3"/>
        <w:rPr>
          <w:rFonts w:ascii="Calibri" w:eastAsia="Calibri" w:hAnsi="Calibri" w:cs="Arial"/>
          <w:bCs/>
          <w:i/>
          <w:color w:val="C0504D" w:themeColor="accent2"/>
          <w:szCs w:val="26"/>
          <w:lang w:val="en-US"/>
        </w:rPr>
      </w:pPr>
      <w:r w:rsidRPr="004452FD">
        <w:rPr>
          <w:rFonts w:ascii="Calibri" w:eastAsia="Calibri" w:hAnsi="Calibri" w:cs="Arial"/>
          <w:bCs/>
          <w:i/>
          <w:color w:val="C0504D" w:themeColor="accent2"/>
          <w:szCs w:val="26"/>
          <w:lang w:val="en-US"/>
        </w:rPr>
        <w:t xml:space="preserve">Alternative </w:t>
      </w:r>
      <w:r>
        <w:rPr>
          <w:rFonts w:ascii="Calibri" w:eastAsia="Calibri" w:hAnsi="Calibri" w:cs="Arial"/>
          <w:bCs/>
          <w:i/>
          <w:color w:val="C0504D" w:themeColor="accent2"/>
          <w:szCs w:val="26"/>
          <w:lang w:val="en-US"/>
        </w:rPr>
        <w:t>view</w:t>
      </w:r>
      <w:r w:rsidRPr="004452FD">
        <w:rPr>
          <w:rFonts w:ascii="Calibri" w:eastAsia="Calibri" w:hAnsi="Calibri" w:cs="Arial"/>
          <w:bCs/>
          <w:i/>
          <w:color w:val="C0504D" w:themeColor="accent2"/>
          <w:szCs w:val="26"/>
          <w:lang w:val="en-US"/>
        </w:rPr>
        <w:t xml:space="preserve"> consider</w:t>
      </w:r>
      <w:r>
        <w:rPr>
          <w:rFonts w:ascii="Calibri" w:eastAsia="Calibri" w:hAnsi="Calibri" w:cs="Arial"/>
          <w:bCs/>
          <w:i/>
          <w:color w:val="C0504D" w:themeColor="accent2"/>
          <w:szCs w:val="26"/>
          <w:lang w:val="en-US"/>
        </w:rPr>
        <w:t>ed</w:t>
      </w:r>
      <w:r w:rsidRPr="004452FD">
        <w:rPr>
          <w:rFonts w:ascii="Calibri" w:eastAsia="Calibri" w:hAnsi="Calibri" w:cs="Arial"/>
          <w:bCs/>
          <w:i/>
          <w:color w:val="C0504D" w:themeColor="accent2"/>
          <w:szCs w:val="26"/>
          <w:lang w:val="en-US"/>
        </w:rPr>
        <w:t xml:space="preserve"> </w:t>
      </w:r>
    </w:p>
    <w:p w14:paraId="290B8F7B" w14:textId="77777777" w:rsidR="00543D47" w:rsidRPr="004452FD" w:rsidRDefault="00543D47" w:rsidP="00543D47">
      <w:pPr>
        <w:keepNext/>
        <w:spacing w:before="120"/>
        <w:rPr>
          <w:rFonts w:ascii="Calibri" w:eastAsia="Calibri" w:hAnsi="Calibri" w:cs="Arial"/>
          <w:b/>
          <w:szCs w:val="22"/>
          <w:lang w:val="en-US"/>
        </w:rPr>
      </w:pPr>
      <w:r w:rsidRPr="004452FD">
        <w:rPr>
          <w:rFonts w:ascii="Calibri" w:eastAsia="Calibri" w:hAnsi="Calibri" w:cs="Arial"/>
          <w:b/>
          <w:szCs w:val="22"/>
          <w:lang w:val="en-US"/>
        </w:rPr>
        <w:t>General</w:t>
      </w:r>
    </w:p>
    <w:p w14:paraId="3B8C1E60" w14:textId="77777777" w:rsidR="00543D47" w:rsidRPr="004452FD" w:rsidRDefault="00543D47" w:rsidP="00543D47">
      <w:pPr>
        <w:pStyle w:val="NormalBulleted"/>
        <w:rPr>
          <w:rFonts w:eastAsia="Calibri"/>
          <w:lang w:val="en-US"/>
        </w:rPr>
      </w:pPr>
      <w:r w:rsidRPr="004452FD">
        <w:rPr>
          <w:rFonts w:eastAsia="Calibri"/>
          <w:lang w:val="en-US"/>
        </w:rPr>
        <w:t xml:space="preserve">The new item does not acknowledge the fact that many </w:t>
      </w:r>
      <w:proofErr w:type="spellStart"/>
      <w:r w:rsidRPr="004452FD">
        <w:rPr>
          <w:rFonts w:eastAsia="Calibri"/>
          <w:lang w:val="en-US"/>
        </w:rPr>
        <w:t>tumours</w:t>
      </w:r>
      <w:proofErr w:type="spellEnd"/>
      <w:r w:rsidRPr="004452FD">
        <w:rPr>
          <w:rFonts w:eastAsia="Calibri"/>
          <w:lang w:val="en-US"/>
        </w:rPr>
        <w:t xml:space="preserve"> do not express the classical markers that are being proposed.</w:t>
      </w:r>
    </w:p>
    <w:p w14:paraId="097627AA" w14:textId="77777777" w:rsidR="00543D47" w:rsidRPr="004452FD" w:rsidRDefault="00543D47" w:rsidP="00543D47">
      <w:pPr>
        <w:pStyle w:val="NormalBulleted"/>
        <w:rPr>
          <w:rFonts w:eastAsia="Calibri"/>
          <w:lang w:val="en-US"/>
        </w:rPr>
      </w:pPr>
      <w:r w:rsidRPr="004452FD">
        <w:rPr>
          <w:rFonts w:eastAsia="Calibri"/>
          <w:lang w:val="en-US"/>
        </w:rPr>
        <w:t xml:space="preserve">Not all </w:t>
      </w:r>
      <w:proofErr w:type="spellStart"/>
      <w:r w:rsidRPr="004452FD">
        <w:rPr>
          <w:rFonts w:eastAsia="Calibri"/>
          <w:lang w:val="en-US"/>
        </w:rPr>
        <w:t>tumours</w:t>
      </w:r>
      <w:proofErr w:type="spellEnd"/>
      <w:r w:rsidRPr="004452FD">
        <w:rPr>
          <w:rFonts w:eastAsia="Calibri"/>
          <w:lang w:val="en-US"/>
        </w:rPr>
        <w:t xml:space="preserve"> are documented in these new proposed items.</w:t>
      </w:r>
    </w:p>
    <w:p w14:paraId="14DC4F9F" w14:textId="77777777" w:rsidR="00543D47" w:rsidRPr="004452FD" w:rsidRDefault="00543D47" w:rsidP="00543D47">
      <w:pPr>
        <w:pStyle w:val="NormalBulleted"/>
        <w:rPr>
          <w:rFonts w:eastAsia="Calibri"/>
          <w:lang w:val="en-US"/>
        </w:rPr>
      </w:pPr>
      <w:r w:rsidRPr="004452FD">
        <w:rPr>
          <w:rFonts w:eastAsia="Calibri"/>
          <w:lang w:val="en-US"/>
        </w:rPr>
        <w:t xml:space="preserve">It is good practice in oncology management to form a care team of the </w:t>
      </w:r>
      <w:r w:rsidRPr="004D5E22">
        <w:rPr>
          <w:rFonts w:eastAsia="Calibri"/>
          <w:lang w:val="en-US"/>
        </w:rPr>
        <w:t>o</w:t>
      </w:r>
      <w:r w:rsidRPr="004452FD">
        <w:rPr>
          <w:rFonts w:eastAsia="Calibri"/>
          <w:lang w:val="en-US"/>
        </w:rPr>
        <w:t>ncologists with the patient</w:t>
      </w:r>
      <w:r w:rsidRPr="004D5E22">
        <w:rPr>
          <w:rFonts w:eastAsia="Calibri"/>
          <w:lang w:val="en-US"/>
        </w:rPr>
        <w:t>’</w:t>
      </w:r>
      <w:r w:rsidRPr="004452FD">
        <w:rPr>
          <w:rFonts w:eastAsia="Calibri"/>
          <w:lang w:val="en-US"/>
        </w:rPr>
        <w:t>s GP, thus many GP</w:t>
      </w:r>
      <w:r w:rsidRPr="004452FD">
        <w:rPr>
          <w:rFonts w:eastAsia="Calibri"/>
          <w:b/>
          <w:lang w:val="en-US"/>
        </w:rPr>
        <w:t>-</w:t>
      </w:r>
      <w:r w:rsidRPr="004452FD">
        <w:rPr>
          <w:rFonts w:eastAsia="Calibri"/>
          <w:lang w:val="en-US"/>
        </w:rPr>
        <w:t xml:space="preserve">ordered </w:t>
      </w:r>
      <w:proofErr w:type="spellStart"/>
      <w:r w:rsidRPr="004452FD">
        <w:rPr>
          <w:rFonts w:eastAsia="Calibri"/>
          <w:lang w:val="en-US"/>
        </w:rPr>
        <w:t>tumour</w:t>
      </w:r>
      <w:proofErr w:type="spellEnd"/>
      <w:r w:rsidRPr="004452FD">
        <w:rPr>
          <w:rFonts w:eastAsia="Calibri"/>
          <w:lang w:val="en-US"/>
        </w:rPr>
        <w:t xml:space="preserve"> markers </w:t>
      </w:r>
      <w:r>
        <w:rPr>
          <w:rFonts w:eastAsia="Calibri"/>
          <w:lang w:val="en-US"/>
        </w:rPr>
        <w:t xml:space="preserve">tests </w:t>
      </w:r>
      <w:r w:rsidRPr="004452FD">
        <w:rPr>
          <w:rFonts w:eastAsia="Calibri"/>
          <w:lang w:val="en-US"/>
        </w:rPr>
        <w:t xml:space="preserve">are </w:t>
      </w:r>
      <w:r>
        <w:rPr>
          <w:rFonts w:eastAsia="Calibri"/>
          <w:lang w:val="en-US"/>
        </w:rPr>
        <w:t xml:space="preserve">requested </w:t>
      </w:r>
      <w:r w:rsidRPr="004452FD">
        <w:rPr>
          <w:rFonts w:eastAsia="Calibri"/>
          <w:lang w:val="en-US"/>
        </w:rPr>
        <w:t xml:space="preserve">under the guidance of a </w:t>
      </w:r>
      <w:r w:rsidRPr="004D5E22">
        <w:rPr>
          <w:rFonts w:eastAsia="Calibri"/>
          <w:lang w:val="en-US"/>
        </w:rPr>
        <w:t>s</w:t>
      </w:r>
      <w:r w:rsidRPr="004452FD">
        <w:rPr>
          <w:rFonts w:eastAsia="Calibri"/>
          <w:lang w:val="en-US"/>
        </w:rPr>
        <w:t>pecialist.</w:t>
      </w:r>
    </w:p>
    <w:p w14:paraId="62E73657" w14:textId="77777777" w:rsidR="00543D47" w:rsidRPr="004452FD" w:rsidRDefault="00543D47" w:rsidP="00543D47">
      <w:pPr>
        <w:keepNext/>
        <w:spacing w:before="120"/>
        <w:rPr>
          <w:rFonts w:ascii="Calibri" w:eastAsia="Calibri" w:hAnsi="Calibri" w:cs="Arial"/>
          <w:b/>
          <w:szCs w:val="22"/>
          <w:lang w:val="en-US"/>
        </w:rPr>
      </w:pPr>
      <w:r w:rsidRPr="004452FD">
        <w:rPr>
          <w:rFonts w:ascii="Calibri" w:eastAsia="Calibri" w:hAnsi="Calibri" w:cs="Arial"/>
          <w:b/>
          <w:szCs w:val="22"/>
          <w:lang w:val="en-US"/>
        </w:rPr>
        <w:t>Item 66650 specific points</w:t>
      </w:r>
    </w:p>
    <w:p w14:paraId="5B1C8E8E" w14:textId="77777777" w:rsidR="00543D47" w:rsidRPr="004D5E22" w:rsidRDefault="00543D47" w:rsidP="00543D47">
      <w:pPr>
        <w:pStyle w:val="NormalBulleted"/>
        <w:rPr>
          <w:rFonts w:eastAsia="Calibri"/>
          <w:lang w:val="en-US"/>
        </w:rPr>
      </w:pPr>
      <w:r>
        <w:rPr>
          <w:rFonts w:eastAsia="Calibri"/>
          <w:lang w:val="en-US"/>
        </w:rPr>
        <w:t>R</w:t>
      </w:r>
      <w:r w:rsidRPr="004D5E22">
        <w:rPr>
          <w:rFonts w:eastAsia="Calibri"/>
          <w:lang w:val="en-US"/>
        </w:rPr>
        <w:t>equests by general practitioners may be made in consultation with and at the behest of specialists, as the care of patients with neoplastic conditions is frequently shared between specialists and general practitioners.</w:t>
      </w:r>
    </w:p>
    <w:p w14:paraId="7195CD74" w14:textId="77777777" w:rsidR="00543D47" w:rsidRPr="004D5E22" w:rsidRDefault="00543D47" w:rsidP="00543D47">
      <w:pPr>
        <w:pStyle w:val="NormalBulleted"/>
        <w:rPr>
          <w:rFonts w:eastAsia="Calibri"/>
          <w:lang w:val="en-US"/>
        </w:rPr>
      </w:pPr>
      <w:proofErr w:type="gramStart"/>
      <w:r w:rsidRPr="004D5E22">
        <w:rPr>
          <w:rFonts w:eastAsia="Calibri"/>
          <w:lang w:val="en-US"/>
        </w:rPr>
        <w:t>With regard to</w:t>
      </w:r>
      <w:proofErr w:type="gramEnd"/>
      <w:r w:rsidRPr="004D5E22">
        <w:rPr>
          <w:rFonts w:eastAsia="Calibri"/>
          <w:lang w:val="en-US"/>
        </w:rPr>
        <w:t xml:space="preserve"> the varied expression of </w:t>
      </w:r>
      <w:proofErr w:type="spellStart"/>
      <w:r w:rsidRPr="004D5E22">
        <w:rPr>
          <w:rFonts w:eastAsia="Calibri"/>
          <w:lang w:val="en-US"/>
        </w:rPr>
        <w:t>tumour</w:t>
      </w:r>
      <w:proofErr w:type="spellEnd"/>
      <w:r w:rsidRPr="004D5E22">
        <w:rPr>
          <w:rFonts w:eastAsia="Calibri"/>
          <w:lang w:val="en-US"/>
        </w:rPr>
        <w:t xml:space="preserve"> markers with different </w:t>
      </w:r>
      <w:proofErr w:type="spellStart"/>
      <w:r w:rsidRPr="004D5E22">
        <w:rPr>
          <w:rFonts w:eastAsia="Calibri"/>
          <w:lang w:val="en-US"/>
        </w:rPr>
        <w:t>tumours</w:t>
      </w:r>
      <w:proofErr w:type="spellEnd"/>
      <w:r w:rsidRPr="004D5E22">
        <w:rPr>
          <w:rFonts w:eastAsia="Calibri"/>
          <w:lang w:val="en-US"/>
        </w:rPr>
        <w:t xml:space="preserve">; as an example, </w:t>
      </w:r>
      <w:r>
        <w:rPr>
          <w:rFonts w:eastAsia="Calibri"/>
          <w:lang w:val="en-US"/>
        </w:rPr>
        <w:t>there are</w:t>
      </w:r>
      <w:r w:rsidRPr="004D5E22">
        <w:rPr>
          <w:rFonts w:eastAsia="Calibri"/>
          <w:lang w:val="en-US"/>
        </w:rPr>
        <w:t xml:space="preserve"> well</w:t>
      </w:r>
      <w:r>
        <w:rPr>
          <w:rFonts w:eastAsia="Calibri"/>
          <w:lang w:val="en-US"/>
        </w:rPr>
        <w:t>-</w:t>
      </w:r>
      <w:r w:rsidRPr="004D5E22">
        <w:rPr>
          <w:rFonts w:eastAsia="Calibri"/>
          <w:lang w:val="en-US"/>
        </w:rPr>
        <w:t>known occurrence of colorectal cancers that commonly express CA19</w:t>
      </w:r>
      <w:r>
        <w:rPr>
          <w:rFonts w:eastAsia="Calibri"/>
          <w:lang w:val="en-US"/>
        </w:rPr>
        <w:t>.</w:t>
      </w:r>
      <w:r w:rsidRPr="004D5E22">
        <w:rPr>
          <w:rFonts w:eastAsia="Calibri"/>
          <w:lang w:val="en-US"/>
        </w:rPr>
        <w:t xml:space="preserve">9 and are </w:t>
      </w:r>
      <w:r w:rsidRPr="004D5E22">
        <w:rPr>
          <w:rFonts w:eastAsia="Calibri"/>
          <w:lang w:val="en-US"/>
        </w:rPr>
        <w:lastRenderedPageBreak/>
        <w:t>often best monitored by this marker. Yet colorectal cancer is not mentioned in the descriptor related to CA19.9.</w:t>
      </w:r>
    </w:p>
    <w:p w14:paraId="1AF7BC40" w14:textId="77777777" w:rsidR="00543D47" w:rsidRPr="004D5E22" w:rsidRDefault="00543D47" w:rsidP="00543D47">
      <w:pPr>
        <w:pStyle w:val="NormalBulleted"/>
        <w:rPr>
          <w:rFonts w:eastAsia="Calibri"/>
          <w:lang w:val="en-US"/>
        </w:rPr>
      </w:pPr>
      <w:r w:rsidRPr="004D5E22">
        <w:rPr>
          <w:rFonts w:eastAsia="Calibri"/>
          <w:lang w:val="en-US"/>
        </w:rPr>
        <w:t xml:space="preserve">The current item allows testing of a single </w:t>
      </w:r>
      <w:proofErr w:type="spellStart"/>
      <w:r w:rsidRPr="004D5E22">
        <w:rPr>
          <w:rFonts w:eastAsia="Calibri"/>
          <w:lang w:val="en-US"/>
        </w:rPr>
        <w:t>tumour</w:t>
      </w:r>
      <w:proofErr w:type="spellEnd"/>
      <w:r w:rsidRPr="004D5E22">
        <w:rPr>
          <w:rFonts w:eastAsia="Calibri"/>
          <w:lang w:val="en-US"/>
        </w:rPr>
        <w:t xml:space="preserve"> marker that permits some flexibility in terms of a primary source, </w:t>
      </w:r>
      <w:proofErr w:type="spellStart"/>
      <w:r w:rsidRPr="004D5E22">
        <w:rPr>
          <w:rFonts w:eastAsia="Calibri"/>
          <w:lang w:val="en-US"/>
        </w:rPr>
        <w:t>eg</w:t>
      </w:r>
      <w:proofErr w:type="spellEnd"/>
      <w:r w:rsidRPr="004D5E22">
        <w:rPr>
          <w:rFonts w:eastAsia="Calibri"/>
          <w:lang w:val="en-US"/>
        </w:rPr>
        <w:t xml:space="preserve">, hepatic </w:t>
      </w:r>
      <w:proofErr w:type="spellStart"/>
      <w:r w:rsidRPr="004D5E22">
        <w:rPr>
          <w:rFonts w:eastAsia="Calibri"/>
          <w:lang w:val="en-US"/>
        </w:rPr>
        <w:t>tumours</w:t>
      </w:r>
      <w:proofErr w:type="spellEnd"/>
      <w:r w:rsidRPr="004D5E22">
        <w:rPr>
          <w:rFonts w:eastAsia="Calibri"/>
          <w:lang w:val="en-US"/>
        </w:rPr>
        <w:t xml:space="preserve"> may be of primary or metastatic origin. This is relevant because </w:t>
      </w:r>
      <w:proofErr w:type="spellStart"/>
      <w:r w:rsidRPr="004D5E22">
        <w:rPr>
          <w:rFonts w:eastAsia="Calibri"/>
          <w:lang w:val="en-US"/>
        </w:rPr>
        <w:t>tumour</w:t>
      </w:r>
      <w:proofErr w:type="spellEnd"/>
      <w:r w:rsidRPr="004D5E22">
        <w:rPr>
          <w:rFonts w:eastAsia="Calibri"/>
          <w:lang w:val="en-US"/>
        </w:rPr>
        <w:t xml:space="preserve"> markers are neither tissue</w:t>
      </w:r>
      <w:r>
        <w:rPr>
          <w:rFonts w:eastAsia="Calibri"/>
          <w:lang w:val="en-US"/>
        </w:rPr>
        <w:t>-</w:t>
      </w:r>
      <w:r w:rsidRPr="004D5E22">
        <w:rPr>
          <w:rFonts w:eastAsia="Calibri"/>
          <w:lang w:val="en-US"/>
        </w:rPr>
        <w:t xml:space="preserve"> nor organ-specific. The new item does not. Under the new item proposed, a </w:t>
      </w:r>
      <w:proofErr w:type="spellStart"/>
      <w:r w:rsidRPr="004D5E22">
        <w:rPr>
          <w:rFonts w:eastAsia="Calibri"/>
          <w:lang w:val="en-US"/>
        </w:rPr>
        <w:t>tumour</w:t>
      </w:r>
      <w:proofErr w:type="spellEnd"/>
      <w:r w:rsidRPr="004D5E22">
        <w:rPr>
          <w:rFonts w:eastAsia="Calibri"/>
          <w:lang w:val="en-US"/>
        </w:rPr>
        <w:t xml:space="preserve"> marker is only eligible for a rebate if requested for the initial assessment or follow-up of specific neoplastic conditions. Such a limited approach fails to properly </w:t>
      </w:r>
      <w:proofErr w:type="gramStart"/>
      <w:r w:rsidRPr="004D5E22">
        <w:rPr>
          <w:rFonts w:eastAsia="Calibri"/>
          <w:lang w:val="en-US"/>
        </w:rPr>
        <w:t>take into account</w:t>
      </w:r>
      <w:proofErr w:type="gramEnd"/>
      <w:r w:rsidRPr="004D5E22">
        <w:rPr>
          <w:rFonts w:eastAsia="Calibri"/>
          <w:lang w:val="en-US"/>
        </w:rPr>
        <w:t>:</w:t>
      </w:r>
    </w:p>
    <w:p w14:paraId="2CFDA650"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 xml:space="preserve">The information that is widely available in published sources, such as the references </w:t>
      </w:r>
      <w:r>
        <w:rPr>
          <w:rFonts w:ascii="Calibri" w:eastAsia="Calibri" w:hAnsi="Calibri"/>
          <w:lang w:val="en-US"/>
        </w:rPr>
        <w:t>-</w:t>
      </w:r>
      <w:r w:rsidRPr="004D5E22">
        <w:rPr>
          <w:rFonts w:ascii="Calibri" w:eastAsia="Calibri" w:hAnsi="Calibri"/>
          <w:lang w:val="en-US"/>
        </w:rPr>
        <w:t xml:space="preserve"> in this document together with the RCPA Position Statement cited below but not referenced.</w:t>
      </w:r>
    </w:p>
    <w:p w14:paraId="19E21458"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 xml:space="preserve">The range of malignant conditions as well as different histological types for which </w:t>
      </w:r>
      <w:proofErr w:type="spellStart"/>
      <w:r w:rsidRPr="004D5E22">
        <w:rPr>
          <w:rFonts w:ascii="Calibri" w:eastAsia="Calibri" w:hAnsi="Calibri"/>
          <w:lang w:val="en-US"/>
        </w:rPr>
        <w:t>tumour</w:t>
      </w:r>
      <w:proofErr w:type="spellEnd"/>
      <w:r w:rsidRPr="004D5E22">
        <w:rPr>
          <w:rFonts w:ascii="Calibri" w:eastAsia="Calibri" w:hAnsi="Calibri"/>
          <w:lang w:val="en-US"/>
        </w:rPr>
        <w:t xml:space="preserve"> marker testing is useful for initial assessment and follow-up of neoplastic disease.</w:t>
      </w:r>
    </w:p>
    <w:p w14:paraId="1133402D"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 xml:space="preserve">Current clinical practice, </w:t>
      </w:r>
      <w:proofErr w:type="gramStart"/>
      <w:r w:rsidRPr="004D5E22">
        <w:rPr>
          <w:rFonts w:ascii="Calibri" w:eastAsia="Calibri" w:hAnsi="Calibri"/>
          <w:lang w:val="en-US"/>
        </w:rPr>
        <w:t>in particular that</w:t>
      </w:r>
      <w:proofErr w:type="gramEnd"/>
      <w:r w:rsidRPr="004D5E22">
        <w:rPr>
          <w:rFonts w:ascii="Calibri" w:eastAsia="Calibri" w:hAnsi="Calibri"/>
          <w:lang w:val="en-US"/>
        </w:rPr>
        <w:t xml:space="preserve"> of specialists who are responsible for the management of patients with malignant disease.</w:t>
      </w:r>
    </w:p>
    <w:p w14:paraId="7631A768" w14:textId="77777777" w:rsidR="00543D47" w:rsidRPr="004D5E22" w:rsidRDefault="00543D47" w:rsidP="00543D47">
      <w:pPr>
        <w:pStyle w:val="NormalBulleted"/>
        <w:rPr>
          <w:rFonts w:eastAsia="Calibri"/>
          <w:lang w:val="en-US"/>
        </w:rPr>
      </w:pPr>
      <w:r w:rsidRPr="004D5E22">
        <w:rPr>
          <w:rFonts w:eastAsia="Calibri"/>
          <w:lang w:val="en-US"/>
        </w:rPr>
        <w:t xml:space="preserve">With respect to the </w:t>
      </w:r>
      <w:proofErr w:type="gramStart"/>
      <w:r w:rsidRPr="004D5E22">
        <w:rPr>
          <w:rFonts w:eastAsia="Calibri"/>
          <w:lang w:val="en-US"/>
        </w:rPr>
        <w:t>particular conditions</w:t>
      </w:r>
      <w:proofErr w:type="gramEnd"/>
      <w:r w:rsidRPr="004D5E22">
        <w:rPr>
          <w:rFonts w:eastAsia="Calibri"/>
          <w:lang w:val="en-US"/>
        </w:rPr>
        <w:t xml:space="preserve"> that are specified in the proposed new item, some of the shortcomings identified include, but are not limited to, the following:</w:t>
      </w:r>
    </w:p>
    <w:p w14:paraId="69F02F4C"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452FD">
        <w:rPr>
          <w:rFonts w:ascii="Calibri" w:eastAsia="Calibri" w:hAnsi="Calibri"/>
          <w:i/>
          <w:lang w:val="en-US"/>
        </w:rPr>
        <w:t>“CA-15.3 antigen (CA15.3) in the initial diagnostic work-up and follow up of metastatic breast cancer</w:t>
      </w:r>
      <w:r w:rsidRPr="004D5E22">
        <w:rPr>
          <w:rFonts w:ascii="Calibri" w:eastAsia="Calibri" w:hAnsi="Calibri"/>
          <w:lang w:val="en-US"/>
        </w:rPr>
        <w:t>.” It is unclear whether CA15.3 testing would be eligible for a rebate in a patient who has suspected or diagnosed primary breast cancer without any evidence of metastatic involvement. Follow-up CA15.3 testing should be available as part of the ongoing surveillance of a patient who not only has diagnosed secondary breast cancer but who is also at risk of metastatic disease.</w:t>
      </w:r>
    </w:p>
    <w:p w14:paraId="3E5373D1"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w:t>
      </w:r>
      <w:r w:rsidRPr="004452FD">
        <w:rPr>
          <w:rFonts w:ascii="Calibri" w:eastAsia="Calibri" w:hAnsi="Calibri"/>
          <w:i/>
          <w:lang w:val="en-US"/>
        </w:rPr>
        <w:t>CA-19.9 antigen (CA19.9) in the initial diagnostic work-up and follow up of pancreatic or gastric cancer.”</w:t>
      </w:r>
      <w:r w:rsidRPr="004D5E22">
        <w:rPr>
          <w:rFonts w:ascii="Calibri" w:eastAsia="Calibri" w:hAnsi="Calibri"/>
          <w:lang w:val="en-US"/>
        </w:rPr>
        <w:t xml:space="preserve"> The eligibility of CA19.9 should not be restricted to pancreatic or gastric cancer. CA19.9 can be the principal clinically useful marker in other forms of malignancy including, but not limited to, cholangiocarcinoma, carcinoma of the gallbladder, </w:t>
      </w:r>
      <w:proofErr w:type="spellStart"/>
      <w:r w:rsidRPr="004D5E22">
        <w:rPr>
          <w:rFonts w:ascii="Calibri" w:eastAsia="Calibri" w:hAnsi="Calibri"/>
          <w:lang w:val="en-US"/>
        </w:rPr>
        <w:t>oesophageal</w:t>
      </w:r>
      <w:proofErr w:type="spellEnd"/>
      <w:r w:rsidRPr="004D5E22">
        <w:rPr>
          <w:rFonts w:ascii="Calibri" w:eastAsia="Calibri" w:hAnsi="Calibri"/>
          <w:lang w:val="en-US"/>
        </w:rPr>
        <w:t xml:space="preserve"> cancer and colorectal cancer.</w:t>
      </w:r>
    </w:p>
    <w:p w14:paraId="228EE069"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452FD">
        <w:rPr>
          <w:rFonts w:ascii="Calibri" w:eastAsia="Calibri" w:hAnsi="Calibri"/>
          <w:i/>
          <w:lang w:val="en-US"/>
        </w:rPr>
        <w:t>“Carcinoembryonic antigen (CEA) in the initial diagnostic work-up and follow up of a patient with an adenocarcinoma.”</w:t>
      </w:r>
      <w:r w:rsidRPr="004D5E22">
        <w:rPr>
          <w:rFonts w:ascii="Calibri" w:eastAsia="Calibri" w:hAnsi="Calibri"/>
          <w:lang w:val="en-US"/>
        </w:rPr>
        <w:t xml:space="preserve"> The eligibility of CEA should not necessarily be limited to the assessment of patients with adenocarcinoma. For example, CEA can be a useful marker for non-small cell lung cancer which not only includes adenocarcinoma but other histological types.</w:t>
      </w:r>
    </w:p>
    <w:p w14:paraId="5E43DA8F"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There is no allowance made under item 66650 for choosing to perform a single test from the various markers described for the assessment of patients with metastatic disease where the primary source is unknown (see below).</w:t>
      </w:r>
    </w:p>
    <w:p w14:paraId="6C24858D" w14:textId="77777777" w:rsidR="00543D47" w:rsidRPr="004452FD" w:rsidRDefault="00543D47" w:rsidP="00543D47">
      <w:pPr>
        <w:keepNext/>
        <w:spacing w:before="120"/>
        <w:rPr>
          <w:rFonts w:ascii="Calibri" w:eastAsia="Calibri" w:hAnsi="Calibri" w:cs="Arial"/>
          <w:b/>
          <w:szCs w:val="22"/>
          <w:lang w:val="en-US"/>
        </w:rPr>
      </w:pPr>
      <w:r w:rsidRPr="004452FD">
        <w:rPr>
          <w:rFonts w:ascii="Calibri" w:eastAsia="Calibri" w:hAnsi="Calibri" w:cs="Arial"/>
          <w:b/>
          <w:szCs w:val="22"/>
          <w:lang w:val="en-US"/>
        </w:rPr>
        <w:lastRenderedPageBreak/>
        <w:t xml:space="preserve">Item 66653 </w:t>
      </w:r>
      <w:r w:rsidRPr="004D5E22">
        <w:rPr>
          <w:rFonts w:ascii="Calibri" w:eastAsia="Calibri" w:hAnsi="Calibri" w:cs="Arial"/>
          <w:b/>
          <w:szCs w:val="22"/>
          <w:lang w:val="en-US"/>
        </w:rPr>
        <w:t>c</w:t>
      </w:r>
      <w:r w:rsidRPr="004452FD">
        <w:rPr>
          <w:rFonts w:ascii="Calibri" w:eastAsia="Calibri" w:hAnsi="Calibri" w:cs="Arial"/>
          <w:b/>
          <w:szCs w:val="22"/>
          <w:lang w:val="en-US"/>
        </w:rPr>
        <w:t>omments</w:t>
      </w:r>
    </w:p>
    <w:p w14:paraId="502457C0" w14:textId="77777777" w:rsidR="00543D47" w:rsidRPr="004D5E22" w:rsidRDefault="00543D47" w:rsidP="00543D47">
      <w:pPr>
        <w:pStyle w:val="NormalBulleted"/>
        <w:rPr>
          <w:rFonts w:eastAsia="Calibri"/>
          <w:lang w:val="en-US"/>
        </w:rPr>
      </w:pPr>
      <w:r w:rsidRPr="004452FD">
        <w:rPr>
          <w:rFonts w:eastAsia="Calibri"/>
        </w:rPr>
        <w:t>The</w:t>
      </w:r>
      <w:r w:rsidRPr="004D5E22">
        <w:rPr>
          <w:rFonts w:eastAsia="Calibri"/>
          <w:lang w:val="en-US"/>
        </w:rPr>
        <w:t xml:space="preserve"> new item descriptor specifies that two or more tests may be performed </w:t>
      </w:r>
      <w:r w:rsidRPr="004452FD">
        <w:rPr>
          <w:rFonts w:eastAsia="Calibri"/>
          <w:i/>
          <w:lang w:val="en-US"/>
        </w:rPr>
        <w:t>“in the management of metastatic adenocarcinoma of unknown primary”</w:t>
      </w:r>
      <w:r w:rsidRPr="004D5E22">
        <w:rPr>
          <w:rFonts w:eastAsia="Calibri"/>
          <w:lang w:val="en-US"/>
        </w:rPr>
        <w:t xml:space="preserve">. </w:t>
      </w:r>
    </w:p>
    <w:p w14:paraId="1D473F63" w14:textId="77777777" w:rsidR="00543D47" w:rsidRPr="004D5E22" w:rsidRDefault="00543D47" w:rsidP="00543D47">
      <w:pPr>
        <w:pStyle w:val="NormalBulleted"/>
        <w:numPr>
          <w:ilvl w:val="0"/>
          <w:numId w:val="0"/>
        </w:numPr>
        <w:ind w:left="431"/>
        <w:rPr>
          <w:rFonts w:eastAsia="Calibri"/>
          <w:lang w:val="en-US"/>
        </w:rPr>
      </w:pPr>
      <w:r w:rsidRPr="004D5E22">
        <w:rPr>
          <w:rFonts w:eastAsia="Calibri"/>
          <w:lang w:val="en-US"/>
        </w:rPr>
        <w:t xml:space="preserve">This presupposes that a specific diagnosis of adenocarcinoma has already been made. Such a restrictor, however, overlooks the important role played by </w:t>
      </w:r>
      <w:proofErr w:type="spellStart"/>
      <w:r w:rsidRPr="004D5E22">
        <w:rPr>
          <w:rFonts w:eastAsia="Calibri"/>
          <w:lang w:val="en-US"/>
        </w:rPr>
        <w:t>tumour</w:t>
      </w:r>
      <w:proofErr w:type="spellEnd"/>
      <w:r w:rsidRPr="004D5E22">
        <w:rPr>
          <w:rFonts w:eastAsia="Calibri"/>
          <w:lang w:val="en-US"/>
        </w:rPr>
        <w:t xml:space="preserve"> marker testing in the assessment of patients with evidence of malignancy when it has yet to be histologically </w:t>
      </w:r>
      <w:proofErr w:type="spellStart"/>
      <w:r w:rsidRPr="004D5E22">
        <w:rPr>
          <w:rFonts w:eastAsia="Calibri"/>
          <w:lang w:val="en-US"/>
        </w:rPr>
        <w:t>categorised</w:t>
      </w:r>
      <w:proofErr w:type="spellEnd"/>
      <w:r w:rsidRPr="004D5E22">
        <w:rPr>
          <w:rFonts w:eastAsia="Calibri"/>
          <w:lang w:val="en-US"/>
        </w:rPr>
        <w:t>.</w:t>
      </w:r>
    </w:p>
    <w:p w14:paraId="51577C40" w14:textId="77777777" w:rsidR="00543D47" w:rsidRPr="004452FD" w:rsidRDefault="00543D47" w:rsidP="00543D47">
      <w:pPr>
        <w:keepNext/>
        <w:spacing w:before="120"/>
        <w:rPr>
          <w:rFonts w:ascii="Calibri" w:eastAsia="Calibri" w:hAnsi="Calibri" w:cs="Arial"/>
          <w:b/>
          <w:szCs w:val="22"/>
          <w:lang w:val="en-US"/>
        </w:rPr>
      </w:pPr>
      <w:r w:rsidRPr="004452FD">
        <w:rPr>
          <w:rFonts w:ascii="Calibri" w:eastAsia="Calibri" w:hAnsi="Calibri" w:cs="Arial"/>
          <w:b/>
          <w:szCs w:val="22"/>
          <w:lang w:val="en-US"/>
        </w:rPr>
        <w:t>Conclusion</w:t>
      </w:r>
    </w:p>
    <w:p w14:paraId="24468170" w14:textId="77777777" w:rsidR="00543D47" w:rsidRPr="004D5E22" w:rsidRDefault="00543D47" w:rsidP="00543D47">
      <w:pPr>
        <w:keepNext/>
        <w:spacing w:before="120"/>
        <w:rPr>
          <w:rFonts w:ascii="Calibri" w:eastAsia="Calibri" w:hAnsi="Calibri" w:cs="Arial"/>
          <w:szCs w:val="22"/>
          <w:lang w:val="en-US"/>
        </w:rPr>
      </w:pPr>
      <w:r w:rsidRPr="004D5E22">
        <w:rPr>
          <w:rFonts w:ascii="Calibri" w:eastAsia="Calibri" w:hAnsi="Calibri" w:cs="Arial"/>
          <w:szCs w:val="22"/>
          <w:lang w:val="en-US"/>
        </w:rPr>
        <w:t xml:space="preserve">Suggested </w:t>
      </w:r>
      <w:r>
        <w:rPr>
          <w:rFonts w:ascii="Calibri" w:eastAsia="Calibri" w:hAnsi="Calibri" w:cs="Arial"/>
          <w:szCs w:val="22"/>
          <w:lang w:val="en-US"/>
        </w:rPr>
        <w:t>a</w:t>
      </w:r>
      <w:r w:rsidRPr="004D5E22">
        <w:rPr>
          <w:rFonts w:ascii="Calibri" w:eastAsia="Calibri" w:hAnsi="Calibri" w:cs="Arial"/>
          <w:szCs w:val="22"/>
          <w:lang w:val="en-US"/>
        </w:rPr>
        <w:t xml:space="preserve">mendments to </w:t>
      </w:r>
      <w:r>
        <w:rPr>
          <w:rFonts w:ascii="Calibri" w:eastAsia="Calibri" w:hAnsi="Calibri" w:cs="Arial"/>
          <w:szCs w:val="22"/>
          <w:lang w:val="en-US"/>
        </w:rPr>
        <w:t>p</w:t>
      </w:r>
      <w:r w:rsidRPr="004D5E22">
        <w:rPr>
          <w:rFonts w:ascii="Calibri" w:eastAsia="Calibri" w:hAnsi="Calibri" w:cs="Arial"/>
          <w:szCs w:val="22"/>
          <w:lang w:val="en-US"/>
        </w:rPr>
        <w:t xml:space="preserve">roposed </w:t>
      </w:r>
      <w:r>
        <w:rPr>
          <w:rFonts w:ascii="Calibri" w:eastAsia="Calibri" w:hAnsi="Calibri" w:cs="Arial"/>
          <w:szCs w:val="22"/>
          <w:lang w:val="en-US"/>
        </w:rPr>
        <w:t>n</w:t>
      </w:r>
      <w:r w:rsidRPr="004D5E22">
        <w:rPr>
          <w:rFonts w:ascii="Calibri" w:eastAsia="Calibri" w:hAnsi="Calibri" w:cs="Arial"/>
          <w:szCs w:val="22"/>
          <w:lang w:val="en-US"/>
        </w:rPr>
        <w:t xml:space="preserve">ew </w:t>
      </w:r>
      <w:r>
        <w:rPr>
          <w:rFonts w:ascii="Calibri" w:eastAsia="Calibri" w:hAnsi="Calibri" w:cs="Arial"/>
          <w:szCs w:val="22"/>
          <w:lang w:val="en-US"/>
        </w:rPr>
        <w:t>i</w:t>
      </w:r>
      <w:r w:rsidRPr="004D5E22">
        <w:rPr>
          <w:rFonts w:ascii="Calibri" w:eastAsia="Calibri" w:hAnsi="Calibri" w:cs="Arial"/>
          <w:szCs w:val="22"/>
          <w:lang w:val="en-US"/>
        </w:rPr>
        <w:t>tems.</w:t>
      </w:r>
    </w:p>
    <w:p w14:paraId="3FE06587" w14:textId="77777777" w:rsidR="00543D47" w:rsidRPr="004D5E22" w:rsidRDefault="00543D47" w:rsidP="00543D47">
      <w:pPr>
        <w:pStyle w:val="NormalBulleted"/>
        <w:rPr>
          <w:rFonts w:eastAsia="Calibri"/>
          <w:lang w:val="en-US"/>
        </w:rPr>
      </w:pPr>
      <w:r w:rsidRPr="004D5E22">
        <w:rPr>
          <w:rFonts w:eastAsia="Calibri"/>
          <w:lang w:val="en-US"/>
        </w:rPr>
        <w:t>As outlined above, the proposed new items fail to meet the need to ensure optimal care for patients with different forms of malignancy and do not reflect current clinical practice, in particular that of specialists</w:t>
      </w:r>
      <w:r>
        <w:rPr>
          <w:rFonts w:eastAsia="Calibri"/>
          <w:lang w:val="en-US"/>
        </w:rPr>
        <w:t>,</w:t>
      </w:r>
      <w:r w:rsidRPr="004D5E22">
        <w:rPr>
          <w:rFonts w:eastAsia="Calibri"/>
          <w:lang w:val="en-US"/>
        </w:rPr>
        <w:t xml:space="preserve"> such as oncologists</w:t>
      </w:r>
      <w:r>
        <w:rPr>
          <w:rFonts w:eastAsia="Calibri"/>
          <w:lang w:val="en-US"/>
        </w:rPr>
        <w:t>,</w:t>
      </w:r>
      <w:r w:rsidRPr="004D5E22">
        <w:rPr>
          <w:rFonts w:eastAsia="Calibri"/>
          <w:lang w:val="en-US"/>
        </w:rPr>
        <w:t xml:space="preserve"> who are primarily responsible for managing such patients. </w:t>
      </w:r>
    </w:p>
    <w:p w14:paraId="1EA3BC98" w14:textId="77777777" w:rsidR="00543D47" w:rsidRPr="004D5E22" w:rsidRDefault="00543D47" w:rsidP="00543D47">
      <w:pPr>
        <w:pStyle w:val="NormalBulleted"/>
        <w:rPr>
          <w:rFonts w:eastAsia="Calibri"/>
          <w:lang w:val="en-US"/>
        </w:rPr>
      </w:pPr>
      <w:r w:rsidRPr="004D5E22">
        <w:rPr>
          <w:rFonts w:eastAsia="Calibri"/>
          <w:lang w:val="en-US"/>
        </w:rPr>
        <w:t xml:space="preserve">Rather than include specific conditions that render appropriate </w:t>
      </w:r>
      <w:proofErr w:type="spellStart"/>
      <w:r w:rsidRPr="004D5E22">
        <w:rPr>
          <w:rFonts w:eastAsia="Calibri"/>
          <w:lang w:val="en-US"/>
        </w:rPr>
        <w:t>tumour</w:t>
      </w:r>
      <w:proofErr w:type="spellEnd"/>
      <w:r w:rsidRPr="004D5E22">
        <w:rPr>
          <w:rFonts w:eastAsia="Calibri"/>
          <w:lang w:val="en-US"/>
        </w:rPr>
        <w:t xml:space="preserve"> testing for </w:t>
      </w:r>
      <w:r w:rsidRPr="004D5E22">
        <w:rPr>
          <w:rFonts w:eastAsia="Calibri"/>
          <w:u w:val="single"/>
          <w:lang w:val="en-US"/>
        </w:rPr>
        <w:t>some</w:t>
      </w:r>
      <w:r w:rsidRPr="004D5E22">
        <w:rPr>
          <w:rFonts w:eastAsia="Calibri"/>
          <w:lang w:val="en-US"/>
        </w:rPr>
        <w:t xml:space="preserve"> </w:t>
      </w:r>
      <w:proofErr w:type="gramStart"/>
      <w:r w:rsidRPr="004D5E22">
        <w:rPr>
          <w:rFonts w:eastAsia="Calibri"/>
          <w:lang w:val="en-US"/>
        </w:rPr>
        <w:t>patients</w:t>
      </w:r>
      <w:proofErr w:type="gramEnd"/>
      <w:r w:rsidRPr="004D5E22">
        <w:rPr>
          <w:rFonts w:eastAsia="Calibri"/>
          <w:lang w:val="en-US"/>
        </w:rPr>
        <w:t xml:space="preserve"> ineligible for a rebate, an alternative approach could be adopted whereby an explanatory note could be included as part of a more general descriptor for item 66650. This approach has been proposed for adoption with other items such as those involving the appropriate requesting of thyroid function tests. Reference could be made to the association between neoplastic conditions and the use of </w:t>
      </w:r>
      <w:proofErr w:type="gramStart"/>
      <w:r w:rsidRPr="004D5E22">
        <w:rPr>
          <w:rFonts w:eastAsia="Calibri"/>
          <w:lang w:val="en-US"/>
        </w:rPr>
        <w:t xml:space="preserve">particular </w:t>
      </w:r>
      <w:proofErr w:type="spellStart"/>
      <w:r w:rsidRPr="004D5E22">
        <w:rPr>
          <w:rFonts w:eastAsia="Calibri"/>
          <w:lang w:val="en-US"/>
        </w:rPr>
        <w:t>tumour</w:t>
      </w:r>
      <w:proofErr w:type="spellEnd"/>
      <w:proofErr w:type="gramEnd"/>
      <w:r w:rsidRPr="004D5E22">
        <w:rPr>
          <w:rFonts w:eastAsia="Calibri"/>
          <w:lang w:val="en-US"/>
        </w:rPr>
        <w:t xml:space="preserve"> markers in an explanatory note as exemplified by the following:</w:t>
      </w:r>
    </w:p>
    <w:p w14:paraId="0A86D0D0" w14:textId="77777777" w:rsidR="00543D47" w:rsidRPr="004452FD" w:rsidRDefault="00543D47" w:rsidP="00543D47">
      <w:pPr>
        <w:keepNext/>
        <w:spacing w:before="120"/>
        <w:rPr>
          <w:rFonts w:ascii="Calibri" w:eastAsia="Calibri" w:hAnsi="Calibri" w:cs="Arial"/>
          <w:b/>
          <w:szCs w:val="22"/>
          <w:lang w:val="en-US"/>
        </w:rPr>
      </w:pPr>
      <w:r w:rsidRPr="004452FD">
        <w:rPr>
          <w:rFonts w:ascii="Calibri" w:eastAsia="Calibri" w:hAnsi="Calibri" w:cs="Arial"/>
          <w:b/>
          <w:szCs w:val="22"/>
          <w:lang w:val="en-US"/>
        </w:rPr>
        <w:t>Ex</w:t>
      </w:r>
      <w:r w:rsidRPr="004D5E22">
        <w:rPr>
          <w:rFonts w:ascii="Calibri" w:eastAsia="Calibri" w:hAnsi="Calibri" w:cs="Arial"/>
          <w:b/>
          <w:szCs w:val="22"/>
          <w:lang w:val="en-US"/>
        </w:rPr>
        <w:t>ample ex</w:t>
      </w:r>
      <w:r w:rsidRPr="004452FD">
        <w:rPr>
          <w:rFonts w:ascii="Calibri" w:eastAsia="Calibri" w:hAnsi="Calibri" w:cs="Arial"/>
          <w:b/>
          <w:szCs w:val="22"/>
          <w:lang w:val="en-US"/>
        </w:rPr>
        <w:t>planatory note for Item 66650</w:t>
      </w:r>
    </w:p>
    <w:p w14:paraId="71057AE0" w14:textId="77777777" w:rsidR="00543D47" w:rsidRPr="004D5E22" w:rsidRDefault="00543D47" w:rsidP="00543D47">
      <w:pPr>
        <w:pStyle w:val="NormalBulleted"/>
        <w:rPr>
          <w:rFonts w:eastAsia="Calibri"/>
          <w:lang w:val="en-US"/>
        </w:rPr>
      </w:pPr>
      <w:r w:rsidRPr="004D5E22">
        <w:rPr>
          <w:rFonts w:eastAsia="Calibri"/>
          <w:lang w:val="en-US"/>
        </w:rPr>
        <w:t xml:space="preserve">A single </w:t>
      </w:r>
      <w:proofErr w:type="spellStart"/>
      <w:r w:rsidRPr="004D5E22">
        <w:rPr>
          <w:rFonts w:eastAsia="Calibri"/>
          <w:lang w:val="en-US"/>
        </w:rPr>
        <w:t>tumour</w:t>
      </w:r>
      <w:proofErr w:type="spellEnd"/>
      <w:r w:rsidRPr="004D5E22">
        <w:rPr>
          <w:rFonts w:eastAsia="Calibri"/>
          <w:lang w:val="en-US"/>
        </w:rPr>
        <w:t xml:space="preserve"> marker is often sufficient for the initial assessment and follow</w:t>
      </w:r>
      <w:r>
        <w:rPr>
          <w:rFonts w:eastAsia="Calibri"/>
          <w:lang w:val="en-US"/>
        </w:rPr>
        <w:t xml:space="preserve"> </w:t>
      </w:r>
      <w:r w:rsidRPr="004D5E22">
        <w:rPr>
          <w:rFonts w:eastAsia="Calibri"/>
          <w:lang w:val="en-US"/>
        </w:rPr>
        <w:t xml:space="preserve">up of a patient with cancer. Examples of recommendations are listed </w:t>
      </w:r>
      <w:proofErr w:type="gramStart"/>
      <w:r w:rsidRPr="004D5E22">
        <w:rPr>
          <w:rFonts w:eastAsia="Calibri"/>
          <w:lang w:val="en-US"/>
        </w:rPr>
        <w:t>below;</w:t>
      </w:r>
      <w:proofErr w:type="gramEnd"/>
    </w:p>
    <w:p w14:paraId="7A47CFDE"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 xml:space="preserve">Alpha-fetoprotein in the detection or monitoring of </w:t>
      </w:r>
      <w:proofErr w:type="gramStart"/>
      <w:r w:rsidRPr="004D5E22">
        <w:rPr>
          <w:rFonts w:ascii="Calibri" w:eastAsia="Calibri" w:hAnsi="Calibri"/>
          <w:lang w:val="en-US"/>
        </w:rPr>
        <w:t>an</w:t>
      </w:r>
      <w:proofErr w:type="gramEnd"/>
      <w:r w:rsidRPr="004D5E22">
        <w:rPr>
          <w:rFonts w:ascii="Calibri" w:eastAsia="Calibri" w:hAnsi="Calibri"/>
          <w:lang w:val="en-US"/>
        </w:rPr>
        <w:t xml:space="preserve"> hepatic </w:t>
      </w:r>
      <w:proofErr w:type="spellStart"/>
      <w:r w:rsidRPr="004D5E22">
        <w:rPr>
          <w:rFonts w:ascii="Calibri" w:eastAsia="Calibri" w:hAnsi="Calibri"/>
          <w:lang w:val="en-US"/>
        </w:rPr>
        <w:t>tumour</w:t>
      </w:r>
      <w:proofErr w:type="spellEnd"/>
      <w:r w:rsidRPr="004D5E22">
        <w:rPr>
          <w:rFonts w:ascii="Calibri" w:eastAsia="Calibri" w:hAnsi="Calibri"/>
          <w:lang w:val="en-US"/>
        </w:rPr>
        <w:t xml:space="preserve"> in a patient with existing liver cirrhosis or for the initial diagnostic work-up or follow up of a germ cell </w:t>
      </w:r>
      <w:proofErr w:type="spellStart"/>
      <w:r w:rsidRPr="004D5E22">
        <w:rPr>
          <w:rFonts w:ascii="Calibri" w:eastAsia="Calibri" w:hAnsi="Calibri"/>
          <w:lang w:val="en-US"/>
        </w:rPr>
        <w:t>tumour</w:t>
      </w:r>
      <w:proofErr w:type="spellEnd"/>
      <w:r w:rsidRPr="004D5E22">
        <w:rPr>
          <w:rFonts w:ascii="Calibri" w:eastAsia="Calibri" w:hAnsi="Calibri"/>
          <w:lang w:val="en-US"/>
        </w:rPr>
        <w:t>.</w:t>
      </w:r>
    </w:p>
    <w:p w14:paraId="2FFE7874"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 xml:space="preserve">Human chorionic gonadotrophin (HCG) quantitation for the initial diagnostic work-up or follow up of gestational trophoblastic disease, choriocarcinoma or germ cell </w:t>
      </w:r>
      <w:proofErr w:type="spellStart"/>
      <w:r w:rsidRPr="004D5E22">
        <w:rPr>
          <w:rFonts w:ascii="Calibri" w:eastAsia="Calibri" w:hAnsi="Calibri"/>
          <w:lang w:val="en-US"/>
        </w:rPr>
        <w:t>tumour</w:t>
      </w:r>
      <w:proofErr w:type="spellEnd"/>
      <w:r>
        <w:rPr>
          <w:rFonts w:ascii="Calibri" w:eastAsia="Calibri" w:hAnsi="Calibri"/>
          <w:lang w:val="en-US"/>
        </w:rPr>
        <w:t>.</w:t>
      </w:r>
    </w:p>
    <w:p w14:paraId="505FB6E8"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CA-15.3 antigen (CA15.3) in the initial diagnostic work-up and follow up of metastatic breast cancer</w:t>
      </w:r>
      <w:r>
        <w:rPr>
          <w:rFonts w:ascii="Calibri" w:eastAsia="Calibri" w:hAnsi="Calibri"/>
          <w:lang w:val="en-US"/>
        </w:rPr>
        <w:t>.</w:t>
      </w:r>
    </w:p>
    <w:p w14:paraId="02F8C80A"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 xml:space="preserve">CA-125 antigen (CA125) for early detection in a woman with </w:t>
      </w:r>
      <w:proofErr w:type="gramStart"/>
      <w:r w:rsidRPr="004D5E22">
        <w:rPr>
          <w:rFonts w:ascii="Calibri" w:eastAsia="Calibri" w:hAnsi="Calibri"/>
          <w:lang w:val="en-US"/>
        </w:rPr>
        <w:t>an</w:t>
      </w:r>
      <w:proofErr w:type="gramEnd"/>
      <w:r w:rsidRPr="004D5E22">
        <w:rPr>
          <w:rFonts w:ascii="Calibri" w:eastAsia="Calibri" w:hAnsi="Calibri"/>
          <w:lang w:val="en-US"/>
        </w:rPr>
        <w:t xml:space="preserve"> hereditary cancer syndrome, or in the initial diagnostic work-up or follow up of ovarian cancer</w:t>
      </w:r>
      <w:r>
        <w:rPr>
          <w:rFonts w:ascii="Calibri" w:eastAsia="Calibri" w:hAnsi="Calibri"/>
          <w:lang w:val="en-US"/>
        </w:rPr>
        <w:t>.</w:t>
      </w:r>
    </w:p>
    <w:p w14:paraId="1D1ECE60"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Human epididymis protein 4 (HE-4) in conjunction with CA125 in the initial diagnostic work-up of a woman with a pelvic mass to calculate a Risk of Ovarian Malignancy Algorithm (ROMA)</w:t>
      </w:r>
      <w:r>
        <w:rPr>
          <w:rFonts w:ascii="Calibri" w:eastAsia="Calibri" w:hAnsi="Calibri"/>
          <w:lang w:val="en-US"/>
        </w:rPr>
        <w:t>.</w:t>
      </w:r>
    </w:p>
    <w:p w14:paraId="41DFE8D5"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lastRenderedPageBreak/>
        <w:t>CA-19.9 antigen (CA19.9) in the initial diagnostic work-up or follow up of pancreatic or gastric cancer</w:t>
      </w:r>
      <w:r>
        <w:rPr>
          <w:rFonts w:ascii="Calibri" w:eastAsia="Calibri" w:hAnsi="Calibri"/>
          <w:lang w:val="en-US"/>
        </w:rPr>
        <w:t>.</w:t>
      </w:r>
    </w:p>
    <w:p w14:paraId="45F40773"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Carcinoembryonic antigen (CEA) in the initial diagnostic work-up or follow up of a patient with an adenocarcinoma</w:t>
      </w:r>
      <w:r>
        <w:rPr>
          <w:rFonts w:ascii="Calibri" w:eastAsia="Calibri" w:hAnsi="Calibri"/>
          <w:lang w:val="en-US"/>
        </w:rPr>
        <w:t>.</w:t>
      </w:r>
    </w:p>
    <w:p w14:paraId="3DCE98F9" w14:textId="77777777" w:rsidR="00543D47" w:rsidRPr="004D5E22" w:rsidRDefault="00543D47" w:rsidP="00543D47">
      <w:pPr>
        <w:pStyle w:val="NormalBulleted"/>
        <w:numPr>
          <w:ilvl w:val="1"/>
          <w:numId w:val="7"/>
        </w:numPr>
        <w:ind w:left="1276" w:hanging="425"/>
        <w:rPr>
          <w:rFonts w:ascii="Calibri" w:eastAsia="Calibri" w:hAnsi="Calibri"/>
          <w:lang w:val="en-US"/>
        </w:rPr>
      </w:pPr>
      <w:r w:rsidRPr="004D5E22">
        <w:rPr>
          <w:rFonts w:ascii="Calibri" w:eastAsia="Calibri" w:hAnsi="Calibri"/>
          <w:lang w:val="en-US"/>
        </w:rPr>
        <w:t>Chromogranin A (</w:t>
      </w:r>
      <w:proofErr w:type="spellStart"/>
      <w:r w:rsidRPr="004D5E22">
        <w:rPr>
          <w:rFonts w:ascii="Calibri" w:eastAsia="Calibri" w:hAnsi="Calibri"/>
          <w:lang w:val="en-US"/>
        </w:rPr>
        <w:t>CgA</w:t>
      </w:r>
      <w:proofErr w:type="spellEnd"/>
      <w:r w:rsidRPr="004D5E22">
        <w:rPr>
          <w:rFonts w:ascii="Calibri" w:eastAsia="Calibri" w:hAnsi="Calibri"/>
          <w:lang w:val="en-US"/>
        </w:rPr>
        <w:t xml:space="preserve">) or neuron specific enolase (NSE) in the initial diagnostic work-up or follow up of a neuroendocrine </w:t>
      </w:r>
      <w:proofErr w:type="spellStart"/>
      <w:r w:rsidRPr="004D5E22">
        <w:rPr>
          <w:rFonts w:ascii="Calibri" w:eastAsia="Calibri" w:hAnsi="Calibri"/>
          <w:lang w:val="en-US"/>
        </w:rPr>
        <w:t>tumour</w:t>
      </w:r>
      <w:proofErr w:type="spellEnd"/>
      <w:r>
        <w:rPr>
          <w:rFonts w:ascii="Calibri" w:eastAsia="Calibri" w:hAnsi="Calibri"/>
          <w:lang w:val="en-US"/>
        </w:rPr>
        <w:t>.</w:t>
      </w:r>
    </w:p>
    <w:p w14:paraId="39CF6C43" w14:textId="77777777" w:rsidR="00543D47" w:rsidRPr="004452FD" w:rsidRDefault="00543D47" w:rsidP="00543D47">
      <w:pPr>
        <w:rPr>
          <w:rFonts w:eastAsia="Calibri"/>
          <w:b/>
          <w:lang w:val="en-US"/>
        </w:rPr>
      </w:pPr>
      <w:r w:rsidRPr="004452FD">
        <w:rPr>
          <w:rFonts w:ascii="Calibri" w:eastAsia="Calibri" w:hAnsi="Calibri" w:cs="Arial"/>
          <w:b/>
          <w:szCs w:val="22"/>
          <w:lang w:val="en-US"/>
        </w:rPr>
        <w:t>Descriptor</w:t>
      </w:r>
      <w:r w:rsidRPr="004452FD">
        <w:rPr>
          <w:rFonts w:eastAsia="Calibri"/>
          <w:b/>
          <w:lang w:val="en-US"/>
        </w:rPr>
        <w:t xml:space="preserve"> for Item 66650</w:t>
      </w:r>
    </w:p>
    <w:p w14:paraId="65791E14" w14:textId="77777777" w:rsidR="00543D47" w:rsidRPr="004D5E22" w:rsidRDefault="00543D47" w:rsidP="00543D47">
      <w:pPr>
        <w:pStyle w:val="NormalBulleted"/>
        <w:rPr>
          <w:rFonts w:eastAsia="Calibri"/>
          <w:lang w:val="en-US"/>
        </w:rPr>
      </w:pPr>
      <w:r w:rsidRPr="004D5E22">
        <w:rPr>
          <w:rFonts w:eastAsia="Calibri"/>
          <w:lang w:val="en-US"/>
        </w:rPr>
        <w:t xml:space="preserve">CEA, CA 15-3, CA 19-9, CA 125, </w:t>
      </w:r>
      <w:r>
        <w:rPr>
          <w:rFonts w:eastAsia="Calibri"/>
          <w:lang w:val="en-US"/>
        </w:rPr>
        <w:t>a</w:t>
      </w:r>
      <w:r w:rsidRPr="004D5E22">
        <w:rPr>
          <w:rFonts w:eastAsia="Calibri"/>
          <w:lang w:val="en-US"/>
        </w:rPr>
        <w:t xml:space="preserve">lpha-fetoprotein, HE-4, </w:t>
      </w:r>
      <w:r>
        <w:rPr>
          <w:rFonts w:eastAsia="Calibri"/>
          <w:lang w:val="en-US"/>
        </w:rPr>
        <w:t>c</w:t>
      </w:r>
      <w:r w:rsidRPr="004D5E22">
        <w:rPr>
          <w:rFonts w:eastAsia="Calibri"/>
          <w:lang w:val="en-US"/>
        </w:rPr>
        <w:t>hromogranin A in the initial diagnostic work-up of a patient at high risk of cancer or in the follow</w:t>
      </w:r>
      <w:r>
        <w:rPr>
          <w:rFonts w:eastAsia="Calibri"/>
          <w:lang w:val="en-US"/>
        </w:rPr>
        <w:t xml:space="preserve"> </w:t>
      </w:r>
      <w:r w:rsidRPr="004D5E22">
        <w:rPr>
          <w:rFonts w:eastAsia="Calibri"/>
          <w:lang w:val="en-US"/>
        </w:rPr>
        <w:t>up of a patient with cancer.</w:t>
      </w:r>
    </w:p>
    <w:p w14:paraId="7283DA00" w14:textId="77777777" w:rsidR="00543D47" w:rsidRPr="004452FD" w:rsidRDefault="00543D47" w:rsidP="00543D47">
      <w:pPr>
        <w:rPr>
          <w:rFonts w:eastAsia="Calibri"/>
          <w:b/>
          <w:lang w:val="en-US"/>
        </w:rPr>
      </w:pPr>
      <w:r w:rsidRPr="004452FD">
        <w:rPr>
          <w:rFonts w:eastAsia="Calibri"/>
          <w:b/>
          <w:lang w:val="en-US"/>
        </w:rPr>
        <w:t>Descriptor for Item 66653</w:t>
      </w:r>
    </w:p>
    <w:p w14:paraId="474F320D" w14:textId="77777777" w:rsidR="00543D47" w:rsidRPr="004D5E22" w:rsidRDefault="00543D47" w:rsidP="00543D47">
      <w:pPr>
        <w:pStyle w:val="NormalBulleted"/>
        <w:rPr>
          <w:rFonts w:eastAsia="Calibri"/>
          <w:lang w:val="en-US"/>
        </w:rPr>
      </w:pPr>
      <w:r w:rsidRPr="004D5E22">
        <w:rPr>
          <w:rFonts w:eastAsia="Calibri"/>
          <w:lang w:val="en-US"/>
        </w:rPr>
        <w:t>If the above amendments were adopted for item 66650, then it would not be necessary to make any change to the current version of item 66653 – the descriptor could remain as: “2 or more tests described in item 66650.”</w:t>
      </w:r>
    </w:p>
    <w:p w14:paraId="444006E5" w14:textId="77777777" w:rsidR="00543D47" w:rsidRPr="004452FD" w:rsidRDefault="00543D47" w:rsidP="00543D47">
      <w:pPr>
        <w:rPr>
          <w:rFonts w:eastAsia="Calibri"/>
          <w:b/>
          <w:lang w:val="en-US"/>
        </w:rPr>
      </w:pPr>
      <w:r w:rsidRPr="004452FD">
        <w:rPr>
          <w:rFonts w:eastAsia="Calibri"/>
          <w:b/>
          <w:lang w:val="en-US"/>
        </w:rPr>
        <w:t>Final note</w:t>
      </w:r>
    </w:p>
    <w:p w14:paraId="675567CA" w14:textId="77777777" w:rsidR="00543D47" w:rsidRPr="004D5E22" w:rsidRDefault="00543D47" w:rsidP="00543D47">
      <w:pPr>
        <w:pStyle w:val="NormalBulleted"/>
        <w:rPr>
          <w:rFonts w:eastAsia="Calibri"/>
          <w:lang w:val="en-US"/>
        </w:rPr>
      </w:pPr>
      <w:r w:rsidRPr="004D5E22">
        <w:rPr>
          <w:rFonts w:eastAsia="Calibri"/>
          <w:lang w:val="en-US"/>
        </w:rPr>
        <w:t xml:space="preserve">The RCPA Position Statement “Serum </w:t>
      </w:r>
      <w:proofErr w:type="spellStart"/>
      <w:r w:rsidRPr="004D5E22">
        <w:rPr>
          <w:rFonts w:eastAsia="Calibri"/>
          <w:lang w:val="en-US"/>
        </w:rPr>
        <w:t>Tumour</w:t>
      </w:r>
      <w:proofErr w:type="spellEnd"/>
      <w:r w:rsidRPr="004D5E22">
        <w:rPr>
          <w:rFonts w:eastAsia="Calibri"/>
          <w:lang w:val="en-US"/>
        </w:rPr>
        <w:t xml:space="preserve"> Marker Requesting, Testing and Reporting Results” is not included among the references and is a significant opinion that draws on the literature search that was done by Health. It supports many of the points </w:t>
      </w:r>
      <w:r>
        <w:rPr>
          <w:rFonts w:eastAsia="Calibri"/>
          <w:lang w:val="en-US"/>
        </w:rPr>
        <w:t>made</w:t>
      </w:r>
      <w:r w:rsidRPr="004D5E22">
        <w:rPr>
          <w:rFonts w:eastAsia="Calibri"/>
          <w:lang w:val="en-US"/>
        </w:rPr>
        <w:t xml:space="preserve"> above. </w:t>
      </w:r>
    </w:p>
    <w:p w14:paraId="527BA01A" w14:textId="77777777" w:rsidR="00543D47" w:rsidRPr="004D5E22" w:rsidRDefault="00543D47" w:rsidP="00543D47">
      <w:pPr>
        <w:rPr>
          <w:rFonts w:eastAsia="Calibri"/>
          <w:lang w:val="en-US"/>
        </w:rPr>
      </w:pPr>
    </w:p>
    <w:p w14:paraId="6BB9D89D" w14:textId="77777777" w:rsidR="00543D47" w:rsidRPr="00C06C9B" w:rsidRDefault="00543D47" w:rsidP="00543D47">
      <w:pPr>
        <w:pStyle w:val="Caption"/>
      </w:pPr>
      <w:bookmarkStart w:id="169" w:name="_Toc490646854"/>
      <w:bookmarkStart w:id="170" w:name="_Toc534374968"/>
      <w:r w:rsidRPr="00C06C9B">
        <w:t xml:space="preserve">Figure </w:t>
      </w:r>
      <w:r>
        <w:rPr>
          <w:noProof/>
        </w:rPr>
        <w:fldChar w:fldCharType="begin"/>
      </w:r>
      <w:r>
        <w:rPr>
          <w:noProof/>
        </w:rPr>
        <w:instrText xml:space="preserve"> SEQ Figure \* ARABIC </w:instrText>
      </w:r>
      <w:r>
        <w:rPr>
          <w:noProof/>
        </w:rPr>
        <w:fldChar w:fldCharType="separate"/>
      </w:r>
      <w:r w:rsidRPr="00C06C9B">
        <w:rPr>
          <w:noProof/>
        </w:rPr>
        <w:t>1</w:t>
      </w:r>
      <w:r>
        <w:rPr>
          <w:noProof/>
        </w:rPr>
        <w:fldChar w:fldCharType="end"/>
      </w:r>
      <w:r>
        <w:t>2</w:t>
      </w:r>
      <w:r w:rsidRPr="00C06C9B">
        <w:t>. State utilisation for items 66629, 66650 and 66653</w:t>
      </w:r>
      <w:bookmarkEnd w:id="169"/>
      <w:bookmarkEnd w:id="170"/>
    </w:p>
    <w:p w14:paraId="53B7F0B3" w14:textId="77777777" w:rsidR="00543D47" w:rsidRPr="00C06C9B" w:rsidRDefault="00543D47" w:rsidP="00543D47">
      <w:pPr>
        <w:rPr>
          <w:rFonts w:ascii="Calibri" w:hAnsi="Calibri"/>
        </w:rPr>
      </w:pPr>
      <w:r w:rsidRPr="00C06C9B">
        <w:rPr>
          <w:rFonts w:ascii="Calibri" w:hAnsi="Calibri"/>
          <w:noProof/>
        </w:rPr>
        <w:drawing>
          <wp:inline distT="0" distB="0" distL="0" distR="0" wp14:anchorId="671FDD9B" wp14:editId="4C85646A">
            <wp:extent cx="5490210" cy="3474720"/>
            <wp:effectExtent l="0" t="0" r="15240" b="11430"/>
            <wp:docPr id="19" name="Chart 19" descr="Figure 12 displays utilisation of items 66629, 66650 and 66653 in the 2014/15 financial year by state / territory" title="Items 66629, 66650 and 66653 us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299F1FF" w14:textId="77777777" w:rsidR="00543D47" w:rsidRPr="00C06C9B" w:rsidRDefault="00543D47" w:rsidP="00543D47">
      <w:pPr>
        <w:pStyle w:val="Caption"/>
      </w:pPr>
      <w:bookmarkStart w:id="171" w:name="_Toc490646855"/>
      <w:bookmarkStart w:id="172" w:name="_Toc490646894"/>
      <w:bookmarkStart w:id="173" w:name="_Toc534374969"/>
      <w:r w:rsidRPr="00C06C9B">
        <w:lastRenderedPageBreak/>
        <w:t xml:space="preserve">Table </w:t>
      </w:r>
      <w:r>
        <w:t>58</w:t>
      </w:r>
      <w:r w:rsidRPr="00C06C9B">
        <w:t>. Repeat testing for items 66650, 66651, 66652 and 66653</w:t>
      </w:r>
      <w:bookmarkEnd w:id="171"/>
      <w:bookmarkEnd w:id="172"/>
      <w:bookmarkEnd w:id="173"/>
    </w:p>
    <w:tbl>
      <w:tblPr>
        <w:tblStyle w:val="TableGrid2"/>
        <w:tblW w:w="10093"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Caption w:val="Table 58. Repeat testing for items 66650, 66651, 66652 and 66653"/>
        <w:tblDescription w:val="Table 58 has 14 columns. Column 1 lists the item number, colums 2 to 14 lists the number of times the test has been repeated."/>
      </w:tblPr>
      <w:tblGrid>
        <w:gridCol w:w="773"/>
        <w:gridCol w:w="898"/>
        <w:gridCol w:w="807"/>
        <w:gridCol w:w="828"/>
        <w:gridCol w:w="678"/>
        <w:gridCol w:w="679"/>
        <w:gridCol w:w="679"/>
        <w:gridCol w:w="678"/>
        <w:gridCol w:w="679"/>
        <w:gridCol w:w="679"/>
        <w:gridCol w:w="678"/>
        <w:gridCol w:w="679"/>
        <w:gridCol w:w="679"/>
        <w:gridCol w:w="679"/>
      </w:tblGrid>
      <w:tr w:rsidR="00543D47" w:rsidRPr="00C06C9B" w14:paraId="17CF7A6C" w14:textId="77777777" w:rsidTr="00D9610A">
        <w:trPr>
          <w:trHeight w:val="300"/>
          <w:tblHeader/>
        </w:trPr>
        <w:tc>
          <w:tcPr>
            <w:tcW w:w="773" w:type="dxa"/>
            <w:noWrap/>
            <w:hideMark/>
          </w:tcPr>
          <w:p w14:paraId="76E59DD9" w14:textId="77777777" w:rsidR="00543D47" w:rsidRPr="00347B62" w:rsidRDefault="00543D47" w:rsidP="00D9610A">
            <w:pPr>
              <w:rPr>
                <w:rFonts w:ascii="Calibri" w:hAnsi="Calibri" w:cs="Arial"/>
                <w:b/>
                <w:bCs/>
                <w:color w:val="000000"/>
                <w:sz w:val="18"/>
                <w:szCs w:val="18"/>
              </w:rPr>
            </w:pPr>
            <w:r w:rsidRPr="00347B62">
              <w:rPr>
                <w:rFonts w:ascii="Calibri" w:hAnsi="Calibri" w:cs="Arial"/>
                <w:b/>
                <w:bCs/>
                <w:color w:val="000000"/>
                <w:sz w:val="18"/>
                <w:szCs w:val="18"/>
              </w:rPr>
              <w:t>Item</w:t>
            </w:r>
          </w:p>
        </w:tc>
        <w:tc>
          <w:tcPr>
            <w:tcW w:w="898" w:type="dxa"/>
            <w:noWrap/>
            <w:hideMark/>
          </w:tcPr>
          <w:p w14:paraId="61E58258"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1</w:t>
            </w:r>
          </w:p>
        </w:tc>
        <w:tc>
          <w:tcPr>
            <w:tcW w:w="807" w:type="dxa"/>
            <w:noWrap/>
            <w:hideMark/>
          </w:tcPr>
          <w:p w14:paraId="3CC65531"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2</w:t>
            </w:r>
          </w:p>
        </w:tc>
        <w:tc>
          <w:tcPr>
            <w:tcW w:w="828" w:type="dxa"/>
            <w:noWrap/>
            <w:hideMark/>
          </w:tcPr>
          <w:p w14:paraId="1FBF0FDF"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3</w:t>
            </w:r>
          </w:p>
        </w:tc>
        <w:tc>
          <w:tcPr>
            <w:tcW w:w="678" w:type="dxa"/>
            <w:noWrap/>
            <w:hideMark/>
          </w:tcPr>
          <w:p w14:paraId="7FD09408"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4</w:t>
            </w:r>
          </w:p>
        </w:tc>
        <w:tc>
          <w:tcPr>
            <w:tcW w:w="679" w:type="dxa"/>
            <w:noWrap/>
            <w:hideMark/>
          </w:tcPr>
          <w:p w14:paraId="7FCBF5AE"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5</w:t>
            </w:r>
          </w:p>
        </w:tc>
        <w:tc>
          <w:tcPr>
            <w:tcW w:w="679" w:type="dxa"/>
            <w:noWrap/>
            <w:hideMark/>
          </w:tcPr>
          <w:p w14:paraId="4E9D214D"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6</w:t>
            </w:r>
          </w:p>
        </w:tc>
        <w:tc>
          <w:tcPr>
            <w:tcW w:w="678" w:type="dxa"/>
            <w:noWrap/>
            <w:hideMark/>
          </w:tcPr>
          <w:p w14:paraId="7D136202"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7</w:t>
            </w:r>
          </w:p>
        </w:tc>
        <w:tc>
          <w:tcPr>
            <w:tcW w:w="679" w:type="dxa"/>
            <w:noWrap/>
            <w:hideMark/>
          </w:tcPr>
          <w:p w14:paraId="6BA3DB2A"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8</w:t>
            </w:r>
          </w:p>
        </w:tc>
        <w:tc>
          <w:tcPr>
            <w:tcW w:w="679" w:type="dxa"/>
            <w:noWrap/>
            <w:hideMark/>
          </w:tcPr>
          <w:p w14:paraId="081BBE97"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9</w:t>
            </w:r>
          </w:p>
        </w:tc>
        <w:tc>
          <w:tcPr>
            <w:tcW w:w="678" w:type="dxa"/>
            <w:noWrap/>
            <w:hideMark/>
          </w:tcPr>
          <w:p w14:paraId="2B6B62BA"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10</w:t>
            </w:r>
          </w:p>
        </w:tc>
        <w:tc>
          <w:tcPr>
            <w:tcW w:w="679" w:type="dxa"/>
            <w:noWrap/>
            <w:hideMark/>
          </w:tcPr>
          <w:p w14:paraId="51B73211"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11</w:t>
            </w:r>
          </w:p>
        </w:tc>
        <w:tc>
          <w:tcPr>
            <w:tcW w:w="679" w:type="dxa"/>
            <w:noWrap/>
            <w:hideMark/>
          </w:tcPr>
          <w:p w14:paraId="7C088E5D"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12</w:t>
            </w:r>
          </w:p>
        </w:tc>
        <w:tc>
          <w:tcPr>
            <w:tcW w:w="679" w:type="dxa"/>
            <w:noWrap/>
            <w:hideMark/>
          </w:tcPr>
          <w:p w14:paraId="6F4A7DF8" w14:textId="77777777" w:rsidR="00543D47" w:rsidRPr="00347B62" w:rsidRDefault="00543D47" w:rsidP="00D9610A">
            <w:pPr>
              <w:jc w:val="center"/>
              <w:rPr>
                <w:rFonts w:ascii="Calibri" w:hAnsi="Calibri" w:cs="Arial"/>
                <w:b/>
                <w:color w:val="000000"/>
                <w:sz w:val="18"/>
                <w:szCs w:val="18"/>
              </w:rPr>
            </w:pPr>
            <w:r w:rsidRPr="00347B62">
              <w:rPr>
                <w:rFonts w:ascii="Calibri" w:hAnsi="Calibri" w:cs="Arial"/>
                <w:b/>
                <w:color w:val="000000"/>
                <w:sz w:val="18"/>
                <w:szCs w:val="18"/>
              </w:rPr>
              <w:t>Max</w:t>
            </w:r>
          </w:p>
        </w:tc>
      </w:tr>
      <w:tr w:rsidR="00543D47" w:rsidRPr="00C06C9B" w14:paraId="768FD115" w14:textId="77777777" w:rsidTr="00D9610A">
        <w:trPr>
          <w:trHeight w:val="300"/>
        </w:trPr>
        <w:tc>
          <w:tcPr>
            <w:tcW w:w="773" w:type="dxa"/>
            <w:noWrap/>
            <w:hideMark/>
          </w:tcPr>
          <w:p w14:paraId="0D98474C" w14:textId="77777777" w:rsidR="00543D47" w:rsidRPr="00C06C9B" w:rsidRDefault="00543D47" w:rsidP="00D9610A">
            <w:pPr>
              <w:rPr>
                <w:rFonts w:ascii="Calibri" w:hAnsi="Calibri" w:cs="Arial"/>
                <w:bCs/>
                <w:color w:val="000000"/>
                <w:sz w:val="18"/>
                <w:szCs w:val="18"/>
              </w:rPr>
            </w:pPr>
            <w:r w:rsidRPr="00C06C9B">
              <w:rPr>
                <w:rFonts w:ascii="Calibri" w:hAnsi="Calibri" w:cs="Arial"/>
                <w:bCs/>
                <w:color w:val="000000"/>
                <w:sz w:val="18"/>
                <w:szCs w:val="18"/>
              </w:rPr>
              <w:t>66650</w:t>
            </w:r>
          </w:p>
        </w:tc>
        <w:tc>
          <w:tcPr>
            <w:tcW w:w="898" w:type="dxa"/>
            <w:noWrap/>
            <w:hideMark/>
          </w:tcPr>
          <w:p w14:paraId="25F3DBB8"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236,997</w:t>
            </w:r>
          </w:p>
        </w:tc>
        <w:tc>
          <w:tcPr>
            <w:tcW w:w="807" w:type="dxa"/>
            <w:noWrap/>
            <w:hideMark/>
          </w:tcPr>
          <w:p w14:paraId="1740E2A9"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46,994</w:t>
            </w:r>
          </w:p>
        </w:tc>
        <w:tc>
          <w:tcPr>
            <w:tcW w:w="828" w:type="dxa"/>
            <w:noWrap/>
            <w:hideMark/>
          </w:tcPr>
          <w:p w14:paraId="2F442571"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15,016</w:t>
            </w:r>
          </w:p>
        </w:tc>
        <w:tc>
          <w:tcPr>
            <w:tcW w:w="678" w:type="dxa"/>
            <w:noWrap/>
            <w:hideMark/>
          </w:tcPr>
          <w:p w14:paraId="645D34CB"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6,959</w:t>
            </w:r>
          </w:p>
        </w:tc>
        <w:tc>
          <w:tcPr>
            <w:tcW w:w="679" w:type="dxa"/>
            <w:noWrap/>
            <w:hideMark/>
          </w:tcPr>
          <w:p w14:paraId="66BF3A4B"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3,235</w:t>
            </w:r>
          </w:p>
        </w:tc>
        <w:tc>
          <w:tcPr>
            <w:tcW w:w="679" w:type="dxa"/>
            <w:noWrap/>
            <w:hideMark/>
          </w:tcPr>
          <w:p w14:paraId="512C3453"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2,002</w:t>
            </w:r>
          </w:p>
        </w:tc>
        <w:tc>
          <w:tcPr>
            <w:tcW w:w="678" w:type="dxa"/>
            <w:noWrap/>
            <w:hideMark/>
          </w:tcPr>
          <w:p w14:paraId="27E02F44"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1,470</w:t>
            </w:r>
          </w:p>
        </w:tc>
        <w:tc>
          <w:tcPr>
            <w:tcW w:w="679" w:type="dxa"/>
            <w:noWrap/>
            <w:hideMark/>
          </w:tcPr>
          <w:p w14:paraId="5E8218BF"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1,159</w:t>
            </w:r>
          </w:p>
        </w:tc>
        <w:tc>
          <w:tcPr>
            <w:tcW w:w="679" w:type="dxa"/>
            <w:noWrap/>
            <w:hideMark/>
          </w:tcPr>
          <w:p w14:paraId="3FFC3772"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850</w:t>
            </w:r>
          </w:p>
        </w:tc>
        <w:tc>
          <w:tcPr>
            <w:tcW w:w="678" w:type="dxa"/>
            <w:noWrap/>
            <w:hideMark/>
          </w:tcPr>
          <w:p w14:paraId="49E7E502"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701</w:t>
            </w:r>
          </w:p>
        </w:tc>
        <w:tc>
          <w:tcPr>
            <w:tcW w:w="679" w:type="dxa"/>
            <w:noWrap/>
            <w:hideMark/>
          </w:tcPr>
          <w:p w14:paraId="60495A56"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543</w:t>
            </w:r>
          </w:p>
        </w:tc>
        <w:tc>
          <w:tcPr>
            <w:tcW w:w="679" w:type="dxa"/>
            <w:noWrap/>
            <w:hideMark/>
          </w:tcPr>
          <w:p w14:paraId="791B828F"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532</w:t>
            </w:r>
          </w:p>
        </w:tc>
        <w:tc>
          <w:tcPr>
            <w:tcW w:w="679" w:type="dxa"/>
            <w:noWrap/>
            <w:hideMark/>
          </w:tcPr>
          <w:p w14:paraId="2F6CA8AD"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46</w:t>
            </w:r>
          </w:p>
        </w:tc>
      </w:tr>
      <w:tr w:rsidR="00543D47" w:rsidRPr="00C06C9B" w14:paraId="211849EE" w14:textId="77777777" w:rsidTr="00D9610A">
        <w:trPr>
          <w:trHeight w:val="300"/>
        </w:trPr>
        <w:tc>
          <w:tcPr>
            <w:tcW w:w="773" w:type="dxa"/>
            <w:noWrap/>
            <w:hideMark/>
          </w:tcPr>
          <w:p w14:paraId="0655037A" w14:textId="77777777" w:rsidR="00543D47" w:rsidRPr="00C06C9B" w:rsidRDefault="00543D47" w:rsidP="00D9610A">
            <w:pPr>
              <w:rPr>
                <w:rFonts w:ascii="Calibri" w:hAnsi="Calibri" w:cs="Arial"/>
                <w:bCs/>
                <w:color w:val="000000"/>
                <w:sz w:val="18"/>
                <w:szCs w:val="18"/>
              </w:rPr>
            </w:pPr>
            <w:r w:rsidRPr="00C06C9B">
              <w:rPr>
                <w:rFonts w:ascii="Calibri" w:hAnsi="Calibri" w:cs="Arial"/>
                <w:bCs/>
                <w:color w:val="000000"/>
                <w:sz w:val="18"/>
                <w:szCs w:val="18"/>
              </w:rPr>
              <w:t>66651</w:t>
            </w:r>
          </w:p>
        </w:tc>
        <w:tc>
          <w:tcPr>
            <w:tcW w:w="898" w:type="dxa"/>
            <w:noWrap/>
            <w:hideMark/>
          </w:tcPr>
          <w:p w14:paraId="067301B7"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5,841</w:t>
            </w:r>
          </w:p>
        </w:tc>
        <w:tc>
          <w:tcPr>
            <w:tcW w:w="807" w:type="dxa"/>
            <w:noWrap/>
            <w:hideMark/>
          </w:tcPr>
          <w:p w14:paraId="05158B45"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783</w:t>
            </w:r>
          </w:p>
        </w:tc>
        <w:tc>
          <w:tcPr>
            <w:tcW w:w="828" w:type="dxa"/>
            <w:noWrap/>
            <w:hideMark/>
          </w:tcPr>
          <w:p w14:paraId="268C9BFA"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172</w:t>
            </w:r>
          </w:p>
        </w:tc>
        <w:tc>
          <w:tcPr>
            <w:tcW w:w="678" w:type="dxa"/>
            <w:noWrap/>
            <w:hideMark/>
          </w:tcPr>
          <w:p w14:paraId="7B488B5A"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51</w:t>
            </w:r>
          </w:p>
        </w:tc>
        <w:tc>
          <w:tcPr>
            <w:tcW w:w="679" w:type="dxa"/>
            <w:noWrap/>
            <w:hideMark/>
          </w:tcPr>
          <w:p w14:paraId="2916EB1E"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21</w:t>
            </w:r>
          </w:p>
        </w:tc>
        <w:tc>
          <w:tcPr>
            <w:tcW w:w="679" w:type="dxa"/>
            <w:noWrap/>
            <w:hideMark/>
          </w:tcPr>
          <w:p w14:paraId="6F469545"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10</w:t>
            </w:r>
          </w:p>
        </w:tc>
        <w:tc>
          <w:tcPr>
            <w:tcW w:w="678" w:type="dxa"/>
            <w:noWrap/>
            <w:hideMark/>
          </w:tcPr>
          <w:p w14:paraId="01D95AD3"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6</w:t>
            </w:r>
          </w:p>
        </w:tc>
        <w:tc>
          <w:tcPr>
            <w:tcW w:w="679" w:type="dxa"/>
            <w:noWrap/>
            <w:hideMark/>
          </w:tcPr>
          <w:p w14:paraId="0A7E13B7"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9" w:type="dxa"/>
            <w:noWrap/>
            <w:hideMark/>
          </w:tcPr>
          <w:p w14:paraId="21C71CC4"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8" w:type="dxa"/>
            <w:noWrap/>
            <w:hideMark/>
          </w:tcPr>
          <w:p w14:paraId="6EA74808"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9" w:type="dxa"/>
            <w:noWrap/>
            <w:hideMark/>
          </w:tcPr>
          <w:p w14:paraId="22835EBF"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9" w:type="dxa"/>
            <w:noWrap/>
            <w:hideMark/>
          </w:tcPr>
          <w:p w14:paraId="24D67C9C"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9" w:type="dxa"/>
            <w:noWrap/>
            <w:hideMark/>
          </w:tcPr>
          <w:p w14:paraId="5377417D"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11</w:t>
            </w:r>
          </w:p>
        </w:tc>
      </w:tr>
      <w:tr w:rsidR="00543D47" w:rsidRPr="00C06C9B" w14:paraId="4B84497B" w14:textId="77777777" w:rsidTr="00D9610A">
        <w:trPr>
          <w:trHeight w:val="300"/>
        </w:trPr>
        <w:tc>
          <w:tcPr>
            <w:tcW w:w="773" w:type="dxa"/>
            <w:noWrap/>
            <w:hideMark/>
          </w:tcPr>
          <w:p w14:paraId="3BD8EA0E" w14:textId="77777777" w:rsidR="00543D47" w:rsidRPr="00C06C9B" w:rsidRDefault="00543D47" w:rsidP="00D9610A">
            <w:pPr>
              <w:rPr>
                <w:rFonts w:ascii="Calibri" w:hAnsi="Calibri" w:cs="Arial"/>
                <w:bCs/>
                <w:color w:val="000000"/>
                <w:sz w:val="18"/>
                <w:szCs w:val="18"/>
              </w:rPr>
            </w:pPr>
            <w:r w:rsidRPr="00C06C9B">
              <w:rPr>
                <w:rFonts w:ascii="Calibri" w:hAnsi="Calibri" w:cs="Arial"/>
                <w:bCs/>
                <w:color w:val="000000"/>
                <w:sz w:val="18"/>
                <w:szCs w:val="18"/>
              </w:rPr>
              <w:t>66652</w:t>
            </w:r>
          </w:p>
        </w:tc>
        <w:tc>
          <w:tcPr>
            <w:tcW w:w="898" w:type="dxa"/>
            <w:noWrap/>
            <w:hideMark/>
          </w:tcPr>
          <w:p w14:paraId="0B97F694"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2,988</w:t>
            </w:r>
          </w:p>
        </w:tc>
        <w:tc>
          <w:tcPr>
            <w:tcW w:w="807" w:type="dxa"/>
            <w:noWrap/>
            <w:hideMark/>
          </w:tcPr>
          <w:p w14:paraId="5FDB36EC"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292</w:t>
            </w:r>
          </w:p>
        </w:tc>
        <w:tc>
          <w:tcPr>
            <w:tcW w:w="828" w:type="dxa"/>
            <w:noWrap/>
            <w:hideMark/>
          </w:tcPr>
          <w:p w14:paraId="77D6ED8C"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85</w:t>
            </w:r>
          </w:p>
        </w:tc>
        <w:tc>
          <w:tcPr>
            <w:tcW w:w="678" w:type="dxa"/>
            <w:noWrap/>
            <w:hideMark/>
          </w:tcPr>
          <w:p w14:paraId="0B6410B2"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31</w:t>
            </w:r>
          </w:p>
        </w:tc>
        <w:tc>
          <w:tcPr>
            <w:tcW w:w="679" w:type="dxa"/>
            <w:noWrap/>
            <w:hideMark/>
          </w:tcPr>
          <w:p w14:paraId="18E12175"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10</w:t>
            </w:r>
          </w:p>
        </w:tc>
        <w:tc>
          <w:tcPr>
            <w:tcW w:w="679" w:type="dxa"/>
            <w:noWrap/>
            <w:hideMark/>
          </w:tcPr>
          <w:p w14:paraId="0FCD401A"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8" w:type="dxa"/>
            <w:noWrap/>
            <w:hideMark/>
          </w:tcPr>
          <w:p w14:paraId="5020DA92"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7</w:t>
            </w:r>
          </w:p>
        </w:tc>
        <w:tc>
          <w:tcPr>
            <w:tcW w:w="679" w:type="dxa"/>
            <w:noWrap/>
            <w:hideMark/>
          </w:tcPr>
          <w:p w14:paraId="176DE490"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9" w:type="dxa"/>
            <w:noWrap/>
            <w:hideMark/>
          </w:tcPr>
          <w:p w14:paraId="6DE633C3"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8" w:type="dxa"/>
            <w:noWrap/>
            <w:hideMark/>
          </w:tcPr>
          <w:p w14:paraId="335CBCAC"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9" w:type="dxa"/>
            <w:noWrap/>
            <w:hideMark/>
          </w:tcPr>
          <w:p w14:paraId="07BEDDA4"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9" w:type="dxa"/>
            <w:noWrap/>
            <w:hideMark/>
          </w:tcPr>
          <w:p w14:paraId="4049972C"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0</w:t>
            </w:r>
          </w:p>
        </w:tc>
        <w:tc>
          <w:tcPr>
            <w:tcW w:w="679" w:type="dxa"/>
            <w:noWrap/>
            <w:hideMark/>
          </w:tcPr>
          <w:p w14:paraId="62394E78"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12</w:t>
            </w:r>
          </w:p>
        </w:tc>
      </w:tr>
      <w:tr w:rsidR="00543D47" w:rsidRPr="00C06C9B" w14:paraId="79A136F9" w14:textId="77777777" w:rsidTr="00D9610A">
        <w:trPr>
          <w:trHeight w:val="300"/>
        </w:trPr>
        <w:tc>
          <w:tcPr>
            <w:tcW w:w="773" w:type="dxa"/>
            <w:noWrap/>
            <w:hideMark/>
          </w:tcPr>
          <w:p w14:paraId="2D03BF23" w14:textId="77777777" w:rsidR="00543D47" w:rsidRPr="00C06C9B" w:rsidRDefault="00543D47" w:rsidP="00D9610A">
            <w:pPr>
              <w:rPr>
                <w:rFonts w:ascii="Calibri" w:hAnsi="Calibri" w:cs="Arial"/>
                <w:bCs/>
                <w:color w:val="000000"/>
                <w:sz w:val="18"/>
                <w:szCs w:val="18"/>
              </w:rPr>
            </w:pPr>
            <w:r w:rsidRPr="00C06C9B">
              <w:rPr>
                <w:rFonts w:ascii="Calibri" w:hAnsi="Calibri" w:cs="Arial"/>
                <w:bCs/>
                <w:color w:val="000000"/>
                <w:sz w:val="18"/>
                <w:szCs w:val="18"/>
              </w:rPr>
              <w:t>66653</w:t>
            </w:r>
          </w:p>
        </w:tc>
        <w:tc>
          <w:tcPr>
            <w:tcW w:w="898" w:type="dxa"/>
            <w:noWrap/>
            <w:hideMark/>
          </w:tcPr>
          <w:p w14:paraId="03C87830"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168,851</w:t>
            </w:r>
          </w:p>
        </w:tc>
        <w:tc>
          <w:tcPr>
            <w:tcW w:w="807" w:type="dxa"/>
            <w:noWrap/>
            <w:hideMark/>
          </w:tcPr>
          <w:p w14:paraId="3CB76E14"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18,992</w:t>
            </w:r>
          </w:p>
        </w:tc>
        <w:tc>
          <w:tcPr>
            <w:tcW w:w="828" w:type="dxa"/>
            <w:noWrap/>
            <w:hideMark/>
          </w:tcPr>
          <w:p w14:paraId="6406C849"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4,713</w:t>
            </w:r>
          </w:p>
        </w:tc>
        <w:tc>
          <w:tcPr>
            <w:tcW w:w="678" w:type="dxa"/>
            <w:noWrap/>
            <w:hideMark/>
          </w:tcPr>
          <w:p w14:paraId="733E7C3F"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2,301</w:t>
            </w:r>
          </w:p>
        </w:tc>
        <w:tc>
          <w:tcPr>
            <w:tcW w:w="679" w:type="dxa"/>
            <w:noWrap/>
            <w:hideMark/>
          </w:tcPr>
          <w:p w14:paraId="3F317406"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1,089</w:t>
            </w:r>
          </w:p>
        </w:tc>
        <w:tc>
          <w:tcPr>
            <w:tcW w:w="679" w:type="dxa"/>
            <w:noWrap/>
            <w:hideMark/>
          </w:tcPr>
          <w:p w14:paraId="673CDCD3"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658</w:t>
            </w:r>
          </w:p>
        </w:tc>
        <w:tc>
          <w:tcPr>
            <w:tcW w:w="678" w:type="dxa"/>
            <w:noWrap/>
            <w:hideMark/>
          </w:tcPr>
          <w:p w14:paraId="24F071E8"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451</w:t>
            </w:r>
          </w:p>
        </w:tc>
        <w:tc>
          <w:tcPr>
            <w:tcW w:w="679" w:type="dxa"/>
            <w:noWrap/>
            <w:hideMark/>
          </w:tcPr>
          <w:p w14:paraId="374E904C"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335</w:t>
            </w:r>
          </w:p>
        </w:tc>
        <w:tc>
          <w:tcPr>
            <w:tcW w:w="679" w:type="dxa"/>
            <w:noWrap/>
            <w:hideMark/>
          </w:tcPr>
          <w:p w14:paraId="5C02843B"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272</w:t>
            </w:r>
          </w:p>
        </w:tc>
        <w:tc>
          <w:tcPr>
            <w:tcW w:w="678" w:type="dxa"/>
            <w:noWrap/>
            <w:hideMark/>
          </w:tcPr>
          <w:p w14:paraId="6797B65B"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234</w:t>
            </w:r>
          </w:p>
        </w:tc>
        <w:tc>
          <w:tcPr>
            <w:tcW w:w="679" w:type="dxa"/>
            <w:noWrap/>
            <w:hideMark/>
          </w:tcPr>
          <w:p w14:paraId="423BA29E"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148</w:t>
            </w:r>
          </w:p>
        </w:tc>
        <w:tc>
          <w:tcPr>
            <w:tcW w:w="679" w:type="dxa"/>
            <w:noWrap/>
            <w:hideMark/>
          </w:tcPr>
          <w:p w14:paraId="04DA4DE9"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147</w:t>
            </w:r>
          </w:p>
        </w:tc>
        <w:tc>
          <w:tcPr>
            <w:tcW w:w="679" w:type="dxa"/>
            <w:noWrap/>
            <w:hideMark/>
          </w:tcPr>
          <w:p w14:paraId="45EB9433" w14:textId="77777777" w:rsidR="00543D47" w:rsidRPr="00C06C9B" w:rsidRDefault="00543D47" w:rsidP="00D9610A">
            <w:pPr>
              <w:jc w:val="right"/>
              <w:rPr>
                <w:rFonts w:ascii="Calibri" w:hAnsi="Calibri" w:cs="Arial"/>
                <w:color w:val="000000"/>
                <w:sz w:val="18"/>
                <w:szCs w:val="18"/>
              </w:rPr>
            </w:pPr>
            <w:r w:rsidRPr="00C06C9B">
              <w:rPr>
                <w:rFonts w:ascii="Calibri" w:hAnsi="Calibri" w:cs="Arial"/>
                <w:color w:val="000000"/>
                <w:sz w:val="18"/>
                <w:szCs w:val="18"/>
              </w:rPr>
              <w:t>37</w:t>
            </w:r>
          </w:p>
        </w:tc>
      </w:tr>
    </w:tbl>
    <w:p w14:paraId="38C6F57B" w14:textId="77777777" w:rsidR="00543D47" w:rsidRPr="00C06C9B" w:rsidRDefault="00543D47" w:rsidP="00543D47">
      <w:pPr>
        <w:pStyle w:val="Caption"/>
      </w:pPr>
      <w:bookmarkStart w:id="174" w:name="_Toc490646856"/>
      <w:bookmarkStart w:id="175" w:name="_Toc490646895"/>
      <w:bookmarkStart w:id="176" w:name="_Toc534374970"/>
      <w:r w:rsidRPr="00C06C9B">
        <w:t xml:space="preserve">Table </w:t>
      </w:r>
      <w:r>
        <w:t>59</w:t>
      </w:r>
      <w:r w:rsidRPr="00C06C9B">
        <w:t>. Laboratory data from a large metropolitan laboratory</w:t>
      </w:r>
      <w:bookmarkEnd w:id="174"/>
      <w:bookmarkEnd w:id="175"/>
      <w:bookmarkEnd w:id="176"/>
    </w:p>
    <w:tbl>
      <w:tblPr>
        <w:tblStyle w:val="TableGrid2"/>
        <w:tblW w:w="0" w:type="auto"/>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ook w:val="04A0" w:firstRow="1" w:lastRow="0" w:firstColumn="1" w:lastColumn="0" w:noHBand="0" w:noVBand="1"/>
        <w:tblCaption w:val="Table 59. Laboratory data from a large metropolitan laboratory"/>
        <w:tblDescription w:val="Table 59 has 3 columns. column 1 lists the marker, column 2 lists the total/fixed period and column 3 lists the percentage"/>
      </w:tblPr>
      <w:tblGrid>
        <w:gridCol w:w="1975"/>
        <w:gridCol w:w="3118"/>
        <w:gridCol w:w="2835"/>
      </w:tblGrid>
      <w:tr w:rsidR="00543D47" w:rsidRPr="00C06C9B" w14:paraId="682854A7" w14:textId="77777777" w:rsidTr="00D9610A">
        <w:trPr>
          <w:tblHeader/>
        </w:trPr>
        <w:tc>
          <w:tcPr>
            <w:tcW w:w="1975" w:type="dxa"/>
            <w:hideMark/>
          </w:tcPr>
          <w:p w14:paraId="43C42F73" w14:textId="77777777" w:rsidR="00543D47" w:rsidRPr="004452FD" w:rsidRDefault="00543D47" w:rsidP="00D9610A">
            <w:pPr>
              <w:autoSpaceDE w:val="0"/>
              <w:autoSpaceDN w:val="0"/>
              <w:rPr>
                <w:rFonts w:ascii="Calibri" w:hAnsi="Calibri"/>
                <w:b/>
                <w:sz w:val="18"/>
                <w:szCs w:val="18"/>
              </w:rPr>
            </w:pPr>
            <w:r w:rsidRPr="004452FD">
              <w:rPr>
                <w:rFonts w:ascii="Calibri" w:hAnsi="Calibri"/>
                <w:b/>
                <w:sz w:val="18"/>
                <w:szCs w:val="18"/>
              </w:rPr>
              <w:t>Marker</w:t>
            </w:r>
          </w:p>
        </w:tc>
        <w:tc>
          <w:tcPr>
            <w:tcW w:w="3118" w:type="dxa"/>
            <w:hideMark/>
          </w:tcPr>
          <w:p w14:paraId="585D185B" w14:textId="77777777" w:rsidR="00543D47" w:rsidRPr="004452FD" w:rsidRDefault="00543D47" w:rsidP="00D9610A">
            <w:pPr>
              <w:autoSpaceDE w:val="0"/>
              <w:autoSpaceDN w:val="0"/>
              <w:jc w:val="center"/>
              <w:rPr>
                <w:rFonts w:ascii="Calibri" w:hAnsi="Calibri"/>
                <w:b/>
                <w:sz w:val="18"/>
                <w:szCs w:val="18"/>
              </w:rPr>
            </w:pPr>
            <w:r w:rsidRPr="004452FD">
              <w:rPr>
                <w:rFonts w:ascii="Calibri" w:hAnsi="Calibri"/>
                <w:b/>
                <w:sz w:val="18"/>
                <w:szCs w:val="18"/>
              </w:rPr>
              <w:t>Total/fixed period</w:t>
            </w:r>
          </w:p>
        </w:tc>
        <w:tc>
          <w:tcPr>
            <w:tcW w:w="2835" w:type="dxa"/>
            <w:hideMark/>
          </w:tcPr>
          <w:p w14:paraId="067C4323" w14:textId="77777777" w:rsidR="00543D47" w:rsidRPr="004452FD" w:rsidRDefault="00543D47" w:rsidP="00D9610A">
            <w:pPr>
              <w:autoSpaceDE w:val="0"/>
              <w:autoSpaceDN w:val="0"/>
              <w:jc w:val="center"/>
              <w:rPr>
                <w:rFonts w:ascii="Calibri" w:hAnsi="Calibri"/>
                <w:b/>
                <w:sz w:val="18"/>
                <w:szCs w:val="18"/>
              </w:rPr>
            </w:pPr>
            <w:r w:rsidRPr="004452FD">
              <w:rPr>
                <w:rFonts w:ascii="Calibri" w:hAnsi="Calibri"/>
                <w:b/>
                <w:sz w:val="18"/>
                <w:szCs w:val="18"/>
              </w:rPr>
              <w:t>Percentage</w:t>
            </w:r>
          </w:p>
        </w:tc>
      </w:tr>
      <w:tr w:rsidR="00543D47" w:rsidRPr="00C06C9B" w14:paraId="2B713DE7" w14:textId="77777777" w:rsidTr="00D9610A">
        <w:tc>
          <w:tcPr>
            <w:tcW w:w="1975" w:type="dxa"/>
            <w:hideMark/>
          </w:tcPr>
          <w:p w14:paraId="6E447AAF" w14:textId="77777777" w:rsidR="00543D47" w:rsidRPr="004452FD" w:rsidRDefault="00543D47" w:rsidP="00D9610A">
            <w:pPr>
              <w:autoSpaceDE w:val="0"/>
              <w:autoSpaceDN w:val="0"/>
              <w:rPr>
                <w:rFonts w:ascii="Calibri" w:hAnsi="Calibri"/>
                <w:sz w:val="18"/>
                <w:szCs w:val="18"/>
              </w:rPr>
            </w:pPr>
            <w:r w:rsidRPr="004452FD">
              <w:rPr>
                <w:rFonts w:ascii="Calibri" w:hAnsi="Calibri"/>
                <w:sz w:val="18"/>
                <w:szCs w:val="18"/>
              </w:rPr>
              <w:t>AFP</w:t>
            </w:r>
            <w:r>
              <w:rPr>
                <w:rFonts w:ascii="Calibri" w:hAnsi="Calibri"/>
                <w:sz w:val="18"/>
                <w:szCs w:val="18"/>
              </w:rPr>
              <w:t xml:space="preserve">      </w:t>
            </w:r>
          </w:p>
        </w:tc>
        <w:tc>
          <w:tcPr>
            <w:tcW w:w="3118" w:type="dxa"/>
            <w:hideMark/>
          </w:tcPr>
          <w:p w14:paraId="54237A9E"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1296</w:t>
            </w:r>
          </w:p>
        </w:tc>
        <w:tc>
          <w:tcPr>
            <w:tcW w:w="2835" w:type="dxa"/>
            <w:hideMark/>
          </w:tcPr>
          <w:p w14:paraId="7023E0BA"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20%</w:t>
            </w:r>
          </w:p>
        </w:tc>
      </w:tr>
      <w:tr w:rsidR="00543D47" w:rsidRPr="00C06C9B" w14:paraId="7515A186" w14:textId="77777777" w:rsidTr="00D9610A">
        <w:tc>
          <w:tcPr>
            <w:tcW w:w="1975" w:type="dxa"/>
            <w:hideMark/>
          </w:tcPr>
          <w:p w14:paraId="326083FC" w14:textId="77777777" w:rsidR="00543D47" w:rsidRPr="004452FD" w:rsidRDefault="00543D47" w:rsidP="00D9610A">
            <w:pPr>
              <w:autoSpaceDE w:val="0"/>
              <w:autoSpaceDN w:val="0"/>
              <w:rPr>
                <w:rFonts w:ascii="Calibri" w:hAnsi="Calibri"/>
                <w:sz w:val="18"/>
                <w:szCs w:val="18"/>
              </w:rPr>
            </w:pPr>
            <w:r w:rsidRPr="004452FD">
              <w:rPr>
                <w:rFonts w:ascii="Calibri" w:hAnsi="Calibri"/>
                <w:sz w:val="18"/>
                <w:szCs w:val="18"/>
              </w:rPr>
              <w:t>CA125</w:t>
            </w:r>
            <w:r>
              <w:rPr>
                <w:rFonts w:ascii="Calibri" w:hAnsi="Calibri"/>
                <w:sz w:val="18"/>
                <w:szCs w:val="18"/>
              </w:rPr>
              <w:t xml:space="preserve">     </w:t>
            </w:r>
          </w:p>
        </w:tc>
        <w:tc>
          <w:tcPr>
            <w:tcW w:w="3118" w:type="dxa"/>
            <w:hideMark/>
          </w:tcPr>
          <w:p w14:paraId="3BB435CF"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1530</w:t>
            </w:r>
          </w:p>
        </w:tc>
        <w:tc>
          <w:tcPr>
            <w:tcW w:w="2835" w:type="dxa"/>
            <w:hideMark/>
          </w:tcPr>
          <w:p w14:paraId="0B81292F"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24%</w:t>
            </w:r>
          </w:p>
        </w:tc>
      </w:tr>
      <w:tr w:rsidR="00543D47" w:rsidRPr="00C06C9B" w14:paraId="173C42BE" w14:textId="77777777" w:rsidTr="00D9610A">
        <w:tc>
          <w:tcPr>
            <w:tcW w:w="1975" w:type="dxa"/>
            <w:hideMark/>
          </w:tcPr>
          <w:p w14:paraId="59E28D63" w14:textId="77777777" w:rsidR="00543D47" w:rsidRPr="004452FD" w:rsidRDefault="00543D47" w:rsidP="00D9610A">
            <w:pPr>
              <w:autoSpaceDE w:val="0"/>
              <w:autoSpaceDN w:val="0"/>
              <w:rPr>
                <w:rFonts w:ascii="Calibri" w:hAnsi="Calibri"/>
                <w:sz w:val="18"/>
                <w:szCs w:val="18"/>
              </w:rPr>
            </w:pPr>
            <w:r w:rsidRPr="004452FD">
              <w:rPr>
                <w:rFonts w:ascii="Calibri" w:hAnsi="Calibri"/>
                <w:sz w:val="18"/>
                <w:szCs w:val="18"/>
              </w:rPr>
              <w:t>CA15.3</w:t>
            </w:r>
            <w:r>
              <w:rPr>
                <w:rFonts w:ascii="Calibri" w:hAnsi="Calibri"/>
                <w:sz w:val="18"/>
                <w:szCs w:val="18"/>
              </w:rPr>
              <w:t xml:space="preserve">    </w:t>
            </w:r>
            <w:r w:rsidRPr="004452FD">
              <w:rPr>
                <w:rFonts w:ascii="Calibri" w:hAnsi="Calibri"/>
                <w:sz w:val="18"/>
                <w:szCs w:val="18"/>
              </w:rPr>
              <w:t xml:space="preserve"> </w:t>
            </w:r>
          </w:p>
        </w:tc>
        <w:tc>
          <w:tcPr>
            <w:tcW w:w="3118" w:type="dxa"/>
            <w:hideMark/>
          </w:tcPr>
          <w:p w14:paraId="6356E49B"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488</w:t>
            </w:r>
          </w:p>
        </w:tc>
        <w:tc>
          <w:tcPr>
            <w:tcW w:w="2835" w:type="dxa"/>
            <w:hideMark/>
          </w:tcPr>
          <w:p w14:paraId="178CFFC1"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8%</w:t>
            </w:r>
          </w:p>
        </w:tc>
      </w:tr>
      <w:tr w:rsidR="00543D47" w:rsidRPr="00C06C9B" w14:paraId="2AF5FB96" w14:textId="77777777" w:rsidTr="00D9610A">
        <w:tc>
          <w:tcPr>
            <w:tcW w:w="1975" w:type="dxa"/>
            <w:hideMark/>
          </w:tcPr>
          <w:p w14:paraId="7DD92C44" w14:textId="77777777" w:rsidR="00543D47" w:rsidRPr="004452FD" w:rsidRDefault="00543D47" w:rsidP="00D9610A">
            <w:pPr>
              <w:autoSpaceDE w:val="0"/>
              <w:autoSpaceDN w:val="0"/>
              <w:rPr>
                <w:rFonts w:ascii="Calibri" w:hAnsi="Calibri"/>
                <w:sz w:val="18"/>
                <w:szCs w:val="18"/>
              </w:rPr>
            </w:pPr>
            <w:r w:rsidRPr="004452FD">
              <w:rPr>
                <w:rFonts w:ascii="Calibri" w:hAnsi="Calibri"/>
                <w:sz w:val="18"/>
                <w:szCs w:val="18"/>
              </w:rPr>
              <w:t>Ca19.9</w:t>
            </w:r>
            <w:r>
              <w:rPr>
                <w:rFonts w:ascii="Calibri" w:hAnsi="Calibri"/>
                <w:sz w:val="18"/>
                <w:szCs w:val="18"/>
              </w:rPr>
              <w:t xml:space="preserve">     </w:t>
            </w:r>
          </w:p>
        </w:tc>
        <w:tc>
          <w:tcPr>
            <w:tcW w:w="3118" w:type="dxa"/>
            <w:hideMark/>
          </w:tcPr>
          <w:p w14:paraId="0F842438"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857</w:t>
            </w:r>
          </w:p>
        </w:tc>
        <w:tc>
          <w:tcPr>
            <w:tcW w:w="2835" w:type="dxa"/>
            <w:hideMark/>
          </w:tcPr>
          <w:p w14:paraId="5B6E2107"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13%</w:t>
            </w:r>
          </w:p>
        </w:tc>
      </w:tr>
      <w:tr w:rsidR="00543D47" w:rsidRPr="00C06C9B" w14:paraId="4BBF1BE4" w14:textId="77777777" w:rsidTr="00D9610A">
        <w:tc>
          <w:tcPr>
            <w:tcW w:w="1975" w:type="dxa"/>
            <w:hideMark/>
          </w:tcPr>
          <w:p w14:paraId="39C16E80" w14:textId="77777777" w:rsidR="00543D47" w:rsidRPr="004452FD" w:rsidRDefault="00543D47" w:rsidP="00D9610A">
            <w:pPr>
              <w:autoSpaceDE w:val="0"/>
              <w:autoSpaceDN w:val="0"/>
              <w:rPr>
                <w:rFonts w:ascii="Calibri" w:hAnsi="Calibri"/>
                <w:sz w:val="18"/>
                <w:szCs w:val="18"/>
              </w:rPr>
            </w:pPr>
            <w:r w:rsidRPr="004452FD">
              <w:rPr>
                <w:rFonts w:ascii="Calibri" w:hAnsi="Calibri"/>
                <w:sz w:val="18"/>
                <w:szCs w:val="18"/>
              </w:rPr>
              <w:t>CEA</w:t>
            </w:r>
            <w:r>
              <w:rPr>
                <w:rFonts w:ascii="Calibri" w:hAnsi="Calibri"/>
                <w:sz w:val="18"/>
                <w:szCs w:val="18"/>
              </w:rPr>
              <w:t xml:space="preserve">      </w:t>
            </w:r>
          </w:p>
        </w:tc>
        <w:tc>
          <w:tcPr>
            <w:tcW w:w="3118" w:type="dxa"/>
            <w:hideMark/>
          </w:tcPr>
          <w:p w14:paraId="4CB90981"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2171</w:t>
            </w:r>
          </w:p>
        </w:tc>
        <w:tc>
          <w:tcPr>
            <w:tcW w:w="2835" w:type="dxa"/>
            <w:hideMark/>
          </w:tcPr>
          <w:p w14:paraId="71AE6E01"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34%</w:t>
            </w:r>
          </w:p>
        </w:tc>
      </w:tr>
      <w:tr w:rsidR="00543D47" w:rsidRPr="00C06C9B" w14:paraId="196FC5E8" w14:textId="77777777" w:rsidTr="00D9610A">
        <w:tc>
          <w:tcPr>
            <w:tcW w:w="1975" w:type="dxa"/>
            <w:hideMark/>
          </w:tcPr>
          <w:p w14:paraId="7D9DD9A8" w14:textId="77777777" w:rsidR="00543D47" w:rsidRPr="004452FD" w:rsidRDefault="00543D47" w:rsidP="00D9610A">
            <w:pPr>
              <w:autoSpaceDE w:val="0"/>
              <w:autoSpaceDN w:val="0"/>
              <w:rPr>
                <w:rFonts w:ascii="Calibri" w:hAnsi="Calibri"/>
                <w:sz w:val="18"/>
                <w:szCs w:val="18"/>
              </w:rPr>
            </w:pPr>
            <w:r w:rsidRPr="004452FD">
              <w:rPr>
                <w:rFonts w:ascii="Calibri" w:hAnsi="Calibri"/>
                <w:sz w:val="18"/>
                <w:szCs w:val="18"/>
              </w:rPr>
              <w:t>HCG</w:t>
            </w:r>
            <w:r>
              <w:rPr>
                <w:rFonts w:ascii="Calibri" w:hAnsi="Calibri"/>
                <w:sz w:val="18"/>
                <w:szCs w:val="18"/>
              </w:rPr>
              <w:t xml:space="preserve">      </w:t>
            </w:r>
          </w:p>
        </w:tc>
        <w:tc>
          <w:tcPr>
            <w:tcW w:w="3118" w:type="dxa"/>
            <w:hideMark/>
          </w:tcPr>
          <w:p w14:paraId="2BB40E73"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35</w:t>
            </w:r>
          </w:p>
        </w:tc>
        <w:tc>
          <w:tcPr>
            <w:tcW w:w="2835" w:type="dxa"/>
            <w:hideMark/>
          </w:tcPr>
          <w:p w14:paraId="359B148A" w14:textId="77777777" w:rsidR="00543D47" w:rsidRPr="004452FD" w:rsidRDefault="00543D47" w:rsidP="00D9610A">
            <w:pPr>
              <w:autoSpaceDE w:val="0"/>
              <w:autoSpaceDN w:val="0"/>
              <w:jc w:val="center"/>
              <w:rPr>
                <w:rFonts w:ascii="Calibri" w:hAnsi="Calibri"/>
                <w:sz w:val="18"/>
                <w:szCs w:val="18"/>
              </w:rPr>
            </w:pPr>
            <w:r w:rsidRPr="004452FD">
              <w:rPr>
                <w:rFonts w:ascii="Calibri" w:hAnsi="Calibri"/>
                <w:sz w:val="18"/>
                <w:szCs w:val="18"/>
              </w:rPr>
              <w:t>1%</w:t>
            </w:r>
          </w:p>
        </w:tc>
      </w:tr>
    </w:tbl>
    <w:p w14:paraId="70080B9A" w14:textId="77777777" w:rsidR="00543D47" w:rsidRPr="00C06C9B" w:rsidRDefault="00543D47" w:rsidP="00543D47">
      <w:pPr>
        <w:pStyle w:val="Caption"/>
      </w:pPr>
      <w:bookmarkStart w:id="177" w:name="_Toc490646857"/>
      <w:bookmarkStart w:id="178" w:name="_Toc534374971"/>
      <w:r w:rsidRPr="00C06C9B">
        <w:t>Figure 1</w:t>
      </w:r>
      <w:r>
        <w:t>3</w:t>
      </w:r>
      <w:r w:rsidRPr="00C06C9B">
        <w:t>. Item 66650 requested by speciality</w:t>
      </w:r>
      <w:bookmarkEnd w:id="177"/>
      <w:bookmarkEnd w:id="178"/>
    </w:p>
    <w:p w14:paraId="7FB2073B" w14:textId="77777777" w:rsidR="00543D47" w:rsidRPr="00C06C9B" w:rsidRDefault="00543D47" w:rsidP="00543D47">
      <w:pPr>
        <w:rPr>
          <w:rFonts w:ascii="Calibri" w:hAnsi="Calibri"/>
          <w:lang w:val="en-US"/>
        </w:rPr>
      </w:pPr>
      <w:r w:rsidRPr="00C06C9B">
        <w:rPr>
          <w:rFonts w:ascii="Calibri" w:hAnsi="Calibri"/>
          <w:noProof/>
        </w:rPr>
        <w:drawing>
          <wp:inline distT="0" distB="0" distL="0" distR="0" wp14:anchorId="346A1FEF" wp14:editId="6657DD1A">
            <wp:extent cx="5760720" cy="3444240"/>
            <wp:effectExtent l="0" t="0" r="11430" b="3810"/>
            <wp:docPr id="10" name="Chart 10" descr="Figure 13 displays the number of 66650 requests by medical specialty in the 2014/15 financial year. This data is displayed as percentages" title="66650 requests by special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CC5F09" w14:textId="77777777" w:rsidR="00543D47" w:rsidRPr="00C06C9B" w:rsidRDefault="00543D47" w:rsidP="00543D47">
      <w:pPr>
        <w:pStyle w:val="Caption"/>
      </w:pPr>
      <w:bookmarkStart w:id="179" w:name="_Toc490646858"/>
      <w:bookmarkStart w:id="180" w:name="_Toc534374972"/>
      <w:r w:rsidRPr="00C06C9B">
        <w:lastRenderedPageBreak/>
        <w:t>Figure 1</w:t>
      </w:r>
      <w:r>
        <w:t>4</w:t>
      </w:r>
      <w:r w:rsidRPr="00C06C9B">
        <w:t>.</w:t>
      </w:r>
      <w:r>
        <w:t xml:space="preserve"> </w:t>
      </w:r>
      <w:r w:rsidRPr="00C06C9B">
        <w:t>Item 66653 requested by speciality</w:t>
      </w:r>
      <w:bookmarkEnd w:id="179"/>
      <w:bookmarkEnd w:id="180"/>
    </w:p>
    <w:p w14:paraId="1A66DF2C" w14:textId="77777777" w:rsidR="00543D47" w:rsidRDefault="00543D47" w:rsidP="00543D47">
      <w:pPr>
        <w:rPr>
          <w:rFonts w:ascii="Calibri" w:hAnsi="Calibri"/>
          <w:lang w:val="en-US"/>
        </w:rPr>
      </w:pPr>
      <w:r w:rsidRPr="00C06C9B">
        <w:rPr>
          <w:rFonts w:ascii="Calibri" w:hAnsi="Calibri"/>
          <w:noProof/>
        </w:rPr>
        <w:drawing>
          <wp:inline distT="0" distB="0" distL="0" distR="0" wp14:anchorId="53CA2103" wp14:editId="0C613F84">
            <wp:extent cx="5772150" cy="3810000"/>
            <wp:effectExtent l="0" t="0" r="0" b="0"/>
            <wp:docPr id="18" name="Chart 18" descr="Figure 14 is a graphical representation of the number of 66653 requests by medical specialty in the 2014/15 financial year. This data is presented as percentages" title="Item 66653 reques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78C5B0C" w14:textId="77777777" w:rsidR="00543D47" w:rsidRPr="00C06C9B" w:rsidRDefault="00543D47" w:rsidP="00543D47">
      <w:pPr>
        <w:rPr>
          <w:rFonts w:ascii="Calibri" w:hAnsi="Calibri"/>
          <w:lang w:val="en-US"/>
        </w:rPr>
      </w:pPr>
    </w:p>
    <w:p w14:paraId="5E8DC0D0" w14:textId="77777777" w:rsidR="00543D47" w:rsidRDefault="00543D47" w:rsidP="00543D47">
      <w:pPr>
        <w:pStyle w:val="Heading1"/>
        <w:rPr>
          <w:lang w:val="en-AU"/>
        </w:rPr>
      </w:pPr>
      <w:bookmarkStart w:id="181" w:name="_Toc514247631"/>
      <w:r>
        <w:rPr>
          <w:lang w:val="en-AU"/>
        </w:rPr>
        <w:lastRenderedPageBreak/>
        <w:t>Items reviewed by the Diagnostic Medicine Clinical Committee</w:t>
      </w:r>
      <w:bookmarkEnd w:id="181"/>
      <w:r>
        <w:rPr>
          <w:lang w:val="en-AU"/>
        </w:rPr>
        <w:t xml:space="preserve"> </w:t>
      </w:r>
    </w:p>
    <w:p w14:paraId="7F2AC34D" w14:textId="77777777" w:rsidR="00543D47" w:rsidRPr="00D31FA6" w:rsidRDefault="00543D47" w:rsidP="00543D47">
      <w:pPr>
        <w:rPr>
          <w:color w:val="FF0000"/>
        </w:rPr>
      </w:pPr>
      <w:r w:rsidRPr="00193F70">
        <w:t>Th</w:t>
      </w:r>
      <w:r>
        <w:t xml:space="preserve">e Diagnostic Medicine Clinical </w:t>
      </w:r>
      <w:r w:rsidRPr="00D31FA6">
        <w:t>Committee</w:t>
      </w:r>
      <w:r>
        <w:t xml:space="preserve"> (DMCC)</w:t>
      </w:r>
      <w:r w:rsidRPr="00D31FA6">
        <w:t xml:space="preserve"> is part of the third tranche of Clinical Committees. It was established in March 2017 to make recommendations to the Taskforce on MBS items within its remit, based on clinical expertise and rapid evidence review. The Taskforce asked the </w:t>
      </w:r>
      <w:r>
        <w:t xml:space="preserve">DMCC </w:t>
      </w:r>
      <w:r w:rsidRPr="00D31FA6">
        <w:t xml:space="preserve">to review MBS items related to diagnostic medicine. </w:t>
      </w:r>
      <w:r w:rsidRPr="00B95DD4">
        <w:t xml:space="preserve">Eleven of the 14 Committee members are </w:t>
      </w:r>
      <w:r w:rsidRPr="00193F70">
        <w:t>clinicians,</w:t>
      </w:r>
      <w:r w:rsidRPr="00D31FA6">
        <w:t xml:space="preserve"> including six GPs, two pathologists, two radiologists and one gastroenterologist. Their work covers most Australian states and a mixture of metropolitan, regional, public and private practice, reflecting the use of MBS items across sectors. </w:t>
      </w:r>
      <w:r>
        <w:t xml:space="preserve">The </w:t>
      </w:r>
      <w:r w:rsidRPr="00D31FA6">
        <w:t>clinicians</w:t>
      </w:r>
      <w:r>
        <w:t xml:space="preserve"> on the Committee</w:t>
      </w:r>
      <w:r w:rsidRPr="00D31FA6">
        <w:t xml:space="preserve"> also represent a broad range of clinical and other expertise, including healthcare quality, clinical governance, policy and academic experience. </w:t>
      </w:r>
      <w:r>
        <w:t>Members</w:t>
      </w:r>
      <w:r w:rsidRPr="00D31FA6">
        <w:t xml:space="preserve"> were appointed in an individual capacity, not as representatives of nominating or other bodies. Members were selected to provide a broad perspective on requesting diagnostic medicine tests, and to share insights into the interests of the community, who fund </w:t>
      </w:r>
      <w:proofErr w:type="gramStart"/>
      <w:r w:rsidRPr="00D31FA6">
        <w:t>the majority of</w:t>
      </w:r>
      <w:proofErr w:type="gramEnd"/>
      <w:r w:rsidRPr="00D31FA6">
        <w:t xml:space="preserve"> billable diagnostic medicine services (through taxes, MBS rebates, health insurance and other payments). </w:t>
      </w:r>
      <w:r>
        <w:t>Two</w:t>
      </w:r>
      <w:r w:rsidRPr="00D31FA6">
        <w:t xml:space="preserve"> consumer representatives and a health economist</w:t>
      </w:r>
      <w:r>
        <w:t xml:space="preserve"> are also part of the DMCC</w:t>
      </w:r>
      <w:r w:rsidRPr="00D31FA6">
        <w:t>.</w:t>
      </w:r>
      <w:r w:rsidRPr="00D31FA6">
        <w:rPr>
          <w:color w:val="FF0000"/>
        </w:rPr>
        <w:t xml:space="preserve"> </w:t>
      </w:r>
    </w:p>
    <w:p w14:paraId="269355B6" w14:textId="77777777" w:rsidR="00543D47" w:rsidRPr="00011512" w:rsidRDefault="00543D47" w:rsidP="00543D47">
      <w:pPr>
        <w:rPr>
          <w:lang w:val="en-GB"/>
        </w:rPr>
      </w:pPr>
      <w:r w:rsidRPr="00CF52F7">
        <w:rPr>
          <w:lang w:val="en-GB"/>
        </w:rPr>
        <w:t>Between March and August 2017</w:t>
      </w:r>
      <w:r w:rsidRPr="00B95DD4">
        <w:rPr>
          <w:lang w:val="en-GB"/>
        </w:rPr>
        <w:t xml:space="preserve">, the Committee considered </w:t>
      </w:r>
      <w:r w:rsidRPr="00193F70">
        <w:rPr>
          <w:lang w:val="en-GB"/>
        </w:rPr>
        <w:t>eight referred pathology item groups</w:t>
      </w:r>
      <w:r w:rsidRPr="00D31FA6">
        <w:rPr>
          <w:lang w:val="en-GB"/>
        </w:rPr>
        <w:t>, which accounted for 11.9 million services and $274.3 million in benefits paid in FY2014–15. Recommendations are based on evidence and the clinical expertise of the Committee.</w:t>
      </w:r>
      <w:r>
        <w:rPr>
          <w:lang w:val="en-GB"/>
        </w:rPr>
        <w:t xml:space="preserve"> Presented below are the recommendations for vitamin B12 and folate testing.</w:t>
      </w:r>
    </w:p>
    <w:p w14:paraId="7D4C00F4" w14:textId="77777777" w:rsidR="00543D47" w:rsidRPr="008C5C90" w:rsidRDefault="00543D47" w:rsidP="00543D47">
      <w:pPr>
        <w:pStyle w:val="Heading2"/>
      </w:pPr>
      <w:bookmarkStart w:id="182" w:name="_Toc514247632"/>
      <w:r w:rsidRPr="008C5C90">
        <w:t>Vitamin B12</w:t>
      </w:r>
      <w:bookmarkEnd w:id="182"/>
      <w:r w:rsidRPr="008C5C90">
        <w:t xml:space="preserve"> </w:t>
      </w:r>
    </w:p>
    <w:p w14:paraId="67CD88AC" w14:textId="77777777" w:rsidR="00543D47" w:rsidRPr="008C5C90" w:rsidRDefault="00543D47" w:rsidP="00543D47">
      <w:pPr>
        <w:pStyle w:val="Caption"/>
      </w:pPr>
      <w:bookmarkStart w:id="183" w:name="_Toc534374973"/>
      <w:r w:rsidRPr="008C5C90">
        <w:t xml:space="preserve">Table </w:t>
      </w:r>
      <w:r>
        <w:t>60</w:t>
      </w:r>
      <w:r w:rsidRPr="008C5C90">
        <w:t>. Item introduction table for 66838, 66839</w:t>
      </w:r>
      <w:bookmarkEnd w:id="183"/>
    </w:p>
    <w:tbl>
      <w:tblPr>
        <w:tblStyle w:val="TableGrid"/>
        <w:tblW w:w="9019"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Caption w:val="Table 60. Item introduction table for 66838, 66839"/>
        <w:tblDescription w:val="Table 60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
      </w:tblPr>
      <w:tblGrid>
        <w:gridCol w:w="703"/>
        <w:gridCol w:w="2857"/>
        <w:gridCol w:w="1066"/>
        <w:gridCol w:w="1219"/>
        <w:gridCol w:w="1060"/>
        <w:gridCol w:w="1060"/>
        <w:gridCol w:w="1054"/>
      </w:tblGrid>
      <w:tr w:rsidR="00543D47" w:rsidRPr="008C5C90" w14:paraId="6C1FC5B8" w14:textId="77777777" w:rsidTr="00D9610A">
        <w:trPr>
          <w:tblHeader/>
        </w:trPr>
        <w:tc>
          <w:tcPr>
            <w:tcW w:w="703" w:type="dxa"/>
            <w:vAlign w:val="center"/>
          </w:tcPr>
          <w:p w14:paraId="53012E63" w14:textId="77777777" w:rsidR="00543D47" w:rsidRPr="008C5C90" w:rsidRDefault="00543D47" w:rsidP="00D9610A">
            <w:pPr>
              <w:rPr>
                <w:rFonts w:cs="Arial"/>
                <w:sz w:val="18"/>
                <w:szCs w:val="18"/>
              </w:rPr>
            </w:pPr>
            <w:r w:rsidRPr="008C5C90">
              <w:rPr>
                <w:rFonts w:cs="Arial"/>
                <w:b/>
                <w:color w:val="000000"/>
                <w:sz w:val="18"/>
                <w:szCs w:val="18"/>
              </w:rPr>
              <w:t>Item</w:t>
            </w:r>
          </w:p>
        </w:tc>
        <w:tc>
          <w:tcPr>
            <w:tcW w:w="2857" w:type="dxa"/>
            <w:vAlign w:val="center"/>
          </w:tcPr>
          <w:p w14:paraId="6F5D6820" w14:textId="77777777" w:rsidR="00543D47" w:rsidRPr="008C5C90" w:rsidRDefault="00543D47" w:rsidP="00D9610A">
            <w:pPr>
              <w:rPr>
                <w:rFonts w:cs="Arial"/>
                <w:sz w:val="18"/>
                <w:szCs w:val="18"/>
              </w:rPr>
            </w:pPr>
            <w:r w:rsidRPr="008C5C90">
              <w:rPr>
                <w:rFonts w:cs="Arial"/>
                <w:b/>
                <w:color w:val="000000"/>
                <w:sz w:val="18"/>
                <w:szCs w:val="18"/>
              </w:rPr>
              <w:t>Long item descriptor</w:t>
            </w:r>
          </w:p>
        </w:tc>
        <w:tc>
          <w:tcPr>
            <w:tcW w:w="1066" w:type="dxa"/>
            <w:vAlign w:val="center"/>
          </w:tcPr>
          <w:p w14:paraId="6D707D7F" w14:textId="77777777" w:rsidR="00543D47" w:rsidRPr="008C5C90" w:rsidRDefault="00543D47" w:rsidP="00D9610A">
            <w:pPr>
              <w:spacing w:after="0" w:line="240" w:lineRule="auto"/>
              <w:rPr>
                <w:rFonts w:cs="Arial"/>
                <w:sz w:val="18"/>
                <w:szCs w:val="18"/>
              </w:rPr>
            </w:pPr>
            <w:r w:rsidRPr="008C5C90">
              <w:rPr>
                <w:rFonts w:cs="Arial"/>
                <w:b/>
                <w:color w:val="000000"/>
                <w:sz w:val="18"/>
                <w:szCs w:val="18"/>
              </w:rPr>
              <w:t>Schedule</w:t>
            </w:r>
            <w:r>
              <w:rPr>
                <w:rFonts w:cs="Arial"/>
                <w:b/>
                <w:color w:val="000000"/>
                <w:sz w:val="18"/>
                <w:szCs w:val="18"/>
              </w:rPr>
              <w:t xml:space="preserve"> f</w:t>
            </w:r>
            <w:r w:rsidRPr="008C5C90">
              <w:rPr>
                <w:rFonts w:cs="Arial"/>
                <w:b/>
                <w:color w:val="000000"/>
                <w:sz w:val="18"/>
                <w:szCs w:val="18"/>
              </w:rPr>
              <w:t>ee</w:t>
            </w:r>
          </w:p>
        </w:tc>
        <w:tc>
          <w:tcPr>
            <w:tcW w:w="1219" w:type="dxa"/>
            <w:vAlign w:val="center"/>
          </w:tcPr>
          <w:p w14:paraId="0F8B644E" w14:textId="77777777" w:rsidR="00543D47" w:rsidRPr="008C5C90" w:rsidRDefault="00543D47" w:rsidP="00D9610A">
            <w:pPr>
              <w:rPr>
                <w:rFonts w:cs="Arial"/>
                <w:sz w:val="18"/>
                <w:szCs w:val="18"/>
              </w:rPr>
            </w:pPr>
            <w:r w:rsidRPr="008C5C90">
              <w:rPr>
                <w:rFonts w:cs="Arial"/>
                <w:b/>
                <w:color w:val="000000"/>
                <w:sz w:val="18"/>
                <w:szCs w:val="18"/>
              </w:rPr>
              <w:t xml:space="preserve">Benefits </w:t>
            </w:r>
            <w:r>
              <w:rPr>
                <w:rFonts w:cs="Arial"/>
                <w:b/>
                <w:color w:val="000000"/>
                <w:sz w:val="18"/>
                <w:szCs w:val="18"/>
              </w:rPr>
              <w:br/>
            </w:r>
            <w:r w:rsidRPr="008C5C90">
              <w:rPr>
                <w:rFonts w:cs="Arial"/>
                <w:b/>
                <w:color w:val="000000"/>
                <w:sz w:val="18"/>
                <w:szCs w:val="18"/>
              </w:rPr>
              <w:t>FY</w:t>
            </w:r>
            <w:r>
              <w:rPr>
                <w:rFonts w:cs="Arial"/>
                <w:b/>
                <w:color w:val="000000"/>
                <w:sz w:val="18"/>
                <w:szCs w:val="18"/>
              </w:rPr>
              <w:t xml:space="preserve"> </w:t>
            </w:r>
            <w:r w:rsidRPr="008C5C90">
              <w:rPr>
                <w:rFonts w:cs="Arial"/>
                <w:b/>
                <w:color w:val="000000"/>
                <w:sz w:val="18"/>
                <w:szCs w:val="18"/>
              </w:rPr>
              <w:t>2014-15</w:t>
            </w:r>
          </w:p>
        </w:tc>
        <w:tc>
          <w:tcPr>
            <w:tcW w:w="1060" w:type="dxa"/>
            <w:vAlign w:val="center"/>
          </w:tcPr>
          <w:p w14:paraId="7193BEDA" w14:textId="77777777" w:rsidR="00543D47" w:rsidRPr="008C5C90" w:rsidRDefault="00543D47" w:rsidP="00D9610A">
            <w:pPr>
              <w:rPr>
                <w:rFonts w:cs="Arial"/>
                <w:sz w:val="18"/>
                <w:szCs w:val="18"/>
              </w:rPr>
            </w:pPr>
            <w:r w:rsidRPr="008C5C90">
              <w:rPr>
                <w:rFonts w:cs="Arial"/>
                <w:b/>
                <w:color w:val="000000"/>
                <w:sz w:val="18"/>
                <w:szCs w:val="18"/>
              </w:rPr>
              <w:t xml:space="preserve">Services </w:t>
            </w:r>
            <w:r>
              <w:rPr>
                <w:rFonts w:cs="Arial"/>
                <w:b/>
                <w:color w:val="000000"/>
                <w:sz w:val="18"/>
                <w:szCs w:val="18"/>
              </w:rPr>
              <w:br/>
            </w:r>
            <w:r w:rsidRPr="008C5C90">
              <w:rPr>
                <w:rFonts w:cs="Arial"/>
                <w:b/>
                <w:color w:val="000000"/>
                <w:sz w:val="18"/>
                <w:szCs w:val="18"/>
              </w:rPr>
              <w:t>FY</w:t>
            </w:r>
            <w:r>
              <w:rPr>
                <w:rFonts w:cs="Arial"/>
                <w:b/>
                <w:color w:val="000000"/>
                <w:sz w:val="18"/>
                <w:szCs w:val="18"/>
              </w:rPr>
              <w:t xml:space="preserve"> </w:t>
            </w:r>
            <w:r w:rsidRPr="008C5C90">
              <w:rPr>
                <w:rFonts w:cs="Arial"/>
                <w:b/>
                <w:color w:val="000000"/>
                <w:sz w:val="18"/>
                <w:szCs w:val="18"/>
              </w:rPr>
              <w:t>2014-15</w:t>
            </w:r>
          </w:p>
        </w:tc>
        <w:tc>
          <w:tcPr>
            <w:tcW w:w="1060" w:type="dxa"/>
            <w:vAlign w:val="center"/>
          </w:tcPr>
          <w:p w14:paraId="4C0DAC14" w14:textId="77777777" w:rsidR="00543D47" w:rsidRPr="008C5C90" w:rsidRDefault="00543D47" w:rsidP="00D9610A">
            <w:pPr>
              <w:rPr>
                <w:rFonts w:cs="Arial"/>
                <w:sz w:val="18"/>
                <w:szCs w:val="18"/>
              </w:rPr>
            </w:pPr>
            <w:r w:rsidRPr="008C5C90">
              <w:rPr>
                <w:rFonts w:cs="Arial"/>
                <w:b/>
                <w:color w:val="000000"/>
                <w:sz w:val="18"/>
                <w:szCs w:val="18"/>
              </w:rPr>
              <w:t>Patient count 2014-15</w:t>
            </w:r>
          </w:p>
        </w:tc>
        <w:tc>
          <w:tcPr>
            <w:tcW w:w="1054" w:type="dxa"/>
            <w:vAlign w:val="center"/>
          </w:tcPr>
          <w:p w14:paraId="438F50E9" w14:textId="77777777" w:rsidR="00543D47" w:rsidRPr="008C5C90" w:rsidRDefault="00543D47" w:rsidP="00D9610A">
            <w:pPr>
              <w:rPr>
                <w:rFonts w:cs="Arial"/>
                <w:sz w:val="18"/>
                <w:szCs w:val="18"/>
              </w:rPr>
            </w:pPr>
            <w:r>
              <w:rPr>
                <w:rFonts w:cs="Arial"/>
                <w:b/>
                <w:color w:val="000000"/>
                <w:sz w:val="18"/>
                <w:szCs w:val="18"/>
              </w:rPr>
              <w:t>5-year service</w:t>
            </w:r>
            <w:r w:rsidRPr="008C5C90">
              <w:rPr>
                <w:rFonts w:cs="Arial"/>
                <w:b/>
                <w:color w:val="000000"/>
                <w:sz w:val="18"/>
                <w:szCs w:val="18"/>
              </w:rPr>
              <w:t xml:space="preserve"> change % (CAGR)</w:t>
            </w:r>
          </w:p>
        </w:tc>
      </w:tr>
      <w:tr w:rsidR="00543D47" w:rsidRPr="008C5C90" w14:paraId="4498C42C" w14:textId="77777777" w:rsidTr="00D9610A">
        <w:tc>
          <w:tcPr>
            <w:tcW w:w="703" w:type="dxa"/>
            <w:vAlign w:val="center"/>
          </w:tcPr>
          <w:p w14:paraId="19F12433" w14:textId="77777777" w:rsidR="00543D47" w:rsidRPr="008C5C90" w:rsidRDefault="00543D47" w:rsidP="00D9610A">
            <w:pPr>
              <w:rPr>
                <w:rFonts w:cs="Arial"/>
                <w:sz w:val="18"/>
                <w:szCs w:val="18"/>
              </w:rPr>
            </w:pPr>
            <w:r w:rsidRPr="008C5C90">
              <w:rPr>
                <w:rFonts w:cs="Arial"/>
                <w:sz w:val="18"/>
                <w:szCs w:val="18"/>
              </w:rPr>
              <w:t>66838</w:t>
            </w:r>
          </w:p>
        </w:tc>
        <w:tc>
          <w:tcPr>
            <w:tcW w:w="2857" w:type="dxa"/>
          </w:tcPr>
          <w:p w14:paraId="530671D9" w14:textId="77777777" w:rsidR="00543D47" w:rsidRPr="008C5C90" w:rsidRDefault="00543D47" w:rsidP="00D9610A">
            <w:pPr>
              <w:rPr>
                <w:rFonts w:cs="Arial"/>
                <w:sz w:val="18"/>
                <w:szCs w:val="18"/>
              </w:rPr>
            </w:pPr>
            <w:r w:rsidRPr="008C5C90">
              <w:rPr>
                <w:rFonts w:cs="Arial"/>
                <w:sz w:val="18"/>
                <w:szCs w:val="18"/>
              </w:rPr>
              <w:t>Serum vitamin B12 test (Item is subject to Rule 25)</w:t>
            </w:r>
          </w:p>
        </w:tc>
        <w:tc>
          <w:tcPr>
            <w:tcW w:w="1066" w:type="dxa"/>
          </w:tcPr>
          <w:p w14:paraId="394A69F3" w14:textId="77777777" w:rsidR="00543D47" w:rsidRPr="008C5C90" w:rsidRDefault="00543D47" w:rsidP="00D9610A">
            <w:pPr>
              <w:rPr>
                <w:rFonts w:cs="Arial"/>
                <w:sz w:val="18"/>
                <w:szCs w:val="18"/>
              </w:rPr>
            </w:pPr>
            <w:r w:rsidRPr="008C5C90">
              <w:rPr>
                <w:rFonts w:cs="Arial"/>
                <w:sz w:val="18"/>
                <w:szCs w:val="18"/>
              </w:rPr>
              <w:t>23.60</w:t>
            </w:r>
          </w:p>
        </w:tc>
        <w:tc>
          <w:tcPr>
            <w:tcW w:w="1219" w:type="dxa"/>
          </w:tcPr>
          <w:p w14:paraId="76CF5A21" w14:textId="77777777" w:rsidR="00543D47" w:rsidRPr="008C5C90" w:rsidRDefault="00543D47" w:rsidP="00D9610A">
            <w:pPr>
              <w:rPr>
                <w:rFonts w:cs="Arial"/>
                <w:sz w:val="18"/>
                <w:szCs w:val="18"/>
              </w:rPr>
            </w:pPr>
            <w:r w:rsidRPr="008C5C90">
              <w:rPr>
                <w:rFonts w:cs="Arial"/>
                <w:sz w:val="18"/>
                <w:szCs w:val="18"/>
              </w:rPr>
              <w:t>$18,083,490</w:t>
            </w:r>
          </w:p>
        </w:tc>
        <w:tc>
          <w:tcPr>
            <w:tcW w:w="1060" w:type="dxa"/>
          </w:tcPr>
          <w:p w14:paraId="0BC18F70" w14:textId="77777777" w:rsidR="00543D47" w:rsidRPr="008C5C90" w:rsidRDefault="00543D47" w:rsidP="00D9610A">
            <w:pPr>
              <w:rPr>
                <w:rFonts w:cs="Arial"/>
                <w:sz w:val="18"/>
                <w:szCs w:val="18"/>
              </w:rPr>
            </w:pPr>
            <w:r w:rsidRPr="008C5C90">
              <w:rPr>
                <w:rFonts w:cs="Arial"/>
                <w:sz w:val="18"/>
                <w:szCs w:val="18"/>
              </w:rPr>
              <w:t>899,124</w:t>
            </w:r>
          </w:p>
        </w:tc>
        <w:tc>
          <w:tcPr>
            <w:tcW w:w="1060" w:type="dxa"/>
          </w:tcPr>
          <w:p w14:paraId="1BA88173" w14:textId="77777777" w:rsidR="00543D47" w:rsidRPr="008C5C90" w:rsidRDefault="00543D47" w:rsidP="00D9610A">
            <w:pPr>
              <w:rPr>
                <w:rFonts w:cs="Arial"/>
                <w:sz w:val="18"/>
                <w:szCs w:val="18"/>
              </w:rPr>
            </w:pPr>
            <w:r w:rsidRPr="008C5C90">
              <w:rPr>
                <w:rFonts w:cs="Arial"/>
                <w:sz w:val="18"/>
                <w:szCs w:val="18"/>
              </w:rPr>
              <w:t>899,124</w:t>
            </w:r>
          </w:p>
        </w:tc>
        <w:tc>
          <w:tcPr>
            <w:tcW w:w="1054" w:type="dxa"/>
            <w:vAlign w:val="center"/>
          </w:tcPr>
          <w:p w14:paraId="2A7AD060" w14:textId="77777777" w:rsidR="00543D47" w:rsidRPr="008C5C90" w:rsidRDefault="00543D47" w:rsidP="00D9610A">
            <w:pPr>
              <w:rPr>
                <w:rFonts w:cs="Arial"/>
                <w:sz w:val="18"/>
                <w:szCs w:val="18"/>
              </w:rPr>
            </w:pPr>
          </w:p>
        </w:tc>
      </w:tr>
      <w:tr w:rsidR="00543D47" w:rsidRPr="008C5C90" w14:paraId="7A21766E" w14:textId="77777777" w:rsidTr="00D9610A">
        <w:tc>
          <w:tcPr>
            <w:tcW w:w="703" w:type="dxa"/>
            <w:vAlign w:val="center"/>
          </w:tcPr>
          <w:p w14:paraId="33AAA8E6" w14:textId="77777777" w:rsidR="00543D47" w:rsidRPr="008C5C90" w:rsidRDefault="00543D47" w:rsidP="00D9610A">
            <w:pPr>
              <w:rPr>
                <w:rFonts w:cs="Arial"/>
                <w:sz w:val="18"/>
                <w:szCs w:val="18"/>
              </w:rPr>
            </w:pPr>
            <w:r w:rsidRPr="008C5C90">
              <w:rPr>
                <w:rFonts w:cs="Arial"/>
                <w:sz w:val="18"/>
                <w:szCs w:val="18"/>
              </w:rPr>
              <w:t>66839</w:t>
            </w:r>
          </w:p>
        </w:tc>
        <w:tc>
          <w:tcPr>
            <w:tcW w:w="2857" w:type="dxa"/>
          </w:tcPr>
          <w:p w14:paraId="351E3C06" w14:textId="77777777" w:rsidR="00543D47" w:rsidRPr="008C5C90" w:rsidRDefault="00543D47" w:rsidP="00D9610A">
            <w:pPr>
              <w:rPr>
                <w:rFonts w:cs="Arial"/>
                <w:sz w:val="18"/>
                <w:szCs w:val="18"/>
              </w:rPr>
            </w:pPr>
            <w:r w:rsidRPr="008C5C90">
              <w:rPr>
                <w:rFonts w:cs="Arial"/>
                <w:sz w:val="18"/>
                <w:szCs w:val="18"/>
              </w:rPr>
              <w:t xml:space="preserve">Quantification of vitamin B12 markers such as </w:t>
            </w:r>
            <w:proofErr w:type="spellStart"/>
            <w:r w:rsidRPr="008C5C90">
              <w:rPr>
                <w:rFonts w:cs="Arial"/>
                <w:sz w:val="18"/>
                <w:szCs w:val="18"/>
              </w:rPr>
              <w:t>holo</w:t>
            </w:r>
            <w:r>
              <w:rPr>
                <w:rFonts w:cs="Arial"/>
                <w:sz w:val="18"/>
                <w:szCs w:val="18"/>
              </w:rPr>
              <w:t>t</w:t>
            </w:r>
            <w:r w:rsidRPr="008C5C90">
              <w:rPr>
                <w:rFonts w:cs="Arial"/>
                <w:sz w:val="18"/>
                <w:szCs w:val="18"/>
              </w:rPr>
              <w:t>ranscobalamin</w:t>
            </w:r>
            <w:proofErr w:type="spellEnd"/>
            <w:r w:rsidRPr="008C5C90">
              <w:rPr>
                <w:rFonts w:cs="Arial"/>
                <w:sz w:val="18"/>
                <w:szCs w:val="18"/>
              </w:rPr>
              <w:t xml:space="preserve"> or methylmalonic acid, where initial serum vitamin B12 result is low or equivocal</w:t>
            </w:r>
          </w:p>
        </w:tc>
        <w:tc>
          <w:tcPr>
            <w:tcW w:w="1066" w:type="dxa"/>
          </w:tcPr>
          <w:p w14:paraId="63F17C0F" w14:textId="77777777" w:rsidR="00543D47" w:rsidRPr="008C5C90" w:rsidRDefault="00543D47" w:rsidP="00D9610A">
            <w:pPr>
              <w:rPr>
                <w:rFonts w:cs="Arial"/>
                <w:sz w:val="18"/>
                <w:szCs w:val="18"/>
              </w:rPr>
            </w:pPr>
            <w:r w:rsidRPr="008C5C90">
              <w:rPr>
                <w:rFonts w:cs="Arial"/>
                <w:sz w:val="18"/>
                <w:szCs w:val="18"/>
              </w:rPr>
              <w:t>42.95</w:t>
            </w:r>
          </w:p>
        </w:tc>
        <w:tc>
          <w:tcPr>
            <w:tcW w:w="1219" w:type="dxa"/>
          </w:tcPr>
          <w:p w14:paraId="42312909" w14:textId="77777777" w:rsidR="00543D47" w:rsidRPr="008C5C90" w:rsidRDefault="00543D47" w:rsidP="00D9610A">
            <w:pPr>
              <w:rPr>
                <w:rFonts w:cs="Arial"/>
                <w:sz w:val="18"/>
                <w:szCs w:val="18"/>
              </w:rPr>
            </w:pPr>
            <w:r w:rsidRPr="008C5C90">
              <w:rPr>
                <w:rFonts w:cs="Arial"/>
                <w:sz w:val="18"/>
                <w:szCs w:val="18"/>
              </w:rPr>
              <w:t>$24,124,151</w:t>
            </w:r>
          </w:p>
        </w:tc>
        <w:tc>
          <w:tcPr>
            <w:tcW w:w="1060" w:type="dxa"/>
          </w:tcPr>
          <w:p w14:paraId="73001316" w14:textId="77777777" w:rsidR="00543D47" w:rsidRPr="008C5C90" w:rsidRDefault="00543D47" w:rsidP="00D9610A">
            <w:pPr>
              <w:rPr>
                <w:rFonts w:cs="Arial"/>
                <w:sz w:val="18"/>
                <w:szCs w:val="18"/>
              </w:rPr>
            </w:pPr>
            <w:r w:rsidRPr="008C5C90">
              <w:rPr>
                <w:rFonts w:cs="Arial"/>
                <w:sz w:val="18"/>
                <w:szCs w:val="18"/>
              </w:rPr>
              <w:t>656,016</w:t>
            </w:r>
          </w:p>
        </w:tc>
        <w:tc>
          <w:tcPr>
            <w:tcW w:w="1060" w:type="dxa"/>
          </w:tcPr>
          <w:p w14:paraId="64E92482" w14:textId="77777777" w:rsidR="00543D47" w:rsidRPr="008C5C90" w:rsidRDefault="00543D47" w:rsidP="00D9610A">
            <w:pPr>
              <w:rPr>
                <w:rFonts w:cs="Arial"/>
                <w:sz w:val="18"/>
                <w:szCs w:val="18"/>
              </w:rPr>
            </w:pPr>
            <w:r w:rsidRPr="008C5C90">
              <w:rPr>
                <w:rFonts w:cs="Arial"/>
                <w:sz w:val="18"/>
                <w:szCs w:val="18"/>
              </w:rPr>
              <w:t>612,817</w:t>
            </w:r>
          </w:p>
        </w:tc>
        <w:tc>
          <w:tcPr>
            <w:tcW w:w="1054" w:type="dxa"/>
            <w:vAlign w:val="center"/>
          </w:tcPr>
          <w:p w14:paraId="5F2A7042" w14:textId="77777777" w:rsidR="00543D47" w:rsidRPr="008C5C90" w:rsidRDefault="00543D47" w:rsidP="00D9610A">
            <w:pPr>
              <w:rPr>
                <w:rFonts w:cs="Arial"/>
                <w:sz w:val="18"/>
                <w:szCs w:val="18"/>
              </w:rPr>
            </w:pPr>
          </w:p>
        </w:tc>
      </w:tr>
    </w:tbl>
    <w:p w14:paraId="70C94DB9" w14:textId="77777777" w:rsidR="00543D47" w:rsidRPr="008C5C90" w:rsidRDefault="00543D47" w:rsidP="00543D47">
      <w:pPr>
        <w:keepNext/>
        <w:spacing w:before="240" w:line="240" w:lineRule="auto"/>
        <w:outlineLvl w:val="3"/>
        <w:rPr>
          <w:rFonts w:eastAsiaTheme="minorHAnsi" w:cs="Arial"/>
          <w:bCs/>
          <w:i/>
          <w:color w:val="B56012"/>
          <w:szCs w:val="26"/>
          <w:lang w:val="en-US" w:eastAsia="en-US"/>
        </w:rPr>
      </w:pPr>
      <w:r w:rsidRPr="008C5C90">
        <w:rPr>
          <w:rFonts w:eastAsiaTheme="minorHAnsi" w:cs="Arial"/>
          <w:bCs/>
          <w:i/>
          <w:color w:val="B56012"/>
          <w:szCs w:val="26"/>
          <w:lang w:val="en-US" w:eastAsia="en-US"/>
        </w:rPr>
        <w:lastRenderedPageBreak/>
        <w:t>Advice from the Diagnostic Medicine Clinical Committee (DMCC)</w:t>
      </w:r>
    </w:p>
    <w:p w14:paraId="75B7A478" w14:textId="77777777" w:rsidR="00543D47" w:rsidRPr="008C5C90" w:rsidRDefault="00543D47" w:rsidP="00543D47">
      <w:pPr>
        <w:pStyle w:val="NormalBulleted"/>
        <w:numPr>
          <w:ilvl w:val="0"/>
          <w:numId w:val="76"/>
        </w:numPr>
        <w:rPr>
          <w:rFonts w:eastAsiaTheme="minorHAnsi"/>
          <w:szCs w:val="20"/>
          <w:lang w:val="en-GB" w:eastAsia="en-US"/>
        </w:rPr>
      </w:pPr>
      <w:r w:rsidRPr="008C5C90">
        <w:t>The DMCC found sufficient evidence to conclude that the comparative use of serum vitamin B12 testing and vitamin B12 marker testing is not as expected. Unpublished GP practice data</w:t>
      </w:r>
      <w:r w:rsidRPr="008C5C90">
        <w:footnoteReference w:id="2"/>
      </w:r>
      <w:r w:rsidRPr="008C5C90">
        <w:t xml:space="preserve"> (unaffected by the ‘coning’ rule) showed that less than 20</w:t>
      </w:r>
      <w:r>
        <w:t>%</w:t>
      </w:r>
      <w:r w:rsidRPr="008C5C90">
        <w:t xml:space="preserve"> of vitamin B12 tests returned a low result. This suggests that the vitamin B12 marker test should only be performed in a minority of cases, as per the qualifying criteria for item 66839 (‘…where initial serum vitamin B12 result is low or equivocal’). However, the relative frequencies of items 66839 and 66840 are approximately 1.5 rather than</w:t>
      </w:r>
      <w:r w:rsidRPr="008C5C90">
        <w:rPr>
          <w:lang w:val="en-GB"/>
        </w:rPr>
        <w:t xml:space="preserve"> 0.2. </w:t>
      </w:r>
      <w:r w:rsidRPr="008C5C90">
        <w:rPr>
          <w:rFonts w:eastAsiaTheme="minorHAnsi"/>
          <w:szCs w:val="20"/>
          <w:lang w:val="en-GB" w:eastAsia="en-US"/>
        </w:rPr>
        <w:t>Approximately 30</w:t>
      </w:r>
      <w:r>
        <w:rPr>
          <w:rFonts w:eastAsiaTheme="minorHAnsi"/>
          <w:szCs w:val="20"/>
          <w:lang w:val="en-GB" w:eastAsia="en-US"/>
        </w:rPr>
        <w:t xml:space="preserve">% </w:t>
      </w:r>
      <w:r w:rsidRPr="008C5C90">
        <w:rPr>
          <w:rFonts w:eastAsiaTheme="minorHAnsi"/>
          <w:szCs w:val="20"/>
          <w:lang w:val="en-GB" w:eastAsia="en-US"/>
        </w:rPr>
        <w:t>of vitamin B12 tests were repeated in less than 12 months.</w:t>
      </w:r>
      <w:r w:rsidRPr="008C5C90">
        <w:rPr>
          <w:rFonts w:eastAsiaTheme="minorHAnsi"/>
          <w:szCs w:val="20"/>
          <w:vertAlign w:val="superscript"/>
          <w:lang w:val="en-GB" w:eastAsia="en-US"/>
        </w:rPr>
        <w:footnoteReference w:id="3"/>
      </w:r>
      <w:r w:rsidRPr="008C5C90">
        <w:rPr>
          <w:rFonts w:eastAsiaTheme="minorHAnsi"/>
          <w:szCs w:val="20"/>
          <w:lang w:val="en-GB" w:eastAsia="en-US"/>
        </w:rPr>
        <w:t xml:space="preserve"> </w:t>
      </w:r>
    </w:p>
    <w:p w14:paraId="212D8FF3" w14:textId="77777777" w:rsidR="00543D47" w:rsidRPr="008C5C90" w:rsidRDefault="00543D47" w:rsidP="00543D47">
      <w:pPr>
        <w:pStyle w:val="NormalBulleted"/>
        <w:rPr>
          <w:lang w:val="en-GB"/>
        </w:rPr>
      </w:pPr>
      <w:r w:rsidRPr="008C5C90">
        <w:rPr>
          <w:lang w:val="en-GB"/>
        </w:rPr>
        <w:t xml:space="preserve">The </w:t>
      </w:r>
      <w:r>
        <w:rPr>
          <w:lang w:val="en-GB"/>
        </w:rPr>
        <w:t>DMCC</w:t>
      </w:r>
      <w:r w:rsidRPr="008C5C90">
        <w:rPr>
          <w:lang w:val="en-GB"/>
        </w:rPr>
        <w:t xml:space="preserve"> agreed that the following factors were possibly contributing to the high usage rates for vitamin B12 marker testing</w:t>
      </w:r>
      <w:r>
        <w:rPr>
          <w:lang w:val="en-GB"/>
        </w:rPr>
        <w:t>.</w:t>
      </w:r>
    </w:p>
    <w:p w14:paraId="6BF81698" w14:textId="77777777" w:rsidR="00543D47" w:rsidRPr="008C5C90" w:rsidRDefault="00543D47" w:rsidP="00543D47">
      <w:pPr>
        <w:pStyle w:val="NormalBulleted"/>
        <w:numPr>
          <w:ilvl w:val="1"/>
          <w:numId w:val="7"/>
        </w:numPr>
        <w:ind w:left="1276" w:hanging="425"/>
        <w:rPr>
          <w:lang w:val="en-GB"/>
        </w:rPr>
      </w:pPr>
      <w:r w:rsidRPr="008C5C90">
        <w:rPr>
          <w:lang w:val="en-GB"/>
        </w:rPr>
        <w:t xml:space="preserve">Low GP </w:t>
      </w:r>
      <w:r w:rsidRPr="00BD0E54">
        <w:t>awareness</w:t>
      </w:r>
      <w:r w:rsidRPr="008C5C90">
        <w:rPr>
          <w:lang w:val="en-GB"/>
        </w:rPr>
        <w:t xml:space="preserve"> of the MBS annual restriction on vitamin B12 testing is likely to be contributing to frequent vitamin B12 testing (that is, more than once every 12 months).</w:t>
      </w:r>
    </w:p>
    <w:p w14:paraId="2787C3B3" w14:textId="77777777" w:rsidR="00543D47" w:rsidRPr="008C5C90" w:rsidRDefault="00543D47" w:rsidP="00543D47">
      <w:pPr>
        <w:pStyle w:val="NormalBulleted"/>
        <w:numPr>
          <w:ilvl w:val="1"/>
          <w:numId w:val="7"/>
        </w:numPr>
        <w:ind w:left="1276" w:hanging="425"/>
        <w:rPr>
          <w:lang w:val="en-GB"/>
        </w:rPr>
      </w:pPr>
      <w:r w:rsidRPr="008C5C90">
        <w:rPr>
          <w:lang w:val="en-GB"/>
        </w:rPr>
        <w:t xml:space="preserve">A small group of clinicians may be directly requesting the vitamin B12 marker tests for consumers (even </w:t>
      </w:r>
      <w:r w:rsidRPr="00BD0E54">
        <w:t>though</w:t>
      </w:r>
      <w:r w:rsidRPr="008C5C90">
        <w:rPr>
          <w:lang w:val="en-GB"/>
        </w:rPr>
        <w:t xml:space="preserve"> the MBS indicates it is currently not the first-line test).</w:t>
      </w:r>
    </w:p>
    <w:p w14:paraId="1E6B74E2" w14:textId="77777777" w:rsidR="00543D47" w:rsidRPr="008C5C90" w:rsidRDefault="00543D47" w:rsidP="00543D47">
      <w:pPr>
        <w:pStyle w:val="NormalBulleted"/>
        <w:numPr>
          <w:ilvl w:val="1"/>
          <w:numId w:val="7"/>
        </w:numPr>
        <w:ind w:left="1276" w:hanging="425"/>
        <w:rPr>
          <w:lang w:val="en-GB"/>
        </w:rPr>
      </w:pPr>
      <w:r w:rsidRPr="008C5C90">
        <w:rPr>
          <w:lang w:val="en-GB"/>
        </w:rPr>
        <w:t xml:space="preserve">When clinicians </w:t>
      </w:r>
      <w:r w:rsidRPr="00BD0E54">
        <w:t>incorrectly</w:t>
      </w:r>
      <w:r w:rsidRPr="008C5C90">
        <w:rPr>
          <w:lang w:val="en-GB"/>
        </w:rPr>
        <w:t xml:space="preserve"> request a repeat vitamin B12 test less than a year after the most recent vitamin B12 test (with the intention of requesting another serum vitamin B12 test; item 66838), laboratories may perform the vitamin B12 marker test (item 66839), which has no annual limit. In some cases, this may be undertaken due to a previous ‘low or equivocal’ vitamin B12 result. In other cases, it may be because item 66839 is unrestricted.</w:t>
      </w:r>
    </w:p>
    <w:p w14:paraId="1B6FC730" w14:textId="77777777" w:rsidR="00543D47" w:rsidRPr="008C5C90" w:rsidRDefault="00543D47" w:rsidP="00543D47">
      <w:pPr>
        <w:pStyle w:val="NormalBulleted"/>
        <w:numPr>
          <w:ilvl w:val="1"/>
          <w:numId w:val="7"/>
        </w:numPr>
        <w:ind w:left="1276" w:hanging="425"/>
        <w:rPr>
          <w:lang w:val="en-GB"/>
        </w:rPr>
      </w:pPr>
      <w:r w:rsidRPr="008C5C90">
        <w:rPr>
          <w:lang w:val="en-GB"/>
        </w:rPr>
        <w:t xml:space="preserve">Reference ranges for serum vitamin B12 tests and vitamin B12 marker </w:t>
      </w:r>
      <w:r>
        <w:rPr>
          <w:lang w:val="en-GB"/>
        </w:rPr>
        <w:t xml:space="preserve">tests vary. </w:t>
      </w:r>
      <w:proofErr w:type="gramStart"/>
      <w:r>
        <w:rPr>
          <w:lang w:val="en-GB"/>
        </w:rPr>
        <w:t>Furthermore</w:t>
      </w:r>
      <w:proofErr w:type="gramEnd"/>
      <w:r>
        <w:rPr>
          <w:lang w:val="en-GB"/>
        </w:rPr>
        <w:t xml:space="preserve"> the cut-</w:t>
      </w:r>
      <w:r w:rsidRPr="008C5C90">
        <w:rPr>
          <w:lang w:val="en-GB"/>
        </w:rPr>
        <w:t>off limits below which pathology laboratories reflex test for vitamin B12 markers are currently independently determined by each p</w:t>
      </w:r>
      <w:r>
        <w:rPr>
          <w:lang w:val="en-GB"/>
        </w:rPr>
        <w:t xml:space="preserve">athology laboratory. If the </w:t>
      </w:r>
      <w:proofErr w:type="spellStart"/>
      <w:r>
        <w:rPr>
          <w:lang w:val="en-GB"/>
        </w:rPr>
        <w:t>cut</w:t>
      </w:r>
      <w:r w:rsidRPr="008C5C90">
        <w:rPr>
          <w:lang w:val="en-GB"/>
        </w:rPr>
        <w:t>offs</w:t>
      </w:r>
      <w:proofErr w:type="spellEnd"/>
      <w:r w:rsidRPr="008C5C90">
        <w:rPr>
          <w:lang w:val="en-GB"/>
        </w:rPr>
        <w:t xml:space="preserve"> are set at too high a value, this would increase the number of ‘low or equivocal’ results, and consequently the number of repeat </w:t>
      </w:r>
      <w:proofErr w:type="gramStart"/>
      <w:r w:rsidRPr="008C5C90">
        <w:rPr>
          <w:lang w:val="en-GB"/>
        </w:rPr>
        <w:t>vitamin</w:t>
      </w:r>
      <w:proofErr w:type="gramEnd"/>
      <w:r w:rsidRPr="008C5C90">
        <w:rPr>
          <w:lang w:val="en-GB"/>
        </w:rPr>
        <w:t xml:space="preserve"> B12 marker tests. </w:t>
      </w:r>
    </w:p>
    <w:p w14:paraId="2A39420C" w14:textId="77777777" w:rsidR="00543D47" w:rsidRPr="008C5C90" w:rsidRDefault="00543D47" w:rsidP="00543D47">
      <w:pPr>
        <w:pStyle w:val="NormalBulleted"/>
        <w:rPr>
          <w:lang w:val="en-GB"/>
        </w:rPr>
      </w:pPr>
      <w:r>
        <w:rPr>
          <w:lang w:val="en-GB"/>
        </w:rPr>
        <w:t>The DMCC</w:t>
      </w:r>
      <w:r w:rsidRPr="008C5C90">
        <w:rPr>
          <w:lang w:val="en-GB"/>
        </w:rPr>
        <w:t xml:space="preserve"> agreed that a 12-month frequency restriction was appropriate to reduce inappropriate vitamin B12 marker testing, given that:</w:t>
      </w:r>
    </w:p>
    <w:p w14:paraId="71A79661" w14:textId="77777777" w:rsidR="00543D47" w:rsidRPr="008C5C90" w:rsidRDefault="00543D47" w:rsidP="00543D47">
      <w:pPr>
        <w:pStyle w:val="NormalBulleted"/>
        <w:numPr>
          <w:ilvl w:val="1"/>
          <w:numId w:val="7"/>
        </w:numPr>
        <w:ind w:left="1276" w:hanging="425"/>
        <w:rPr>
          <w:lang w:val="en-GB"/>
        </w:rPr>
      </w:pPr>
      <w:r w:rsidRPr="008C5C90">
        <w:rPr>
          <w:lang w:val="en-GB"/>
        </w:rPr>
        <w:t>The MSAC’s intention was for vitamin B12 marker testing to be used as a second-line test in a minority of cases. (At present, vitamin B12 marker testing outstrips serum vitamin B12 testing, partly because the vitamin B12 marker test is not subject to a frequency restriction.)</w:t>
      </w:r>
    </w:p>
    <w:p w14:paraId="45410724" w14:textId="77777777" w:rsidR="00543D47" w:rsidRPr="008C5C90" w:rsidRDefault="00543D47" w:rsidP="00543D47">
      <w:pPr>
        <w:pStyle w:val="NormalBulleted"/>
        <w:numPr>
          <w:ilvl w:val="1"/>
          <w:numId w:val="7"/>
        </w:numPr>
        <w:ind w:left="1276" w:hanging="425"/>
        <w:rPr>
          <w:lang w:val="en-GB"/>
        </w:rPr>
      </w:pPr>
      <w:r w:rsidRPr="008C5C90">
        <w:rPr>
          <w:lang w:val="en-GB"/>
        </w:rPr>
        <w:t>MBS data indicated that the 12-month interval was reasonable in more than 90</w:t>
      </w:r>
      <w:r>
        <w:rPr>
          <w:lang w:val="en-GB"/>
        </w:rPr>
        <w:t>%</w:t>
      </w:r>
      <w:r w:rsidRPr="008C5C90">
        <w:rPr>
          <w:lang w:val="en-GB"/>
        </w:rPr>
        <w:t xml:space="preserve"> of cases when the frequency restriction was introduced for the serum vitamin B12 item.</w:t>
      </w:r>
    </w:p>
    <w:p w14:paraId="6ABBCC50" w14:textId="77777777" w:rsidR="00543D47" w:rsidRPr="008C5C90" w:rsidRDefault="00543D47" w:rsidP="00543D47">
      <w:pPr>
        <w:pStyle w:val="NormalBulleted"/>
        <w:numPr>
          <w:ilvl w:val="1"/>
          <w:numId w:val="7"/>
        </w:numPr>
        <w:ind w:left="1276" w:hanging="425"/>
        <w:rPr>
          <w:lang w:val="en-GB"/>
        </w:rPr>
      </w:pPr>
      <w:r w:rsidRPr="008C5C90">
        <w:rPr>
          <w:lang w:val="en-GB"/>
        </w:rPr>
        <w:lastRenderedPageBreak/>
        <w:t>No guidelines exist to support repeat vitamin B12 testing more frequently than annually.</w:t>
      </w:r>
    </w:p>
    <w:p w14:paraId="419A09E8" w14:textId="77777777" w:rsidR="00543D47" w:rsidRPr="008C5C90" w:rsidRDefault="00543D47" w:rsidP="00543D47">
      <w:pPr>
        <w:pStyle w:val="NormalBulleted"/>
        <w:rPr>
          <w:lang w:val="en-GB"/>
        </w:rPr>
      </w:pPr>
      <w:r w:rsidRPr="008C5C90">
        <w:rPr>
          <w:lang w:val="en-GB"/>
        </w:rPr>
        <w:t>After considering the verbal advice from the DMCC, the Committee endorsed the recommendations, which are below.</w:t>
      </w:r>
    </w:p>
    <w:p w14:paraId="4D7AD1E3" w14:textId="77777777" w:rsidR="00543D47" w:rsidRPr="008C5C90" w:rsidRDefault="00543D47" w:rsidP="00543D47">
      <w:pPr>
        <w:keepNext/>
        <w:spacing w:before="240" w:line="240" w:lineRule="auto"/>
        <w:outlineLvl w:val="3"/>
        <w:rPr>
          <w:rFonts w:eastAsiaTheme="minorHAnsi" w:cs="Arial"/>
          <w:bCs/>
          <w:i/>
          <w:color w:val="B56012"/>
          <w:szCs w:val="26"/>
          <w:lang w:val="en-US" w:eastAsia="en-US"/>
        </w:rPr>
      </w:pPr>
      <w:r w:rsidRPr="008C5C90">
        <w:rPr>
          <w:rFonts w:eastAsiaTheme="minorHAnsi" w:cs="Arial"/>
          <w:bCs/>
          <w:i/>
          <w:color w:val="B56012"/>
          <w:szCs w:val="26"/>
          <w:lang w:val="en-US" w:eastAsia="en-US"/>
        </w:rPr>
        <w:t>Recommendations</w:t>
      </w:r>
    </w:p>
    <w:p w14:paraId="7BD2CBAD" w14:textId="77777777" w:rsidR="00543D47" w:rsidRPr="008C5C90" w:rsidRDefault="00543D47" w:rsidP="00543D47">
      <w:pPr>
        <w:pStyle w:val="NormalBulleted"/>
        <w:rPr>
          <w:lang w:val="en-US" w:eastAsia="en-US"/>
        </w:rPr>
      </w:pPr>
      <w:r w:rsidRPr="008C5C90">
        <w:rPr>
          <w:lang w:val="en-US" w:eastAsia="en-US"/>
        </w:rPr>
        <w:t>Add a rule to item 66839 to limit testing to once within a 12-month period</w:t>
      </w:r>
      <w:r>
        <w:rPr>
          <w:lang w:val="en-US" w:eastAsia="en-US"/>
        </w:rPr>
        <w:t>*</w:t>
      </w:r>
      <w:r w:rsidRPr="008C5C90">
        <w:rPr>
          <w:lang w:val="en-US" w:eastAsia="en-US"/>
        </w:rPr>
        <w:t xml:space="preserve"> to match the restriction that is already in place for item 66838. </w:t>
      </w:r>
    </w:p>
    <w:p w14:paraId="60DCA05C" w14:textId="77777777" w:rsidR="00543D47" w:rsidRPr="008C5C90" w:rsidRDefault="00543D47" w:rsidP="00543D47">
      <w:pPr>
        <w:pStyle w:val="NormalBulleted"/>
        <w:rPr>
          <w:lang w:val="en-US" w:eastAsia="en-US"/>
        </w:rPr>
      </w:pPr>
      <w:r w:rsidRPr="008C5C90">
        <w:rPr>
          <w:lang w:val="en-US" w:eastAsia="en-US"/>
        </w:rPr>
        <w:t>Change the descriptors for items 66838 and 66839 to stipulate that lethargy/tiredness alone is not an adequate or appropriate indication for any form of vitamin B12 testing.</w:t>
      </w:r>
    </w:p>
    <w:p w14:paraId="0B00D4A6" w14:textId="77777777" w:rsidR="00543D47" w:rsidRPr="008C5C90" w:rsidRDefault="00543D47" w:rsidP="00543D47">
      <w:pPr>
        <w:pStyle w:val="NormalBulleted"/>
        <w:rPr>
          <w:lang w:val="en-US" w:eastAsia="en-US"/>
        </w:rPr>
      </w:pPr>
      <w:r w:rsidRPr="008C5C90">
        <w:rPr>
          <w:lang w:val="en-US" w:eastAsia="en-US"/>
        </w:rPr>
        <w:t xml:space="preserve">Add an explanatory note to item 66839 detailing that pathology laboratories that bill for quantification of vitamin B12 markers must be performing this test on the same pathology episode that returned the initial low or equivocal serum vitamin B12 result. Amend the item descriptor for item 66839 to reflect same. </w:t>
      </w:r>
    </w:p>
    <w:p w14:paraId="39EA9502" w14:textId="77777777" w:rsidR="00543D47" w:rsidRPr="008C5C90" w:rsidRDefault="00543D47" w:rsidP="00543D47">
      <w:pPr>
        <w:pStyle w:val="NormalBulleted"/>
        <w:rPr>
          <w:lang w:val="en-US" w:eastAsia="en-US"/>
        </w:rPr>
      </w:pPr>
      <w:r w:rsidRPr="008C5C90">
        <w:rPr>
          <w:lang w:val="en-US" w:eastAsia="en-US"/>
        </w:rPr>
        <w:t xml:space="preserve">Establish nationally </w:t>
      </w:r>
      <w:proofErr w:type="spellStart"/>
      <w:r w:rsidRPr="008C5C90">
        <w:rPr>
          <w:lang w:val="en-US" w:eastAsia="en-US"/>
        </w:rPr>
        <w:t>harmonised</w:t>
      </w:r>
      <w:proofErr w:type="spellEnd"/>
      <w:r w:rsidRPr="008C5C90">
        <w:rPr>
          <w:lang w:val="en-US" w:eastAsia="en-US"/>
        </w:rPr>
        <w:t xml:space="preserve"> vitamin B12 limits at which the pathology provider will reflex test for item 66839 in addition to 66838.</w:t>
      </w:r>
      <w:r>
        <w:rPr>
          <w:lang w:val="en-US" w:eastAsia="en-US"/>
        </w:rPr>
        <w:t xml:space="preserve"> </w:t>
      </w:r>
      <w:r w:rsidRPr="008C5C90">
        <w:rPr>
          <w:lang w:val="en-US" w:eastAsia="en-US"/>
        </w:rPr>
        <w:t xml:space="preserve">The Committee recommends that the taskforce request the Royal College of Pathologists of Australasia to help establish these limits. </w:t>
      </w:r>
    </w:p>
    <w:p w14:paraId="77634A1C" w14:textId="77777777" w:rsidR="00543D47" w:rsidRPr="008C5C90" w:rsidRDefault="00543D47" w:rsidP="00543D47">
      <w:pPr>
        <w:pStyle w:val="NormalBulleted"/>
        <w:rPr>
          <w:lang w:val="en-US" w:eastAsia="en-US"/>
        </w:rPr>
      </w:pPr>
      <w:r w:rsidRPr="008C5C90">
        <w:rPr>
          <w:lang w:val="en-US" w:eastAsia="en-US"/>
        </w:rPr>
        <w:t xml:space="preserve">If laboratories adopt nationally </w:t>
      </w:r>
      <w:proofErr w:type="spellStart"/>
      <w:r w:rsidRPr="008C5C90">
        <w:rPr>
          <w:lang w:val="en-US" w:eastAsia="en-US"/>
        </w:rPr>
        <w:t>harmonised</w:t>
      </w:r>
      <w:proofErr w:type="spellEnd"/>
      <w:r w:rsidRPr="008C5C90">
        <w:rPr>
          <w:lang w:val="en-US" w:eastAsia="en-US"/>
        </w:rPr>
        <w:t xml:space="preserve"> limits for reflex testing for vitamin B12 markers (instead of independently setting these ranges), item 66839 will continue to be a pathologist-determinable test. This recommendation should be reviewed 12 months after submission of this report if a nationally </w:t>
      </w:r>
      <w:proofErr w:type="spellStart"/>
      <w:r w:rsidRPr="008C5C90">
        <w:rPr>
          <w:lang w:val="en-US" w:eastAsia="en-US"/>
        </w:rPr>
        <w:t>harmonised</w:t>
      </w:r>
      <w:proofErr w:type="spellEnd"/>
      <w:r w:rsidRPr="008C5C90">
        <w:rPr>
          <w:lang w:val="en-US" w:eastAsia="en-US"/>
        </w:rPr>
        <w:t xml:space="preserve"> limit for reflex testing for vitamin B12 markers has not been achieved.</w:t>
      </w:r>
    </w:p>
    <w:p w14:paraId="371F12F4" w14:textId="77777777" w:rsidR="00543D47" w:rsidRPr="008C5C90" w:rsidRDefault="00543D47" w:rsidP="00543D47">
      <w:pPr>
        <w:pStyle w:val="NormalBulleted"/>
        <w:rPr>
          <w:lang w:val="en-US" w:eastAsia="en-US"/>
        </w:rPr>
      </w:pPr>
      <w:r w:rsidRPr="008C5C90">
        <w:rPr>
          <w:lang w:val="en-US" w:eastAsia="en-US"/>
        </w:rPr>
        <w:t xml:space="preserve">Provide requestor education on appropriate testing frequency. </w:t>
      </w:r>
    </w:p>
    <w:p w14:paraId="3E26DB01" w14:textId="77777777" w:rsidR="00543D47" w:rsidRDefault="00543D47" w:rsidP="00543D47">
      <w:pPr>
        <w:pStyle w:val="NormalBulleted"/>
        <w:rPr>
          <w:lang w:val="en-US" w:eastAsia="en-US"/>
        </w:rPr>
      </w:pPr>
      <w:r w:rsidRPr="008C5C90">
        <w:rPr>
          <w:lang w:val="en-US" w:eastAsia="en-US"/>
        </w:rPr>
        <w:t>Provide consumer education on the above changes.</w:t>
      </w:r>
    </w:p>
    <w:p w14:paraId="73AC9053" w14:textId="77777777" w:rsidR="00543D47" w:rsidRPr="008C5C90" w:rsidRDefault="00543D47" w:rsidP="00543D47">
      <w:pPr>
        <w:keepNext/>
        <w:spacing w:before="240" w:line="240" w:lineRule="auto"/>
        <w:outlineLvl w:val="3"/>
        <w:rPr>
          <w:rFonts w:eastAsiaTheme="minorHAnsi" w:cs="Arial"/>
          <w:bCs/>
          <w:i/>
          <w:color w:val="B56012"/>
          <w:szCs w:val="26"/>
          <w:lang w:val="en-US" w:eastAsia="en-US"/>
        </w:rPr>
      </w:pPr>
      <w:r w:rsidRPr="008C5C90">
        <w:rPr>
          <w:rFonts w:eastAsiaTheme="minorHAnsi" w:cs="Arial"/>
          <w:bCs/>
          <w:i/>
          <w:color w:val="B56012"/>
          <w:szCs w:val="26"/>
          <w:lang w:val="en-US" w:eastAsia="en-US"/>
        </w:rPr>
        <w:t>Rationale</w:t>
      </w:r>
    </w:p>
    <w:p w14:paraId="3E29AD9F" w14:textId="77777777" w:rsidR="00543D47" w:rsidRPr="008C5C90" w:rsidRDefault="00543D47" w:rsidP="00543D47">
      <w:pPr>
        <w:pStyle w:val="NormalBulleted"/>
        <w:rPr>
          <w:lang w:val="en-US" w:eastAsia="en-US"/>
        </w:rPr>
      </w:pPr>
      <w:r w:rsidRPr="008C5C90">
        <w:rPr>
          <w:lang w:val="en-US" w:eastAsia="en-US"/>
        </w:rPr>
        <w:t xml:space="preserve">A review of vitamin B12 testing was initiated in 2014 following an increase in the </w:t>
      </w:r>
      <w:proofErr w:type="spellStart"/>
      <w:r w:rsidRPr="008C5C90">
        <w:rPr>
          <w:lang w:val="en-US" w:eastAsia="en-US"/>
        </w:rPr>
        <w:t>utilisation</w:t>
      </w:r>
      <w:proofErr w:type="spellEnd"/>
      <w:r w:rsidRPr="008C5C90">
        <w:rPr>
          <w:lang w:val="en-US" w:eastAsia="en-US"/>
        </w:rPr>
        <w:t xml:space="preserve"> of the (then) items: 66599 and 66602. During the financial year 2012/2013, there were 618,744 services provided that equated to $12.4 million for item 66599 and more than 2 million services provided at a cost of $78.5 million for item 66602.</w:t>
      </w:r>
    </w:p>
    <w:p w14:paraId="5FF69523" w14:textId="77777777" w:rsidR="00543D47" w:rsidRPr="008C5C90" w:rsidRDefault="00543D47" w:rsidP="00543D47">
      <w:pPr>
        <w:pStyle w:val="NormalBulleted"/>
        <w:rPr>
          <w:lang w:val="en-US" w:eastAsia="en-US"/>
        </w:rPr>
      </w:pPr>
      <w:r w:rsidRPr="008C5C90">
        <w:rPr>
          <w:lang w:val="en-US" w:eastAsia="en-US"/>
        </w:rPr>
        <w:t>A review of folate testing occurred concurrently with vitamin B12 testing because the MBS item descriptors included serum folate/red cell folate and vitamin B12 and it was difficult to identify which test or tests were being ordered at a patient level.</w:t>
      </w:r>
    </w:p>
    <w:p w14:paraId="11C43A88" w14:textId="77777777" w:rsidR="00543D47" w:rsidRPr="008C5C90" w:rsidRDefault="00543D47" w:rsidP="00543D47">
      <w:pPr>
        <w:pStyle w:val="NormalBulleted"/>
        <w:rPr>
          <w:lang w:val="en-US" w:eastAsia="en-US"/>
        </w:rPr>
      </w:pPr>
      <w:r w:rsidRPr="008C5C90">
        <w:rPr>
          <w:lang w:val="en-US" w:eastAsia="en-US"/>
        </w:rPr>
        <w:t xml:space="preserve">Following a review, including an evidence review and a review of analytical methods used for vitamin B12 testing, MSAC decided to split serum folate/red cell folate and vitamin B12. It was recommended that </w:t>
      </w:r>
      <w:r>
        <w:rPr>
          <w:lang w:val="en-US" w:eastAsia="en-US"/>
        </w:rPr>
        <w:t xml:space="preserve">a </w:t>
      </w:r>
      <w:r w:rsidRPr="008C5C90">
        <w:rPr>
          <w:lang w:val="en-US" w:eastAsia="en-US"/>
        </w:rPr>
        <w:t>GP education program on vitamin B12 testing be implemented to introduce the change and encourage best practice.</w:t>
      </w:r>
    </w:p>
    <w:p w14:paraId="30062C94" w14:textId="77777777" w:rsidR="00543D47" w:rsidRPr="008C5C90" w:rsidRDefault="00543D47" w:rsidP="00543D47">
      <w:pPr>
        <w:pStyle w:val="NormalBulleted"/>
        <w:rPr>
          <w:lang w:val="en-US" w:eastAsia="en-US"/>
        </w:rPr>
      </w:pPr>
      <w:r w:rsidRPr="008C5C90">
        <w:rPr>
          <w:lang w:val="en-US" w:eastAsia="en-US"/>
        </w:rPr>
        <w:t>In 2014, two separate MBS items were created for:</w:t>
      </w:r>
    </w:p>
    <w:p w14:paraId="77E8F3F1" w14:textId="77777777" w:rsidR="00543D47" w:rsidRPr="008C5C90" w:rsidRDefault="00543D47" w:rsidP="00543D47">
      <w:pPr>
        <w:pStyle w:val="NormalBulleted"/>
        <w:numPr>
          <w:ilvl w:val="1"/>
          <w:numId w:val="7"/>
        </w:numPr>
        <w:ind w:left="1276" w:hanging="425"/>
        <w:rPr>
          <w:lang w:val="en-US" w:eastAsia="en-US"/>
        </w:rPr>
      </w:pPr>
      <w:r w:rsidRPr="008C5C90">
        <w:rPr>
          <w:lang w:val="en-US" w:eastAsia="en-US"/>
        </w:rPr>
        <w:t xml:space="preserve">serum </w:t>
      </w:r>
      <w:r w:rsidRPr="005C3A1E">
        <w:rPr>
          <w:lang w:val="en-GB"/>
        </w:rPr>
        <w:t>vitamin</w:t>
      </w:r>
      <w:r w:rsidRPr="008C5C90">
        <w:rPr>
          <w:lang w:val="en-US" w:eastAsia="en-US"/>
        </w:rPr>
        <w:t xml:space="preserve"> B12 (benefits payable once in a 12-month period)</w:t>
      </w:r>
    </w:p>
    <w:p w14:paraId="3EE35E03" w14:textId="77777777" w:rsidR="00543D47" w:rsidRPr="008C5C90" w:rsidRDefault="00543D47" w:rsidP="00543D47">
      <w:pPr>
        <w:pStyle w:val="NormalBulleted"/>
        <w:numPr>
          <w:ilvl w:val="1"/>
          <w:numId w:val="7"/>
        </w:numPr>
        <w:ind w:left="1276" w:hanging="425"/>
        <w:rPr>
          <w:lang w:val="en-US" w:eastAsia="en-US"/>
        </w:rPr>
      </w:pPr>
      <w:r w:rsidRPr="008C5C90">
        <w:rPr>
          <w:lang w:val="en-US" w:eastAsia="en-US"/>
        </w:rPr>
        <w:lastRenderedPageBreak/>
        <w:t xml:space="preserve">quantification of </w:t>
      </w:r>
      <w:r w:rsidRPr="005C3A1E">
        <w:rPr>
          <w:lang w:val="en-GB"/>
        </w:rPr>
        <w:t>vitamin</w:t>
      </w:r>
      <w:r>
        <w:rPr>
          <w:lang w:val="en-US" w:eastAsia="en-US"/>
        </w:rPr>
        <w:t xml:space="preserve"> B12 markers such as </w:t>
      </w:r>
      <w:proofErr w:type="spellStart"/>
      <w:r>
        <w:rPr>
          <w:lang w:val="en-US" w:eastAsia="en-US"/>
        </w:rPr>
        <w:t>holotr</w:t>
      </w:r>
      <w:r w:rsidRPr="008C5C90">
        <w:rPr>
          <w:lang w:val="en-US" w:eastAsia="en-US"/>
        </w:rPr>
        <w:t>anscobalamin</w:t>
      </w:r>
      <w:proofErr w:type="spellEnd"/>
      <w:r w:rsidRPr="008C5C90">
        <w:rPr>
          <w:lang w:val="en-US" w:eastAsia="en-US"/>
        </w:rPr>
        <w:t xml:space="preserve"> or methylmalonic acid when initial serum vitamin B12 is low or equivocal.</w:t>
      </w:r>
    </w:p>
    <w:p w14:paraId="339A5D80" w14:textId="77777777" w:rsidR="00543D47" w:rsidRPr="008C5C90" w:rsidRDefault="00543D47" w:rsidP="00543D47">
      <w:pPr>
        <w:pStyle w:val="NormalBulleted"/>
        <w:rPr>
          <w:lang w:val="en-US" w:eastAsia="en-US"/>
        </w:rPr>
      </w:pPr>
      <w:r w:rsidRPr="008C5C90">
        <w:rPr>
          <w:lang w:val="en-US" w:eastAsia="en-US"/>
        </w:rPr>
        <w:t xml:space="preserve">The vitamin B12 marker test was made a pathologist-determinable test, so that the laboratory can conduct the quantification test without referring to the requesting provider, after finding a low or equivocal result with the </w:t>
      </w:r>
      <w:r>
        <w:rPr>
          <w:lang w:val="en-US" w:eastAsia="en-US"/>
        </w:rPr>
        <w:t>serum B12 test. MSAC proposed a</w:t>
      </w:r>
      <w:r w:rsidRPr="008C5C90">
        <w:rPr>
          <w:lang w:val="en-US" w:eastAsia="en-US"/>
        </w:rPr>
        <w:t xml:space="preserve"> fee of $23.60 for serum vitamin B12 test</w:t>
      </w:r>
      <w:r>
        <w:rPr>
          <w:lang w:val="en-US" w:eastAsia="en-US"/>
        </w:rPr>
        <w:t xml:space="preserve"> and a fee of $</w:t>
      </w:r>
      <w:r w:rsidRPr="005B653D">
        <w:rPr>
          <w:lang w:val="en-US" w:eastAsia="en-US"/>
        </w:rPr>
        <w:t>42.95</w:t>
      </w:r>
      <w:r>
        <w:rPr>
          <w:lang w:val="en-US" w:eastAsia="en-US"/>
        </w:rPr>
        <w:t xml:space="preserve"> for the vitamin B12 marker test</w:t>
      </w:r>
      <w:r w:rsidRPr="008C5C90">
        <w:rPr>
          <w:lang w:val="en-US" w:eastAsia="en-US"/>
        </w:rPr>
        <w:t>.</w:t>
      </w:r>
    </w:p>
    <w:p w14:paraId="4401CB1F" w14:textId="77777777" w:rsidR="00543D47" w:rsidRPr="008C5C90" w:rsidRDefault="00543D47" w:rsidP="00543D47">
      <w:pPr>
        <w:pStyle w:val="NormalBulleted"/>
        <w:rPr>
          <w:lang w:val="en-US" w:eastAsia="en-US"/>
        </w:rPr>
      </w:pPr>
      <w:r w:rsidRPr="008C5C90">
        <w:rPr>
          <w:lang w:val="en-US" w:eastAsia="en-US"/>
        </w:rPr>
        <w:t>During financial year 2014/2015, there were 1,338,161 services provided at a cost of $26,909,434 for item 66838 and 1,100,598 services provided at a cost of $40,423,209 for item 66839.</w:t>
      </w:r>
    </w:p>
    <w:p w14:paraId="13DA3304" w14:textId="77777777" w:rsidR="00543D47" w:rsidRPr="008C5C90" w:rsidRDefault="00543D47" w:rsidP="00543D47">
      <w:pPr>
        <w:pStyle w:val="NormalBulleted"/>
        <w:rPr>
          <w:lang w:val="en-US" w:eastAsia="en-US"/>
        </w:rPr>
      </w:pPr>
      <w:r w:rsidRPr="008C5C90">
        <w:rPr>
          <w:lang w:val="en-US" w:eastAsia="en-US"/>
        </w:rPr>
        <w:t>During financial year 2015/2016, there were 1,149,208 services provided at a cost of $23,090,315 for item 66838 and 1,556,982 services provided at a cost of $57,067,536 for item 66839.</w:t>
      </w:r>
    </w:p>
    <w:p w14:paraId="34E3D042" w14:textId="77777777" w:rsidR="00543D47" w:rsidRPr="008C5C90" w:rsidRDefault="00543D47" w:rsidP="00543D47">
      <w:pPr>
        <w:pStyle w:val="NormalBulleted"/>
        <w:rPr>
          <w:lang w:val="en-US" w:eastAsia="en-US"/>
        </w:rPr>
      </w:pPr>
      <w:r w:rsidRPr="008C5C90">
        <w:rPr>
          <w:lang w:val="en-US" w:eastAsia="en-US"/>
        </w:rPr>
        <w:t xml:space="preserve">There are </w:t>
      </w:r>
      <w:proofErr w:type="gramStart"/>
      <w:r w:rsidRPr="008C5C90">
        <w:rPr>
          <w:lang w:val="en-US" w:eastAsia="en-US"/>
        </w:rPr>
        <w:t>a number of</w:t>
      </w:r>
      <w:proofErr w:type="gramEnd"/>
      <w:r w:rsidRPr="008C5C90">
        <w:rPr>
          <w:lang w:val="en-US" w:eastAsia="en-US"/>
        </w:rPr>
        <w:t xml:space="preserve"> patients </w:t>
      </w:r>
      <w:r>
        <w:rPr>
          <w:lang w:val="en-US" w:eastAsia="en-US"/>
        </w:rPr>
        <w:t>who</w:t>
      </w:r>
      <w:r w:rsidRPr="008C5C90">
        <w:rPr>
          <w:lang w:val="en-US" w:eastAsia="en-US"/>
        </w:rPr>
        <w:t xml:space="preserve"> have several determinations of 66389 made in one year, while the limit for vitamin B12 testing was one test per year.</w:t>
      </w:r>
    </w:p>
    <w:p w14:paraId="22B94979" w14:textId="77777777" w:rsidR="00543D47" w:rsidRPr="008C5C90" w:rsidRDefault="00543D47" w:rsidP="00543D47">
      <w:pPr>
        <w:pStyle w:val="NormalBulleted"/>
        <w:rPr>
          <w:lang w:val="en-US" w:eastAsia="en-US"/>
        </w:rPr>
      </w:pPr>
      <w:r>
        <w:rPr>
          <w:lang w:val="en-US" w:eastAsia="en-US"/>
        </w:rPr>
        <w:t>The recommendation of the C</w:t>
      </w:r>
      <w:r w:rsidRPr="008C5C90">
        <w:rPr>
          <w:lang w:val="en-US" w:eastAsia="en-US"/>
        </w:rPr>
        <w:t xml:space="preserve">ommittee is that the pathology </w:t>
      </w:r>
      <w:r>
        <w:rPr>
          <w:lang w:val="en-US" w:eastAsia="en-US"/>
        </w:rPr>
        <w:t>industry agrees on a common cut-</w:t>
      </w:r>
      <w:r w:rsidRPr="008C5C90">
        <w:rPr>
          <w:lang w:val="en-US" w:eastAsia="en-US"/>
        </w:rPr>
        <w:t>off level for vitamin B12 levels</w:t>
      </w:r>
      <w:r>
        <w:rPr>
          <w:lang w:val="en-US" w:eastAsia="en-US"/>
        </w:rPr>
        <w:t>,</w:t>
      </w:r>
      <w:r w:rsidRPr="008C5C90">
        <w:rPr>
          <w:lang w:val="en-US" w:eastAsia="en-US"/>
        </w:rPr>
        <w:t xml:space="preserve"> below which testing with 66389 is indicated.</w:t>
      </w:r>
    </w:p>
    <w:p w14:paraId="39446419" w14:textId="77777777" w:rsidR="00543D47" w:rsidRDefault="00543D47" w:rsidP="00543D47">
      <w:pPr>
        <w:pStyle w:val="NormalBulleted"/>
        <w:rPr>
          <w:lang w:val="en-US" w:eastAsia="en-US"/>
        </w:rPr>
      </w:pPr>
      <w:r w:rsidRPr="008C5C90">
        <w:rPr>
          <w:lang w:val="en-US" w:eastAsia="en-US"/>
        </w:rPr>
        <w:t>The frequency of the testing is limited to one test per year.</w:t>
      </w:r>
    </w:p>
    <w:p w14:paraId="0FC0F551" w14:textId="77777777" w:rsidR="00543D47" w:rsidRDefault="00543D47" w:rsidP="00543D47">
      <w:pPr>
        <w:rPr>
          <w:lang w:val="en-US" w:eastAsia="en-US"/>
        </w:rPr>
      </w:pPr>
      <w:r>
        <w:t xml:space="preserve">* The Committee recognises that agreement to the proposed items is not unanimous. An alternate view and concern </w:t>
      </w:r>
      <w:proofErr w:type="gramStart"/>
      <w:r>
        <w:t>has</w:t>
      </w:r>
      <w:proofErr w:type="gramEnd"/>
      <w:r>
        <w:t xml:space="preserve"> been described below: </w:t>
      </w:r>
    </w:p>
    <w:p w14:paraId="788FDCEB" w14:textId="77777777" w:rsidR="00543D47" w:rsidRPr="004452FD" w:rsidRDefault="00543D47" w:rsidP="00543D47">
      <w:pPr>
        <w:keepNext/>
        <w:spacing w:before="240" w:line="240" w:lineRule="auto"/>
        <w:outlineLvl w:val="3"/>
        <w:rPr>
          <w:rFonts w:ascii="Calibri" w:eastAsia="Calibri" w:hAnsi="Calibri" w:cs="Arial"/>
          <w:bCs/>
          <w:i/>
          <w:color w:val="C0504D" w:themeColor="accent2"/>
          <w:szCs w:val="26"/>
          <w:lang w:val="en-US"/>
        </w:rPr>
      </w:pPr>
      <w:r w:rsidRPr="004452FD">
        <w:rPr>
          <w:rFonts w:ascii="Calibri" w:eastAsia="Calibri" w:hAnsi="Calibri" w:cs="Arial"/>
          <w:bCs/>
          <w:i/>
          <w:color w:val="C0504D" w:themeColor="accent2"/>
          <w:szCs w:val="26"/>
          <w:lang w:val="en-US"/>
        </w:rPr>
        <w:t>Alternative point</w:t>
      </w:r>
      <w:r>
        <w:rPr>
          <w:rFonts w:ascii="Calibri" w:eastAsia="Calibri" w:hAnsi="Calibri" w:cs="Arial"/>
          <w:bCs/>
          <w:i/>
          <w:color w:val="C0504D" w:themeColor="accent2"/>
          <w:szCs w:val="26"/>
          <w:lang w:val="en-US"/>
        </w:rPr>
        <w:t xml:space="preserve"> </w:t>
      </w:r>
      <w:r w:rsidRPr="004452FD">
        <w:rPr>
          <w:rFonts w:ascii="Calibri" w:eastAsia="Calibri" w:hAnsi="Calibri" w:cs="Arial"/>
          <w:bCs/>
          <w:i/>
          <w:color w:val="C0504D" w:themeColor="accent2"/>
          <w:szCs w:val="26"/>
          <w:lang w:val="en-US"/>
        </w:rPr>
        <w:t xml:space="preserve">for consideration </w:t>
      </w:r>
    </w:p>
    <w:p w14:paraId="421B21ED" w14:textId="77777777" w:rsidR="00543D47" w:rsidRPr="00F778FB" w:rsidRDefault="00543D47" w:rsidP="00543D47">
      <w:pPr>
        <w:rPr>
          <w:lang w:val="en-US" w:eastAsia="en-US"/>
        </w:rPr>
      </w:pPr>
      <w:r>
        <w:t>Allowance should be made to confirm a B12 deficient result before lifelong therapy and this should be included in the item descriptor.</w:t>
      </w:r>
    </w:p>
    <w:p w14:paraId="25F152FF" w14:textId="77777777" w:rsidR="00543D47" w:rsidRPr="008C5C90" w:rsidRDefault="00543D47" w:rsidP="00543D47">
      <w:pPr>
        <w:keepNext/>
        <w:numPr>
          <w:ilvl w:val="2"/>
          <w:numId w:val="0"/>
        </w:numPr>
        <w:spacing w:before="120" w:after="120"/>
        <w:ind w:left="720" w:hanging="720"/>
        <w:outlineLvl w:val="2"/>
        <w:rPr>
          <w:rFonts w:eastAsiaTheme="minorHAnsi" w:cs="Arial"/>
          <w:b/>
          <w:bCs/>
          <w:i/>
          <w:iCs/>
          <w:color w:val="B56011"/>
          <w:sz w:val="24"/>
          <w:szCs w:val="22"/>
          <w:lang w:val="en-US" w:eastAsia="en-US"/>
        </w:rPr>
      </w:pPr>
      <w:r w:rsidRPr="008C5C90">
        <w:rPr>
          <w:rFonts w:eastAsiaTheme="minorHAnsi" w:cs="Arial"/>
          <w:b/>
          <w:bCs/>
          <w:i/>
          <w:iCs/>
          <w:color w:val="B56011"/>
          <w:sz w:val="24"/>
          <w:szCs w:val="22"/>
          <w:lang w:val="en-US" w:eastAsia="en-US"/>
        </w:rPr>
        <w:t>Folate testing</w:t>
      </w:r>
    </w:p>
    <w:p w14:paraId="3609C892" w14:textId="77777777" w:rsidR="00543D47" w:rsidRPr="008C5C90" w:rsidRDefault="00543D47" w:rsidP="00543D47">
      <w:pPr>
        <w:pStyle w:val="Caption"/>
      </w:pPr>
      <w:bookmarkStart w:id="184" w:name="_Toc534374974"/>
      <w:r w:rsidRPr="008C5C90">
        <w:t xml:space="preserve">Table </w:t>
      </w:r>
      <w:r>
        <w:t>61</w:t>
      </w:r>
      <w:r w:rsidRPr="008C5C90">
        <w:t>. Item introduction table for item 66840</w:t>
      </w:r>
      <w:bookmarkEnd w:id="184"/>
    </w:p>
    <w:tbl>
      <w:tblPr>
        <w:tblStyle w:val="TableGrid"/>
        <w:tblW w:w="9019" w:type="dxa"/>
        <w:tblBorders>
          <w:insideV w:val="single" w:sz="4" w:space="0" w:color="984806" w:themeColor="accent6" w:themeShade="80"/>
        </w:tblBorders>
        <w:tblLayout w:type="fixed"/>
        <w:tblLook w:val="04A0" w:firstRow="1" w:lastRow="0" w:firstColumn="1" w:lastColumn="0" w:noHBand="0" w:noVBand="1"/>
        <w:tblCaption w:val="Table 61. Item introduction table for item 66840"/>
        <w:tblDescription w:val="Table 61 has 7 columns. Column 1 lsits the item number, column 2 lists the item descriptor, column 3 lists the schedule fee, column 4 lists the benefits paid in FY 2014-15, column 5 lists the servcies in FY 2014-15, column 6 lists the patient count for FY 2014-15 and column 7 lists the percentage change in servcies over a 5 year period"/>
      </w:tblPr>
      <w:tblGrid>
        <w:gridCol w:w="703"/>
        <w:gridCol w:w="2857"/>
        <w:gridCol w:w="1066"/>
        <w:gridCol w:w="1219"/>
        <w:gridCol w:w="1060"/>
        <w:gridCol w:w="1060"/>
        <w:gridCol w:w="1054"/>
      </w:tblGrid>
      <w:tr w:rsidR="00543D47" w:rsidRPr="008C5C90" w14:paraId="3E9D8DFC" w14:textId="77777777" w:rsidTr="00D9610A">
        <w:trPr>
          <w:tblHeader/>
        </w:trPr>
        <w:tc>
          <w:tcPr>
            <w:tcW w:w="703" w:type="dxa"/>
            <w:vAlign w:val="center"/>
          </w:tcPr>
          <w:p w14:paraId="30604AE7" w14:textId="77777777" w:rsidR="00543D47" w:rsidRPr="008C5C90" w:rsidRDefault="00543D47" w:rsidP="00D9610A">
            <w:pPr>
              <w:rPr>
                <w:rFonts w:cs="Arial"/>
                <w:sz w:val="18"/>
                <w:szCs w:val="18"/>
              </w:rPr>
            </w:pPr>
            <w:r w:rsidRPr="008C5C90">
              <w:rPr>
                <w:rFonts w:cs="Arial"/>
                <w:b/>
                <w:color w:val="000000"/>
                <w:sz w:val="18"/>
                <w:szCs w:val="18"/>
              </w:rPr>
              <w:t>Item</w:t>
            </w:r>
          </w:p>
        </w:tc>
        <w:tc>
          <w:tcPr>
            <w:tcW w:w="2857" w:type="dxa"/>
            <w:vAlign w:val="center"/>
          </w:tcPr>
          <w:p w14:paraId="79264CCB" w14:textId="77777777" w:rsidR="00543D47" w:rsidRPr="008C5C90" w:rsidRDefault="00543D47" w:rsidP="00D9610A">
            <w:pPr>
              <w:rPr>
                <w:rFonts w:cs="Arial"/>
                <w:sz w:val="18"/>
                <w:szCs w:val="18"/>
              </w:rPr>
            </w:pPr>
            <w:r w:rsidRPr="008C5C90">
              <w:rPr>
                <w:rFonts w:cs="Arial"/>
                <w:b/>
                <w:color w:val="000000"/>
                <w:sz w:val="18"/>
                <w:szCs w:val="18"/>
              </w:rPr>
              <w:t>Long item descriptor</w:t>
            </w:r>
          </w:p>
        </w:tc>
        <w:tc>
          <w:tcPr>
            <w:tcW w:w="1066" w:type="dxa"/>
            <w:vAlign w:val="center"/>
          </w:tcPr>
          <w:p w14:paraId="4D5CEF85" w14:textId="77777777" w:rsidR="00543D47" w:rsidRPr="005C3A1E" w:rsidRDefault="00543D47" w:rsidP="00D9610A">
            <w:pPr>
              <w:spacing w:after="0" w:line="240" w:lineRule="auto"/>
              <w:rPr>
                <w:rFonts w:cs="Arial"/>
                <w:b/>
                <w:color w:val="000000"/>
                <w:sz w:val="18"/>
                <w:szCs w:val="18"/>
              </w:rPr>
            </w:pPr>
            <w:r>
              <w:rPr>
                <w:rFonts w:cs="Arial"/>
                <w:b/>
                <w:color w:val="000000"/>
                <w:sz w:val="18"/>
                <w:szCs w:val="18"/>
              </w:rPr>
              <w:t>Schedule f</w:t>
            </w:r>
            <w:r w:rsidRPr="008C5C90">
              <w:rPr>
                <w:rFonts w:cs="Arial"/>
                <w:b/>
                <w:color w:val="000000"/>
                <w:sz w:val="18"/>
                <w:szCs w:val="18"/>
              </w:rPr>
              <w:t>ee</w:t>
            </w:r>
          </w:p>
        </w:tc>
        <w:tc>
          <w:tcPr>
            <w:tcW w:w="1219" w:type="dxa"/>
            <w:vAlign w:val="center"/>
          </w:tcPr>
          <w:p w14:paraId="015DB130" w14:textId="77777777" w:rsidR="00543D47" w:rsidRPr="008C5C90" w:rsidRDefault="00543D47" w:rsidP="00D9610A">
            <w:pPr>
              <w:rPr>
                <w:rFonts w:cs="Arial"/>
                <w:sz w:val="18"/>
                <w:szCs w:val="18"/>
              </w:rPr>
            </w:pPr>
            <w:r w:rsidRPr="008C5C90">
              <w:rPr>
                <w:rFonts w:cs="Arial"/>
                <w:b/>
                <w:color w:val="000000"/>
                <w:sz w:val="18"/>
                <w:szCs w:val="18"/>
              </w:rPr>
              <w:t xml:space="preserve">Benefits </w:t>
            </w:r>
            <w:r>
              <w:rPr>
                <w:rFonts w:cs="Arial"/>
                <w:b/>
                <w:color w:val="000000"/>
                <w:sz w:val="18"/>
                <w:szCs w:val="18"/>
              </w:rPr>
              <w:br/>
            </w:r>
            <w:r w:rsidRPr="008C5C90">
              <w:rPr>
                <w:rFonts w:cs="Arial"/>
                <w:b/>
                <w:color w:val="000000"/>
                <w:sz w:val="18"/>
                <w:szCs w:val="18"/>
              </w:rPr>
              <w:t>FY</w:t>
            </w:r>
            <w:r>
              <w:rPr>
                <w:rFonts w:cs="Arial"/>
                <w:b/>
                <w:color w:val="000000"/>
                <w:sz w:val="18"/>
                <w:szCs w:val="18"/>
              </w:rPr>
              <w:t xml:space="preserve"> </w:t>
            </w:r>
            <w:r w:rsidRPr="008C5C90">
              <w:rPr>
                <w:rFonts w:cs="Arial"/>
                <w:b/>
                <w:color w:val="000000"/>
                <w:sz w:val="18"/>
                <w:szCs w:val="18"/>
              </w:rPr>
              <w:t>2014-15</w:t>
            </w:r>
          </w:p>
        </w:tc>
        <w:tc>
          <w:tcPr>
            <w:tcW w:w="1060" w:type="dxa"/>
            <w:vAlign w:val="center"/>
          </w:tcPr>
          <w:p w14:paraId="0263392F" w14:textId="77777777" w:rsidR="00543D47" w:rsidRPr="008C5C90" w:rsidRDefault="00543D47" w:rsidP="00D9610A">
            <w:pPr>
              <w:rPr>
                <w:rFonts w:cs="Arial"/>
                <w:sz w:val="18"/>
                <w:szCs w:val="18"/>
              </w:rPr>
            </w:pPr>
            <w:r w:rsidRPr="008C5C90">
              <w:rPr>
                <w:rFonts w:cs="Arial"/>
                <w:b/>
                <w:color w:val="000000"/>
                <w:sz w:val="18"/>
                <w:szCs w:val="18"/>
              </w:rPr>
              <w:t xml:space="preserve">Services </w:t>
            </w:r>
            <w:r>
              <w:rPr>
                <w:rFonts w:cs="Arial"/>
                <w:b/>
                <w:color w:val="000000"/>
                <w:sz w:val="18"/>
                <w:szCs w:val="18"/>
              </w:rPr>
              <w:br/>
            </w:r>
            <w:r w:rsidRPr="008C5C90">
              <w:rPr>
                <w:rFonts w:cs="Arial"/>
                <w:b/>
                <w:color w:val="000000"/>
                <w:sz w:val="18"/>
                <w:szCs w:val="18"/>
              </w:rPr>
              <w:t>FY</w:t>
            </w:r>
            <w:r>
              <w:rPr>
                <w:rFonts w:cs="Arial"/>
                <w:b/>
                <w:color w:val="000000"/>
                <w:sz w:val="18"/>
                <w:szCs w:val="18"/>
              </w:rPr>
              <w:t xml:space="preserve"> </w:t>
            </w:r>
            <w:r w:rsidRPr="008C5C90">
              <w:rPr>
                <w:rFonts w:cs="Arial"/>
                <w:b/>
                <w:color w:val="000000"/>
                <w:sz w:val="18"/>
                <w:szCs w:val="18"/>
              </w:rPr>
              <w:t>2014-15</w:t>
            </w:r>
          </w:p>
        </w:tc>
        <w:tc>
          <w:tcPr>
            <w:tcW w:w="1060" w:type="dxa"/>
            <w:vAlign w:val="center"/>
          </w:tcPr>
          <w:p w14:paraId="33958323" w14:textId="77777777" w:rsidR="00543D47" w:rsidRPr="008C5C90" w:rsidRDefault="00543D47" w:rsidP="00D9610A">
            <w:pPr>
              <w:rPr>
                <w:rFonts w:cs="Arial"/>
                <w:sz w:val="18"/>
                <w:szCs w:val="18"/>
              </w:rPr>
            </w:pPr>
            <w:r w:rsidRPr="008C5C90">
              <w:rPr>
                <w:rFonts w:cs="Arial"/>
                <w:b/>
                <w:color w:val="000000"/>
                <w:sz w:val="18"/>
                <w:szCs w:val="18"/>
              </w:rPr>
              <w:t>Patient count 2014-15</w:t>
            </w:r>
          </w:p>
        </w:tc>
        <w:tc>
          <w:tcPr>
            <w:tcW w:w="1054" w:type="dxa"/>
            <w:vAlign w:val="center"/>
          </w:tcPr>
          <w:p w14:paraId="09D4AA7F" w14:textId="77777777" w:rsidR="00543D47" w:rsidRPr="008C5C90" w:rsidRDefault="00543D47" w:rsidP="00D9610A">
            <w:pPr>
              <w:rPr>
                <w:rFonts w:cs="Arial"/>
                <w:sz w:val="18"/>
                <w:szCs w:val="18"/>
              </w:rPr>
            </w:pPr>
            <w:r>
              <w:rPr>
                <w:rFonts w:cs="Arial"/>
                <w:b/>
                <w:color w:val="000000"/>
                <w:sz w:val="18"/>
                <w:szCs w:val="18"/>
              </w:rPr>
              <w:t>5-year service</w:t>
            </w:r>
            <w:r w:rsidRPr="008C5C90">
              <w:rPr>
                <w:rFonts w:cs="Arial"/>
                <w:b/>
                <w:color w:val="000000"/>
                <w:sz w:val="18"/>
                <w:szCs w:val="18"/>
              </w:rPr>
              <w:t xml:space="preserve"> change % (CAGR)</w:t>
            </w:r>
          </w:p>
        </w:tc>
      </w:tr>
      <w:tr w:rsidR="00543D47" w:rsidRPr="008C5C90" w14:paraId="687CBF10" w14:textId="77777777" w:rsidTr="00D9610A">
        <w:tc>
          <w:tcPr>
            <w:tcW w:w="703" w:type="dxa"/>
            <w:vAlign w:val="center"/>
          </w:tcPr>
          <w:p w14:paraId="3D5CD573" w14:textId="77777777" w:rsidR="00543D47" w:rsidRPr="008C5C90" w:rsidRDefault="00543D47" w:rsidP="00D9610A">
            <w:pPr>
              <w:rPr>
                <w:rFonts w:cs="Arial"/>
                <w:sz w:val="18"/>
                <w:szCs w:val="18"/>
              </w:rPr>
            </w:pPr>
            <w:r w:rsidRPr="008C5C90">
              <w:rPr>
                <w:rFonts w:cs="Arial"/>
                <w:sz w:val="18"/>
                <w:szCs w:val="18"/>
              </w:rPr>
              <w:t>66840</w:t>
            </w:r>
          </w:p>
        </w:tc>
        <w:tc>
          <w:tcPr>
            <w:tcW w:w="2857" w:type="dxa"/>
          </w:tcPr>
          <w:p w14:paraId="2D75774B" w14:textId="77777777" w:rsidR="00543D47" w:rsidRPr="008C5C90" w:rsidRDefault="00543D47" w:rsidP="00D9610A">
            <w:pPr>
              <w:rPr>
                <w:rFonts w:cs="Arial"/>
                <w:sz w:val="18"/>
                <w:szCs w:val="18"/>
              </w:rPr>
            </w:pPr>
            <w:r w:rsidRPr="008C5C90">
              <w:rPr>
                <w:rFonts w:cs="Arial"/>
                <w:sz w:val="18"/>
                <w:szCs w:val="18"/>
              </w:rPr>
              <w:t>Serum folate test and, if required, red cell folate test for a patient at risk of folate deficiency, including patients with malabsorption conditions, macrocytic anaemia or coeliac disease</w:t>
            </w:r>
          </w:p>
        </w:tc>
        <w:tc>
          <w:tcPr>
            <w:tcW w:w="1066" w:type="dxa"/>
          </w:tcPr>
          <w:p w14:paraId="0E6E3BE9" w14:textId="77777777" w:rsidR="00543D47" w:rsidRPr="008C5C90" w:rsidRDefault="00543D47" w:rsidP="00D9610A">
            <w:pPr>
              <w:rPr>
                <w:rFonts w:cs="Arial"/>
                <w:sz w:val="18"/>
                <w:szCs w:val="18"/>
              </w:rPr>
            </w:pPr>
            <w:r w:rsidRPr="008C5C90">
              <w:rPr>
                <w:rFonts w:cs="Arial"/>
                <w:sz w:val="18"/>
                <w:szCs w:val="18"/>
              </w:rPr>
              <w:t>23.60</w:t>
            </w:r>
          </w:p>
        </w:tc>
        <w:tc>
          <w:tcPr>
            <w:tcW w:w="1219" w:type="dxa"/>
          </w:tcPr>
          <w:p w14:paraId="35FD0DF2" w14:textId="77777777" w:rsidR="00543D47" w:rsidRPr="008C5C90" w:rsidRDefault="00543D47" w:rsidP="00D9610A">
            <w:pPr>
              <w:rPr>
                <w:rFonts w:cs="Arial"/>
                <w:sz w:val="18"/>
                <w:szCs w:val="18"/>
              </w:rPr>
            </w:pPr>
            <w:r w:rsidRPr="008C5C90">
              <w:rPr>
                <w:rFonts w:cs="Arial"/>
                <w:sz w:val="18"/>
                <w:szCs w:val="18"/>
              </w:rPr>
              <w:t>$8,945,265</w:t>
            </w:r>
          </w:p>
        </w:tc>
        <w:tc>
          <w:tcPr>
            <w:tcW w:w="1060" w:type="dxa"/>
          </w:tcPr>
          <w:p w14:paraId="480CCE83" w14:textId="77777777" w:rsidR="00543D47" w:rsidRPr="008C5C90" w:rsidRDefault="00543D47" w:rsidP="00D9610A">
            <w:pPr>
              <w:rPr>
                <w:rFonts w:cs="Arial"/>
                <w:sz w:val="18"/>
                <w:szCs w:val="18"/>
              </w:rPr>
            </w:pPr>
            <w:r w:rsidRPr="008C5C90">
              <w:rPr>
                <w:rFonts w:cs="Arial"/>
                <w:sz w:val="18"/>
                <w:szCs w:val="18"/>
              </w:rPr>
              <w:t>448,378</w:t>
            </w:r>
          </w:p>
        </w:tc>
        <w:tc>
          <w:tcPr>
            <w:tcW w:w="1060" w:type="dxa"/>
          </w:tcPr>
          <w:p w14:paraId="2E5B4A03" w14:textId="77777777" w:rsidR="00543D47" w:rsidRPr="008C5C90" w:rsidRDefault="00543D47" w:rsidP="00D9610A">
            <w:pPr>
              <w:rPr>
                <w:rFonts w:cs="Arial"/>
                <w:sz w:val="18"/>
                <w:szCs w:val="18"/>
              </w:rPr>
            </w:pPr>
            <w:r w:rsidRPr="008C5C90">
              <w:rPr>
                <w:rFonts w:cs="Arial"/>
                <w:sz w:val="18"/>
                <w:szCs w:val="18"/>
              </w:rPr>
              <w:t>412,907</w:t>
            </w:r>
          </w:p>
        </w:tc>
        <w:tc>
          <w:tcPr>
            <w:tcW w:w="1054" w:type="dxa"/>
          </w:tcPr>
          <w:p w14:paraId="7F33276F" w14:textId="77777777" w:rsidR="00543D47" w:rsidRPr="008C5C90" w:rsidRDefault="00543D47" w:rsidP="00D9610A">
            <w:pPr>
              <w:rPr>
                <w:rFonts w:cs="Arial"/>
                <w:sz w:val="18"/>
                <w:szCs w:val="18"/>
              </w:rPr>
            </w:pPr>
            <w:r>
              <w:rPr>
                <w:rFonts w:cs="Arial"/>
                <w:sz w:val="18"/>
                <w:szCs w:val="18"/>
              </w:rPr>
              <w:t>-</w:t>
            </w:r>
          </w:p>
        </w:tc>
      </w:tr>
    </w:tbl>
    <w:p w14:paraId="14BABED4" w14:textId="77777777" w:rsidR="00543D47" w:rsidRPr="008C5C90" w:rsidRDefault="00543D47" w:rsidP="00543D47">
      <w:pPr>
        <w:keepNext/>
        <w:spacing w:before="240" w:line="240" w:lineRule="auto"/>
        <w:outlineLvl w:val="3"/>
        <w:rPr>
          <w:rFonts w:eastAsiaTheme="minorHAnsi" w:cs="Arial"/>
          <w:bCs/>
          <w:i/>
          <w:color w:val="B56012"/>
          <w:szCs w:val="26"/>
          <w:lang w:val="en-US" w:eastAsia="en-US"/>
        </w:rPr>
      </w:pPr>
      <w:r w:rsidRPr="008C5C90">
        <w:rPr>
          <w:rFonts w:eastAsiaTheme="minorHAnsi" w:cs="Arial"/>
          <w:bCs/>
          <w:i/>
          <w:color w:val="B56012"/>
          <w:szCs w:val="26"/>
          <w:lang w:val="en-US" w:eastAsia="en-US"/>
        </w:rPr>
        <w:lastRenderedPageBreak/>
        <w:t>Advice from the Diagnostic Medicine Clinical Committee (DMCC)</w:t>
      </w:r>
    </w:p>
    <w:p w14:paraId="5B3781B6" w14:textId="77777777" w:rsidR="00543D47" w:rsidRPr="008C5C90" w:rsidRDefault="00543D47" w:rsidP="00543D47">
      <w:pPr>
        <w:pStyle w:val="NormalBulleted"/>
      </w:pPr>
      <w:r w:rsidRPr="008C5C90">
        <w:t xml:space="preserve">The Diagnostic Medicine Clinical Committee (DMCC) analysed the utilisation of folate testing following the introduction of item </w:t>
      </w:r>
      <w:proofErr w:type="gramStart"/>
      <w:r w:rsidRPr="008C5C90">
        <w:t xml:space="preserve">66840, </w:t>
      </w:r>
      <w:r>
        <w:t>and</w:t>
      </w:r>
      <w:proofErr w:type="gramEnd"/>
      <w:r w:rsidRPr="008C5C90">
        <w:t xml:space="preserve"> found sufficient evidence to conclude that folate testing is being used inappropriately. The DMCC also found that</w:t>
      </w:r>
      <w:r>
        <w:t>:</w:t>
      </w:r>
    </w:p>
    <w:p w14:paraId="7B7813E2" w14:textId="77777777" w:rsidR="00543D47" w:rsidRPr="005C3A1E" w:rsidRDefault="00543D47" w:rsidP="00543D47">
      <w:pPr>
        <w:pStyle w:val="NormalBulleted"/>
        <w:numPr>
          <w:ilvl w:val="1"/>
          <w:numId w:val="7"/>
        </w:numPr>
        <w:ind w:left="1276" w:hanging="425"/>
        <w:rPr>
          <w:lang w:val="en-GB"/>
        </w:rPr>
      </w:pPr>
      <w:r>
        <w:rPr>
          <w:lang w:val="en-GB"/>
        </w:rPr>
        <w:t xml:space="preserve">Less than 3.5% </w:t>
      </w:r>
      <w:r w:rsidRPr="005C3A1E">
        <w:rPr>
          <w:lang w:val="en-GB"/>
        </w:rPr>
        <w:t>of the 0.75 million tests conducted each year return a result of deficiency.</w:t>
      </w:r>
    </w:p>
    <w:p w14:paraId="489FAD1A" w14:textId="77777777" w:rsidR="00543D47" w:rsidRPr="005C3A1E" w:rsidRDefault="00543D47" w:rsidP="00543D47">
      <w:pPr>
        <w:pStyle w:val="NormalBulleted"/>
        <w:numPr>
          <w:ilvl w:val="1"/>
          <w:numId w:val="7"/>
        </w:numPr>
        <w:ind w:left="1276" w:hanging="425"/>
        <w:rPr>
          <w:lang w:val="en-GB"/>
        </w:rPr>
      </w:pPr>
      <w:r>
        <w:rPr>
          <w:lang w:val="en-GB"/>
        </w:rPr>
        <w:t xml:space="preserve">28% </w:t>
      </w:r>
      <w:r w:rsidRPr="005C3A1E">
        <w:rPr>
          <w:lang w:val="en-GB"/>
        </w:rPr>
        <w:t>of tests are conducted within 12 months of an initial test.</w:t>
      </w:r>
    </w:p>
    <w:p w14:paraId="30C09CC8" w14:textId="77777777" w:rsidR="00543D47" w:rsidRPr="005C3A1E" w:rsidRDefault="00543D47" w:rsidP="00543D47">
      <w:pPr>
        <w:pStyle w:val="NormalBulleted"/>
        <w:numPr>
          <w:ilvl w:val="1"/>
          <w:numId w:val="7"/>
        </w:numPr>
        <w:ind w:left="1276" w:hanging="425"/>
        <w:rPr>
          <w:lang w:val="en-GB"/>
        </w:rPr>
      </w:pPr>
      <w:r>
        <w:rPr>
          <w:lang w:val="en-GB"/>
        </w:rPr>
        <w:t>88%</w:t>
      </w:r>
      <w:r w:rsidRPr="005C3A1E">
        <w:rPr>
          <w:lang w:val="en-GB"/>
        </w:rPr>
        <w:t xml:space="preserve"> of tests are co-claimed with either iron</w:t>
      </w:r>
      <w:r>
        <w:rPr>
          <w:lang w:val="en-GB"/>
        </w:rPr>
        <w:t xml:space="preserve"> or vitamin B12 testing, and 67% </w:t>
      </w:r>
      <w:r w:rsidRPr="005C3A1E">
        <w:rPr>
          <w:lang w:val="en-GB"/>
        </w:rPr>
        <w:t xml:space="preserve">are co-claimed with vitamin B12 testing and may be requested out of habit rather than clinical necessity. </w:t>
      </w:r>
    </w:p>
    <w:p w14:paraId="684B726E" w14:textId="77777777" w:rsidR="00543D47" w:rsidRPr="008C5C90" w:rsidRDefault="00543D47" w:rsidP="00543D47">
      <w:pPr>
        <w:pStyle w:val="NormalBulleted"/>
        <w:rPr>
          <w:lang w:val="en-GB"/>
        </w:rPr>
      </w:pPr>
      <w:r w:rsidRPr="008C5C90">
        <w:rPr>
          <w:lang w:val="en-GB"/>
        </w:rPr>
        <w:t xml:space="preserve">The DMCC agreed that breaking the connection between vitamin B12 and folate testing is essential to reduce overuse of folate testing. </w:t>
      </w:r>
    </w:p>
    <w:p w14:paraId="3171D4A2" w14:textId="77777777" w:rsidR="00543D47" w:rsidRPr="008C5C90" w:rsidRDefault="00543D47" w:rsidP="00543D47">
      <w:pPr>
        <w:pStyle w:val="NormalBulleted"/>
        <w:rPr>
          <w:lang w:val="en-GB"/>
        </w:rPr>
      </w:pPr>
      <w:r w:rsidRPr="008C5C90">
        <w:rPr>
          <w:lang w:val="en-GB"/>
        </w:rPr>
        <w:t xml:space="preserve">The DMCC noted there is no clinical requirement for folate testing to be repeated within 12 months of initial testing. </w:t>
      </w:r>
    </w:p>
    <w:p w14:paraId="76F70930" w14:textId="77777777" w:rsidR="00543D47" w:rsidRPr="008C5C90" w:rsidRDefault="00543D47" w:rsidP="00543D47">
      <w:pPr>
        <w:pStyle w:val="NormalBulleted"/>
        <w:rPr>
          <w:lang w:val="en-GB"/>
        </w:rPr>
      </w:pPr>
      <w:r w:rsidRPr="008C5C90">
        <w:rPr>
          <w:lang w:val="en-GB"/>
        </w:rPr>
        <w:t>The DMCC noted the current item restrictions appear to have had little impact on the practices of requesting clinicians.</w:t>
      </w:r>
    </w:p>
    <w:p w14:paraId="7E287B6F" w14:textId="77777777" w:rsidR="00543D47" w:rsidRPr="008C5C90" w:rsidRDefault="00543D47" w:rsidP="00543D47">
      <w:pPr>
        <w:pStyle w:val="NormalBulleted"/>
        <w:rPr>
          <w:lang w:val="en-GB"/>
        </w:rPr>
      </w:pPr>
      <w:r w:rsidRPr="008C5C90">
        <w:rPr>
          <w:lang w:val="en-GB"/>
        </w:rPr>
        <w:t xml:space="preserve">The DMCC recommended removing ‘at risk of folate deficiency’ from the current item descriptor because it is leading to over-testing. Only consumers with macrocytic anaemia or malabsorption issues should be tested. </w:t>
      </w:r>
    </w:p>
    <w:p w14:paraId="72143B0C" w14:textId="77777777" w:rsidR="00543D47" w:rsidRPr="008C5C90" w:rsidRDefault="00543D47" w:rsidP="00543D47">
      <w:pPr>
        <w:pStyle w:val="NormalBulleted"/>
        <w:rPr>
          <w:lang w:val="en-GB"/>
        </w:rPr>
      </w:pPr>
      <w:r w:rsidRPr="008C5C90">
        <w:rPr>
          <w:lang w:val="en-GB"/>
        </w:rPr>
        <w:t>In pregnancy, supplementation is recommended for all consumers in the first trimester, which means that testing is unnecessary. After reviewing the advice from the DMCC, the Committee endorsed the recommendations from the DMCC, which appear below.</w:t>
      </w:r>
    </w:p>
    <w:p w14:paraId="0D2A2097" w14:textId="77777777" w:rsidR="00543D47" w:rsidRPr="008C5C90" w:rsidRDefault="00543D47" w:rsidP="00543D47">
      <w:pPr>
        <w:keepNext/>
        <w:spacing w:before="240" w:line="240" w:lineRule="auto"/>
        <w:outlineLvl w:val="3"/>
        <w:rPr>
          <w:rFonts w:eastAsiaTheme="minorHAnsi" w:cs="Arial"/>
          <w:bCs/>
          <w:i/>
          <w:color w:val="B56012"/>
          <w:szCs w:val="26"/>
          <w:lang w:val="en-US" w:eastAsia="en-US"/>
        </w:rPr>
      </w:pPr>
      <w:r w:rsidRPr="008C5C90">
        <w:rPr>
          <w:rFonts w:eastAsiaTheme="minorHAnsi" w:cs="Arial"/>
          <w:bCs/>
          <w:i/>
          <w:color w:val="B56012"/>
          <w:szCs w:val="26"/>
          <w:lang w:val="en-US" w:eastAsia="en-US"/>
        </w:rPr>
        <w:t>Recommendation</w:t>
      </w:r>
    </w:p>
    <w:p w14:paraId="2431039E" w14:textId="77777777" w:rsidR="00543D47" w:rsidRPr="008C5C90" w:rsidRDefault="00543D47" w:rsidP="00543D47">
      <w:pPr>
        <w:rPr>
          <w:lang w:val="en-US" w:eastAsia="en-US"/>
        </w:rPr>
      </w:pPr>
      <w:r w:rsidRPr="00B719E7">
        <w:rPr>
          <w:rStyle w:val="NormalBulletedChar"/>
        </w:rPr>
        <w:t>Change the item descriptor for item 66840 (serum folate test) to provide greater clarity. The proposed item descriptor is as follows</w:t>
      </w:r>
      <w:r w:rsidRPr="008C5C90">
        <w:rPr>
          <w:lang w:val="en-US" w:eastAsia="en-US"/>
        </w:rPr>
        <w:t>:</w:t>
      </w:r>
    </w:p>
    <w:p w14:paraId="0764982C" w14:textId="77777777" w:rsidR="00543D47" w:rsidRPr="008C5C90" w:rsidRDefault="00543D47" w:rsidP="00543D47">
      <w:pPr>
        <w:pStyle w:val="NormalBulleted"/>
        <w:rPr>
          <w:lang w:val="en-US" w:eastAsia="en-US"/>
        </w:rPr>
      </w:pPr>
      <w:r w:rsidRPr="008C5C90">
        <w:rPr>
          <w:lang w:val="en-US" w:eastAsia="en-US"/>
        </w:rPr>
        <w:t xml:space="preserve">Serum folate test and, if required, red cell folate test for a patient with malabsorption conditions or macrocytic </w:t>
      </w:r>
      <w:proofErr w:type="spellStart"/>
      <w:r w:rsidRPr="008C5C90">
        <w:rPr>
          <w:lang w:val="en-US" w:eastAsia="en-US"/>
        </w:rPr>
        <w:t>anaemia</w:t>
      </w:r>
      <w:proofErr w:type="spellEnd"/>
      <w:r w:rsidRPr="008C5C90">
        <w:rPr>
          <w:lang w:val="en-US" w:eastAsia="en-US"/>
        </w:rPr>
        <w:t xml:space="preserve">. </w:t>
      </w:r>
    </w:p>
    <w:p w14:paraId="392E864F" w14:textId="77777777" w:rsidR="00543D47" w:rsidRPr="008C5C90" w:rsidRDefault="00543D47" w:rsidP="00543D47">
      <w:pPr>
        <w:pStyle w:val="NormalBulleted"/>
        <w:rPr>
          <w:lang w:val="en-US" w:eastAsia="en-US"/>
        </w:rPr>
      </w:pPr>
      <w:r w:rsidRPr="008C5C90">
        <w:rPr>
          <w:lang w:val="en-US" w:eastAsia="en-US"/>
        </w:rPr>
        <w:t>Add a rule to item 66840 to limit testing to once within a 12-month period.</w:t>
      </w:r>
    </w:p>
    <w:p w14:paraId="48E352A0" w14:textId="77777777" w:rsidR="00543D47" w:rsidRPr="008C5C90" w:rsidRDefault="00543D47" w:rsidP="00543D47">
      <w:pPr>
        <w:pStyle w:val="NormalBulleted"/>
        <w:rPr>
          <w:lang w:val="en-US" w:eastAsia="en-US"/>
        </w:rPr>
      </w:pPr>
      <w:r w:rsidRPr="008C5C90">
        <w:rPr>
          <w:lang w:val="en-US" w:eastAsia="en-US"/>
        </w:rPr>
        <w:t xml:space="preserve">Add an explanatory note to item 66840 to clarify who may require folate testing. The proposed explanatory note is as follows: </w:t>
      </w:r>
    </w:p>
    <w:p w14:paraId="53E59A5E" w14:textId="77777777" w:rsidR="00543D47" w:rsidRPr="002A7816" w:rsidRDefault="00543D47" w:rsidP="00543D47">
      <w:pPr>
        <w:pStyle w:val="NormalBulleted"/>
        <w:numPr>
          <w:ilvl w:val="1"/>
          <w:numId w:val="7"/>
        </w:numPr>
        <w:ind w:left="1276" w:hanging="425"/>
        <w:rPr>
          <w:lang w:val="en-GB"/>
        </w:rPr>
      </w:pPr>
      <w:r w:rsidRPr="002A7816">
        <w:rPr>
          <w:lang w:val="en-GB"/>
        </w:rPr>
        <w:t>Folate testing is only required for patients with macrocytic anaemia or malabsorption issues such as coeliac disease and other small bowel pathology.</w:t>
      </w:r>
    </w:p>
    <w:p w14:paraId="2A5FE49D" w14:textId="77777777" w:rsidR="00543D47" w:rsidRPr="002A7816" w:rsidRDefault="00543D47" w:rsidP="00543D47">
      <w:pPr>
        <w:pStyle w:val="NormalBulleted"/>
        <w:numPr>
          <w:ilvl w:val="1"/>
          <w:numId w:val="7"/>
        </w:numPr>
        <w:ind w:left="1276" w:hanging="425"/>
        <w:rPr>
          <w:lang w:val="en-GB"/>
        </w:rPr>
      </w:pPr>
      <w:r>
        <w:rPr>
          <w:lang w:val="en-GB"/>
        </w:rPr>
        <w:t>Two</w:t>
      </w:r>
      <w:r w:rsidRPr="002A7816">
        <w:rPr>
          <w:lang w:val="en-GB"/>
        </w:rPr>
        <w:t xml:space="preserve"> groups of patients should be supplemented with folate and do not require testing:</w:t>
      </w:r>
      <w:r>
        <w:rPr>
          <w:lang w:val="en-GB"/>
        </w:rPr>
        <w:t xml:space="preserve"> </w:t>
      </w:r>
      <w:r w:rsidRPr="002A7816">
        <w:rPr>
          <w:lang w:val="en-GB"/>
        </w:rPr>
        <w:t>women who are pregnant or planning pregnancy</w:t>
      </w:r>
      <w:r>
        <w:rPr>
          <w:lang w:val="en-GB"/>
        </w:rPr>
        <w:t>, and</w:t>
      </w:r>
      <w:r w:rsidRPr="002A7816">
        <w:rPr>
          <w:lang w:val="en-GB"/>
        </w:rPr>
        <w:t xml:space="preserve"> those on methotrexate. </w:t>
      </w:r>
    </w:p>
    <w:p w14:paraId="3BD2140E" w14:textId="77777777" w:rsidR="00543D47" w:rsidRPr="008C5C90" w:rsidRDefault="00543D47" w:rsidP="00543D47">
      <w:pPr>
        <w:pStyle w:val="NormalBulleted"/>
        <w:rPr>
          <w:lang w:val="en-US" w:eastAsia="en-US"/>
        </w:rPr>
      </w:pPr>
      <w:r w:rsidRPr="008C5C90">
        <w:rPr>
          <w:lang w:val="en-US" w:eastAsia="en-US"/>
        </w:rPr>
        <w:t xml:space="preserve">Carry out requesting clinician education that communicates details of the changed item descriptor. Pathology laboratories should begin to include a standard message about inappropriate folate testing on pathology reports going back to requesting clinicians. The Committee recommended that the RCPA develop this message. </w:t>
      </w:r>
    </w:p>
    <w:p w14:paraId="05583FB2" w14:textId="77777777" w:rsidR="00543D47" w:rsidRPr="008C5C90" w:rsidRDefault="00543D47" w:rsidP="00543D47">
      <w:pPr>
        <w:pStyle w:val="NormalBulleted"/>
        <w:rPr>
          <w:lang w:val="en-US" w:eastAsia="en-US"/>
        </w:rPr>
      </w:pPr>
      <w:r w:rsidRPr="008C5C90">
        <w:rPr>
          <w:lang w:val="en-US" w:eastAsia="en-US"/>
        </w:rPr>
        <w:lastRenderedPageBreak/>
        <w:t>Review the impact of the above recommendations 12 months after implementation. In the event of no/minimal impact, the Committee recommended:</w:t>
      </w:r>
    </w:p>
    <w:p w14:paraId="259044A4" w14:textId="77777777" w:rsidR="00543D47" w:rsidRPr="002A7816" w:rsidRDefault="00543D47" w:rsidP="00543D47">
      <w:pPr>
        <w:pStyle w:val="NormalBulleted"/>
        <w:numPr>
          <w:ilvl w:val="1"/>
          <w:numId w:val="7"/>
        </w:numPr>
        <w:ind w:left="1276" w:hanging="425"/>
        <w:rPr>
          <w:lang w:val="en-GB"/>
        </w:rPr>
      </w:pPr>
      <w:r w:rsidRPr="008C5C90">
        <w:rPr>
          <w:lang w:val="en-US" w:eastAsia="en-US"/>
        </w:rPr>
        <w:t xml:space="preserve">Mandating </w:t>
      </w:r>
      <w:r w:rsidRPr="002A7816">
        <w:rPr>
          <w:lang w:val="en-GB"/>
        </w:rPr>
        <w:t xml:space="preserve">that requesting clinicians specify the reason for their request (that is, malabsorption or macrocytic anaemia) on pathology request forms. </w:t>
      </w:r>
    </w:p>
    <w:p w14:paraId="2AA60B2A" w14:textId="77777777" w:rsidR="00543D47" w:rsidRPr="002A7816" w:rsidRDefault="00543D47" w:rsidP="00543D47">
      <w:pPr>
        <w:pStyle w:val="NormalBulleted"/>
        <w:numPr>
          <w:ilvl w:val="1"/>
          <w:numId w:val="7"/>
        </w:numPr>
        <w:ind w:left="1276" w:hanging="425"/>
        <w:rPr>
          <w:lang w:val="en-GB"/>
        </w:rPr>
      </w:pPr>
      <w:r w:rsidRPr="002A7816">
        <w:rPr>
          <w:lang w:val="en-GB"/>
        </w:rPr>
        <w:t>Further requesting restrictions should be considered.</w:t>
      </w:r>
    </w:p>
    <w:p w14:paraId="3F071DF4" w14:textId="77777777" w:rsidR="00543D47" w:rsidRPr="008C5C90" w:rsidRDefault="00543D47" w:rsidP="00543D47">
      <w:pPr>
        <w:keepNext/>
        <w:spacing w:before="240" w:line="240" w:lineRule="auto"/>
        <w:outlineLvl w:val="3"/>
        <w:rPr>
          <w:rFonts w:eastAsiaTheme="minorHAnsi" w:cs="Arial"/>
          <w:bCs/>
          <w:i/>
          <w:color w:val="B56012"/>
          <w:szCs w:val="26"/>
          <w:lang w:val="en-US" w:eastAsia="en-US"/>
        </w:rPr>
      </w:pPr>
      <w:r w:rsidRPr="008C5C90">
        <w:rPr>
          <w:rFonts w:eastAsiaTheme="minorHAnsi" w:cs="Arial"/>
          <w:bCs/>
          <w:i/>
          <w:color w:val="B56012"/>
          <w:szCs w:val="26"/>
          <w:lang w:val="en-US" w:eastAsia="en-US"/>
        </w:rPr>
        <w:t>Rationale</w:t>
      </w:r>
    </w:p>
    <w:p w14:paraId="0F14EF5D" w14:textId="77777777" w:rsidR="00543D47" w:rsidRPr="008C5C90" w:rsidRDefault="00543D47" w:rsidP="00543D47">
      <w:pPr>
        <w:pStyle w:val="NormalBulleted"/>
        <w:rPr>
          <w:rFonts w:cs="Arial"/>
        </w:rPr>
      </w:pPr>
      <w:r w:rsidRPr="008C5C90">
        <w:t>A review of folate testing was initiated following an increase in the utilisation of items: 66599 and 66602. During the FY 2012/2013, there were 618,744 services provided that equated to $12.4 million fo</w:t>
      </w:r>
      <w:r>
        <w:t>r item 66599 and more than 2 mi</w:t>
      </w:r>
      <w:r w:rsidRPr="008C5C90">
        <w:t>llion services provided at a cost of $78.5 million for item 66602</w:t>
      </w:r>
      <w:r w:rsidRPr="008C5C90">
        <w:rPr>
          <w:rFonts w:cs="Arial"/>
        </w:rPr>
        <w:t>.</w:t>
      </w:r>
    </w:p>
    <w:p w14:paraId="312F6E78" w14:textId="77777777" w:rsidR="00543D47" w:rsidRPr="008C5C90" w:rsidRDefault="00543D47" w:rsidP="00543D47">
      <w:pPr>
        <w:pStyle w:val="NormalBulleted"/>
      </w:pPr>
      <w:r w:rsidRPr="008C5C90">
        <w:t>Folate levels in the general population have increased since the fortification of wheat flour in 2009 and consequently, there are currently very low rates of folate deficiency in Australia. The RACGP guidelines recommend that pregnant and lactating women use folate prior to and during pregnancy.</w:t>
      </w:r>
    </w:p>
    <w:p w14:paraId="03ADC777" w14:textId="77777777" w:rsidR="00543D47" w:rsidRPr="00B719E7" w:rsidRDefault="00543D47" w:rsidP="00543D47">
      <w:pPr>
        <w:pStyle w:val="NormalBulleted"/>
      </w:pPr>
      <w:r w:rsidRPr="008C5C90">
        <w:t>Following a review of folate testing, including an evidence review and review of costing of folate testing, MSAC recommended that item 66602 be deleted due to the test being obsolete and introduce</w:t>
      </w:r>
      <w:r>
        <w:t>d</w:t>
      </w:r>
      <w:r w:rsidRPr="008C5C90">
        <w:t xml:space="preserve"> a new item for serum folate</w:t>
      </w:r>
      <w:r>
        <w:t>,</w:t>
      </w:r>
      <w:r w:rsidRPr="008C5C90">
        <w:t xml:space="preserve"> as serum folate is the preferred testing method and folate testing should only be conducted in patients at risk of folate deficiency. These changes took place in 2014.</w:t>
      </w:r>
    </w:p>
    <w:p w14:paraId="3CC9D9DA" w14:textId="77777777" w:rsidR="00543D47" w:rsidRPr="00370DFD" w:rsidRDefault="00543D47" w:rsidP="00543D47">
      <w:pPr>
        <w:pStyle w:val="Heading1"/>
        <w:rPr>
          <w:lang w:val="en-AU"/>
        </w:rPr>
      </w:pPr>
      <w:bookmarkStart w:id="185" w:name="_Toc514247633"/>
      <w:r>
        <w:rPr>
          <w:lang w:val="en-AU"/>
        </w:rPr>
        <w:lastRenderedPageBreak/>
        <w:t>Items with n</w:t>
      </w:r>
      <w:r w:rsidRPr="00370DFD">
        <w:rPr>
          <w:lang w:val="en-AU"/>
        </w:rPr>
        <w:t xml:space="preserve">o </w:t>
      </w:r>
      <w:r>
        <w:rPr>
          <w:lang w:val="en-AU"/>
        </w:rPr>
        <w:t>c</w:t>
      </w:r>
      <w:r w:rsidRPr="00370DFD">
        <w:rPr>
          <w:lang w:val="en-AU"/>
        </w:rPr>
        <w:t>hanges</w:t>
      </w:r>
      <w:bookmarkEnd w:id="159"/>
      <w:bookmarkEnd w:id="185"/>
    </w:p>
    <w:p w14:paraId="26B74DD3" w14:textId="77777777" w:rsidR="00543D47" w:rsidRPr="00370DFD" w:rsidRDefault="00543D47" w:rsidP="00543D47">
      <w:pPr>
        <w:rPr>
          <w:rFonts w:cs="Arial"/>
          <w:color w:val="000000" w:themeColor="text1"/>
          <w:szCs w:val="22"/>
        </w:rPr>
      </w:pPr>
      <w:r w:rsidRPr="00370DFD">
        <w:rPr>
          <w:rFonts w:cs="Arial"/>
          <w:color w:val="000000" w:themeColor="text1"/>
          <w:szCs w:val="22"/>
        </w:rPr>
        <w:t xml:space="preserve">The Committee recommends that the MBS items listed in </w:t>
      </w:r>
      <w:r w:rsidRPr="00370DFD">
        <w:rPr>
          <w:rFonts w:cs="Arial"/>
          <w:color w:val="000000" w:themeColor="text1"/>
          <w:szCs w:val="22"/>
        </w:rPr>
        <w:fldChar w:fldCharType="begin"/>
      </w:r>
      <w:r w:rsidRPr="00370DFD">
        <w:rPr>
          <w:rFonts w:cs="Arial"/>
          <w:color w:val="000000" w:themeColor="text1"/>
          <w:szCs w:val="22"/>
        </w:rPr>
        <w:instrText xml:space="preserve"> REF _Ref457115861 \h  \* MERGEFORMAT </w:instrText>
      </w:r>
      <w:r w:rsidRPr="00370DFD">
        <w:rPr>
          <w:rFonts w:cs="Arial"/>
          <w:color w:val="000000" w:themeColor="text1"/>
          <w:szCs w:val="22"/>
        </w:rPr>
      </w:r>
      <w:r w:rsidRPr="00370DFD">
        <w:rPr>
          <w:rFonts w:cs="Arial"/>
          <w:color w:val="000000" w:themeColor="text1"/>
          <w:szCs w:val="22"/>
        </w:rPr>
        <w:fldChar w:fldCharType="separate"/>
      </w:r>
      <w:r w:rsidRPr="00370DFD">
        <w:t xml:space="preserve">Table </w:t>
      </w:r>
      <w:r w:rsidRPr="00370DFD">
        <w:rPr>
          <w:rFonts w:cs="Arial"/>
          <w:color w:val="000000" w:themeColor="text1"/>
          <w:szCs w:val="22"/>
        </w:rPr>
        <w:fldChar w:fldCharType="end"/>
      </w:r>
      <w:r>
        <w:rPr>
          <w:rFonts w:cs="Arial"/>
          <w:color w:val="000000" w:themeColor="text1"/>
          <w:szCs w:val="22"/>
        </w:rPr>
        <w:t>6</w:t>
      </w:r>
      <w:r w:rsidRPr="00370DFD">
        <w:rPr>
          <w:rFonts w:cs="Arial"/>
          <w:color w:val="000000" w:themeColor="text1"/>
          <w:szCs w:val="22"/>
        </w:rPr>
        <w:t xml:space="preserve">2 do not require amendment, as they are clinically appropriate. </w:t>
      </w:r>
    </w:p>
    <w:p w14:paraId="61315205" w14:textId="77777777" w:rsidR="00543D47" w:rsidRPr="00370DFD" w:rsidRDefault="00543D47" w:rsidP="00543D47">
      <w:pPr>
        <w:pStyle w:val="Caption"/>
        <w:tabs>
          <w:tab w:val="left" w:pos="851"/>
        </w:tabs>
      </w:pPr>
      <w:bookmarkStart w:id="186" w:name="_Ref457115861"/>
      <w:bookmarkStart w:id="187" w:name="_Toc454956803"/>
      <w:bookmarkStart w:id="188" w:name="_Toc456708894"/>
      <w:bookmarkStart w:id="189" w:name="_Toc534374975"/>
      <w:r w:rsidRPr="00370DFD">
        <w:t xml:space="preserve">Table </w:t>
      </w:r>
      <w:bookmarkEnd w:id="186"/>
      <w:r>
        <w:rPr>
          <w:bCs/>
        </w:rPr>
        <w:t>62</w:t>
      </w:r>
      <w:r w:rsidRPr="00370DFD">
        <w:t>: MBS items that do not require amendment</w:t>
      </w:r>
      <w:bookmarkEnd w:id="187"/>
      <w:bookmarkEnd w:id="188"/>
      <w:bookmarkEnd w:id="189"/>
    </w:p>
    <w:tbl>
      <w:tblPr>
        <w:tblStyle w:val="TableGrid"/>
        <w:tblW w:w="9498" w:type="dxa"/>
        <w:tblBorders>
          <w:top w:val="single" w:sz="4" w:space="0" w:color="B56011"/>
          <w:left w:val="none" w:sz="0" w:space="0" w:color="auto"/>
          <w:bottom w:val="single" w:sz="4" w:space="0" w:color="B56011"/>
          <w:right w:val="none" w:sz="0" w:space="0" w:color="auto"/>
          <w:insideH w:val="single" w:sz="4" w:space="0" w:color="B56011"/>
        </w:tblBorders>
        <w:tblLayout w:type="fixed"/>
        <w:tblLook w:val="04A0" w:firstRow="1" w:lastRow="0" w:firstColumn="1" w:lastColumn="0" w:noHBand="0" w:noVBand="1"/>
        <w:tblDescription w:val="Table 62 list the descriptors, schedule fees and numbers of services provided in 2014-15 for items that do not require amendment."/>
      </w:tblPr>
      <w:tblGrid>
        <w:gridCol w:w="965"/>
        <w:gridCol w:w="5522"/>
        <w:gridCol w:w="1451"/>
        <w:gridCol w:w="1560"/>
      </w:tblGrid>
      <w:tr w:rsidR="00543D47" w:rsidRPr="00370DFD" w14:paraId="0158C9F4" w14:textId="77777777" w:rsidTr="00D9610A">
        <w:trPr>
          <w:tblHeader/>
        </w:trPr>
        <w:tc>
          <w:tcPr>
            <w:tcW w:w="965" w:type="dxa"/>
          </w:tcPr>
          <w:p w14:paraId="3C2476C3" w14:textId="77777777" w:rsidR="00543D47" w:rsidRPr="00370DFD" w:rsidRDefault="00543D47" w:rsidP="00D9610A">
            <w:pPr>
              <w:spacing w:before="60" w:after="40"/>
              <w:rPr>
                <w:rFonts w:cs="Arial"/>
                <w:b/>
                <w:szCs w:val="22"/>
              </w:rPr>
            </w:pPr>
            <w:r w:rsidRPr="00370DFD">
              <w:rPr>
                <w:b/>
                <w:sz w:val="20"/>
                <w:szCs w:val="20"/>
              </w:rPr>
              <w:t>Item</w:t>
            </w:r>
          </w:p>
        </w:tc>
        <w:tc>
          <w:tcPr>
            <w:tcW w:w="5522" w:type="dxa"/>
          </w:tcPr>
          <w:p w14:paraId="5DECF4B9" w14:textId="77777777" w:rsidR="00543D47" w:rsidRPr="00370DFD" w:rsidRDefault="00543D47" w:rsidP="00D9610A">
            <w:pPr>
              <w:spacing w:before="60" w:after="40"/>
              <w:rPr>
                <w:rFonts w:cs="Arial"/>
                <w:szCs w:val="22"/>
              </w:rPr>
            </w:pPr>
            <w:r w:rsidRPr="00370DFD">
              <w:rPr>
                <w:b/>
                <w:sz w:val="20"/>
                <w:szCs w:val="20"/>
              </w:rPr>
              <w:t>Item descriptor</w:t>
            </w:r>
          </w:p>
        </w:tc>
        <w:tc>
          <w:tcPr>
            <w:tcW w:w="1451" w:type="dxa"/>
            <w:vAlign w:val="center"/>
          </w:tcPr>
          <w:p w14:paraId="66754DE6" w14:textId="77777777" w:rsidR="00543D47" w:rsidRPr="00370DFD" w:rsidRDefault="00543D47" w:rsidP="00D9610A">
            <w:pPr>
              <w:spacing w:before="60" w:after="40"/>
              <w:jc w:val="center"/>
              <w:rPr>
                <w:rFonts w:cs="Arial"/>
                <w:szCs w:val="22"/>
              </w:rPr>
            </w:pPr>
            <w:r w:rsidRPr="00370DFD">
              <w:rPr>
                <w:b/>
                <w:sz w:val="20"/>
                <w:szCs w:val="20"/>
              </w:rPr>
              <w:t>Schedule fee ($)</w:t>
            </w:r>
          </w:p>
        </w:tc>
        <w:tc>
          <w:tcPr>
            <w:tcW w:w="1560" w:type="dxa"/>
            <w:vAlign w:val="center"/>
          </w:tcPr>
          <w:p w14:paraId="3D3A5196" w14:textId="77777777" w:rsidR="00543D47" w:rsidRPr="00370DFD" w:rsidRDefault="00543D47" w:rsidP="00D9610A">
            <w:pPr>
              <w:spacing w:before="60" w:after="40"/>
              <w:jc w:val="center"/>
              <w:rPr>
                <w:rFonts w:cs="Arial"/>
                <w:szCs w:val="22"/>
              </w:rPr>
            </w:pPr>
            <w:r>
              <w:rPr>
                <w:b/>
                <w:sz w:val="20"/>
                <w:szCs w:val="20"/>
              </w:rPr>
              <w:t>Benefit</w:t>
            </w:r>
            <w:r w:rsidRPr="00370DFD">
              <w:rPr>
                <w:b/>
                <w:sz w:val="20"/>
                <w:szCs w:val="20"/>
              </w:rPr>
              <w:t xml:space="preserve">s </w:t>
            </w:r>
            <w:r>
              <w:rPr>
                <w:b/>
                <w:sz w:val="20"/>
                <w:szCs w:val="20"/>
              </w:rPr>
              <w:br/>
            </w:r>
            <w:r w:rsidRPr="00370DFD">
              <w:rPr>
                <w:b/>
                <w:sz w:val="20"/>
                <w:szCs w:val="20"/>
              </w:rPr>
              <w:t>(2014–15)</w:t>
            </w:r>
          </w:p>
        </w:tc>
      </w:tr>
      <w:tr w:rsidR="00543D47" w:rsidRPr="00370DFD" w14:paraId="354CB436" w14:textId="77777777" w:rsidTr="00D9610A">
        <w:tc>
          <w:tcPr>
            <w:tcW w:w="965" w:type="dxa"/>
          </w:tcPr>
          <w:p w14:paraId="46483CAE" w14:textId="77777777" w:rsidR="00543D47" w:rsidRPr="00370DFD" w:rsidRDefault="00543D47" w:rsidP="00D9610A">
            <w:pPr>
              <w:spacing w:before="140" w:after="40"/>
              <w:rPr>
                <w:rFonts w:cs="Arial"/>
                <w:b/>
                <w:szCs w:val="22"/>
              </w:rPr>
            </w:pPr>
            <w:r w:rsidRPr="00370DFD">
              <w:t>66563</w:t>
            </w:r>
          </w:p>
        </w:tc>
        <w:tc>
          <w:tcPr>
            <w:tcW w:w="5522" w:type="dxa"/>
          </w:tcPr>
          <w:p w14:paraId="5C4CAB0A" w14:textId="77777777" w:rsidR="00543D47" w:rsidRPr="00370DFD" w:rsidRDefault="00543D47" w:rsidP="00D9610A">
            <w:pPr>
              <w:spacing w:before="140" w:after="40"/>
              <w:jc w:val="both"/>
              <w:rPr>
                <w:rFonts w:cs="Arial"/>
                <w:szCs w:val="22"/>
              </w:rPr>
            </w:pPr>
            <w:r w:rsidRPr="00370DFD">
              <w:t>Osmolality, estimation by osmometer, in serum or in urine - 1 or more tests</w:t>
            </w:r>
          </w:p>
        </w:tc>
        <w:tc>
          <w:tcPr>
            <w:tcW w:w="1451" w:type="dxa"/>
          </w:tcPr>
          <w:p w14:paraId="044A7D0C" w14:textId="77777777" w:rsidR="00543D47" w:rsidRPr="00370DFD" w:rsidRDefault="00543D47" w:rsidP="00D9610A">
            <w:pPr>
              <w:spacing w:before="140" w:after="40"/>
              <w:jc w:val="center"/>
              <w:rPr>
                <w:rFonts w:cs="Arial"/>
                <w:szCs w:val="22"/>
              </w:rPr>
            </w:pPr>
            <w:r w:rsidRPr="00370DFD">
              <w:t>24.70</w:t>
            </w:r>
          </w:p>
        </w:tc>
        <w:tc>
          <w:tcPr>
            <w:tcW w:w="1560" w:type="dxa"/>
          </w:tcPr>
          <w:p w14:paraId="38ABE3BE" w14:textId="77777777" w:rsidR="00543D47" w:rsidRPr="00370DFD" w:rsidRDefault="00543D47" w:rsidP="00D9610A">
            <w:pPr>
              <w:spacing w:before="140" w:after="40"/>
              <w:jc w:val="center"/>
              <w:rPr>
                <w:rFonts w:cs="Arial"/>
                <w:szCs w:val="22"/>
              </w:rPr>
            </w:pPr>
            <w:r w:rsidRPr="00370DFD">
              <w:t>$748,144</w:t>
            </w:r>
          </w:p>
        </w:tc>
      </w:tr>
      <w:tr w:rsidR="00543D47" w:rsidRPr="00370DFD" w14:paraId="2F759AA4" w14:textId="77777777" w:rsidTr="00D9610A">
        <w:tc>
          <w:tcPr>
            <w:tcW w:w="965" w:type="dxa"/>
          </w:tcPr>
          <w:p w14:paraId="5AAA3A55" w14:textId="77777777" w:rsidR="00543D47" w:rsidRPr="00370DFD" w:rsidRDefault="00543D47" w:rsidP="00D9610A">
            <w:pPr>
              <w:spacing w:before="140" w:after="40"/>
              <w:rPr>
                <w:rFonts w:cs="Arial"/>
                <w:b/>
                <w:szCs w:val="22"/>
              </w:rPr>
            </w:pPr>
            <w:r w:rsidRPr="00370DFD">
              <w:t>66566</w:t>
            </w:r>
          </w:p>
        </w:tc>
        <w:tc>
          <w:tcPr>
            <w:tcW w:w="5522" w:type="dxa"/>
          </w:tcPr>
          <w:p w14:paraId="4F8CA9FE" w14:textId="77777777" w:rsidR="00543D47" w:rsidRPr="00370DFD" w:rsidRDefault="00543D47" w:rsidP="00D9610A">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140" w:after="40"/>
              <w:rPr>
                <w:rFonts w:cs="Arial"/>
                <w:color w:val="000000"/>
                <w:szCs w:val="22"/>
              </w:rPr>
            </w:pPr>
            <w:r w:rsidRPr="00370DFD">
              <w:t>Quantitation of: (a) blood gases (including pO2, oxygen saturation and pCO2); and (b) bicarbonate and pH; incl</w:t>
            </w:r>
            <w:r>
              <w:t>uding any other measurement (</w:t>
            </w:r>
            <w:proofErr w:type="spellStart"/>
            <w:r>
              <w:t>eg</w:t>
            </w:r>
            <w:proofErr w:type="spellEnd"/>
            <w:r>
              <w:t>,</w:t>
            </w:r>
            <w:r w:rsidRPr="00370DFD">
              <w:t xml:space="preserve"> haemoglobin, lactate, potassium or ionised calcium) or calculation performed on the same specimen - 1 or more tests on 1 specimen</w:t>
            </w:r>
          </w:p>
        </w:tc>
        <w:tc>
          <w:tcPr>
            <w:tcW w:w="1451" w:type="dxa"/>
          </w:tcPr>
          <w:p w14:paraId="62624A51" w14:textId="77777777" w:rsidR="00543D47" w:rsidRPr="00370DFD" w:rsidRDefault="00543D47" w:rsidP="00D9610A">
            <w:pPr>
              <w:spacing w:before="140" w:after="40"/>
              <w:jc w:val="center"/>
              <w:rPr>
                <w:rFonts w:cs="Arial"/>
                <w:szCs w:val="22"/>
              </w:rPr>
            </w:pPr>
            <w:r w:rsidRPr="00370DFD">
              <w:t>33.70</w:t>
            </w:r>
          </w:p>
        </w:tc>
        <w:tc>
          <w:tcPr>
            <w:tcW w:w="1560" w:type="dxa"/>
          </w:tcPr>
          <w:p w14:paraId="6FC9E57B" w14:textId="77777777" w:rsidR="00543D47" w:rsidRPr="00370DFD" w:rsidRDefault="00543D47" w:rsidP="00D9610A">
            <w:pPr>
              <w:spacing w:before="140" w:after="40"/>
              <w:jc w:val="center"/>
              <w:rPr>
                <w:rFonts w:cs="Arial"/>
                <w:szCs w:val="22"/>
              </w:rPr>
            </w:pPr>
            <w:r w:rsidRPr="00370DFD">
              <w:t>$4,357,317</w:t>
            </w:r>
          </w:p>
        </w:tc>
      </w:tr>
      <w:tr w:rsidR="00543D47" w:rsidRPr="00370DFD" w14:paraId="38A05114" w14:textId="77777777" w:rsidTr="00D9610A">
        <w:tc>
          <w:tcPr>
            <w:tcW w:w="965" w:type="dxa"/>
          </w:tcPr>
          <w:p w14:paraId="4DBA6244" w14:textId="77777777" w:rsidR="00543D47" w:rsidRPr="00370DFD" w:rsidRDefault="00543D47" w:rsidP="00D9610A">
            <w:pPr>
              <w:spacing w:before="140" w:after="40"/>
              <w:rPr>
                <w:rFonts w:cs="Arial"/>
                <w:b/>
                <w:szCs w:val="22"/>
              </w:rPr>
            </w:pPr>
            <w:r w:rsidRPr="00370DFD">
              <w:t>66569</w:t>
            </w:r>
          </w:p>
        </w:tc>
        <w:tc>
          <w:tcPr>
            <w:tcW w:w="5522" w:type="dxa"/>
          </w:tcPr>
          <w:p w14:paraId="025898A2" w14:textId="77777777" w:rsidR="00543D47" w:rsidRPr="00370DFD" w:rsidRDefault="00543D47" w:rsidP="00D9610A">
            <w:pPr>
              <w:spacing w:before="140" w:after="40"/>
              <w:rPr>
                <w:rFonts w:cs="Arial"/>
                <w:szCs w:val="22"/>
              </w:rPr>
            </w:pPr>
            <w:r w:rsidRPr="00370DFD">
              <w:t>Quantitation of blood gases, bicarbonate and pH as described in item 66566 on 2 specimens performed within any 1 day</w:t>
            </w:r>
          </w:p>
        </w:tc>
        <w:tc>
          <w:tcPr>
            <w:tcW w:w="1451" w:type="dxa"/>
          </w:tcPr>
          <w:p w14:paraId="1BE42EBC" w14:textId="77777777" w:rsidR="00543D47" w:rsidRPr="00370DFD" w:rsidRDefault="00543D47" w:rsidP="00D9610A">
            <w:pPr>
              <w:spacing w:before="140" w:after="40"/>
              <w:jc w:val="center"/>
              <w:rPr>
                <w:rFonts w:cs="Arial"/>
                <w:szCs w:val="22"/>
              </w:rPr>
            </w:pPr>
            <w:r w:rsidRPr="00370DFD">
              <w:t>42.60</w:t>
            </w:r>
          </w:p>
        </w:tc>
        <w:tc>
          <w:tcPr>
            <w:tcW w:w="1560" w:type="dxa"/>
          </w:tcPr>
          <w:p w14:paraId="1BE19866" w14:textId="77777777" w:rsidR="00543D47" w:rsidRPr="00370DFD" w:rsidRDefault="00543D47" w:rsidP="00D9610A">
            <w:pPr>
              <w:spacing w:before="140" w:after="40"/>
              <w:jc w:val="center"/>
              <w:rPr>
                <w:rFonts w:cs="Arial"/>
                <w:szCs w:val="22"/>
              </w:rPr>
            </w:pPr>
            <w:r w:rsidRPr="00370DFD">
              <w:t>$1,813,114</w:t>
            </w:r>
          </w:p>
        </w:tc>
      </w:tr>
      <w:tr w:rsidR="00543D47" w:rsidRPr="00370DFD" w14:paraId="496EDE0C" w14:textId="77777777" w:rsidTr="00D9610A">
        <w:tc>
          <w:tcPr>
            <w:tcW w:w="965" w:type="dxa"/>
          </w:tcPr>
          <w:p w14:paraId="795345CD" w14:textId="77777777" w:rsidR="00543D47" w:rsidRPr="00370DFD" w:rsidRDefault="00543D47" w:rsidP="00D9610A">
            <w:pPr>
              <w:spacing w:before="140" w:after="40"/>
              <w:rPr>
                <w:rFonts w:cs="Arial"/>
                <w:b/>
                <w:szCs w:val="22"/>
              </w:rPr>
            </w:pPr>
            <w:r w:rsidRPr="00370DFD">
              <w:t>66572</w:t>
            </w:r>
          </w:p>
        </w:tc>
        <w:tc>
          <w:tcPr>
            <w:tcW w:w="5522" w:type="dxa"/>
          </w:tcPr>
          <w:p w14:paraId="0AA9CC00" w14:textId="77777777" w:rsidR="00543D47" w:rsidRPr="00370DFD" w:rsidRDefault="00543D47" w:rsidP="00D9610A">
            <w:pPr>
              <w:spacing w:before="140" w:after="40"/>
              <w:rPr>
                <w:rFonts w:cs="Arial"/>
                <w:szCs w:val="22"/>
              </w:rPr>
            </w:pPr>
            <w:r w:rsidRPr="00370DFD">
              <w:t>Quantitation of blood gases, bicarbonate and pH as described in item 66566 on 3 specimens performed within any 1 day</w:t>
            </w:r>
          </w:p>
        </w:tc>
        <w:tc>
          <w:tcPr>
            <w:tcW w:w="1451" w:type="dxa"/>
          </w:tcPr>
          <w:p w14:paraId="2F03DFA9" w14:textId="77777777" w:rsidR="00543D47" w:rsidRPr="00370DFD" w:rsidRDefault="00543D47" w:rsidP="00D9610A">
            <w:pPr>
              <w:spacing w:before="140" w:after="40"/>
              <w:jc w:val="center"/>
              <w:rPr>
                <w:rFonts w:cs="Arial"/>
                <w:szCs w:val="22"/>
              </w:rPr>
            </w:pPr>
            <w:r w:rsidRPr="00370DFD">
              <w:t>51.55</w:t>
            </w:r>
          </w:p>
        </w:tc>
        <w:tc>
          <w:tcPr>
            <w:tcW w:w="1560" w:type="dxa"/>
          </w:tcPr>
          <w:p w14:paraId="42A8310F" w14:textId="77777777" w:rsidR="00543D47" w:rsidRPr="00370DFD" w:rsidRDefault="00543D47" w:rsidP="00D9610A">
            <w:pPr>
              <w:spacing w:before="140" w:after="40"/>
              <w:jc w:val="center"/>
              <w:rPr>
                <w:rFonts w:cs="Arial"/>
                <w:szCs w:val="22"/>
              </w:rPr>
            </w:pPr>
            <w:r w:rsidRPr="00370DFD">
              <w:t>$1,045,369</w:t>
            </w:r>
          </w:p>
        </w:tc>
      </w:tr>
      <w:tr w:rsidR="00543D47" w:rsidRPr="00370DFD" w14:paraId="7E80BFCD" w14:textId="77777777" w:rsidTr="00D9610A">
        <w:tc>
          <w:tcPr>
            <w:tcW w:w="965" w:type="dxa"/>
          </w:tcPr>
          <w:p w14:paraId="3D4944C8" w14:textId="77777777" w:rsidR="00543D47" w:rsidRPr="00370DFD" w:rsidRDefault="00543D47" w:rsidP="00D9610A">
            <w:pPr>
              <w:spacing w:before="140" w:after="40"/>
              <w:rPr>
                <w:rFonts w:cs="Arial"/>
                <w:b/>
                <w:szCs w:val="22"/>
              </w:rPr>
            </w:pPr>
            <w:r w:rsidRPr="00370DFD">
              <w:t>66575</w:t>
            </w:r>
          </w:p>
        </w:tc>
        <w:tc>
          <w:tcPr>
            <w:tcW w:w="5522" w:type="dxa"/>
          </w:tcPr>
          <w:p w14:paraId="3EE07F01" w14:textId="77777777" w:rsidR="00543D47" w:rsidRPr="00370DFD" w:rsidRDefault="00543D47" w:rsidP="00D9610A">
            <w:pPr>
              <w:spacing w:before="140" w:after="40"/>
              <w:rPr>
                <w:rFonts w:cs="Arial"/>
                <w:szCs w:val="22"/>
              </w:rPr>
            </w:pPr>
            <w:r w:rsidRPr="00370DFD">
              <w:t>Quantitation of blood gases, bicarbonate and pH as described in item 66566 on 4 specimens performed within any 1 day</w:t>
            </w:r>
          </w:p>
        </w:tc>
        <w:tc>
          <w:tcPr>
            <w:tcW w:w="1451" w:type="dxa"/>
          </w:tcPr>
          <w:p w14:paraId="457514BE" w14:textId="77777777" w:rsidR="00543D47" w:rsidRPr="00370DFD" w:rsidRDefault="00543D47" w:rsidP="00D9610A">
            <w:pPr>
              <w:spacing w:before="140" w:after="40"/>
              <w:jc w:val="center"/>
              <w:rPr>
                <w:rFonts w:cs="Arial"/>
                <w:szCs w:val="22"/>
              </w:rPr>
            </w:pPr>
            <w:r w:rsidRPr="00370DFD">
              <w:t>60.45</w:t>
            </w:r>
          </w:p>
        </w:tc>
        <w:tc>
          <w:tcPr>
            <w:tcW w:w="1560" w:type="dxa"/>
          </w:tcPr>
          <w:p w14:paraId="37A98C86" w14:textId="77777777" w:rsidR="00543D47" w:rsidRPr="00370DFD" w:rsidRDefault="00543D47" w:rsidP="00D9610A">
            <w:pPr>
              <w:spacing w:before="140" w:after="40"/>
              <w:jc w:val="center"/>
              <w:rPr>
                <w:rFonts w:cs="Arial"/>
                <w:szCs w:val="22"/>
              </w:rPr>
            </w:pPr>
            <w:r w:rsidRPr="00370DFD">
              <w:t>$882,305</w:t>
            </w:r>
          </w:p>
        </w:tc>
      </w:tr>
      <w:tr w:rsidR="00543D47" w:rsidRPr="00370DFD" w14:paraId="0CE40EB8" w14:textId="77777777" w:rsidTr="00D9610A">
        <w:tc>
          <w:tcPr>
            <w:tcW w:w="965" w:type="dxa"/>
          </w:tcPr>
          <w:p w14:paraId="2C4B147C" w14:textId="77777777" w:rsidR="00543D47" w:rsidRPr="00370DFD" w:rsidRDefault="00543D47" w:rsidP="00D9610A">
            <w:pPr>
              <w:spacing w:before="140" w:after="40"/>
              <w:rPr>
                <w:rFonts w:cs="Arial"/>
                <w:b/>
                <w:szCs w:val="22"/>
              </w:rPr>
            </w:pPr>
            <w:r w:rsidRPr="00370DFD">
              <w:t>66578</w:t>
            </w:r>
          </w:p>
        </w:tc>
        <w:tc>
          <w:tcPr>
            <w:tcW w:w="5522" w:type="dxa"/>
          </w:tcPr>
          <w:p w14:paraId="575D9A02" w14:textId="77777777" w:rsidR="00543D47" w:rsidRPr="00370DFD" w:rsidRDefault="00543D47" w:rsidP="00D9610A">
            <w:pPr>
              <w:spacing w:before="140" w:after="40"/>
              <w:rPr>
                <w:rFonts w:cs="Arial"/>
                <w:szCs w:val="22"/>
              </w:rPr>
            </w:pPr>
            <w:r w:rsidRPr="00370DFD">
              <w:t>Quantitation of blood gases, bicarbonate and pH as described in item 66566 on 5 specimens performed within any 1 day</w:t>
            </w:r>
          </w:p>
        </w:tc>
        <w:tc>
          <w:tcPr>
            <w:tcW w:w="1451" w:type="dxa"/>
          </w:tcPr>
          <w:p w14:paraId="3CEA2B13" w14:textId="77777777" w:rsidR="00543D47" w:rsidRPr="00370DFD" w:rsidRDefault="00543D47" w:rsidP="00D9610A">
            <w:pPr>
              <w:spacing w:before="140" w:after="40"/>
              <w:jc w:val="center"/>
              <w:rPr>
                <w:rFonts w:cs="Arial"/>
                <w:szCs w:val="22"/>
              </w:rPr>
            </w:pPr>
            <w:r w:rsidRPr="00370DFD">
              <w:t>69.35</w:t>
            </w:r>
          </w:p>
        </w:tc>
        <w:tc>
          <w:tcPr>
            <w:tcW w:w="1560" w:type="dxa"/>
          </w:tcPr>
          <w:p w14:paraId="7E834467" w14:textId="77777777" w:rsidR="00543D47" w:rsidRPr="00370DFD" w:rsidRDefault="00543D47" w:rsidP="00D9610A">
            <w:pPr>
              <w:spacing w:before="140" w:after="40"/>
              <w:jc w:val="center"/>
              <w:rPr>
                <w:rFonts w:cs="Arial"/>
                <w:szCs w:val="22"/>
              </w:rPr>
            </w:pPr>
            <w:r w:rsidRPr="00370DFD">
              <w:t>$817,929</w:t>
            </w:r>
          </w:p>
        </w:tc>
      </w:tr>
      <w:tr w:rsidR="00543D47" w:rsidRPr="00370DFD" w14:paraId="0458C850" w14:textId="77777777" w:rsidTr="00D9610A">
        <w:tc>
          <w:tcPr>
            <w:tcW w:w="965" w:type="dxa"/>
          </w:tcPr>
          <w:p w14:paraId="24156084" w14:textId="77777777" w:rsidR="00543D47" w:rsidRPr="00370DFD" w:rsidRDefault="00543D47" w:rsidP="00D9610A">
            <w:pPr>
              <w:spacing w:before="140" w:after="40"/>
              <w:rPr>
                <w:rFonts w:cs="Arial"/>
                <w:b/>
                <w:szCs w:val="22"/>
              </w:rPr>
            </w:pPr>
            <w:r w:rsidRPr="00370DFD">
              <w:t>66581</w:t>
            </w:r>
          </w:p>
        </w:tc>
        <w:tc>
          <w:tcPr>
            <w:tcW w:w="5522" w:type="dxa"/>
          </w:tcPr>
          <w:p w14:paraId="63248038" w14:textId="77777777" w:rsidR="00543D47" w:rsidRPr="00370DFD" w:rsidRDefault="00543D47" w:rsidP="00D9610A">
            <w:pPr>
              <w:spacing w:before="140" w:after="40"/>
              <w:rPr>
                <w:rFonts w:cs="Arial"/>
                <w:szCs w:val="22"/>
              </w:rPr>
            </w:pPr>
            <w:r w:rsidRPr="00370DFD">
              <w:t>Quantitation of blood gases, bicarbonate and pH as described in item 66566 on 6 or more specimens performed within any 1 day</w:t>
            </w:r>
          </w:p>
        </w:tc>
        <w:tc>
          <w:tcPr>
            <w:tcW w:w="1451" w:type="dxa"/>
          </w:tcPr>
          <w:p w14:paraId="0A57BD23" w14:textId="77777777" w:rsidR="00543D47" w:rsidRPr="00370DFD" w:rsidRDefault="00543D47" w:rsidP="00D9610A">
            <w:pPr>
              <w:spacing w:before="140" w:after="40"/>
              <w:jc w:val="center"/>
              <w:rPr>
                <w:rFonts w:cs="Arial"/>
                <w:szCs w:val="22"/>
              </w:rPr>
            </w:pPr>
            <w:r w:rsidRPr="00370DFD">
              <w:t>78.25</w:t>
            </w:r>
          </w:p>
        </w:tc>
        <w:tc>
          <w:tcPr>
            <w:tcW w:w="1560" w:type="dxa"/>
          </w:tcPr>
          <w:p w14:paraId="62FFA48E" w14:textId="77777777" w:rsidR="00543D47" w:rsidRPr="00370DFD" w:rsidRDefault="00543D47" w:rsidP="00D9610A">
            <w:pPr>
              <w:spacing w:before="140" w:after="40"/>
              <w:jc w:val="center"/>
              <w:rPr>
                <w:rFonts w:cs="Arial"/>
                <w:szCs w:val="22"/>
              </w:rPr>
            </w:pPr>
            <w:r w:rsidRPr="00370DFD">
              <w:t>$2,138,054</w:t>
            </w:r>
          </w:p>
        </w:tc>
      </w:tr>
      <w:tr w:rsidR="00543D47" w:rsidRPr="00370DFD" w14:paraId="4A77D356" w14:textId="77777777" w:rsidTr="00D9610A">
        <w:tc>
          <w:tcPr>
            <w:tcW w:w="965" w:type="dxa"/>
          </w:tcPr>
          <w:p w14:paraId="5D0947AE" w14:textId="77777777" w:rsidR="00543D47" w:rsidRPr="00370DFD" w:rsidRDefault="00543D47" w:rsidP="00D9610A">
            <w:pPr>
              <w:spacing w:before="140" w:after="40"/>
              <w:rPr>
                <w:rFonts w:cs="Arial"/>
                <w:b/>
                <w:szCs w:val="22"/>
              </w:rPr>
            </w:pPr>
            <w:r w:rsidRPr="00370DFD">
              <w:t>66584</w:t>
            </w:r>
          </w:p>
        </w:tc>
        <w:tc>
          <w:tcPr>
            <w:tcW w:w="5522" w:type="dxa"/>
          </w:tcPr>
          <w:p w14:paraId="480FB4E7" w14:textId="77777777" w:rsidR="00543D47" w:rsidRPr="00370DFD" w:rsidRDefault="00543D47" w:rsidP="00D9610A">
            <w:pPr>
              <w:spacing w:before="140" w:after="40"/>
              <w:rPr>
                <w:rFonts w:cs="Arial"/>
                <w:szCs w:val="22"/>
              </w:rPr>
            </w:pPr>
            <w:r w:rsidRPr="00370DFD">
              <w:t>Quantitation of ionised calcium (except if performed as part of item 66566) - 1 test</w:t>
            </w:r>
          </w:p>
        </w:tc>
        <w:tc>
          <w:tcPr>
            <w:tcW w:w="1451" w:type="dxa"/>
          </w:tcPr>
          <w:p w14:paraId="1D9BE1D4" w14:textId="77777777" w:rsidR="00543D47" w:rsidRPr="00370DFD" w:rsidRDefault="00543D47" w:rsidP="00D9610A">
            <w:pPr>
              <w:spacing w:before="140" w:after="40"/>
              <w:jc w:val="center"/>
              <w:rPr>
                <w:rFonts w:cs="Arial"/>
                <w:szCs w:val="22"/>
              </w:rPr>
            </w:pPr>
            <w:r w:rsidRPr="00370DFD">
              <w:t>9.70</w:t>
            </w:r>
          </w:p>
        </w:tc>
        <w:tc>
          <w:tcPr>
            <w:tcW w:w="1560" w:type="dxa"/>
          </w:tcPr>
          <w:p w14:paraId="003348AD" w14:textId="77777777" w:rsidR="00543D47" w:rsidRPr="00370DFD" w:rsidRDefault="00543D47" w:rsidP="00D9610A">
            <w:pPr>
              <w:spacing w:before="140" w:after="40"/>
              <w:jc w:val="center"/>
              <w:rPr>
                <w:rFonts w:cs="Arial"/>
                <w:szCs w:val="22"/>
              </w:rPr>
            </w:pPr>
            <w:r w:rsidRPr="00370DFD">
              <w:t>$274,220</w:t>
            </w:r>
          </w:p>
        </w:tc>
      </w:tr>
      <w:tr w:rsidR="00543D47" w:rsidRPr="00370DFD" w14:paraId="0CBBF007" w14:textId="77777777" w:rsidTr="00D9610A">
        <w:tc>
          <w:tcPr>
            <w:tcW w:w="965" w:type="dxa"/>
          </w:tcPr>
          <w:p w14:paraId="71F376D0" w14:textId="77777777" w:rsidR="00543D47" w:rsidRPr="00370DFD" w:rsidRDefault="00543D47" w:rsidP="00D9610A">
            <w:pPr>
              <w:spacing w:before="140" w:after="40"/>
              <w:rPr>
                <w:rFonts w:cs="Arial"/>
                <w:b/>
                <w:szCs w:val="22"/>
              </w:rPr>
            </w:pPr>
            <w:r w:rsidRPr="00370DFD">
              <w:t>66563</w:t>
            </w:r>
          </w:p>
        </w:tc>
        <w:tc>
          <w:tcPr>
            <w:tcW w:w="5522" w:type="dxa"/>
          </w:tcPr>
          <w:p w14:paraId="2421F95C" w14:textId="77777777" w:rsidR="00543D47" w:rsidRPr="00370DFD" w:rsidRDefault="00543D47" w:rsidP="00D9610A">
            <w:pPr>
              <w:spacing w:before="140" w:after="40"/>
              <w:rPr>
                <w:rFonts w:cs="Arial"/>
                <w:szCs w:val="22"/>
              </w:rPr>
            </w:pPr>
            <w:r w:rsidRPr="00370DFD">
              <w:t>Osmolality, estimation by osmometer, in serum or in urine - 1 or more tests</w:t>
            </w:r>
          </w:p>
        </w:tc>
        <w:tc>
          <w:tcPr>
            <w:tcW w:w="1451" w:type="dxa"/>
          </w:tcPr>
          <w:p w14:paraId="4667F232" w14:textId="77777777" w:rsidR="00543D47" w:rsidRPr="00370DFD" w:rsidRDefault="00543D47" w:rsidP="00D9610A">
            <w:pPr>
              <w:spacing w:before="140" w:after="40"/>
              <w:jc w:val="center"/>
              <w:rPr>
                <w:rFonts w:cs="Arial"/>
                <w:szCs w:val="22"/>
              </w:rPr>
            </w:pPr>
            <w:r w:rsidRPr="00370DFD">
              <w:t>24.70</w:t>
            </w:r>
          </w:p>
        </w:tc>
        <w:tc>
          <w:tcPr>
            <w:tcW w:w="1560" w:type="dxa"/>
          </w:tcPr>
          <w:p w14:paraId="1CC355B6" w14:textId="77777777" w:rsidR="00543D47" w:rsidRPr="00370DFD" w:rsidRDefault="00543D47" w:rsidP="00D9610A">
            <w:pPr>
              <w:spacing w:before="140" w:after="40"/>
              <w:jc w:val="center"/>
              <w:rPr>
                <w:rFonts w:cs="Arial"/>
                <w:szCs w:val="22"/>
              </w:rPr>
            </w:pPr>
            <w:r w:rsidRPr="00370DFD">
              <w:t>$748,144</w:t>
            </w:r>
          </w:p>
        </w:tc>
      </w:tr>
      <w:tr w:rsidR="00543D47" w:rsidRPr="00370DFD" w14:paraId="295BB2F8" w14:textId="77777777" w:rsidTr="00D9610A">
        <w:tc>
          <w:tcPr>
            <w:tcW w:w="965" w:type="dxa"/>
          </w:tcPr>
          <w:p w14:paraId="20F3E5E8" w14:textId="77777777" w:rsidR="00543D47" w:rsidRPr="00370DFD" w:rsidRDefault="00543D47" w:rsidP="00D9610A">
            <w:pPr>
              <w:spacing w:before="140" w:after="40"/>
              <w:rPr>
                <w:rFonts w:cs="Arial"/>
                <w:b/>
                <w:szCs w:val="22"/>
              </w:rPr>
            </w:pPr>
            <w:r w:rsidRPr="00370DFD">
              <w:lastRenderedPageBreak/>
              <w:t>66566</w:t>
            </w:r>
          </w:p>
        </w:tc>
        <w:tc>
          <w:tcPr>
            <w:tcW w:w="5522" w:type="dxa"/>
          </w:tcPr>
          <w:p w14:paraId="47C7B2F2" w14:textId="77777777" w:rsidR="00543D47" w:rsidRPr="00370DFD" w:rsidRDefault="00543D47" w:rsidP="00D9610A">
            <w:pPr>
              <w:spacing w:before="140" w:after="40"/>
              <w:rPr>
                <w:rFonts w:cs="Arial"/>
                <w:szCs w:val="22"/>
              </w:rPr>
            </w:pPr>
            <w:r w:rsidRPr="00370DFD">
              <w:t>Quantitation of: (a) blood gases (including pO2, oxygen saturation and pCO2); and (b) bicarbonate and pH; including any other measurement (</w:t>
            </w:r>
            <w:proofErr w:type="spellStart"/>
            <w:r w:rsidRPr="00370DFD">
              <w:t>eg.</w:t>
            </w:r>
            <w:proofErr w:type="spellEnd"/>
            <w:r w:rsidRPr="00370DFD">
              <w:t xml:space="preserve"> haemoglobin, lactate, potassium or ionised calcium) or calculation performed on the same specimen - 1 or more tests on 1 specimen</w:t>
            </w:r>
          </w:p>
        </w:tc>
        <w:tc>
          <w:tcPr>
            <w:tcW w:w="1451" w:type="dxa"/>
          </w:tcPr>
          <w:p w14:paraId="5328DA8F" w14:textId="77777777" w:rsidR="00543D47" w:rsidRPr="00370DFD" w:rsidRDefault="00543D47" w:rsidP="00D9610A">
            <w:pPr>
              <w:spacing w:before="140" w:after="40"/>
              <w:jc w:val="center"/>
              <w:rPr>
                <w:rFonts w:cs="Arial"/>
                <w:szCs w:val="22"/>
              </w:rPr>
            </w:pPr>
            <w:r w:rsidRPr="00370DFD">
              <w:t>33.70</w:t>
            </w:r>
          </w:p>
        </w:tc>
        <w:tc>
          <w:tcPr>
            <w:tcW w:w="1560" w:type="dxa"/>
          </w:tcPr>
          <w:p w14:paraId="61558853" w14:textId="77777777" w:rsidR="00543D47" w:rsidRPr="00370DFD" w:rsidRDefault="00543D47" w:rsidP="00D9610A">
            <w:pPr>
              <w:spacing w:before="140" w:after="40"/>
              <w:jc w:val="center"/>
              <w:rPr>
                <w:rFonts w:cs="Arial"/>
                <w:szCs w:val="22"/>
              </w:rPr>
            </w:pPr>
            <w:r w:rsidRPr="00370DFD">
              <w:t>$4,357,317</w:t>
            </w:r>
          </w:p>
        </w:tc>
      </w:tr>
      <w:tr w:rsidR="00543D47" w:rsidRPr="00370DFD" w14:paraId="23CBAAF0" w14:textId="77777777" w:rsidTr="00D9610A">
        <w:tc>
          <w:tcPr>
            <w:tcW w:w="965" w:type="dxa"/>
          </w:tcPr>
          <w:p w14:paraId="3DED8D44" w14:textId="77777777" w:rsidR="00543D47" w:rsidRPr="00370DFD" w:rsidRDefault="00543D47" w:rsidP="00D9610A">
            <w:pPr>
              <w:spacing w:before="140" w:after="40"/>
              <w:rPr>
                <w:rFonts w:cs="Arial"/>
                <w:b/>
                <w:szCs w:val="22"/>
              </w:rPr>
            </w:pPr>
            <w:r w:rsidRPr="00370DFD">
              <w:t>66569</w:t>
            </w:r>
          </w:p>
        </w:tc>
        <w:tc>
          <w:tcPr>
            <w:tcW w:w="5522" w:type="dxa"/>
          </w:tcPr>
          <w:p w14:paraId="5D5133E1" w14:textId="77777777" w:rsidR="00543D47" w:rsidRPr="00370DFD" w:rsidRDefault="00543D47" w:rsidP="00D9610A">
            <w:pPr>
              <w:spacing w:before="140" w:after="40"/>
              <w:rPr>
                <w:rFonts w:cs="Arial"/>
                <w:szCs w:val="22"/>
              </w:rPr>
            </w:pPr>
            <w:r w:rsidRPr="00370DFD">
              <w:t>Quantitation of blood gases, bicarbonate and pH as described in item 66566 on 2 specimens performed within any 1 day</w:t>
            </w:r>
          </w:p>
        </w:tc>
        <w:tc>
          <w:tcPr>
            <w:tcW w:w="1451" w:type="dxa"/>
          </w:tcPr>
          <w:p w14:paraId="0F403833" w14:textId="77777777" w:rsidR="00543D47" w:rsidRPr="0057193B" w:rsidRDefault="00543D47" w:rsidP="00D9610A">
            <w:pPr>
              <w:spacing w:before="140" w:after="40"/>
              <w:jc w:val="center"/>
            </w:pPr>
            <w:r w:rsidRPr="00370DFD">
              <w:t>42.60</w:t>
            </w:r>
          </w:p>
        </w:tc>
        <w:tc>
          <w:tcPr>
            <w:tcW w:w="1560" w:type="dxa"/>
          </w:tcPr>
          <w:p w14:paraId="2DB8C0DD" w14:textId="77777777" w:rsidR="00543D47" w:rsidRPr="00370DFD" w:rsidRDefault="00543D47" w:rsidP="00D9610A">
            <w:pPr>
              <w:spacing w:before="140" w:after="40"/>
              <w:jc w:val="center"/>
              <w:rPr>
                <w:rFonts w:cs="Arial"/>
                <w:szCs w:val="22"/>
              </w:rPr>
            </w:pPr>
            <w:r w:rsidRPr="00370DFD">
              <w:t>$1,813,114</w:t>
            </w:r>
          </w:p>
        </w:tc>
      </w:tr>
      <w:tr w:rsidR="00543D47" w:rsidRPr="00370DFD" w14:paraId="1B9EEB19" w14:textId="77777777" w:rsidTr="00D9610A">
        <w:tc>
          <w:tcPr>
            <w:tcW w:w="965" w:type="dxa"/>
          </w:tcPr>
          <w:p w14:paraId="57698C0F" w14:textId="77777777" w:rsidR="00543D47" w:rsidRPr="00370DFD" w:rsidRDefault="00543D47" w:rsidP="00D9610A">
            <w:pPr>
              <w:spacing w:before="140" w:after="40"/>
            </w:pPr>
            <w:r w:rsidRPr="00370DFD">
              <w:t>66517</w:t>
            </w:r>
          </w:p>
        </w:tc>
        <w:tc>
          <w:tcPr>
            <w:tcW w:w="5522" w:type="dxa"/>
          </w:tcPr>
          <w:p w14:paraId="072EF13F" w14:textId="77777777" w:rsidR="00543D47" w:rsidRPr="00370DFD" w:rsidRDefault="00543D47" w:rsidP="00D9610A">
            <w:pPr>
              <w:spacing w:before="140" w:after="40"/>
            </w:pPr>
            <w:r w:rsidRPr="00370DFD">
              <w:t>Quantitation of bile acids in blood in pregnancy.</w:t>
            </w:r>
            <w:r>
              <w:t xml:space="preserve"> </w:t>
            </w:r>
            <w:r w:rsidRPr="00370DFD">
              <w:t>To a ma</w:t>
            </w:r>
            <w:r>
              <w:t>ximum of 3 tests in a pregnancy</w:t>
            </w:r>
          </w:p>
        </w:tc>
        <w:tc>
          <w:tcPr>
            <w:tcW w:w="1451" w:type="dxa"/>
          </w:tcPr>
          <w:p w14:paraId="2EE9B08A" w14:textId="77777777" w:rsidR="00543D47" w:rsidRPr="00370DFD" w:rsidRDefault="00543D47" w:rsidP="00D9610A">
            <w:pPr>
              <w:spacing w:before="140" w:after="40"/>
              <w:jc w:val="center"/>
            </w:pPr>
            <w:r w:rsidRPr="00370DFD">
              <w:t>19.65</w:t>
            </w:r>
          </w:p>
        </w:tc>
        <w:tc>
          <w:tcPr>
            <w:tcW w:w="1560" w:type="dxa"/>
          </w:tcPr>
          <w:p w14:paraId="56266FE1" w14:textId="77777777" w:rsidR="00543D47" w:rsidRPr="00370DFD" w:rsidRDefault="00543D47" w:rsidP="00D9610A">
            <w:pPr>
              <w:spacing w:before="140" w:after="40"/>
              <w:jc w:val="center"/>
            </w:pPr>
            <w:r w:rsidRPr="00370DFD">
              <w:t>$156,240</w:t>
            </w:r>
          </w:p>
        </w:tc>
      </w:tr>
      <w:tr w:rsidR="00543D47" w:rsidRPr="00370DFD" w14:paraId="2AAAFF08" w14:textId="77777777" w:rsidTr="00D9610A">
        <w:tc>
          <w:tcPr>
            <w:tcW w:w="965" w:type="dxa"/>
          </w:tcPr>
          <w:p w14:paraId="3AADE830" w14:textId="77777777" w:rsidR="00543D47" w:rsidRPr="00370DFD" w:rsidRDefault="00543D47" w:rsidP="00D9610A">
            <w:pPr>
              <w:spacing w:before="140" w:after="40"/>
            </w:pPr>
            <w:r w:rsidRPr="00370DFD">
              <w:t>66743</w:t>
            </w:r>
          </w:p>
        </w:tc>
        <w:tc>
          <w:tcPr>
            <w:tcW w:w="5522" w:type="dxa"/>
          </w:tcPr>
          <w:p w14:paraId="3CB14591" w14:textId="77777777" w:rsidR="00543D47" w:rsidRPr="00370DFD" w:rsidRDefault="00543D47" w:rsidP="00D9610A">
            <w:pPr>
              <w:spacing w:before="140" w:after="40"/>
            </w:pPr>
            <w:r w:rsidRPr="00370DFD">
              <w:t>Quantitation of alpha-fetoprotein in serum or other body fluids during pregnancy except if requested as part of items 66750 or 66751</w:t>
            </w:r>
          </w:p>
        </w:tc>
        <w:tc>
          <w:tcPr>
            <w:tcW w:w="1451" w:type="dxa"/>
          </w:tcPr>
          <w:p w14:paraId="77C69421" w14:textId="77777777" w:rsidR="00543D47" w:rsidRPr="00370DFD" w:rsidRDefault="00543D47" w:rsidP="00D9610A">
            <w:pPr>
              <w:spacing w:before="140" w:after="40"/>
              <w:jc w:val="center"/>
            </w:pPr>
            <w:r w:rsidRPr="00370DFD">
              <w:t>20.10</w:t>
            </w:r>
          </w:p>
        </w:tc>
        <w:tc>
          <w:tcPr>
            <w:tcW w:w="1560" w:type="dxa"/>
          </w:tcPr>
          <w:p w14:paraId="182DA8A2" w14:textId="77777777" w:rsidR="00543D47" w:rsidRPr="00370DFD" w:rsidRDefault="00543D47" w:rsidP="00D9610A">
            <w:pPr>
              <w:spacing w:before="140" w:after="40"/>
              <w:jc w:val="center"/>
            </w:pPr>
            <w:r w:rsidRPr="00370DFD">
              <w:t>$37,828</w:t>
            </w:r>
          </w:p>
        </w:tc>
      </w:tr>
      <w:tr w:rsidR="00543D47" w:rsidRPr="00370DFD" w14:paraId="592DB6C7" w14:textId="77777777" w:rsidTr="00D9610A">
        <w:tc>
          <w:tcPr>
            <w:tcW w:w="965" w:type="dxa"/>
          </w:tcPr>
          <w:p w14:paraId="7D06A7E0" w14:textId="77777777" w:rsidR="00543D47" w:rsidRPr="00370DFD" w:rsidRDefault="00543D47" w:rsidP="00D9610A">
            <w:r>
              <w:t>66785</w:t>
            </w:r>
          </w:p>
        </w:tc>
        <w:tc>
          <w:tcPr>
            <w:tcW w:w="5522" w:type="dxa"/>
            <w:vAlign w:val="bottom"/>
          </w:tcPr>
          <w:p w14:paraId="036331A4" w14:textId="77777777" w:rsidR="00543D47" w:rsidRPr="00370DFD" w:rsidRDefault="00543D47" w:rsidP="00D9610A">
            <w:pPr>
              <w:spacing w:before="140" w:after="40"/>
            </w:pPr>
            <w:r w:rsidRPr="000721C1">
              <w:t>Porphyrins or porphyrins precursors - quantitation in plasma, red cells, urine or faeces - 1 test (Item is subject to rule 6)</w:t>
            </w:r>
          </w:p>
        </w:tc>
        <w:tc>
          <w:tcPr>
            <w:tcW w:w="1451" w:type="dxa"/>
          </w:tcPr>
          <w:p w14:paraId="0F741E66" w14:textId="77777777" w:rsidR="00543D47" w:rsidRPr="00370DFD" w:rsidRDefault="00543D47" w:rsidP="00D9610A">
            <w:pPr>
              <w:spacing w:before="140" w:after="40"/>
              <w:jc w:val="center"/>
            </w:pPr>
            <w:r>
              <w:rPr>
                <w:rFonts w:ascii="Calibri" w:hAnsi="Calibri"/>
                <w:color w:val="000000"/>
                <w:szCs w:val="22"/>
              </w:rPr>
              <w:t>39.95</w:t>
            </w:r>
          </w:p>
        </w:tc>
        <w:tc>
          <w:tcPr>
            <w:tcW w:w="1560" w:type="dxa"/>
          </w:tcPr>
          <w:p w14:paraId="74BEDCE8" w14:textId="77777777" w:rsidR="00543D47" w:rsidRPr="00370DFD" w:rsidRDefault="00543D47" w:rsidP="00D9610A">
            <w:pPr>
              <w:spacing w:before="140" w:after="40"/>
              <w:jc w:val="center"/>
            </w:pPr>
            <w:r>
              <w:rPr>
                <w:rFonts w:ascii="Calibri" w:hAnsi="Calibri"/>
                <w:color w:val="000000"/>
                <w:szCs w:val="22"/>
              </w:rPr>
              <w:t>$44,012</w:t>
            </w:r>
          </w:p>
        </w:tc>
      </w:tr>
      <w:tr w:rsidR="00543D47" w:rsidRPr="00370DFD" w14:paraId="32BA3350" w14:textId="77777777" w:rsidTr="00D9610A">
        <w:tc>
          <w:tcPr>
            <w:tcW w:w="965" w:type="dxa"/>
          </w:tcPr>
          <w:p w14:paraId="49C9CBEE" w14:textId="77777777" w:rsidR="00543D47" w:rsidRPr="00370DFD" w:rsidRDefault="00543D47" w:rsidP="00D9610A">
            <w:pPr>
              <w:spacing w:before="140" w:after="40"/>
            </w:pPr>
            <w:r>
              <w:t>66788</w:t>
            </w:r>
          </w:p>
        </w:tc>
        <w:tc>
          <w:tcPr>
            <w:tcW w:w="5522" w:type="dxa"/>
            <w:vAlign w:val="bottom"/>
          </w:tcPr>
          <w:p w14:paraId="5DA148EB" w14:textId="77777777" w:rsidR="00543D47" w:rsidRPr="00370DFD" w:rsidRDefault="00543D47" w:rsidP="00D9610A">
            <w:pPr>
              <w:spacing w:before="140" w:after="40"/>
            </w:pPr>
            <w:r w:rsidRPr="000721C1">
              <w:t>Porphyrins or porphyrins precursors - quantitation in plasma, red cells, urine or faeces - 2 or more tests (Item is subject to rule 6)</w:t>
            </w:r>
          </w:p>
        </w:tc>
        <w:tc>
          <w:tcPr>
            <w:tcW w:w="1451" w:type="dxa"/>
          </w:tcPr>
          <w:p w14:paraId="0F7748F3" w14:textId="77777777" w:rsidR="00543D47" w:rsidRPr="00370DFD" w:rsidRDefault="00543D47" w:rsidP="00D9610A">
            <w:pPr>
              <w:spacing w:before="140" w:after="40"/>
              <w:jc w:val="center"/>
            </w:pPr>
            <w:r>
              <w:rPr>
                <w:rFonts w:ascii="Calibri" w:hAnsi="Calibri"/>
                <w:color w:val="000000"/>
                <w:szCs w:val="22"/>
              </w:rPr>
              <w:t>65.85</w:t>
            </w:r>
          </w:p>
        </w:tc>
        <w:tc>
          <w:tcPr>
            <w:tcW w:w="1560" w:type="dxa"/>
          </w:tcPr>
          <w:p w14:paraId="6E364321" w14:textId="77777777" w:rsidR="00543D47" w:rsidRPr="00370DFD" w:rsidRDefault="00543D47" w:rsidP="00D9610A">
            <w:pPr>
              <w:spacing w:before="140" w:after="40"/>
              <w:jc w:val="center"/>
            </w:pPr>
            <w:r>
              <w:rPr>
                <w:rFonts w:ascii="Calibri" w:hAnsi="Calibri"/>
                <w:color w:val="000000"/>
                <w:szCs w:val="22"/>
              </w:rPr>
              <w:t>$40,518</w:t>
            </w:r>
          </w:p>
        </w:tc>
      </w:tr>
      <w:tr w:rsidR="00543D47" w:rsidRPr="00370DFD" w14:paraId="43DF19ED" w14:textId="77777777" w:rsidTr="00D9610A">
        <w:tc>
          <w:tcPr>
            <w:tcW w:w="965" w:type="dxa"/>
          </w:tcPr>
          <w:p w14:paraId="2C4F5450" w14:textId="77777777" w:rsidR="00543D47" w:rsidRPr="00370DFD" w:rsidRDefault="00543D47" w:rsidP="00D9610A">
            <w:pPr>
              <w:spacing w:before="140" w:after="40"/>
            </w:pPr>
            <w:r>
              <w:t>66789</w:t>
            </w:r>
          </w:p>
        </w:tc>
        <w:tc>
          <w:tcPr>
            <w:tcW w:w="5522" w:type="dxa"/>
            <w:vAlign w:val="bottom"/>
          </w:tcPr>
          <w:p w14:paraId="7A624924" w14:textId="77777777" w:rsidR="00543D47" w:rsidRPr="00370DFD" w:rsidRDefault="00543D47" w:rsidP="00D9610A">
            <w:pPr>
              <w:spacing w:before="140" w:after="40"/>
            </w:pPr>
            <w:r w:rsidRPr="000721C1">
              <w:t>A test described in item 66785 if rendered by a receiving APP, where no tests in the item have been rendered by the referring APP - 1 test</w:t>
            </w:r>
            <w:r>
              <w:t xml:space="preserve"> </w:t>
            </w:r>
            <w:r w:rsidRPr="000721C1">
              <w:t>(Item is subject to rule</w:t>
            </w:r>
            <w:r>
              <w:t>s</w:t>
            </w:r>
            <w:r w:rsidRPr="000721C1">
              <w:t xml:space="preserve"> 6 and 18)</w:t>
            </w:r>
          </w:p>
        </w:tc>
        <w:tc>
          <w:tcPr>
            <w:tcW w:w="1451" w:type="dxa"/>
          </w:tcPr>
          <w:p w14:paraId="279CE03E" w14:textId="77777777" w:rsidR="00543D47" w:rsidRPr="00370DFD" w:rsidRDefault="00543D47" w:rsidP="00D9610A">
            <w:pPr>
              <w:spacing w:before="140" w:after="40"/>
              <w:jc w:val="center"/>
            </w:pPr>
            <w:r>
              <w:rPr>
                <w:rFonts w:ascii="Calibri" w:hAnsi="Calibri"/>
                <w:color w:val="000000"/>
                <w:szCs w:val="22"/>
              </w:rPr>
              <w:t>39.95</w:t>
            </w:r>
          </w:p>
        </w:tc>
        <w:tc>
          <w:tcPr>
            <w:tcW w:w="1560" w:type="dxa"/>
          </w:tcPr>
          <w:p w14:paraId="48536F3C" w14:textId="77777777" w:rsidR="00543D47" w:rsidRPr="00370DFD" w:rsidRDefault="00543D47" w:rsidP="00D9610A">
            <w:pPr>
              <w:spacing w:before="140" w:after="40"/>
              <w:jc w:val="center"/>
            </w:pPr>
            <w:r>
              <w:rPr>
                <w:rFonts w:ascii="Calibri" w:hAnsi="Calibri"/>
                <w:color w:val="000000"/>
                <w:szCs w:val="22"/>
              </w:rPr>
              <w:t>$18,475</w:t>
            </w:r>
          </w:p>
        </w:tc>
      </w:tr>
      <w:tr w:rsidR="00543D47" w:rsidRPr="00370DFD" w14:paraId="62FBD9C5" w14:textId="77777777" w:rsidTr="00D9610A">
        <w:tc>
          <w:tcPr>
            <w:tcW w:w="965" w:type="dxa"/>
          </w:tcPr>
          <w:p w14:paraId="60F27DBA" w14:textId="77777777" w:rsidR="00543D47" w:rsidRPr="00370DFD" w:rsidRDefault="00543D47" w:rsidP="00D9610A">
            <w:pPr>
              <w:spacing w:before="140" w:after="40"/>
            </w:pPr>
            <w:r>
              <w:t>66566</w:t>
            </w:r>
          </w:p>
        </w:tc>
        <w:tc>
          <w:tcPr>
            <w:tcW w:w="5522" w:type="dxa"/>
            <w:vAlign w:val="bottom"/>
          </w:tcPr>
          <w:p w14:paraId="51CE203C" w14:textId="77777777" w:rsidR="00543D47" w:rsidRPr="00370DFD" w:rsidRDefault="00543D47" w:rsidP="00D9610A">
            <w:pPr>
              <w:spacing w:before="140" w:after="40"/>
            </w:pPr>
            <w:r w:rsidRPr="000721C1">
              <w:t>Quantitation of: (a) blood gases (including pO2, oxygen saturation and pCO2); and (b) bicarbonate and pH; incl</w:t>
            </w:r>
            <w:r>
              <w:t>uding any other measurement (</w:t>
            </w:r>
            <w:proofErr w:type="spellStart"/>
            <w:r>
              <w:t>eg</w:t>
            </w:r>
            <w:proofErr w:type="spellEnd"/>
            <w:r>
              <w:t>,</w:t>
            </w:r>
            <w:r w:rsidRPr="000721C1">
              <w:t xml:space="preserve"> haemoglobin, lactate, potassium or ionised calcium) or calculation performed on the same specimen - 1 or more tests on 1 specimen</w:t>
            </w:r>
          </w:p>
        </w:tc>
        <w:tc>
          <w:tcPr>
            <w:tcW w:w="1451" w:type="dxa"/>
          </w:tcPr>
          <w:p w14:paraId="6BB78B91" w14:textId="77777777" w:rsidR="00543D47" w:rsidRPr="00370DFD" w:rsidRDefault="00543D47" w:rsidP="00D9610A">
            <w:pPr>
              <w:spacing w:before="140" w:after="40"/>
              <w:jc w:val="center"/>
            </w:pPr>
            <w:r w:rsidRPr="000721C1">
              <w:t>33.70</w:t>
            </w:r>
          </w:p>
        </w:tc>
        <w:tc>
          <w:tcPr>
            <w:tcW w:w="1560" w:type="dxa"/>
          </w:tcPr>
          <w:p w14:paraId="7B72177C" w14:textId="77777777" w:rsidR="00543D47" w:rsidRPr="00370DFD" w:rsidRDefault="00543D47" w:rsidP="00D9610A">
            <w:pPr>
              <w:spacing w:before="140" w:after="40"/>
              <w:jc w:val="center"/>
            </w:pPr>
            <w:r>
              <w:rPr>
                <w:rFonts w:ascii="Calibri" w:hAnsi="Calibri"/>
                <w:color w:val="000000"/>
                <w:szCs w:val="22"/>
              </w:rPr>
              <w:t>$4,357,317</w:t>
            </w:r>
          </w:p>
        </w:tc>
      </w:tr>
      <w:tr w:rsidR="00543D47" w:rsidRPr="00370DFD" w14:paraId="1BDFA37A" w14:textId="77777777" w:rsidTr="00D9610A">
        <w:tc>
          <w:tcPr>
            <w:tcW w:w="965" w:type="dxa"/>
          </w:tcPr>
          <w:p w14:paraId="72DE3FCB" w14:textId="77777777" w:rsidR="00543D47" w:rsidRDefault="00543D47" w:rsidP="00D9610A">
            <w:pPr>
              <w:spacing w:before="140" w:after="40"/>
            </w:pPr>
            <w:r>
              <w:rPr>
                <w:rFonts w:ascii="Calibri" w:hAnsi="Calibri"/>
                <w:color w:val="000000"/>
                <w:szCs w:val="22"/>
              </w:rPr>
              <w:t>66569</w:t>
            </w:r>
          </w:p>
        </w:tc>
        <w:tc>
          <w:tcPr>
            <w:tcW w:w="5522" w:type="dxa"/>
            <w:vAlign w:val="bottom"/>
          </w:tcPr>
          <w:p w14:paraId="534237CB" w14:textId="77777777" w:rsidR="00543D47" w:rsidRDefault="00543D47" w:rsidP="00D9610A">
            <w:pPr>
              <w:spacing w:before="140" w:after="40"/>
            </w:pPr>
            <w:r w:rsidRPr="000721C1">
              <w:t>Quantitation of blood gases, bicarbonate and pH as described in item 66566 on 2 specimens performed within any 1 day</w:t>
            </w:r>
          </w:p>
        </w:tc>
        <w:tc>
          <w:tcPr>
            <w:tcW w:w="1451" w:type="dxa"/>
          </w:tcPr>
          <w:p w14:paraId="2E635A10" w14:textId="77777777" w:rsidR="00543D47" w:rsidRPr="00370DFD" w:rsidRDefault="00543D47" w:rsidP="00D9610A">
            <w:pPr>
              <w:spacing w:before="140" w:after="40"/>
              <w:jc w:val="center"/>
            </w:pPr>
            <w:r w:rsidRPr="000721C1">
              <w:t>42.60</w:t>
            </w:r>
          </w:p>
        </w:tc>
        <w:tc>
          <w:tcPr>
            <w:tcW w:w="1560" w:type="dxa"/>
          </w:tcPr>
          <w:p w14:paraId="3482E032" w14:textId="77777777" w:rsidR="00543D47" w:rsidRPr="00370DFD" w:rsidRDefault="00543D47" w:rsidP="00D9610A">
            <w:pPr>
              <w:spacing w:before="140" w:after="40"/>
              <w:jc w:val="center"/>
            </w:pPr>
            <w:r>
              <w:rPr>
                <w:rFonts w:ascii="Calibri" w:hAnsi="Calibri"/>
                <w:color w:val="000000"/>
                <w:szCs w:val="22"/>
              </w:rPr>
              <w:t>$1,813,114</w:t>
            </w:r>
          </w:p>
        </w:tc>
      </w:tr>
      <w:tr w:rsidR="00543D47" w:rsidRPr="00370DFD" w14:paraId="391AD775" w14:textId="77777777" w:rsidTr="00D9610A">
        <w:tc>
          <w:tcPr>
            <w:tcW w:w="965" w:type="dxa"/>
          </w:tcPr>
          <w:p w14:paraId="6D8F3378" w14:textId="77777777" w:rsidR="00543D47" w:rsidRDefault="00543D47" w:rsidP="00D9610A">
            <w:pPr>
              <w:spacing w:before="140" w:after="40"/>
            </w:pPr>
            <w:r>
              <w:rPr>
                <w:rFonts w:ascii="Calibri" w:hAnsi="Calibri"/>
                <w:color w:val="000000"/>
                <w:szCs w:val="22"/>
              </w:rPr>
              <w:lastRenderedPageBreak/>
              <w:t>66572</w:t>
            </w:r>
          </w:p>
        </w:tc>
        <w:tc>
          <w:tcPr>
            <w:tcW w:w="5522" w:type="dxa"/>
            <w:vAlign w:val="bottom"/>
          </w:tcPr>
          <w:p w14:paraId="29B66C9E" w14:textId="77777777" w:rsidR="00543D47" w:rsidRDefault="00543D47" w:rsidP="00D9610A">
            <w:pPr>
              <w:spacing w:before="140" w:after="40"/>
            </w:pPr>
            <w:r w:rsidRPr="000721C1">
              <w:t>Quantitation of blood gases, bicarbonate and pH as described in item 66566 on 3 specimens performed within any 1 day</w:t>
            </w:r>
          </w:p>
        </w:tc>
        <w:tc>
          <w:tcPr>
            <w:tcW w:w="1451" w:type="dxa"/>
          </w:tcPr>
          <w:p w14:paraId="5671C423" w14:textId="77777777" w:rsidR="00543D47" w:rsidRPr="00370DFD" w:rsidRDefault="00543D47" w:rsidP="00D9610A">
            <w:pPr>
              <w:spacing w:before="140" w:after="40"/>
              <w:jc w:val="center"/>
            </w:pPr>
            <w:r w:rsidRPr="000721C1">
              <w:t>51.55</w:t>
            </w:r>
          </w:p>
        </w:tc>
        <w:tc>
          <w:tcPr>
            <w:tcW w:w="1560" w:type="dxa"/>
          </w:tcPr>
          <w:p w14:paraId="657E4B47" w14:textId="77777777" w:rsidR="00543D47" w:rsidRPr="00370DFD" w:rsidRDefault="00543D47" w:rsidP="00D9610A">
            <w:pPr>
              <w:spacing w:before="140" w:after="40"/>
              <w:jc w:val="center"/>
            </w:pPr>
            <w:r>
              <w:rPr>
                <w:rFonts w:ascii="Calibri" w:hAnsi="Calibri"/>
                <w:color w:val="000000"/>
                <w:szCs w:val="22"/>
              </w:rPr>
              <w:t>$1,045,369</w:t>
            </w:r>
          </w:p>
        </w:tc>
      </w:tr>
      <w:tr w:rsidR="00543D47" w:rsidRPr="00370DFD" w14:paraId="74C11F7C" w14:textId="77777777" w:rsidTr="00D9610A">
        <w:tc>
          <w:tcPr>
            <w:tcW w:w="965" w:type="dxa"/>
          </w:tcPr>
          <w:p w14:paraId="55C87639" w14:textId="77777777" w:rsidR="00543D47" w:rsidRDefault="00543D47" w:rsidP="00D9610A">
            <w:pPr>
              <w:spacing w:before="140" w:after="40"/>
            </w:pPr>
            <w:r>
              <w:rPr>
                <w:rFonts w:ascii="Calibri" w:hAnsi="Calibri"/>
                <w:color w:val="000000"/>
                <w:szCs w:val="22"/>
              </w:rPr>
              <w:t>66575</w:t>
            </w:r>
          </w:p>
        </w:tc>
        <w:tc>
          <w:tcPr>
            <w:tcW w:w="5522" w:type="dxa"/>
            <w:vAlign w:val="bottom"/>
          </w:tcPr>
          <w:p w14:paraId="066C56EE" w14:textId="77777777" w:rsidR="00543D47" w:rsidRDefault="00543D47" w:rsidP="00D9610A">
            <w:pPr>
              <w:spacing w:before="140" w:after="40"/>
            </w:pPr>
            <w:r w:rsidRPr="000721C1">
              <w:t>Quantitation of blood gases, bicarbonate and pH as described in item 66566 on 4 specimens performed within any 1 day</w:t>
            </w:r>
          </w:p>
        </w:tc>
        <w:tc>
          <w:tcPr>
            <w:tcW w:w="1451" w:type="dxa"/>
          </w:tcPr>
          <w:p w14:paraId="054FA35C" w14:textId="77777777" w:rsidR="00543D47" w:rsidRPr="00370DFD" w:rsidRDefault="00543D47" w:rsidP="00D9610A">
            <w:pPr>
              <w:spacing w:before="140" w:after="40"/>
              <w:jc w:val="center"/>
            </w:pPr>
            <w:r w:rsidRPr="000721C1">
              <w:t>60.45</w:t>
            </w:r>
          </w:p>
        </w:tc>
        <w:tc>
          <w:tcPr>
            <w:tcW w:w="1560" w:type="dxa"/>
          </w:tcPr>
          <w:p w14:paraId="5B3AAB0E" w14:textId="77777777" w:rsidR="00543D47" w:rsidRPr="00370DFD" w:rsidRDefault="00543D47" w:rsidP="00D9610A">
            <w:pPr>
              <w:spacing w:before="140" w:after="40"/>
              <w:jc w:val="center"/>
            </w:pPr>
            <w:r>
              <w:rPr>
                <w:rFonts w:ascii="Calibri" w:hAnsi="Calibri"/>
                <w:color w:val="000000"/>
                <w:szCs w:val="22"/>
              </w:rPr>
              <w:t>$882,305</w:t>
            </w:r>
          </w:p>
        </w:tc>
      </w:tr>
      <w:tr w:rsidR="00543D47" w:rsidRPr="00370DFD" w14:paraId="4CF337AF" w14:textId="77777777" w:rsidTr="00D9610A">
        <w:tc>
          <w:tcPr>
            <w:tcW w:w="965" w:type="dxa"/>
          </w:tcPr>
          <w:p w14:paraId="2FE1CB5D" w14:textId="77777777" w:rsidR="00543D47" w:rsidRDefault="00543D47" w:rsidP="00D9610A">
            <w:pPr>
              <w:spacing w:before="140" w:after="40"/>
            </w:pPr>
            <w:r>
              <w:rPr>
                <w:rFonts w:ascii="Calibri" w:hAnsi="Calibri"/>
                <w:color w:val="000000"/>
                <w:szCs w:val="22"/>
              </w:rPr>
              <w:t>66578</w:t>
            </w:r>
          </w:p>
        </w:tc>
        <w:tc>
          <w:tcPr>
            <w:tcW w:w="5522" w:type="dxa"/>
            <w:vAlign w:val="bottom"/>
          </w:tcPr>
          <w:p w14:paraId="0443773F" w14:textId="77777777" w:rsidR="00543D47" w:rsidRDefault="00543D47" w:rsidP="00D9610A">
            <w:pPr>
              <w:spacing w:before="140" w:after="40"/>
            </w:pPr>
            <w:r w:rsidRPr="000721C1">
              <w:t>Quantitation of blood gases, bicarbonate and pH as described in item 66566 on 5 specimens performed within any 1 day</w:t>
            </w:r>
          </w:p>
        </w:tc>
        <w:tc>
          <w:tcPr>
            <w:tcW w:w="1451" w:type="dxa"/>
          </w:tcPr>
          <w:p w14:paraId="2B4251CD" w14:textId="77777777" w:rsidR="00543D47" w:rsidRPr="00370DFD" w:rsidRDefault="00543D47" w:rsidP="00D9610A">
            <w:pPr>
              <w:spacing w:before="140" w:after="40"/>
              <w:jc w:val="center"/>
            </w:pPr>
            <w:r w:rsidRPr="000721C1">
              <w:t>69.35</w:t>
            </w:r>
          </w:p>
        </w:tc>
        <w:tc>
          <w:tcPr>
            <w:tcW w:w="1560" w:type="dxa"/>
          </w:tcPr>
          <w:p w14:paraId="2A48FBDE" w14:textId="77777777" w:rsidR="00543D47" w:rsidRPr="00370DFD" w:rsidRDefault="00543D47" w:rsidP="00D9610A">
            <w:pPr>
              <w:spacing w:before="140" w:after="40"/>
              <w:jc w:val="center"/>
            </w:pPr>
            <w:r>
              <w:rPr>
                <w:rFonts w:ascii="Calibri" w:hAnsi="Calibri"/>
                <w:color w:val="000000"/>
                <w:szCs w:val="22"/>
              </w:rPr>
              <w:t>$817,929</w:t>
            </w:r>
          </w:p>
        </w:tc>
      </w:tr>
      <w:tr w:rsidR="00543D47" w:rsidRPr="00370DFD" w14:paraId="633A6FF4" w14:textId="77777777" w:rsidTr="00D9610A">
        <w:tc>
          <w:tcPr>
            <w:tcW w:w="965" w:type="dxa"/>
          </w:tcPr>
          <w:p w14:paraId="29AC0BB8" w14:textId="77777777" w:rsidR="00543D47" w:rsidRDefault="00543D47" w:rsidP="00D9610A">
            <w:pPr>
              <w:spacing w:before="140" w:after="40"/>
            </w:pPr>
            <w:r>
              <w:t>66581</w:t>
            </w:r>
          </w:p>
        </w:tc>
        <w:tc>
          <w:tcPr>
            <w:tcW w:w="5522" w:type="dxa"/>
            <w:vAlign w:val="bottom"/>
          </w:tcPr>
          <w:p w14:paraId="484A4ED6" w14:textId="77777777" w:rsidR="00543D47" w:rsidRDefault="00543D47" w:rsidP="00D9610A">
            <w:pPr>
              <w:spacing w:before="140" w:after="40"/>
            </w:pPr>
            <w:r w:rsidRPr="000721C1">
              <w:t>Quantitation of blood gases, bicarbonate and pH as described in item 66566 on 6 or more specimens performed within any 1 day</w:t>
            </w:r>
          </w:p>
        </w:tc>
        <w:tc>
          <w:tcPr>
            <w:tcW w:w="1451" w:type="dxa"/>
          </w:tcPr>
          <w:p w14:paraId="65BF3C09" w14:textId="77777777" w:rsidR="00543D47" w:rsidRPr="00370DFD" w:rsidRDefault="00543D47" w:rsidP="00D9610A">
            <w:pPr>
              <w:spacing w:before="140" w:after="40"/>
              <w:jc w:val="center"/>
            </w:pPr>
            <w:r w:rsidRPr="000721C1">
              <w:t>78.25</w:t>
            </w:r>
          </w:p>
        </w:tc>
        <w:tc>
          <w:tcPr>
            <w:tcW w:w="1560" w:type="dxa"/>
          </w:tcPr>
          <w:p w14:paraId="746F0C5E" w14:textId="77777777" w:rsidR="00543D47" w:rsidRPr="00370DFD" w:rsidRDefault="00543D47" w:rsidP="00D9610A">
            <w:pPr>
              <w:spacing w:before="140" w:after="40"/>
              <w:jc w:val="center"/>
            </w:pPr>
            <w:r>
              <w:rPr>
                <w:rFonts w:ascii="Calibri" w:hAnsi="Calibri"/>
                <w:color w:val="000000"/>
                <w:szCs w:val="22"/>
              </w:rPr>
              <w:t>$2,138,054</w:t>
            </w:r>
          </w:p>
        </w:tc>
      </w:tr>
      <w:tr w:rsidR="00543D47" w:rsidRPr="00370DFD" w14:paraId="337664B0" w14:textId="77777777" w:rsidTr="00D9610A">
        <w:tc>
          <w:tcPr>
            <w:tcW w:w="965" w:type="dxa"/>
          </w:tcPr>
          <w:p w14:paraId="53E5BC94" w14:textId="77777777" w:rsidR="00543D47" w:rsidRDefault="00543D47" w:rsidP="00D9610A">
            <w:pPr>
              <w:spacing w:before="140" w:after="40"/>
            </w:pPr>
            <w:r>
              <w:t>66584</w:t>
            </w:r>
          </w:p>
        </w:tc>
        <w:tc>
          <w:tcPr>
            <w:tcW w:w="5522" w:type="dxa"/>
          </w:tcPr>
          <w:p w14:paraId="2F806AE9" w14:textId="77777777" w:rsidR="00543D47" w:rsidRDefault="00543D47" w:rsidP="00D9610A">
            <w:pPr>
              <w:spacing w:before="140" w:after="40"/>
            </w:pPr>
            <w:r w:rsidRPr="00E47D93">
              <w:t>Quantitation of ionised calcium (except if performed as part of item 66566) - 1 test</w:t>
            </w:r>
          </w:p>
        </w:tc>
        <w:tc>
          <w:tcPr>
            <w:tcW w:w="1451" w:type="dxa"/>
          </w:tcPr>
          <w:p w14:paraId="6C922AC2" w14:textId="77777777" w:rsidR="00543D47" w:rsidRPr="00370DFD" w:rsidRDefault="00543D47" w:rsidP="00D9610A">
            <w:pPr>
              <w:spacing w:before="140" w:after="40"/>
              <w:jc w:val="center"/>
            </w:pPr>
            <w:r w:rsidRPr="000721C1">
              <w:t>9.70</w:t>
            </w:r>
          </w:p>
        </w:tc>
        <w:tc>
          <w:tcPr>
            <w:tcW w:w="1560" w:type="dxa"/>
          </w:tcPr>
          <w:p w14:paraId="3E7F4492" w14:textId="77777777" w:rsidR="00543D47" w:rsidRPr="00370DFD" w:rsidRDefault="00543D47" w:rsidP="00D9610A">
            <w:pPr>
              <w:spacing w:before="140" w:after="40"/>
              <w:jc w:val="center"/>
            </w:pPr>
            <w:r>
              <w:rPr>
                <w:rFonts w:ascii="Calibri" w:hAnsi="Calibri"/>
                <w:color w:val="000000"/>
                <w:szCs w:val="22"/>
              </w:rPr>
              <w:t>$274,220</w:t>
            </w:r>
          </w:p>
        </w:tc>
      </w:tr>
      <w:tr w:rsidR="00543D47" w:rsidRPr="00370DFD" w14:paraId="03084C09" w14:textId="77777777" w:rsidTr="00D9610A">
        <w:tc>
          <w:tcPr>
            <w:tcW w:w="965" w:type="dxa"/>
          </w:tcPr>
          <w:p w14:paraId="600190FF" w14:textId="77777777" w:rsidR="00543D47" w:rsidRPr="00BD4D2A" w:rsidRDefault="00543D47" w:rsidP="00D9610A">
            <w:pPr>
              <w:spacing w:before="140" w:after="40"/>
              <w:rPr>
                <w:szCs w:val="22"/>
              </w:rPr>
            </w:pPr>
            <w:r w:rsidRPr="000721C1">
              <w:rPr>
                <w:szCs w:val="22"/>
              </w:rPr>
              <w:t>66812</w:t>
            </w:r>
          </w:p>
        </w:tc>
        <w:tc>
          <w:tcPr>
            <w:tcW w:w="5522" w:type="dxa"/>
          </w:tcPr>
          <w:p w14:paraId="37247768" w14:textId="77777777" w:rsidR="00543D47" w:rsidRPr="00BD4D2A" w:rsidRDefault="00543D47" w:rsidP="00D9610A">
            <w:pPr>
              <w:spacing w:before="140" w:after="40"/>
              <w:rPr>
                <w:szCs w:val="22"/>
              </w:rPr>
            </w:pPr>
            <w:r w:rsidRPr="000721C1">
              <w:rPr>
                <w:rFonts w:ascii="Calibri" w:hAnsi="Calibri"/>
                <w:color w:val="000000"/>
                <w:szCs w:val="22"/>
              </w:rPr>
              <w:t>Quantitation, not elsewhere described in this Table by any method or methods, in blood, urine or other body fluid, of a drug being used therapeutically by the patient from whom the specimen was taken - 1 test</w:t>
            </w:r>
            <w:r w:rsidRPr="000721C1">
              <w:rPr>
                <w:rFonts w:ascii="Calibri" w:hAnsi="Calibri"/>
                <w:color w:val="000000"/>
                <w:szCs w:val="22"/>
              </w:rPr>
              <w:br/>
              <w:t xml:space="preserve">(This fee applies where 1 laboratory performs the only test specified on the request form or performs 1 test and refers the rest to the </w:t>
            </w:r>
            <w:r>
              <w:rPr>
                <w:rFonts w:ascii="Calibri" w:hAnsi="Calibri"/>
                <w:color w:val="000000"/>
                <w:szCs w:val="22"/>
              </w:rPr>
              <w:t>laboratory of a separate APA</w:t>
            </w:r>
            <w:r w:rsidRPr="000721C1">
              <w:rPr>
                <w:rFonts w:ascii="Calibri" w:hAnsi="Calibri"/>
                <w:color w:val="000000"/>
                <w:szCs w:val="22"/>
              </w:rPr>
              <w:t>) (Item is subject to rule 6)</w:t>
            </w:r>
          </w:p>
        </w:tc>
        <w:tc>
          <w:tcPr>
            <w:tcW w:w="1451" w:type="dxa"/>
          </w:tcPr>
          <w:p w14:paraId="0D05926C" w14:textId="77777777" w:rsidR="00543D47" w:rsidRPr="00BD4D2A" w:rsidRDefault="00543D47" w:rsidP="00D9610A">
            <w:pPr>
              <w:spacing w:before="140" w:after="40"/>
              <w:jc w:val="center"/>
              <w:rPr>
                <w:szCs w:val="22"/>
              </w:rPr>
            </w:pPr>
            <w:r w:rsidRPr="000721C1">
              <w:rPr>
                <w:rFonts w:ascii="Calibri" w:hAnsi="Calibri"/>
                <w:color w:val="000000"/>
                <w:szCs w:val="22"/>
              </w:rPr>
              <w:t>34.80</w:t>
            </w:r>
          </w:p>
        </w:tc>
        <w:tc>
          <w:tcPr>
            <w:tcW w:w="1560" w:type="dxa"/>
          </w:tcPr>
          <w:p w14:paraId="29CEF135" w14:textId="77777777" w:rsidR="00543D47" w:rsidRPr="004851A7" w:rsidRDefault="00543D47" w:rsidP="00D9610A">
            <w:pPr>
              <w:spacing w:before="140" w:after="40"/>
              <w:jc w:val="center"/>
              <w:rPr>
                <w:rFonts w:ascii="Calibri" w:hAnsi="Calibri"/>
                <w:color w:val="000000"/>
                <w:szCs w:val="22"/>
              </w:rPr>
            </w:pPr>
            <w:r w:rsidRPr="000721C1">
              <w:rPr>
                <w:rFonts w:ascii="Calibri" w:hAnsi="Calibri"/>
                <w:color w:val="000000"/>
                <w:szCs w:val="22"/>
              </w:rPr>
              <w:t>$4,276,391</w:t>
            </w:r>
          </w:p>
        </w:tc>
      </w:tr>
      <w:tr w:rsidR="00543D47" w:rsidRPr="00370DFD" w14:paraId="697E759C" w14:textId="77777777" w:rsidTr="00D9610A">
        <w:tc>
          <w:tcPr>
            <w:tcW w:w="965" w:type="dxa"/>
          </w:tcPr>
          <w:p w14:paraId="70599736" w14:textId="77777777" w:rsidR="00543D47" w:rsidRPr="000721C1" w:rsidRDefault="00543D47" w:rsidP="00D9610A">
            <w:pPr>
              <w:spacing w:before="140" w:after="40"/>
              <w:rPr>
                <w:szCs w:val="22"/>
              </w:rPr>
            </w:pPr>
            <w:r w:rsidRPr="000721C1">
              <w:rPr>
                <w:szCs w:val="22"/>
              </w:rPr>
              <w:t>66815</w:t>
            </w:r>
          </w:p>
        </w:tc>
        <w:tc>
          <w:tcPr>
            <w:tcW w:w="5522" w:type="dxa"/>
          </w:tcPr>
          <w:p w14:paraId="380AD753" w14:textId="77777777" w:rsidR="00543D47" w:rsidRPr="000721C1" w:rsidRDefault="00543D47" w:rsidP="00D9610A">
            <w:pPr>
              <w:spacing w:before="140" w:after="40"/>
              <w:rPr>
                <w:rFonts w:ascii="Calibri" w:hAnsi="Calibri"/>
                <w:color w:val="000000"/>
                <w:szCs w:val="22"/>
              </w:rPr>
            </w:pPr>
            <w:r w:rsidRPr="000721C1">
              <w:rPr>
                <w:rFonts w:ascii="Calibri" w:hAnsi="Calibri"/>
                <w:color w:val="000000"/>
                <w:szCs w:val="22"/>
              </w:rPr>
              <w:t>2 tests described in item 66812</w:t>
            </w:r>
            <w:r w:rsidRPr="000721C1">
              <w:rPr>
                <w:rFonts w:ascii="Calibri" w:hAnsi="Calibri"/>
                <w:color w:val="000000"/>
                <w:szCs w:val="22"/>
              </w:rPr>
              <w:br/>
              <w:t xml:space="preserve">(This fee applies where 1 laboratory, or more than 1 laboratory belonging to the same </w:t>
            </w:r>
            <w:r>
              <w:rPr>
                <w:rFonts w:ascii="Calibri" w:hAnsi="Calibri"/>
                <w:color w:val="000000"/>
                <w:szCs w:val="22"/>
              </w:rPr>
              <w:t>APA</w:t>
            </w:r>
            <w:r w:rsidRPr="000721C1">
              <w:rPr>
                <w:rFonts w:ascii="Calibri" w:hAnsi="Calibri"/>
                <w:color w:val="000000"/>
                <w:szCs w:val="22"/>
              </w:rPr>
              <w:t xml:space="preserve">, performs the only 2 tests specified on the request form or performs 2 tests and refers the rest to the laboratory of a separate </w:t>
            </w:r>
            <w:r>
              <w:rPr>
                <w:rFonts w:ascii="Calibri" w:hAnsi="Calibri"/>
                <w:color w:val="000000"/>
                <w:szCs w:val="22"/>
              </w:rPr>
              <w:t>APA</w:t>
            </w:r>
            <w:r w:rsidRPr="000721C1">
              <w:rPr>
                <w:rFonts w:ascii="Calibri" w:hAnsi="Calibri"/>
                <w:color w:val="000000"/>
                <w:szCs w:val="22"/>
              </w:rPr>
              <w:t>) (Item is subject to rule 6)</w:t>
            </w:r>
          </w:p>
        </w:tc>
        <w:tc>
          <w:tcPr>
            <w:tcW w:w="1451" w:type="dxa"/>
          </w:tcPr>
          <w:p w14:paraId="12F35A81" w14:textId="77777777" w:rsidR="00543D47" w:rsidRPr="000721C1" w:rsidRDefault="00543D47" w:rsidP="00D9610A">
            <w:pPr>
              <w:spacing w:before="140" w:after="40"/>
              <w:jc w:val="center"/>
              <w:rPr>
                <w:rFonts w:ascii="Calibri" w:hAnsi="Calibri"/>
                <w:color w:val="000000"/>
                <w:szCs w:val="22"/>
              </w:rPr>
            </w:pPr>
            <w:r w:rsidRPr="000721C1">
              <w:rPr>
                <w:rFonts w:ascii="Calibri" w:hAnsi="Calibri"/>
                <w:color w:val="000000"/>
                <w:szCs w:val="22"/>
              </w:rPr>
              <w:t>59.55</w:t>
            </w:r>
          </w:p>
        </w:tc>
        <w:tc>
          <w:tcPr>
            <w:tcW w:w="1560" w:type="dxa"/>
          </w:tcPr>
          <w:p w14:paraId="1CE3C80E" w14:textId="77777777" w:rsidR="00543D47" w:rsidRPr="000721C1" w:rsidRDefault="00543D47" w:rsidP="00D9610A">
            <w:pPr>
              <w:spacing w:before="140" w:after="40"/>
              <w:jc w:val="center"/>
              <w:rPr>
                <w:rFonts w:ascii="Calibri" w:hAnsi="Calibri"/>
                <w:color w:val="000000"/>
                <w:szCs w:val="22"/>
              </w:rPr>
            </w:pPr>
            <w:r w:rsidRPr="000721C1">
              <w:rPr>
                <w:rFonts w:ascii="Calibri" w:hAnsi="Calibri"/>
                <w:color w:val="000000"/>
                <w:szCs w:val="22"/>
              </w:rPr>
              <w:t>$478,067</w:t>
            </w:r>
          </w:p>
        </w:tc>
      </w:tr>
      <w:tr w:rsidR="00543D47" w:rsidRPr="00370DFD" w14:paraId="247F4702" w14:textId="77777777" w:rsidTr="00D9610A">
        <w:tc>
          <w:tcPr>
            <w:tcW w:w="965" w:type="dxa"/>
          </w:tcPr>
          <w:p w14:paraId="3372C82D" w14:textId="77777777" w:rsidR="00543D47" w:rsidRPr="000721C1" w:rsidRDefault="00543D47" w:rsidP="00D9610A">
            <w:pPr>
              <w:spacing w:before="140" w:after="40"/>
              <w:rPr>
                <w:szCs w:val="22"/>
              </w:rPr>
            </w:pPr>
            <w:r w:rsidRPr="000721C1">
              <w:rPr>
                <w:szCs w:val="22"/>
              </w:rPr>
              <w:t>66816</w:t>
            </w:r>
          </w:p>
        </w:tc>
        <w:tc>
          <w:tcPr>
            <w:tcW w:w="5522" w:type="dxa"/>
          </w:tcPr>
          <w:p w14:paraId="55762C68" w14:textId="77777777" w:rsidR="00543D47" w:rsidRPr="000721C1" w:rsidRDefault="00543D47" w:rsidP="00D9610A">
            <w:pPr>
              <w:spacing w:before="140" w:after="40"/>
              <w:rPr>
                <w:rFonts w:ascii="Calibri" w:hAnsi="Calibri"/>
                <w:color w:val="000000"/>
                <w:szCs w:val="22"/>
              </w:rPr>
            </w:pPr>
            <w:r w:rsidRPr="000721C1">
              <w:rPr>
                <w:rFonts w:ascii="Calibri" w:hAnsi="Calibri"/>
                <w:color w:val="000000"/>
                <w:szCs w:val="22"/>
              </w:rPr>
              <w:t>A test described in item 66812 if rendered by a receiving APP, where no tests in the item have been rendered by the referring APP - 1 test</w:t>
            </w:r>
            <w:r>
              <w:rPr>
                <w:rFonts w:ascii="Calibri" w:hAnsi="Calibri"/>
                <w:color w:val="000000"/>
                <w:szCs w:val="22"/>
              </w:rPr>
              <w:t xml:space="preserve"> </w:t>
            </w:r>
            <w:r w:rsidRPr="000721C1">
              <w:rPr>
                <w:rFonts w:ascii="Calibri" w:hAnsi="Calibri"/>
                <w:color w:val="000000"/>
                <w:szCs w:val="22"/>
              </w:rPr>
              <w:t>(Item is subject to rule</w:t>
            </w:r>
            <w:r>
              <w:rPr>
                <w:rFonts w:ascii="Calibri" w:hAnsi="Calibri"/>
                <w:color w:val="000000"/>
                <w:szCs w:val="22"/>
              </w:rPr>
              <w:t>s</w:t>
            </w:r>
            <w:r w:rsidRPr="000721C1">
              <w:rPr>
                <w:rFonts w:ascii="Calibri" w:hAnsi="Calibri"/>
                <w:color w:val="000000"/>
                <w:szCs w:val="22"/>
              </w:rPr>
              <w:t xml:space="preserve"> 6 and 18)</w:t>
            </w:r>
          </w:p>
        </w:tc>
        <w:tc>
          <w:tcPr>
            <w:tcW w:w="1451" w:type="dxa"/>
          </w:tcPr>
          <w:p w14:paraId="31926541" w14:textId="77777777" w:rsidR="00543D47" w:rsidRPr="000721C1" w:rsidRDefault="00543D47" w:rsidP="00D9610A">
            <w:pPr>
              <w:spacing w:before="140" w:after="40"/>
              <w:jc w:val="center"/>
              <w:rPr>
                <w:rFonts w:ascii="Calibri" w:hAnsi="Calibri"/>
                <w:color w:val="000000"/>
                <w:szCs w:val="22"/>
              </w:rPr>
            </w:pPr>
            <w:r w:rsidRPr="000721C1">
              <w:rPr>
                <w:rFonts w:ascii="Calibri" w:hAnsi="Calibri"/>
                <w:color w:val="000000"/>
                <w:szCs w:val="22"/>
              </w:rPr>
              <w:t>34.80</w:t>
            </w:r>
          </w:p>
        </w:tc>
        <w:tc>
          <w:tcPr>
            <w:tcW w:w="1560" w:type="dxa"/>
          </w:tcPr>
          <w:p w14:paraId="58432F6D" w14:textId="77777777" w:rsidR="00543D47" w:rsidRPr="000721C1" w:rsidRDefault="00543D47" w:rsidP="00D9610A">
            <w:pPr>
              <w:spacing w:before="140" w:after="40"/>
              <w:jc w:val="center"/>
              <w:rPr>
                <w:rFonts w:ascii="Calibri" w:hAnsi="Calibri"/>
                <w:color w:val="000000"/>
                <w:szCs w:val="22"/>
              </w:rPr>
            </w:pPr>
            <w:r w:rsidRPr="000721C1">
              <w:rPr>
                <w:rFonts w:ascii="Calibri" w:hAnsi="Calibri"/>
                <w:color w:val="000000"/>
                <w:szCs w:val="22"/>
              </w:rPr>
              <w:t>$736,244</w:t>
            </w:r>
          </w:p>
        </w:tc>
      </w:tr>
      <w:tr w:rsidR="00543D47" w:rsidRPr="00370DFD" w14:paraId="747787DA" w14:textId="77777777" w:rsidTr="00D9610A">
        <w:tc>
          <w:tcPr>
            <w:tcW w:w="965" w:type="dxa"/>
          </w:tcPr>
          <w:p w14:paraId="41D3EC78" w14:textId="77777777" w:rsidR="00543D47" w:rsidRPr="000721C1" w:rsidRDefault="00543D47" w:rsidP="00D9610A">
            <w:pPr>
              <w:spacing w:before="140" w:after="40"/>
              <w:rPr>
                <w:szCs w:val="22"/>
              </w:rPr>
            </w:pPr>
            <w:r w:rsidRPr="000721C1">
              <w:rPr>
                <w:szCs w:val="22"/>
              </w:rPr>
              <w:lastRenderedPageBreak/>
              <w:t>66817</w:t>
            </w:r>
          </w:p>
        </w:tc>
        <w:tc>
          <w:tcPr>
            <w:tcW w:w="5522" w:type="dxa"/>
          </w:tcPr>
          <w:p w14:paraId="7A23A223" w14:textId="77777777" w:rsidR="00543D47" w:rsidRPr="000721C1" w:rsidRDefault="00543D47" w:rsidP="00D9610A">
            <w:pPr>
              <w:spacing w:before="140" w:after="40"/>
              <w:rPr>
                <w:rFonts w:ascii="Calibri" w:hAnsi="Calibri"/>
                <w:color w:val="000000"/>
                <w:szCs w:val="22"/>
              </w:rPr>
            </w:pPr>
            <w:r w:rsidRPr="000721C1">
              <w:rPr>
                <w:rFonts w:ascii="Calibri" w:hAnsi="Calibri"/>
                <w:color w:val="000000"/>
                <w:szCs w:val="22"/>
              </w:rPr>
              <w:t>A test described in item 66812, other than that described in 66816, if rendered by a receiving APP - to a maximum of 1 test</w:t>
            </w:r>
            <w:r>
              <w:rPr>
                <w:rFonts w:ascii="Calibri" w:hAnsi="Calibri"/>
                <w:color w:val="000000"/>
                <w:szCs w:val="22"/>
              </w:rPr>
              <w:t xml:space="preserve"> </w:t>
            </w:r>
            <w:r w:rsidRPr="000721C1">
              <w:rPr>
                <w:rFonts w:ascii="Calibri" w:hAnsi="Calibri"/>
                <w:color w:val="000000"/>
                <w:szCs w:val="22"/>
              </w:rPr>
              <w:t>(Item is subject to rule</w:t>
            </w:r>
            <w:r>
              <w:rPr>
                <w:rFonts w:ascii="Calibri" w:hAnsi="Calibri"/>
                <w:color w:val="000000"/>
                <w:szCs w:val="22"/>
              </w:rPr>
              <w:t>s</w:t>
            </w:r>
            <w:r w:rsidRPr="000721C1">
              <w:rPr>
                <w:rFonts w:ascii="Calibri" w:hAnsi="Calibri"/>
                <w:color w:val="000000"/>
                <w:szCs w:val="22"/>
              </w:rPr>
              <w:t xml:space="preserve"> 6 and 18)</w:t>
            </w:r>
          </w:p>
        </w:tc>
        <w:tc>
          <w:tcPr>
            <w:tcW w:w="1451" w:type="dxa"/>
          </w:tcPr>
          <w:p w14:paraId="44102428" w14:textId="77777777" w:rsidR="00543D47" w:rsidRPr="000721C1" w:rsidRDefault="00543D47" w:rsidP="00D9610A">
            <w:pPr>
              <w:spacing w:before="140" w:after="40"/>
              <w:jc w:val="center"/>
              <w:rPr>
                <w:rFonts w:ascii="Calibri" w:hAnsi="Calibri"/>
                <w:color w:val="000000"/>
                <w:szCs w:val="22"/>
              </w:rPr>
            </w:pPr>
            <w:r w:rsidRPr="000721C1">
              <w:rPr>
                <w:rFonts w:ascii="Calibri" w:hAnsi="Calibri"/>
                <w:color w:val="000000"/>
                <w:szCs w:val="22"/>
              </w:rPr>
              <w:t>24.75</w:t>
            </w:r>
          </w:p>
        </w:tc>
        <w:tc>
          <w:tcPr>
            <w:tcW w:w="1560" w:type="dxa"/>
          </w:tcPr>
          <w:p w14:paraId="3A47EDB8" w14:textId="77777777" w:rsidR="00543D47" w:rsidRPr="000721C1" w:rsidRDefault="00543D47" w:rsidP="00D9610A">
            <w:pPr>
              <w:spacing w:before="140" w:after="40"/>
              <w:jc w:val="center"/>
              <w:rPr>
                <w:rFonts w:ascii="Calibri" w:hAnsi="Calibri"/>
                <w:color w:val="000000"/>
                <w:szCs w:val="22"/>
              </w:rPr>
            </w:pPr>
            <w:r w:rsidRPr="000721C1">
              <w:rPr>
                <w:rFonts w:ascii="Calibri" w:hAnsi="Calibri"/>
                <w:color w:val="000000"/>
                <w:szCs w:val="22"/>
              </w:rPr>
              <w:t>$171,770</w:t>
            </w:r>
          </w:p>
        </w:tc>
      </w:tr>
      <w:tr w:rsidR="00543D47" w:rsidRPr="00370DFD" w14:paraId="79032081" w14:textId="77777777" w:rsidTr="00D9610A">
        <w:tc>
          <w:tcPr>
            <w:tcW w:w="965" w:type="dxa"/>
          </w:tcPr>
          <w:p w14:paraId="28A3B87F" w14:textId="77777777" w:rsidR="00543D47" w:rsidRPr="00A302A9" w:rsidRDefault="00543D47" w:rsidP="00D9610A">
            <w:pPr>
              <w:spacing w:before="140" w:after="40"/>
              <w:rPr>
                <w:szCs w:val="22"/>
              </w:rPr>
            </w:pPr>
            <w:r w:rsidRPr="00A302A9">
              <w:rPr>
                <w:szCs w:val="22"/>
              </w:rPr>
              <w:t>66632</w:t>
            </w:r>
          </w:p>
        </w:tc>
        <w:tc>
          <w:tcPr>
            <w:tcW w:w="5522" w:type="dxa"/>
          </w:tcPr>
          <w:p w14:paraId="2BE9B52F" w14:textId="77777777" w:rsidR="00543D47" w:rsidRPr="00A302A9" w:rsidRDefault="00543D47" w:rsidP="00D9610A">
            <w:pPr>
              <w:spacing w:before="140" w:after="40"/>
              <w:rPr>
                <w:rFonts w:ascii="Calibri" w:hAnsi="Calibri"/>
                <w:color w:val="000000"/>
                <w:szCs w:val="22"/>
              </w:rPr>
            </w:pPr>
            <w:r w:rsidRPr="000721C1">
              <w:rPr>
                <w:rFonts w:ascii="Calibri" w:hAnsi="Calibri"/>
                <w:color w:val="000000"/>
                <w:szCs w:val="22"/>
              </w:rPr>
              <w:t>Caeruloplasmin, haptoglobins, or prealbumin - quantitation in serum, urine or other body fluids - 1 or more tests</w:t>
            </w:r>
          </w:p>
        </w:tc>
        <w:tc>
          <w:tcPr>
            <w:tcW w:w="1451" w:type="dxa"/>
          </w:tcPr>
          <w:p w14:paraId="3FD885C5" w14:textId="77777777" w:rsidR="00543D47" w:rsidRPr="00A302A9" w:rsidRDefault="00543D47" w:rsidP="00D9610A">
            <w:pPr>
              <w:spacing w:before="140" w:after="40"/>
              <w:jc w:val="center"/>
              <w:rPr>
                <w:rFonts w:ascii="Calibri" w:hAnsi="Calibri"/>
                <w:color w:val="000000"/>
                <w:szCs w:val="22"/>
              </w:rPr>
            </w:pPr>
            <w:r w:rsidRPr="000721C1">
              <w:rPr>
                <w:rFonts w:ascii="Calibri" w:hAnsi="Calibri"/>
                <w:color w:val="000000"/>
                <w:szCs w:val="22"/>
              </w:rPr>
              <w:t>20.10</w:t>
            </w:r>
          </w:p>
        </w:tc>
        <w:tc>
          <w:tcPr>
            <w:tcW w:w="1560" w:type="dxa"/>
          </w:tcPr>
          <w:p w14:paraId="7090AB28" w14:textId="77777777" w:rsidR="00543D47" w:rsidRPr="00A302A9" w:rsidRDefault="00543D47" w:rsidP="00D9610A">
            <w:pPr>
              <w:spacing w:before="140" w:after="40"/>
              <w:jc w:val="center"/>
              <w:rPr>
                <w:rFonts w:ascii="Calibri" w:hAnsi="Calibri"/>
                <w:color w:val="000000"/>
                <w:szCs w:val="22"/>
              </w:rPr>
            </w:pPr>
            <w:r w:rsidRPr="000721C1">
              <w:rPr>
                <w:rFonts w:ascii="Calibri" w:hAnsi="Calibri"/>
                <w:color w:val="000000"/>
                <w:szCs w:val="22"/>
              </w:rPr>
              <w:t>$996,907</w:t>
            </w:r>
          </w:p>
        </w:tc>
      </w:tr>
      <w:tr w:rsidR="00543D47" w:rsidRPr="00370DFD" w14:paraId="1AF6479D" w14:textId="77777777" w:rsidTr="00D9610A">
        <w:tc>
          <w:tcPr>
            <w:tcW w:w="965" w:type="dxa"/>
          </w:tcPr>
          <w:p w14:paraId="0802E230" w14:textId="77777777" w:rsidR="00543D47" w:rsidRPr="00A302A9" w:rsidRDefault="00543D47" w:rsidP="00D9610A">
            <w:pPr>
              <w:spacing w:before="140" w:after="40"/>
              <w:rPr>
                <w:szCs w:val="22"/>
              </w:rPr>
            </w:pPr>
            <w:r w:rsidRPr="000721C1">
              <w:rPr>
                <w:szCs w:val="22"/>
              </w:rPr>
              <w:t>66644</w:t>
            </w:r>
          </w:p>
        </w:tc>
        <w:tc>
          <w:tcPr>
            <w:tcW w:w="5522" w:type="dxa"/>
          </w:tcPr>
          <w:p w14:paraId="71ABFF83" w14:textId="77777777" w:rsidR="00543D47" w:rsidRPr="00A302A9" w:rsidRDefault="00543D47" w:rsidP="00D9610A">
            <w:pPr>
              <w:spacing w:before="140" w:after="40"/>
              <w:rPr>
                <w:rFonts w:ascii="Calibri" w:hAnsi="Calibri"/>
                <w:color w:val="000000"/>
                <w:szCs w:val="22"/>
              </w:rPr>
            </w:pPr>
            <w:r w:rsidRPr="000721C1">
              <w:rPr>
                <w:rFonts w:ascii="Calibri" w:hAnsi="Calibri"/>
                <w:color w:val="000000"/>
                <w:szCs w:val="22"/>
              </w:rPr>
              <w:t>C-1 esterase inhibitor - quantitation</w:t>
            </w:r>
          </w:p>
        </w:tc>
        <w:tc>
          <w:tcPr>
            <w:tcW w:w="1451" w:type="dxa"/>
          </w:tcPr>
          <w:p w14:paraId="6E7627A4" w14:textId="77777777" w:rsidR="00543D47" w:rsidRPr="00A302A9" w:rsidRDefault="00543D47" w:rsidP="00D9610A">
            <w:pPr>
              <w:spacing w:before="140" w:after="40"/>
              <w:jc w:val="center"/>
              <w:rPr>
                <w:rFonts w:ascii="Calibri" w:hAnsi="Calibri"/>
                <w:color w:val="000000"/>
                <w:szCs w:val="22"/>
              </w:rPr>
            </w:pPr>
            <w:r w:rsidRPr="000721C1">
              <w:rPr>
                <w:rFonts w:ascii="Calibri" w:hAnsi="Calibri"/>
                <w:color w:val="000000"/>
                <w:szCs w:val="22"/>
              </w:rPr>
              <w:t>20.15</w:t>
            </w:r>
          </w:p>
        </w:tc>
        <w:tc>
          <w:tcPr>
            <w:tcW w:w="1560" w:type="dxa"/>
          </w:tcPr>
          <w:p w14:paraId="45DBC3E0" w14:textId="77777777" w:rsidR="00543D47" w:rsidRPr="00A302A9" w:rsidRDefault="00543D47" w:rsidP="00D9610A">
            <w:pPr>
              <w:spacing w:before="140" w:after="40"/>
              <w:jc w:val="center"/>
              <w:rPr>
                <w:rFonts w:ascii="Calibri" w:hAnsi="Calibri"/>
                <w:color w:val="000000"/>
                <w:szCs w:val="22"/>
              </w:rPr>
            </w:pPr>
            <w:r w:rsidRPr="000721C1">
              <w:rPr>
                <w:rFonts w:ascii="Calibri" w:hAnsi="Calibri"/>
                <w:color w:val="000000"/>
                <w:szCs w:val="22"/>
              </w:rPr>
              <w:t>$43,934</w:t>
            </w:r>
          </w:p>
        </w:tc>
      </w:tr>
      <w:tr w:rsidR="00543D47" w:rsidRPr="00370DFD" w14:paraId="6F62E113" w14:textId="77777777" w:rsidTr="00D9610A">
        <w:tc>
          <w:tcPr>
            <w:tcW w:w="965" w:type="dxa"/>
          </w:tcPr>
          <w:p w14:paraId="75260057" w14:textId="77777777" w:rsidR="00543D47" w:rsidRPr="00A302A9" w:rsidRDefault="00543D47" w:rsidP="00D9610A">
            <w:pPr>
              <w:spacing w:before="140" w:after="40"/>
              <w:rPr>
                <w:szCs w:val="22"/>
              </w:rPr>
            </w:pPr>
            <w:r w:rsidRPr="000721C1">
              <w:rPr>
                <w:szCs w:val="22"/>
              </w:rPr>
              <w:t>66647</w:t>
            </w:r>
          </w:p>
        </w:tc>
        <w:tc>
          <w:tcPr>
            <w:tcW w:w="5522" w:type="dxa"/>
          </w:tcPr>
          <w:p w14:paraId="4DE7ED2F" w14:textId="77777777" w:rsidR="00543D47" w:rsidRPr="00A302A9" w:rsidRDefault="00543D47" w:rsidP="00D9610A">
            <w:pPr>
              <w:spacing w:before="140" w:after="40"/>
              <w:rPr>
                <w:rFonts w:ascii="Calibri" w:hAnsi="Calibri"/>
                <w:color w:val="000000"/>
                <w:szCs w:val="22"/>
              </w:rPr>
            </w:pPr>
            <w:r w:rsidRPr="000721C1">
              <w:rPr>
                <w:rFonts w:ascii="Calibri" w:hAnsi="Calibri"/>
                <w:color w:val="000000"/>
                <w:szCs w:val="22"/>
              </w:rPr>
              <w:t>C-1 esterase inhibitor - functional assay</w:t>
            </w:r>
          </w:p>
        </w:tc>
        <w:tc>
          <w:tcPr>
            <w:tcW w:w="1451" w:type="dxa"/>
          </w:tcPr>
          <w:p w14:paraId="55830D59" w14:textId="77777777" w:rsidR="00543D47" w:rsidRPr="00A302A9" w:rsidRDefault="00543D47" w:rsidP="00D9610A">
            <w:pPr>
              <w:spacing w:before="140" w:after="40"/>
              <w:jc w:val="center"/>
              <w:rPr>
                <w:rFonts w:ascii="Calibri" w:hAnsi="Calibri"/>
                <w:color w:val="000000"/>
                <w:szCs w:val="22"/>
              </w:rPr>
            </w:pPr>
            <w:r w:rsidRPr="000721C1">
              <w:rPr>
                <w:rFonts w:ascii="Calibri" w:hAnsi="Calibri"/>
                <w:color w:val="000000"/>
                <w:szCs w:val="22"/>
              </w:rPr>
              <w:t>45.10</w:t>
            </w:r>
          </w:p>
        </w:tc>
        <w:tc>
          <w:tcPr>
            <w:tcW w:w="1560" w:type="dxa"/>
          </w:tcPr>
          <w:p w14:paraId="1FA3F10A" w14:textId="77777777" w:rsidR="00543D47" w:rsidRPr="00A302A9" w:rsidRDefault="00543D47" w:rsidP="00D9610A">
            <w:pPr>
              <w:spacing w:before="140" w:after="40"/>
              <w:jc w:val="center"/>
              <w:rPr>
                <w:rFonts w:ascii="Calibri" w:hAnsi="Calibri"/>
                <w:color w:val="000000"/>
                <w:szCs w:val="22"/>
              </w:rPr>
            </w:pPr>
            <w:r w:rsidRPr="000721C1">
              <w:rPr>
                <w:rFonts w:ascii="Calibri" w:hAnsi="Calibri"/>
                <w:color w:val="000000"/>
                <w:szCs w:val="22"/>
              </w:rPr>
              <w:t>$115,057</w:t>
            </w:r>
          </w:p>
        </w:tc>
      </w:tr>
      <w:tr w:rsidR="00543D47" w:rsidRPr="00370DFD" w14:paraId="263FFE3E" w14:textId="77777777" w:rsidTr="00D9610A">
        <w:tc>
          <w:tcPr>
            <w:tcW w:w="965" w:type="dxa"/>
          </w:tcPr>
          <w:p w14:paraId="3F618AF1" w14:textId="77777777" w:rsidR="00543D47" w:rsidRPr="00A302A9" w:rsidRDefault="00543D47" w:rsidP="00D9610A">
            <w:pPr>
              <w:spacing w:before="140" w:after="40"/>
              <w:rPr>
                <w:szCs w:val="22"/>
              </w:rPr>
            </w:pPr>
            <w:r w:rsidRPr="000721C1">
              <w:rPr>
                <w:szCs w:val="22"/>
              </w:rPr>
              <w:t>66758</w:t>
            </w:r>
          </w:p>
        </w:tc>
        <w:tc>
          <w:tcPr>
            <w:tcW w:w="5522" w:type="dxa"/>
          </w:tcPr>
          <w:p w14:paraId="1C1C0EE7" w14:textId="77777777" w:rsidR="00543D47" w:rsidRPr="00A302A9" w:rsidRDefault="00543D47" w:rsidP="00D9610A">
            <w:pPr>
              <w:spacing w:before="140" w:after="40"/>
              <w:rPr>
                <w:rFonts w:ascii="Calibri" w:hAnsi="Calibri"/>
                <w:color w:val="000000"/>
                <w:szCs w:val="22"/>
              </w:rPr>
            </w:pPr>
            <w:r w:rsidRPr="000721C1">
              <w:rPr>
                <w:rFonts w:ascii="Calibri" w:hAnsi="Calibri"/>
                <w:color w:val="000000"/>
                <w:szCs w:val="22"/>
              </w:rPr>
              <w:t>Quantitation of angiotensin converting enzyme, or cholinesterase - 1 or more tests</w:t>
            </w:r>
          </w:p>
        </w:tc>
        <w:tc>
          <w:tcPr>
            <w:tcW w:w="1451" w:type="dxa"/>
          </w:tcPr>
          <w:p w14:paraId="7B74751A" w14:textId="77777777" w:rsidR="00543D47" w:rsidRPr="00A302A9" w:rsidRDefault="00543D47" w:rsidP="00D9610A">
            <w:pPr>
              <w:spacing w:before="140" w:after="40"/>
              <w:jc w:val="center"/>
              <w:rPr>
                <w:rFonts w:ascii="Calibri" w:hAnsi="Calibri"/>
                <w:color w:val="000000"/>
                <w:szCs w:val="22"/>
              </w:rPr>
            </w:pPr>
            <w:r w:rsidRPr="000721C1">
              <w:rPr>
                <w:rFonts w:ascii="Calibri" w:hAnsi="Calibri"/>
                <w:color w:val="000000"/>
                <w:szCs w:val="22"/>
              </w:rPr>
              <w:t>24.70</w:t>
            </w:r>
          </w:p>
        </w:tc>
        <w:tc>
          <w:tcPr>
            <w:tcW w:w="1560" w:type="dxa"/>
          </w:tcPr>
          <w:p w14:paraId="3DBD67B2" w14:textId="77777777" w:rsidR="00543D47" w:rsidRPr="00A302A9" w:rsidRDefault="00543D47" w:rsidP="00D9610A">
            <w:pPr>
              <w:spacing w:before="140" w:after="40"/>
              <w:jc w:val="center"/>
              <w:rPr>
                <w:rFonts w:ascii="Calibri" w:hAnsi="Calibri"/>
                <w:color w:val="000000"/>
                <w:szCs w:val="22"/>
              </w:rPr>
            </w:pPr>
            <w:r w:rsidRPr="000721C1">
              <w:rPr>
                <w:rFonts w:ascii="Calibri" w:hAnsi="Calibri"/>
                <w:color w:val="000000"/>
                <w:szCs w:val="22"/>
              </w:rPr>
              <w:t>$849,866</w:t>
            </w:r>
          </w:p>
        </w:tc>
      </w:tr>
      <w:tr w:rsidR="00543D47" w:rsidRPr="00370DFD" w14:paraId="388B93F0" w14:textId="77777777" w:rsidTr="00D9610A">
        <w:tc>
          <w:tcPr>
            <w:tcW w:w="965" w:type="dxa"/>
          </w:tcPr>
          <w:p w14:paraId="00095D8E" w14:textId="77777777" w:rsidR="00543D47" w:rsidRPr="00BD4D2A" w:rsidRDefault="00543D47" w:rsidP="00D9610A">
            <w:pPr>
              <w:spacing w:before="140" w:after="40"/>
              <w:rPr>
                <w:szCs w:val="22"/>
                <w:lang w:eastAsia="en-US"/>
              </w:rPr>
            </w:pPr>
            <w:r w:rsidRPr="000721C1">
              <w:rPr>
                <w:szCs w:val="22"/>
              </w:rPr>
              <w:t>66665</w:t>
            </w:r>
          </w:p>
        </w:tc>
        <w:tc>
          <w:tcPr>
            <w:tcW w:w="5522" w:type="dxa"/>
          </w:tcPr>
          <w:p w14:paraId="0256B993" w14:textId="77777777" w:rsidR="00543D47" w:rsidRPr="00A302A9" w:rsidRDefault="00543D47" w:rsidP="00D9610A">
            <w:pPr>
              <w:spacing w:before="140" w:after="40"/>
              <w:rPr>
                <w:rFonts w:ascii="Calibri" w:hAnsi="Calibri"/>
                <w:color w:val="000000"/>
                <w:szCs w:val="22"/>
              </w:rPr>
            </w:pPr>
            <w:r w:rsidRPr="000721C1">
              <w:rPr>
                <w:rFonts w:ascii="Calibri" w:hAnsi="Calibri"/>
                <w:color w:val="000000"/>
                <w:szCs w:val="22"/>
              </w:rPr>
              <w:t xml:space="preserve">Lead quantitation in blood or urine (other than for occupational health screening purposes) to a maximum of 3 tests in a </w:t>
            </w:r>
            <w:r>
              <w:rPr>
                <w:rFonts w:ascii="Calibri" w:hAnsi="Calibri"/>
                <w:color w:val="000000"/>
                <w:szCs w:val="22"/>
              </w:rPr>
              <w:t>6-month period</w:t>
            </w:r>
            <w:r w:rsidRPr="000721C1">
              <w:rPr>
                <w:rFonts w:ascii="Calibri" w:hAnsi="Calibri"/>
                <w:color w:val="000000"/>
                <w:szCs w:val="22"/>
              </w:rPr>
              <w:t xml:space="preserve"> - each test</w:t>
            </w:r>
          </w:p>
        </w:tc>
        <w:tc>
          <w:tcPr>
            <w:tcW w:w="1451" w:type="dxa"/>
          </w:tcPr>
          <w:p w14:paraId="5419FD97" w14:textId="77777777" w:rsidR="00543D47" w:rsidRPr="00A302A9" w:rsidRDefault="00543D47" w:rsidP="00D9610A">
            <w:pPr>
              <w:spacing w:before="140" w:after="40"/>
              <w:rPr>
                <w:rFonts w:ascii="Calibri" w:hAnsi="Calibri"/>
                <w:color w:val="000000"/>
                <w:szCs w:val="22"/>
              </w:rPr>
            </w:pPr>
            <w:r w:rsidRPr="000721C1">
              <w:rPr>
                <w:rFonts w:ascii="Calibri" w:hAnsi="Calibri"/>
                <w:color w:val="000000"/>
                <w:szCs w:val="22"/>
              </w:rPr>
              <w:t>30.60</w:t>
            </w:r>
          </w:p>
        </w:tc>
        <w:tc>
          <w:tcPr>
            <w:tcW w:w="1560" w:type="dxa"/>
          </w:tcPr>
          <w:p w14:paraId="04227267" w14:textId="77777777" w:rsidR="00543D47" w:rsidRPr="00A302A9" w:rsidRDefault="00543D47" w:rsidP="00D9610A">
            <w:pPr>
              <w:spacing w:before="140" w:after="40"/>
              <w:rPr>
                <w:rFonts w:ascii="Calibri" w:hAnsi="Calibri"/>
                <w:color w:val="000000"/>
                <w:szCs w:val="22"/>
              </w:rPr>
            </w:pPr>
            <w:r w:rsidRPr="000721C1">
              <w:rPr>
                <w:rFonts w:ascii="Calibri" w:hAnsi="Calibri"/>
                <w:color w:val="000000"/>
                <w:szCs w:val="22"/>
              </w:rPr>
              <w:t>$336,746</w:t>
            </w:r>
          </w:p>
        </w:tc>
      </w:tr>
      <w:tr w:rsidR="00543D47" w:rsidRPr="00370DFD" w14:paraId="30382237" w14:textId="77777777" w:rsidTr="00D9610A">
        <w:tc>
          <w:tcPr>
            <w:tcW w:w="965" w:type="dxa"/>
          </w:tcPr>
          <w:p w14:paraId="5DB732B5" w14:textId="77777777" w:rsidR="00543D47" w:rsidRPr="00BD4D2A" w:rsidRDefault="00543D47" w:rsidP="00D9610A">
            <w:pPr>
              <w:spacing w:before="140" w:after="40"/>
              <w:rPr>
                <w:szCs w:val="22"/>
                <w:lang w:eastAsia="en-US"/>
              </w:rPr>
            </w:pPr>
            <w:r w:rsidRPr="00525A47">
              <w:rPr>
                <w:szCs w:val="22"/>
              </w:rPr>
              <w:t>66666</w:t>
            </w:r>
          </w:p>
        </w:tc>
        <w:tc>
          <w:tcPr>
            <w:tcW w:w="5522" w:type="dxa"/>
          </w:tcPr>
          <w:p w14:paraId="58211F65" w14:textId="77777777" w:rsidR="00543D47" w:rsidRPr="00A302A9" w:rsidRDefault="00543D47" w:rsidP="00D9610A">
            <w:pPr>
              <w:spacing w:before="140" w:after="40"/>
              <w:rPr>
                <w:rFonts w:ascii="Calibri" w:hAnsi="Calibri"/>
                <w:color w:val="000000"/>
                <w:szCs w:val="22"/>
              </w:rPr>
            </w:pPr>
            <w:r w:rsidRPr="00525A47">
              <w:rPr>
                <w:rFonts w:ascii="Calibri" w:hAnsi="Calibri"/>
                <w:color w:val="000000"/>
                <w:szCs w:val="22"/>
              </w:rPr>
              <w:t>A test described in item 66665 if rendered by a receiving APP - 1 or more tests (Item is subject to rule 18)</w:t>
            </w:r>
          </w:p>
        </w:tc>
        <w:tc>
          <w:tcPr>
            <w:tcW w:w="1451" w:type="dxa"/>
          </w:tcPr>
          <w:p w14:paraId="09BE5723" w14:textId="77777777" w:rsidR="00543D47" w:rsidRPr="00A302A9" w:rsidRDefault="00543D47" w:rsidP="00D9610A">
            <w:pPr>
              <w:spacing w:before="140" w:after="40"/>
              <w:rPr>
                <w:rFonts w:ascii="Calibri" w:hAnsi="Calibri"/>
                <w:color w:val="000000"/>
                <w:szCs w:val="22"/>
              </w:rPr>
            </w:pPr>
            <w:r w:rsidRPr="00525A47">
              <w:rPr>
                <w:rFonts w:ascii="Calibri" w:hAnsi="Calibri"/>
                <w:color w:val="000000"/>
                <w:szCs w:val="22"/>
              </w:rPr>
              <w:t>30.60</w:t>
            </w:r>
          </w:p>
        </w:tc>
        <w:tc>
          <w:tcPr>
            <w:tcW w:w="1560" w:type="dxa"/>
          </w:tcPr>
          <w:p w14:paraId="66218D57" w14:textId="77777777" w:rsidR="00543D47" w:rsidRPr="00A302A9" w:rsidRDefault="00543D47" w:rsidP="00D9610A">
            <w:pPr>
              <w:spacing w:before="140" w:after="40"/>
              <w:rPr>
                <w:rFonts w:ascii="Calibri" w:hAnsi="Calibri"/>
                <w:color w:val="000000"/>
                <w:szCs w:val="22"/>
              </w:rPr>
            </w:pPr>
            <w:r w:rsidRPr="00525A47">
              <w:rPr>
                <w:rFonts w:ascii="Calibri" w:hAnsi="Calibri"/>
                <w:color w:val="000000"/>
                <w:szCs w:val="22"/>
              </w:rPr>
              <w:t>$26,577</w:t>
            </w:r>
          </w:p>
        </w:tc>
      </w:tr>
      <w:tr w:rsidR="00543D47" w:rsidRPr="00370DFD" w14:paraId="20FCF620" w14:textId="77777777" w:rsidTr="00D9610A">
        <w:tc>
          <w:tcPr>
            <w:tcW w:w="965" w:type="dxa"/>
          </w:tcPr>
          <w:p w14:paraId="74856920" w14:textId="77777777" w:rsidR="00543D47" w:rsidRPr="00BD4D2A" w:rsidRDefault="00543D47" w:rsidP="00D9610A">
            <w:pPr>
              <w:spacing w:before="140" w:after="40"/>
              <w:rPr>
                <w:szCs w:val="22"/>
                <w:lang w:eastAsia="en-US"/>
              </w:rPr>
            </w:pPr>
            <w:r w:rsidRPr="00525A47">
              <w:rPr>
                <w:szCs w:val="22"/>
              </w:rPr>
              <w:t>66667</w:t>
            </w:r>
          </w:p>
        </w:tc>
        <w:tc>
          <w:tcPr>
            <w:tcW w:w="5522" w:type="dxa"/>
          </w:tcPr>
          <w:p w14:paraId="3D1EE5F7"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Quantitation of serum zinc in a patient receiving intravenous alimentation - each test</w:t>
            </w:r>
          </w:p>
        </w:tc>
        <w:tc>
          <w:tcPr>
            <w:tcW w:w="1451" w:type="dxa"/>
          </w:tcPr>
          <w:p w14:paraId="6568F996"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30.60</w:t>
            </w:r>
          </w:p>
        </w:tc>
        <w:tc>
          <w:tcPr>
            <w:tcW w:w="1560" w:type="dxa"/>
          </w:tcPr>
          <w:p w14:paraId="073BECED"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$26,577</w:t>
            </w:r>
          </w:p>
        </w:tc>
      </w:tr>
      <w:tr w:rsidR="00543D47" w:rsidRPr="00370DFD" w14:paraId="28E84AEA" w14:textId="77777777" w:rsidTr="00D9610A">
        <w:tc>
          <w:tcPr>
            <w:tcW w:w="965" w:type="dxa"/>
          </w:tcPr>
          <w:p w14:paraId="237ADBAE" w14:textId="77777777" w:rsidR="00543D47" w:rsidRPr="00BD4D2A" w:rsidRDefault="00543D47" w:rsidP="00D9610A">
            <w:pPr>
              <w:spacing w:before="140" w:after="40"/>
              <w:rPr>
                <w:szCs w:val="22"/>
                <w:lang w:eastAsia="en-US"/>
              </w:rPr>
            </w:pPr>
            <w:r w:rsidRPr="00525A47">
              <w:rPr>
                <w:szCs w:val="22"/>
              </w:rPr>
              <w:t>66671</w:t>
            </w:r>
          </w:p>
        </w:tc>
        <w:tc>
          <w:tcPr>
            <w:tcW w:w="5522" w:type="dxa"/>
          </w:tcPr>
          <w:p w14:paraId="3B4A6293"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Quantitation of serum zinc in a patient receiving intravenous alimentation - each test</w:t>
            </w:r>
          </w:p>
        </w:tc>
        <w:tc>
          <w:tcPr>
            <w:tcW w:w="1451" w:type="dxa"/>
          </w:tcPr>
          <w:p w14:paraId="2FB47C5E"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30.60</w:t>
            </w:r>
          </w:p>
        </w:tc>
        <w:tc>
          <w:tcPr>
            <w:tcW w:w="1560" w:type="dxa"/>
          </w:tcPr>
          <w:p w14:paraId="3A13E942"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$54,130</w:t>
            </w:r>
          </w:p>
        </w:tc>
      </w:tr>
      <w:tr w:rsidR="00543D47" w:rsidRPr="00370DFD" w14:paraId="453E611F" w14:textId="77777777" w:rsidTr="00D9610A">
        <w:tc>
          <w:tcPr>
            <w:tcW w:w="965" w:type="dxa"/>
          </w:tcPr>
          <w:p w14:paraId="728EC6DA" w14:textId="77777777" w:rsidR="00543D47" w:rsidRPr="00BD4D2A" w:rsidRDefault="00543D47" w:rsidP="00D9610A">
            <w:pPr>
              <w:spacing w:before="140" w:after="40"/>
              <w:rPr>
                <w:szCs w:val="22"/>
                <w:lang w:eastAsia="en-US"/>
              </w:rPr>
            </w:pPr>
            <w:r w:rsidRPr="00525A47">
              <w:rPr>
                <w:szCs w:val="22"/>
              </w:rPr>
              <w:t>66825</w:t>
            </w:r>
          </w:p>
        </w:tc>
        <w:tc>
          <w:tcPr>
            <w:tcW w:w="5522" w:type="dxa"/>
          </w:tcPr>
          <w:p w14:paraId="6A6F7CD9"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Quantitation of aluminium (except if item 66671 applies), arsenic, beryllium, cadmium, chromium, gold, mercury, nickel, or strontium, in blood, urine or other body fluid or tissue - 1 test. To a m</w:t>
            </w:r>
            <w:r>
              <w:rPr>
                <w:rFonts w:ascii="Calibri" w:hAnsi="Calibri"/>
                <w:color w:val="000000"/>
                <w:szCs w:val="22"/>
              </w:rPr>
              <w:t xml:space="preserve">aximum of 3 of this </w:t>
            </w:r>
            <w:proofErr w:type="gramStart"/>
            <w:r>
              <w:rPr>
                <w:rFonts w:ascii="Calibri" w:hAnsi="Calibri"/>
                <w:color w:val="000000"/>
                <w:szCs w:val="22"/>
              </w:rPr>
              <w:t>item</w:t>
            </w:r>
            <w:proofErr w:type="gramEnd"/>
            <w:r>
              <w:rPr>
                <w:rFonts w:ascii="Calibri" w:hAnsi="Calibri"/>
                <w:color w:val="000000"/>
                <w:szCs w:val="22"/>
              </w:rPr>
              <w:t xml:space="preserve"> in a 6-</w:t>
            </w:r>
            <w:r w:rsidRPr="00525A47">
              <w:rPr>
                <w:rFonts w:ascii="Calibri" w:hAnsi="Calibri"/>
                <w:color w:val="000000"/>
                <w:szCs w:val="22"/>
              </w:rPr>
              <w:t>month period (Item is subject to rule</w:t>
            </w:r>
            <w:r>
              <w:rPr>
                <w:rFonts w:ascii="Calibri" w:hAnsi="Calibri"/>
                <w:color w:val="000000"/>
                <w:szCs w:val="22"/>
              </w:rPr>
              <w:t>s</w:t>
            </w:r>
            <w:r w:rsidRPr="00525A47">
              <w:rPr>
                <w:rFonts w:ascii="Calibri" w:hAnsi="Calibri"/>
                <w:color w:val="000000"/>
                <w:szCs w:val="22"/>
              </w:rPr>
              <w:t xml:space="preserve"> 6, 22 and 25)</w:t>
            </w:r>
          </w:p>
        </w:tc>
        <w:tc>
          <w:tcPr>
            <w:tcW w:w="1451" w:type="dxa"/>
          </w:tcPr>
          <w:p w14:paraId="52158126"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30.60</w:t>
            </w:r>
          </w:p>
        </w:tc>
        <w:tc>
          <w:tcPr>
            <w:tcW w:w="1560" w:type="dxa"/>
          </w:tcPr>
          <w:p w14:paraId="1E08735C"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$260,100</w:t>
            </w:r>
          </w:p>
        </w:tc>
      </w:tr>
      <w:tr w:rsidR="00543D47" w:rsidRPr="00370DFD" w14:paraId="09FBA673" w14:textId="77777777" w:rsidTr="00D9610A">
        <w:tc>
          <w:tcPr>
            <w:tcW w:w="965" w:type="dxa"/>
          </w:tcPr>
          <w:p w14:paraId="0520ADCB" w14:textId="77777777" w:rsidR="00543D47" w:rsidRPr="00BD4D2A" w:rsidRDefault="00543D47" w:rsidP="00D9610A">
            <w:pPr>
              <w:spacing w:before="140" w:after="40"/>
              <w:rPr>
                <w:szCs w:val="22"/>
                <w:lang w:eastAsia="en-US"/>
              </w:rPr>
            </w:pPr>
            <w:r w:rsidRPr="00525A47">
              <w:rPr>
                <w:szCs w:val="22"/>
              </w:rPr>
              <w:t>66826</w:t>
            </w:r>
          </w:p>
        </w:tc>
        <w:tc>
          <w:tcPr>
            <w:tcW w:w="5522" w:type="dxa"/>
          </w:tcPr>
          <w:p w14:paraId="51B7FBD1"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A test described in item 66825 if rendered by a receiving APP where no tests have been rendered by the referring APP - 1 test</w:t>
            </w:r>
            <w:r>
              <w:rPr>
                <w:rFonts w:ascii="Calibri" w:hAnsi="Calibri"/>
                <w:color w:val="000000"/>
                <w:szCs w:val="22"/>
              </w:rPr>
              <w:t xml:space="preserve"> </w:t>
            </w:r>
            <w:r w:rsidRPr="00525A47">
              <w:rPr>
                <w:rFonts w:ascii="Calibri" w:hAnsi="Calibri"/>
                <w:color w:val="000000"/>
                <w:szCs w:val="22"/>
              </w:rPr>
              <w:t xml:space="preserve">(Item is subject to rules 6, 18, 22 and </w:t>
            </w:r>
            <w:proofErr w:type="gramStart"/>
            <w:r w:rsidRPr="00525A47">
              <w:rPr>
                <w:rFonts w:ascii="Calibri" w:hAnsi="Calibri"/>
                <w:color w:val="000000"/>
                <w:szCs w:val="22"/>
              </w:rPr>
              <w:t>25 )</w:t>
            </w:r>
            <w:proofErr w:type="gramEnd"/>
          </w:p>
        </w:tc>
        <w:tc>
          <w:tcPr>
            <w:tcW w:w="1451" w:type="dxa"/>
          </w:tcPr>
          <w:p w14:paraId="1A446E2D"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30.60</w:t>
            </w:r>
          </w:p>
        </w:tc>
        <w:tc>
          <w:tcPr>
            <w:tcW w:w="1560" w:type="dxa"/>
          </w:tcPr>
          <w:p w14:paraId="4E436161"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$32,923</w:t>
            </w:r>
          </w:p>
        </w:tc>
      </w:tr>
      <w:tr w:rsidR="00543D47" w:rsidRPr="00370DFD" w14:paraId="506A0E91" w14:textId="77777777" w:rsidTr="00D9610A">
        <w:tc>
          <w:tcPr>
            <w:tcW w:w="965" w:type="dxa"/>
          </w:tcPr>
          <w:p w14:paraId="162D45F3" w14:textId="77777777" w:rsidR="00543D47" w:rsidRPr="00BD4D2A" w:rsidRDefault="00543D47" w:rsidP="00D9610A">
            <w:pPr>
              <w:spacing w:before="140" w:after="40"/>
              <w:rPr>
                <w:szCs w:val="22"/>
                <w:lang w:eastAsia="en-US"/>
              </w:rPr>
            </w:pPr>
            <w:r w:rsidRPr="00525A47">
              <w:rPr>
                <w:szCs w:val="22"/>
              </w:rPr>
              <w:t>66827</w:t>
            </w:r>
          </w:p>
        </w:tc>
        <w:tc>
          <w:tcPr>
            <w:tcW w:w="5522" w:type="dxa"/>
          </w:tcPr>
          <w:p w14:paraId="61E12948"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A test described in item 66825, other than that described in 66826, if rendered by a receiving APP</w:t>
            </w:r>
            <w:r>
              <w:rPr>
                <w:rFonts w:ascii="Calibri" w:hAnsi="Calibri"/>
                <w:color w:val="000000"/>
                <w:szCs w:val="22"/>
              </w:rPr>
              <w:t xml:space="preserve"> </w:t>
            </w:r>
            <w:r w:rsidRPr="00525A47">
              <w:rPr>
                <w:rFonts w:ascii="Calibri" w:hAnsi="Calibri"/>
                <w:color w:val="000000"/>
                <w:szCs w:val="22"/>
              </w:rPr>
              <w:t>to a maximum of 1 test</w:t>
            </w:r>
            <w:r>
              <w:rPr>
                <w:rFonts w:ascii="Calibri" w:hAnsi="Calibri"/>
                <w:color w:val="000000"/>
                <w:szCs w:val="22"/>
              </w:rPr>
              <w:t xml:space="preserve"> </w:t>
            </w:r>
            <w:r w:rsidRPr="00525A47">
              <w:rPr>
                <w:rFonts w:ascii="Calibri" w:hAnsi="Calibri"/>
                <w:color w:val="000000"/>
                <w:szCs w:val="22"/>
              </w:rPr>
              <w:t>(Item is subject to rules 6, 18, 22 and 25)</w:t>
            </w:r>
          </w:p>
        </w:tc>
        <w:tc>
          <w:tcPr>
            <w:tcW w:w="1451" w:type="dxa"/>
          </w:tcPr>
          <w:p w14:paraId="15F99D3B"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21.80</w:t>
            </w:r>
          </w:p>
        </w:tc>
        <w:tc>
          <w:tcPr>
            <w:tcW w:w="1560" w:type="dxa"/>
          </w:tcPr>
          <w:p w14:paraId="24118D65"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$15,840</w:t>
            </w:r>
          </w:p>
        </w:tc>
      </w:tr>
      <w:tr w:rsidR="00543D47" w:rsidRPr="00370DFD" w14:paraId="29B77C90" w14:textId="77777777" w:rsidTr="00D9610A">
        <w:tc>
          <w:tcPr>
            <w:tcW w:w="965" w:type="dxa"/>
          </w:tcPr>
          <w:p w14:paraId="0FBDB755" w14:textId="77777777" w:rsidR="00543D47" w:rsidRPr="00BD4D2A" w:rsidRDefault="00543D47" w:rsidP="00D9610A">
            <w:pPr>
              <w:spacing w:before="140" w:after="40"/>
              <w:rPr>
                <w:szCs w:val="22"/>
                <w:lang w:eastAsia="en-US"/>
              </w:rPr>
            </w:pPr>
            <w:r w:rsidRPr="00525A47">
              <w:rPr>
                <w:szCs w:val="22"/>
              </w:rPr>
              <w:lastRenderedPageBreak/>
              <w:t>66828</w:t>
            </w:r>
          </w:p>
        </w:tc>
        <w:tc>
          <w:tcPr>
            <w:tcW w:w="5522" w:type="dxa"/>
          </w:tcPr>
          <w:p w14:paraId="7C2EE582"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 xml:space="preserve">Quantitation of aluminium (except if item 66671 applies), arsenic, beryllium, cadmium, chromium, gold, mercury, nickel, or strontium, in blood, urine or other body fluid or tissue - 2 or more tests. to a maximum of 3 of this </w:t>
            </w:r>
            <w:proofErr w:type="gramStart"/>
            <w:r w:rsidRPr="00525A47">
              <w:rPr>
                <w:rFonts w:ascii="Calibri" w:hAnsi="Calibri"/>
                <w:color w:val="000000"/>
                <w:szCs w:val="22"/>
              </w:rPr>
              <w:t>item</w:t>
            </w:r>
            <w:proofErr w:type="gramEnd"/>
            <w:r w:rsidRPr="00525A47">
              <w:rPr>
                <w:rFonts w:ascii="Calibri" w:hAnsi="Calibri"/>
                <w:color w:val="000000"/>
                <w:szCs w:val="22"/>
              </w:rPr>
              <w:t xml:space="preserve"> in a </w:t>
            </w:r>
            <w:r>
              <w:rPr>
                <w:rFonts w:ascii="Calibri" w:hAnsi="Calibri"/>
                <w:color w:val="000000"/>
                <w:szCs w:val="22"/>
              </w:rPr>
              <w:t>6-month period</w:t>
            </w:r>
            <w:r w:rsidRPr="00525A47">
              <w:rPr>
                <w:rFonts w:ascii="Calibri" w:hAnsi="Calibri"/>
                <w:color w:val="000000"/>
                <w:szCs w:val="22"/>
              </w:rPr>
              <w:t xml:space="preserve"> (Item is subject to rule</w:t>
            </w:r>
            <w:r>
              <w:rPr>
                <w:rFonts w:ascii="Calibri" w:hAnsi="Calibri"/>
                <w:color w:val="000000"/>
                <w:szCs w:val="22"/>
              </w:rPr>
              <w:t>s</w:t>
            </w:r>
            <w:r w:rsidRPr="00525A47">
              <w:rPr>
                <w:rFonts w:ascii="Calibri" w:hAnsi="Calibri"/>
                <w:color w:val="000000"/>
                <w:szCs w:val="22"/>
              </w:rPr>
              <w:t xml:space="preserve"> 6, 22 and 25)</w:t>
            </w:r>
          </w:p>
        </w:tc>
        <w:tc>
          <w:tcPr>
            <w:tcW w:w="1451" w:type="dxa"/>
          </w:tcPr>
          <w:p w14:paraId="2E279DD2"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52.45</w:t>
            </w:r>
          </w:p>
        </w:tc>
        <w:tc>
          <w:tcPr>
            <w:tcW w:w="1560" w:type="dxa"/>
          </w:tcPr>
          <w:p w14:paraId="40DE42DA"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$110,166</w:t>
            </w:r>
          </w:p>
        </w:tc>
      </w:tr>
      <w:tr w:rsidR="00543D47" w:rsidRPr="00370DFD" w14:paraId="09768C6E" w14:textId="77777777" w:rsidTr="00D9610A">
        <w:tc>
          <w:tcPr>
            <w:tcW w:w="965" w:type="dxa"/>
          </w:tcPr>
          <w:p w14:paraId="7F327235" w14:textId="77777777" w:rsidR="00543D47" w:rsidRPr="00BD4D2A" w:rsidRDefault="00543D47" w:rsidP="00D9610A">
            <w:pPr>
              <w:spacing w:before="140" w:after="40"/>
              <w:rPr>
                <w:szCs w:val="22"/>
                <w:lang w:eastAsia="en-US"/>
              </w:rPr>
            </w:pPr>
            <w:r w:rsidRPr="00525A47">
              <w:rPr>
                <w:szCs w:val="22"/>
              </w:rPr>
              <w:t>66831</w:t>
            </w:r>
          </w:p>
        </w:tc>
        <w:tc>
          <w:tcPr>
            <w:tcW w:w="5522" w:type="dxa"/>
          </w:tcPr>
          <w:p w14:paraId="4D54498C"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Quantitation of copper or iron in liver tissue biopsy</w:t>
            </w:r>
          </w:p>
        </w:tc>
        <w:tc>
          <w:tcPr>
            <w:tcW w:w="1451" w:type="dxa"/>
          </w:tcPr>
          <w:p w14:paraId="35966816"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30.95</w:t>
            </w:r>
          </w:p>
        </w:tc>
        <w:tc>
          <w:tcPr>
            <w:tcW w:w="1560" w:type="dxa"/>
          </w:tcPr>
          <w:p w14:paraId="6623E0DE"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$1,249</w:t>
            </w:r>
          </w:p>
        </w:tc>
      </w:tr>
      <w:tr w:rsidR="00543D47" w:rsidRPr="00370DFD" w14:paraId="75357753" w14:textId="77777777" w:rsidTr="00D9610A">
        <w:tc>
          <w:tcPr>
            <w:tcW w:w="965" w:type="dxa"/>
          </w:tcPr>
          <w:p w14:paraId="23F5FB08" w14:textId="77777777" w:rsidR="00543D47" w:rsidRPr="00BD4D2A" w:rsidRDefault="00543D47" w:rsidP="00D9610A">
            <w:pPr>
              <w:spacing w:before="140" w:after="40"/>
              <w:rPr>
                <w:szCs w:val="22"/>
                <w:lang w:eastAsia="en-US"/>
              </w:rPr>
            </w:pPr>
            <w:r w:rsidRPr="00525A47">
              <w:rPr>
                <w:szCs w:val="22"/>
              </w:rPr>
              <w:t>66832</w:t>
            </w:r>
          </w:p>
        </w:tc>
        <w:tc>
          <w:tcPr>
            <w:tcW w:w="5522" w:type="dxa"/>
          </w:tcPr>
          <w:p w14:paraId="2EAC15AF"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 xml:space="preserve">A test described in item 66831 if rendered by a receiving </w:t>
            </w:r>
            <w:r>
              <w:rPr>
                <w:rFonts w:ascii="Calibri" w:hAnsi="Calibri"/>
                <w:color w:val="000000"/>
                <w:szCs w:val="22"/>
              </w:rPr>
              <w:t>APP (I</w:t>
            </w:r>
            <w:r w:rsidRPr="00525A47">
              <w:rPr>
                <w:rFonts w:ascii="Calibri" w:hAnsi="Calibri"/>
                <w:color w:val="000000"/>
                <w:szCs w:val="22"/>
              </w:rPr>
              <w:t>tem is subject to rule</w:t>
            </w:r>
            <w:r>
              <w:rPr>
                <w:rFonts w:ascii="Calibri" w:hAnsi="Calibri"/>
                <w:color w:val="000000"/>
                <w:szCs w:val="22"/>
              </w:rPr>
              <w:t>s</w:t>
            </w:r>
            <w:r w:rsidRPr="00525A47">
              <w:rPr>
                <w:rFonts w:ascii="Calibri" w:hAnsi="Calibri"/>
                <w:color w:val="000000"/>
                <w:szCs w:val="22"/>
              </w:rPr>
              <w:t xml:space="preserve"> 18a and 22)</w:t>
            </w:r>
          </w:p>
        </w:tc>
        <w:tc>
          <w:tcPr>
            <w:tcW w:w="1451" w:type="dxa"/>
          </w:tcPr>
          <w:p w14:paraId="1AC8A1C2"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30.95</w:t>
            </w:r>
          </w:p>
        </w:tc>
        <w:tc>
          <w:tcPr>
            <w:tcW w:w="1560" w:type="dxa"/>
          </w:tcPr>
          <w:p w14:paraId="1DF25862" w14:textId="77777777" w:rsidR="00543D47" w:rsidRPr="00D61D97" w:rsidRDefault="00543D47" w:rsidP="00D9610A">
            <w:pPr>
              <w:spacing w:before="140" w:after="40"/>
              <w:rPr>
                <w:rFonts w:ascii="Calibri" w:hAnsi="Calibri"/>
                <w:color w:val="000000"/>
                <w:szCs w:val="22"/>
              </w:rPr>
            </w:pPr>
            <w:r w:rsidRPr="00525A47">
              <w:rPr>
                <w:rFonts w:ascii="Calibri" w:hAnsi="Calibri"/>
                <w:color w:val="000000"/>
                <w:szCs w:val="22"/>
              </w:rPr>
              <w:t>$1,254</w:t>
            </w:r>
          </w:p>
        </w:tc>
      </w:tr>
      <w:tr w:rsidR="00543D47" w:rsidRPr="00370DFD" w14:paraId="2C268E32" w14:textId="77777777" w:rsidTr="00D9610A">
        <w:tc>
          <w:tcPr>
            <w:tcW w:w="965" w:type="dxa"/>
          </w:tcPr>
          <w:p w14:paraId="1F2F8F2F" w14:textId="77777777" w:rsidR="00543D47" w:rsidRPr="00BD4D2A" w:rsidRDefault="00543D47" w:rsidP="00D9610A">
            <w:pPr>
              <w:spacing w:before="140" w:after="40"/>
              <w:rPr>
                <w:szCs w:val="22"/>
                <w:lang w:eastAsia="en-US"/>
              </w:rPr>
            </w:pPr>
            <w:r w:rsidRPr="00525A47">
              <w:rPr>
                <w:szCs w:val="22"/>
              </w:rPr>
              <w:t>66711</w:t>
            </w:r>
          </w:p>
        </w:tc>
        <w:tc>
          <w:tcPr>
            <w:tcW w:w="5522" w:type="dxa"/>
          </w:tcPr>
          <w:p w14:paraId="7E94C46E"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Quantitation in saliva of cortisol in: (a) the investigation of Cushing's syndrome; or (b) the management of children with congenital adrenal hyperplasia (Item is subject to rule 6)</w:t>
            </w:r>
          </w:p>
        </w:tc>
        <w:tc>
          <w:tcPr>
            <w:tcW w:w="1451" w:type="dxa"/>
          </w:tcPr>
          <w:p w14:paraId="2C409F4E"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30.15</w:t>
            </w:r>
          </w:p>
        </w:tc>
        <w:tc>
          <w:tcPr>
            <w:tcW w:w="1560" w:type="dxa"/>
          </w:tcPr>
          <w:p w14:paraId="462C4A2E"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$59,115</w:t>
            </w:r>
          </w:p>
        </w:tc>
      </w:tr>
      <w:tr w:rsidR="00543D47" w:rsidRPr="00370DFD" w14:paraId="3DFE1B76" w14:textId="77777777" w:rsidTr="00D9610A">
        <w:tc>
          <w:tcPr>
            <w:tcW w:w="965" w:type="dxa"/>
          </w:tcPr>
          <w:p w14:paraId="5E29D294" w14:textId="77777777" w:rsidR="00543D47" w:rsidRPr="00BD4D2A" w:rsidRDefault="00543D47" w:rsidP="00D9610A">
            <w:pPr>
              <w:spacing w:before="140" w:after="40"/>
              <w:rPr>
                <w:szCs w:val="22"/>
                <w:lang w:eastAsia="en-US"/>
              </w:rPr>
            </w:pPr>
            <w:r w:rsidRPr="00525A47">
              <w:rPr>
                <w:szCs w:val="22"/>
              </w:rPr>
              <w:t>66712</w:t>
            </w:r>
          </w:p>
        </w:tc>
        <w:tc>
          <w:tcPr>
            <w:tcW w:w="5522" w:type="dxa"/>
          </w:tcPr>
          <w:p w14:paraId="05805D5F"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Two tests described in item 66711 (Item is subject to rule 6)</w:t>
            </w:r>
          </w:p>
        </w:tc>
        <w:tc>
          <w:tcPr>
            <w:tcW w:w="1451" w:type="dxa"/>
          </w:tcPr>
          <w:p w14:paraId="288AC4AE"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43.05</w:t>
            </w:r>
          </w:p>
        </w:tc>
        <w:tc>
          <w:tcPr>
            <w:tcW w:w="1560" w:type="dxa"/>
          </w:tcPr>
          <w:p w14:paraId="6EA7FF68"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$7,330</w:t>
            </w:r>
          </w:p>
        </w:tc>
      </w:tr>
      <w:tr w:rsidR="00543D47" w:rsidRPr="00370DFD" w14:paraId="4415A488" w14:textId="77777777" w:rsidTr="00D9610A">
        <w:tc>
          <w:tcPr>
            <w:tcW w:w="965" w:type="dxa"/>
          </w:tcPr>
          <w:p w14:paraId="5870603F" w14:textId="77777777" w:rsidR="00543D47" w:rsidRPr="00BD4D2A" w:rsidRDefault="00543D47" w:rsidP="00D9610A">
            <w:pPr>
              <w:spacing w:before="140" w:after="40"/>
              <w:rPr>
                <w:szCs w:val="22"/>
                <w:lang w:eastAsia="en-US"/>
              </w:rPr>
            </w:pPr>
            <w:r w:rsidRPr="00525A47">
              <w:rPr>
                <w:szCs w:val="22"/>
              </w:rPr>
              <w:t>66714</w:t>
            </w:r>
          </w:p>
        </w:tc>
        <w:tc>
          <w:tcPr>
            <w:tcW w:w="5522" w:type="dxa"/>
          </w:tcPr>
          <w:p w14:paraId="6A293DAE"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A test described in item 66711, if rendered by a receiving APP, where no tests in the item have been rendered by the referring APP</w:t>
            </w:r>
            <w:r>
              <w:rPr>
                <w:rFonts w:ascii="Calibri" w:hAnsi="Calibri"/>
                <w:color w:val="000000"/>
                <w:szCs w:val="22"/>
              </w:rPr>
              <w:t xml:space="preserve"> </w:t>
            </w:r>
            <w:r w:rsidRPr="00525A47">
              <w:rPr>
                <w:rFonts w:ascii="Calibri" w:hAnsi="Calibri"/>
                <w:color w:val="000000"/>
                <w:szCs w:val="22"/>
              </w:rPr>
              <w:t>(Item is subject to rule</w:t>
            </w:r>
            <w:r>
              <w:rPr>
                <w:rFonts w:ascii="Calibri" w:hAnsi="Calibri"/>
                <w:color w:val="000000"/>
                <w:szCs w:val="22"/>
              </w:rPr>
              <w:t>s</w:t>
            </w:r>
            <w:r w:rsidRPr="00525A47">
              <w:rPr>
                <w:rFonts w:ascii="Calibri" w:hAnsi="Calibri"/>
                <w:color w:val="000000"/>
                <w:szCs w:val="22"/>
              </w:rPr>
              <w:t xml:space="preserve"> 6 and 18)</w:t>
            </w:r>
          </w:p>
        </w:tc>
        <w:tc>
          <w:tcPr>
            <w:tcW w:w="1451" w:type="dxa"/>
          </w:tcPr>
          <w:p w14:paraId="4B303286"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30.15</w:t>
            </w:r>
          </w:p>
        </w:tc>
        <w:tc>
          <w:tcPr>
            <w:tcW w:w="1560" w:type="dxa"/>
          </w:tcPr>
          <w:p w14:paraId="130F1141" w14:textId="77777777" w:rsidR="00543D47" w:rsidRPr="00601D2A" w:rsidRDefault="00543D47" w:rsidP="00D9610A">
            <w:pPr>
              <w:spacing w:before="140" w:after="40"/>
              <w:rPr>
                <w:rFonts w:ascii="Calibri" w:hAnsi="Calibri"/>
                <w:color w:val="000000"/>
                <w:szCs w:val="22"/>
              </w:rPr>
            </w:pPr>
            <w:r w:rsidRPr="00525A47">
              <w:rPr>
                <w:rFonts w:ascii="Calibri" w:hAnsi="Calibri"/>
                <w:color w:val="000000"/>
                <w:szCs w:val="22"/>
              </w:rPr>
              <w:t>$4,967</w:t>
            </w:r>
          </w:p>
        </w:tc>
      </w:tr>
      <w:tr w:rsidR="00543D47" w:rsidRPr="00370DFD" w14:paraId="6274AE40" w14:textId="77777777" w:rsidTr="00D9610A">
        <w:tc>
          <w:tcPr>
            <w:tcW w:w="965" w:type="dxa"/>
          </w:tcPr>
          <w:p w14:paraId="0D55DEE9" w14:textId="77777777" w:rsidR="00543D47" w:rsidRPr="00BD4D2A" w:rsidRDefault="00543D47" w:rsidP="00D9610A">
            <w:pPr>
              <w:spacing w:before="140" w:after="40"/>
              <w:rPr>
                <w:szCs w:val="22"/>
                <w:lang w:eastAsia="en-US"/>
              </w:rPr>
            </w:pPr>
            <w:r w:rsidRPr="00525A47">
              <w:rPr>
                <w:rFonts w:ascii="Calibri" w:hAnsi="Calibri"/>
                <w:color w:val="000000"/>
                <w:szCs w:val="22"/>
              </w:rPr>
              <w:t>66785</w:t>
            </w:r>
          </w:p>
        </w:tc>
        <w:tc>
          <w:tcPr>
            <w:tcW w:w="5522" w:type="dxa"/>
          </w:tcPr>
          <w:p w14:paraId="32553A88"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Porphyrins or porphyrins precursors - quantitation in plasma, red cells, urine or faeces - 1 test (Item is subject to rule 6)</w:t>
            </w:r>
          </w:p>
        </w:tc>
        <w:tc>
          <w:tcPr>
            <w:tcW w:w="1451" w:type="dxa"/>
          </w:tcPr>
          <w:p w14:paraId="0AB33B7E"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39.95</w:t>
            </w:r>
          </w:p>
        </w:tc>
        <w:tc>
          <w:tcPr>
            <w:tcW w:w="1560" w:type="dxa"/>
          </w:tcPr>
          <w:p w14:paraId="18FDFA36"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$44,012</w:t>
            </w:r>
          </w:p>
        </w:tc>
      </w:tr>
      <w:tr w:rsidR="00543D47" w:rsidRPr="00370DFD" w14:paraId="4878DDCC" w14:textId="77777777" w:rsidTr="00D9610A">
        <w:tc>
          <w:tcPr>
            <w:tcW w:w="965" w:type="dxa"/>
          </w:tcPr>
          <w:p w14:paraId="314DB5C7" w14:textId="77777777" w:rsidR="00543D47" w:rsidRPr="0090655B" w:rsidRDefault="00543D47" w:rsidP="00D9610A">
            <w:pPr>
              <w:spacing w:before="140" w:after="40"/>
              <w:rPr>
                <w:szCs w:val="22"/>
                <w:lang w:eastAsia="en-US"/>
              </w:rPr>
            </w:pPr>
            <w:r w:rsidRPr="00525A47">
              <w:rPr>
                <w:rFonts w:ascii="Calibri" w:hAnsi="Calibri"/>
                <w:color w:val="000000"/>
                <w:szCs w:val="22"/>
              </w:rPr>
              <w:t>66788</w:t>
            </w:r>
          </w:p>
        </w:tc>
        <w:tc>
          <w:tcPr>
            <w:tcW w:w="5522" w:type="dxa"/>
          </w:tcPr>
          <w:p w14:paraId="0D4355AF"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Porphyrins or porphyrins precursors - quantitation in plasma, red cells, urine or faeces - 2 or more tests (Item is subject to rule 6)</w:t>
            </w:r>
          </w:p>
        </w:tc>
        <w:tc>
          <w:tcPr>
            <w:tcW w:w="1451" w:type="dxa"/>
          </w:tcPr>
          <w:p w14:paraId="6B3ACB80"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65.85</w:t>
            </w:r>
          </w:p>
        </w:tc>
        <w:tc>
          <w:tcPr>
            <w:tcW w:w="1560" w:type="dxa"/>
          </w:tcPr>
          <w:p w14:paraId="499DDECB"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$40,518</w:t>
            </w:r>
          </w:p>
        </w:tc>
      </w:tr>
      <w:tr w:rsidR="00543D47" w:rsidRPr="00370DFD" w14:paraId="6EC42016" w14:textId="77777777" w:rsidTr="00D9610A">
        <w:tc>
          <w:tcPr>
            <w:tcW w:w="965" w:type="dxa"/>
          </w:tcPr>
          <w:p w14:paraId="5FE1C2F5" w14:textId="77777777" w:rsidR="00543D47" w:rsidRPr="0090655B" w:rsidRDefault="00543D47" w:rsidP="00D9610A">
            <w:pPr>
              <w:spacing w:before="140" w:after="40"/>
              <w:rPr>
                <w:szCs w:val="22"/>
                <w:lang w:eastAsia="en-US"/>
              </w:rPr>
            </w:pPr>
            <w:r w:rsidRPr="00525A47">
              <w:rPr>
                <w:rFonts w:ascii="Calibri" w:hAnsi="Calibri"/>
                <w:color w:val="000000"/>
                <w:szCs w:val="22"/>
              </w:rPr>
              <w:t>66789</w:t>
            </w:r>
          </w:p>
        </w:tc>
        <w:tc>
          <w:tcPr>
            <w:tcW w:w="5522" w:type="dxa"/>
          </w:tcPr>
          <w:p w14:paraId="730127C3"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A test described in item 66785 if rendered by a receiving APP, where no tests in the item have been rendered by the referring APP - 1 test</w:t>
            </w:r>
            <w:r>
              <w:rPr>
                <w:rFonts w:ascii="Calibri" w:hAnsi="Calibri"/>
                <w:color w:val="000000"/>
                <w:szCs w:val="22"/>
              </w:rPr>
              <w:t xml:space="preserve"> </w:t>
            </w:r>
            <w:r w:rsidRPr="00525A47">
              <w:rPr>
                <w:rFonts w:ascii="Calibri" w:hAnsi="Calibri"/>
                <w:color w:val="000000"/>
                <w:szCs w:val="22"/>
              </w:rPr>
              <w:t>(Item is subject to rule</w:t>
            </w:r>
            <w:r>
              <w:rPr>
                <w:rFonts w:ascii="Calibri" w:hAnsi="Calibri"/>
                <w:color w:val="000000"/>
                <w:szCs w:val="22"/>
              </w:rPr>
              <w:t>s</w:t>
            </w:r>
            <w:r w:rsidRPr="00525A47">
              <w:rPr>
                <w:rFonts w:ascii="Calibri" w:hAnsi="Calibri"/>
                <w:color w:val="000000"/>
                <w:szCs w:val="22"/>
              </w:rPr>
              <w:t xml:space="preserve"> 6 and 18)</w:t>
            </w:r>
          </w:p>
        </w:tc>
        <w:tc>
          <w:tcPr>
            <w:tcW w:w="1451" w:type="dxa"/>
          </w:tcPr>
          <w:p w14:paraId="0E5F6039"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39.95</w:t>
            </w:r>
          </w:p>
        </w:tc>
        <w:tc>
          <w:tcPr>
            <w:tcW w:w="1560" w:type="dxa"/>
          </w:tcPr>
          <w:p w14:paraId="7BFB3243" w14:textId="77777777" w:rsidR="00543D47" w:rsidRPr="0090655B" w:rsidRDefault="00543D47" w:rsidP="00D9610A">
            <w:pPr>
              <w:spacing w:before="140" w:after="40"/>
              <w:rPr>
                <w:rFonts w:ascii="Calibri" w:hAnsi="Calibri"/>
                <w:color w:val="000000"/>
                <w:szCs w:val="22"/>
              </w:rPr>
            </w:pPr>
            <w:r w:rsidRPr="00525A47">
              <w:rPr>
                <w:rFonts w:ascii="Calibri" w:hAnsi="Calibri"/>
                <w:color w:val="000000"/>
                <w:szCs w:val="22"/>
              </w:rPr>
              <w:t>$18,475</w:t>
            </w:r>
          </w:p>
        </w:tc>
      </w:tr>
      <w:tr w:rsidR="00543D47" w:rsidRPr="00370DFD" w14:paraId="4ADA9D02" w14:textId="77777777" w:rsidTr="00D9610A">
        <w:tc>
          <w:tcPr>
            <w:tcW w:w="965" w:type="dxa"/>
          </w:tcPr>
          <w:p w14:paraId="750FCD9F" w14:textId="77777777" w:rsidR="00543D47" w:rsidRPr="00525A47" w:rsidRDefault="00543D47" w:rsidP="00D9610A">
            <w:pPr>
              <w:spacing w:before="140" w:after="40"/>
              <w:rPr>
                <w:rFonts w:ascii="Calibri" w:hAnsi="Calibri"/>
                <w:color w:val="000000"/>
                <w:szCs w:val="22"/>
              </w:rPr>
            </w:pPr>
            <w:r w:rsidRPr="002B0111">
              <w:t>73527</w:t>
            </w:r>
          </w:p>
        </w:tc>
        <w:tc>
          <w:tcPr>
            <w:tcW w:w="5522" w:type="dxa"/>
          </w:tcPr>
          <w:p w14:paraId="7A5040AC" w14:textId="77777777" w:rsidR="00543D47" w:rsidRPr="00525A47" w:rsidRDefault="00543D47" w:rsidP="00D9610A">
            <w:pPr>
              <w:spacing w:before="140" w:after="40"/>
              <w:rPr>
                <w:rFonts w:ascii="Calibri" w:hAnsi="Calibri"/>
                <w:color w:val="000000"/>
                <w:szCs w:val="22"/>
              </w:rPr>
            </w:pPr>
            <w:r w:rsidRPr="002B0111">
              <w:t>Human chorionic gonadotrophin (</w:t>
            </w:r>
            <w:r>
              <w:t>HCG</w:t>
            </w:r>
            <w:r w:rsidRPr="002B0111">
              <w:t>) - detection in serum or urine by 1 or more methods for diagnosis of pregnancy - 1 or more tests</w:t>
            </w:r>
          </w:p>
        </w:tc>
        <w:tc>
          <w:tcPr>
            <w:tcW w:w="1451" w:type="dxa"/>
          </w:tcPr>
          <w:p w14:paraId="73CE06AF" w14:textId="77777777" w:rsidR="00543D47" w:rsidRPr="00525A47" w:rsidRDefault="00543D47" w:rsidP="00D9610A">
            <w:pPr>
              <w:spacing w:before="140" w:after="40"/>
              <w:rPr>
                <w:rFonts w:ascii="Calibri" w:hAnsi="Calibri"/>
                <w:color w:val="000000"/>
                <w:szCs w:val="22"/>
              </w:rPr>
            </w:pPr>
            <w:r w:rsidRPr="00050458">
              <w:t>10.00</w:t>
            </w:r>
          </w:p>
        </w:tc>
        <w:tc>
          <w:tcPr>
            <w:tcW w:w="1560" w:type="dxa"/>
          </w:tcPr>
          <w:p w14:paraId="41E35FAF" w14:textId="77777777" w:rsidR="00543D47" w:rsidRPr="00525A47" w:rsidRDefault="00543D47" w:rsidP="00D9610A">
            <w:pPr>
              <w:spacing w:before="140" w:after="40"/>
              <w:rPr>
                <w:rFonts w:ascii="Calibri" w:hAnsi="Calibri"/>
                <w:color w:val="000000"/>
                <w:szCs w:val="22"/>
              </w:rPr>
            </w:pPr>
            <w:r w:rsidRPr="00F726F4">
              <w:t>$818,190</w:t>
            </w:r>
          </w:p>
        </w:tc>
      </w:tr>
      <w:tr w:rsidR="00543D47" w:rsidRPr="00370DFD" w14:paraId="39620CE8" w14:textId="77777777" w:rsidTr="00D9610A">
        <w:tc>
          <w:tcPr>
            <w:tcW w:w="965" w:type="dxa"/>
          </w:tcPr>
          <w:p w14:paraId="3FC626CD" w14:textId="77777777" w:rsidR="00543D47" w:rsidRPr="00525A47" w:rsidRDefault="00543D47" w:rsidP="00D9610A">
            <w:pPr>
              <w:spacing w:before="140" w:after="40"/>
              <w:rPr>
                <w:rFonts w:ascii="Calibri" w:hAnsi="Calibri"/>
                <w:color w:val="000000"/>
                <w:szCs w:val="22"/>
              </w:rPr>
            </w:pPr>
            <w:r w:rsidRPr="002B0111">
              <w:t>73529</w:t>
            </w:r>
          </w:p>
        </w:tc>
        <w:tc>
          <w:tcPr>
            <w:tcW w:w="5522" w:type="dxa"/>
          </w:tcPr>
          <w:p w14:paraId="2FCB4E7B" w14:textId="77777777" w:rsidR="00543D47" w:rsidRPr="00525A47" w:rsidRDefault="00543D47" w:rsidP="00D9610A">
            <w:pPr>
              <w:spacing w:before="140" w:after="40"/>
              <w:rPr>
                <w:rFonts w:ascii="Calibri" w:hAnsi="Calibri"/>
                <w:color w:val="000000"/>
                <w:szCs w:val="22"/>
              </w:rPr>
            </w:pPr>
            <w:r w:rsidRPr="002B0111">
              <w:t xml:space="preserve">Human chorionic gonadotrophin (HCG), quantitation in serum by 1 or more methods (except by latex, membrane, strip or other pregnancy test kit) for diagnosis of </w:t>
            </w:r>
            <w:r w:rsidRPr="002B0111">
              <w:lastRenderedPageBreak/>
              <w:t>threatened abortion, or follow up of abortion or diagnosis of ectopic pregnancy, including any services performed in item 73527 - 1 test</w:t>
            </w:r>
          </w:p>
        </w:tc>
        <w:tc>
          <w:tcPr>
            <w:tcW w:w="1451" w:type="dxa"/>
          </w:tcPr>
          <w:p w14:paraId="258E8D84" w14:textId="77777777" w:rsidR="00543D47" w:rsidRPr="00525A47" w:rsidRDefault="00543D47" w:rsidP="00D9610A">
            <w:pPr>
              <w:spacing w:before="140" w:after="40"/>
              <w:rPr>
                <w:rFonts w:ascii="Calibri" w:hAnsi="Calibri"/>
                <w:color w:val="000000"/>
                <w:szCs w:val="22"/>
              </w:rPr>
            </w:pPr>
            <w:r w:rsidRPr="00050458">
              <w:lastRenderedPageBreak/>
              <w:t>28.65</w:t>
            </w:r>
          </w:p>
        </w:tc>
        <w:tc>
          <w:tcPr>
            <w:tcW w:w="1560" w:type="dxa"/>
          </w:tcPr>
          <w:p w14:paraId="68D7C9B5" w14:textId="77777777" w:rsidR="00543D47" w:rsidRPr="00525A47" w:rsidRDefault="00543D47" w:rsidP="00D9610A">
            <w:pPr>
              <w:spacing w:before="140" w:after="40"/>
              <w:rPr>
                <w:rFonts w:ascii="Calibri" w:hAnsi="Calibri"/>
                <w:color w:val="000000"/>
                <w:szCs w:val="22"/>
              </w:rPr>
            </w:pPr>
            <w:r w:rsidRPr="00F726F4">
              <w:t>$12,728,417</w:t>
            </w:r>
          </w:p>
        </w:tc>
      </w:tr>
    </w:tbl>
    <w:p w14:paraId="0195E632" w14:textId="77777777" w:rsidR="00543D47" w:rsidRPr="00370DFD" w:rsidRDefault="00543D47" w:rsidP="00543D47">
      <w:pPr>
        <w:pStyle w:val="Heading1"/>
        <w:rPr>
          <w:lang w:val="en-AU"/>
        </w:rPr>
      </w:pPr>
      <w:bookmarkStart w:id="190" w:name="_Toc514247634"/>
      <w:r w:rsidRPr="00370DFD">
        <w:rPr>
          <w:lang w:val="en-AU"/>
        </w:rPr>
        <w:lastRenderedPageBreak/>
        <w:t>Items to be deleted</w:t>
      </w:r>
      <w:bookmarkEnd w:id="190"/>
    </w:p>
    <w:p w14:paraId="6EACAB55" w14:textId="77777777" w:rsidR="00543D47" w:rsidRDefault="00543D47" w:rsidP="00543D47">
      <w:pPr>
        <w:rPr>
          <w:lang w:eastAsia="en-US"/>
        </w:rPr>
      </w:pPr>
      <w:r w:rsidRPr="00370DFD">
        <w:rPr>
          <w:lang w:eastAsia="en-US"/>
        </w:rPr>
        <w:t xml:space="preserve">The following items are to be deleted from the MBS Schedule as the items are obsolete </w:t>
      </w:r>
      <w:r>
        <w:rPr>
          <w:lang w:eastAsia="en-US"/>
        </w:rPr>
        <w:t xml:space="preserve">or have been </w:t>
      </w:r>
      <w:proofErr w:type="gramStart"/>
      <w:r>
        <w:rPr>
          <w:lang w:eastAsia="en-US"/>
        </w:rPr>
        <w:t xml:space="preserve">superseded, </w:t>
      </w:r>
      <w:r w:rsidRPr="00370DFD">
        <w:rPr>
          <w:lang w:eastAsia="en-US"/>
        </w:rPr>
        <w:t>and</w:t>
      </w:r>
      <w:proofErr w:type="gramEnd"/>
      <w:r w:rsidRPr="00370DFD">
        <w:rPr>
          <w:lang w:eastAsia="en-US"/>
        </w:rPr>
        <w:t xml:space="preserve"> are no longer used in clinical practice.</w:t>
      </w:r>
    </w:p>
    <w:p w14:paraId="7135CB4C" w14:textId="77777777" w:rsidR="00543D47" w:rsidRPr="00370DFD" w:rsidRDefault="00543D47" w:rsidP="00543D47">
      <w:pPr>
        <w:pStyle w:val="Caption"/>
      </w:pPr>
      <w:bookmarkStart w:id="191" w:name="_Toc534374976"/>
      <w:r>
        <w:t>Table 63. MBS items recommended for deletion.</w:t>
      </w:r>
      <w:bookmarkEnd w:id="191"/>
      <w:r>
        <w:t xml:space="preserve"> </w:t>
      </w:r>
    </w:p>
    <w:tbl>
      <w:tblPr>
        <w:tblStyle w:val="TableGrid"/>
        <w:tblW w:w="9322" w:type="dxa"/>
        <w:tblBorders>
          <w:top w:val="single" w:sz="4" w:space="0" w:color="B56011"/>
          <w:left w:val="none" w:sz="0" w:space="0" w:color="auto"/>
          <w:bottom w:val="single" w:sz="4" w:space="0" w:color="B56011"/>
          <w:right w:val="none" w:sz="0" w:space="0" w:color="auto"/>
          <w:insideH w:val="single" w:sz="4" w:space="0" w:color="B56011"/>
        </w:tblBorders>
        <w:tblLayout w:type="fixed"/>
        <w:tblLook w:val="04A0" w:firstRow="1" w:lastRow="0" w:firstColumn="1" w:lastColumn="0" w:noHBand="0" w:noVBand="1"/>
        <w:tblCaption w:val="Table 63. MBS items recommended for deletion"/>
        <w:tblDescription w:val="Table 63 lists the items to be deleted, including the item number, descriptor, schedle fee and servcies in FY 2014-15"/>
      </w:tblPr>
      <w:tblGrid>
        <w:gridCol w:w="965"/>
        <w:gridCol w:w="5522"/>
        <w:gridCol w:w="1701"/>
        <w:gridCol w:w="1134"/>
      </w:tblGrid>
      <w:tr w:rsidR="00543D47" w:rsidRPr="00370DFD" w14:paraId="52524BCD" w14:textId="77777777" w:rsidTr="00D9610A">
        <w:trPr>
          <w:tblHeader/>
        </w:trPr>
        <w:tc>
          <w:tcPr>
            <w:tcW w:w="965" w:type="dxa"/>
          </w:tcPr>
          <w:p w14:paraId="37C50BE2" w14:textId="77777777" w:rsidR="00543D47" w:rsidRPr="00370DFD" w:rsidRDefault="00543D47" w:rsidP="00D9610A">
            <w:pPr>
              <w:spacing w:before="60" w:after="40"/>
              <w:rPr>
                <w:rFonts w:cs="Arial"/>
                <w:b/>
                <w:szCs w:val="22"/>
              </w:rPr>
            </w:pPr>
            <w:r w:rsidRPr="00370DFD">
              <w:rPr>
                <w:b/>
                <w:sz w:val="20"/>
                <w:szCs w:val="20"/>
              </w:rPr>
              <w:t>Item</w:t>
            </w:r>
          </w:p>
        </w:tc>
        <w:tc>
          <w:tcPr>
            <w:tcW w:w="5522" w:type="dxa"/>
          </w:tcPr>
          <w:p w14:paraId="1D65BEE3" w14:textId="77777777" w:rsidR="00543D47" w:rsidRPr="00370DFD" w:rsidRDefault="00543D47" w:rsidP="00D9610A">
            <w:pPr>
              <w:spacing w:before="60" w:after="40"/>
              <w:rPr>
                <w:rFonts w:cs="Arial"/>
                <w:szCs w:val="22"/>
              </w:rPr>
            </w:pPr>
            <w:r w:rsidRPr="00370DFD">
              <w:rPr>
                <w:b/>
                <w:sz w:val="20"/>
                <w:szCs w:val="20"/>
              </w:rPr>
              <w:t>Item descriptor</w:t>
            </w:r>
          </w:p>
        </w:tc>
        <w:tc>
          <w:tcPr>
            <w:tcW w:w="1701" w:type="dxa"/>
          </w:tcPr>
          <w:p w14:paraId="6358BF83" w14:textId="77777777" w:rsidR="00543D47" w:rsidRPr="00370DFD" w:rsidRDefault="00543D47" w:rsidP="00D9610A">
            <w:pPr>
              <w:spacing w:before="60" w:after="40"/>
              <w:jc w:val="center"/>
              <w:rPr>
                <w:rFonts w:cs="Arial"/>
                <w:szCs w:val="22"/>
              </w:rPr>
            </w:pPr>
            <w:r w:rsidRPr="00370DFD">
              <w:rPr>
                <w:b/>
                <w:sz w:val="20"/>
                <w:szCs w:val="20"/>
              </w:rPr>
              <w:t>Schedule fee ($)</w:t>
            </w:r>
          </w:p>
        </w:tc>
        <w:tc>
          <w:tcPr>
            <w:tcW w:w="1134" w:type="dxa"/>
            <w:vAlign w:val="center"/>
          </w:tcPr>
          <w:p w14:paraId="5EB7F581" w14:textId="77777777" w:rsidR="00543D47" w:rsidRPr="00370DFD" w:rsidRDefault="00543D47" w:rsidP="00D9610A">
            <w:pPr>
              <w:spacing w:before="60" w:after="40"/>
              <w:jc w:val="center"/>
              <w:rPr>
                <w:rFonts w:cs="Arial"/>
                <w:szCs w:val="22"/>
              </w:rPr>
            </w:pPr>
            <w:r w:rsidRPr="00370DFD">
              <w:rPr>
                <w:b/>
                <w:sz w:val="20"/>
                <w:szCs w:val="20"/>
              </w:rPr>
              <w:t>Services (2014–15)</w:t>
            </w:r>
          </w:p>
        </w:tc>
      </w:tr>
      <w:tr w:rsidR="00543D47" w:rsidRPr="00370DFD" w14:paraId="195CF157" w14:textId="77777777" w:rsidTr="00D9610A">
        <w:tc>
          <w:tcPr>
            <w:tcW w:w="965" w:type="dxa"/>
          </w:tcPr>
          <w:p w14:paraId="3A32CD91" w14:textId="77777777" w:rsidR="00543D47" w:rsidRPr="00525A47" w:rsidRDefault="00543D47" w:rsidP="00D9610A">
            <w:pPr>
              <w:spacing w:before="140" w:after="40"/>
              <w:rPr>
                <w:rFonts w:cs="Arial"/>
                <w:szCs w:val="22"/>
              </w:rPr>
            </w:pPr>
            <w:r w:rsidRPr="00525A47">
              <w:rPr>
                <w:rFonts w:cs="Arial"/>
                <w:szCs w:val="22"/>
              </w:rPr>
              <w:t>66749</w:t>
            </w:r>
          </w:p>
        </w:tc>
        <w:tc>
          <w:tcPr>
            <w:tcW w:w="5522" w:type="dxa"/>
            <w:vAlign w:val="bottom"/>
          </w:tcPr>
          <w:p w14:paraId="4A050233" w14:textId="77777777" w:rsidR="00543D47" w:rsidRPr="00C42023" w:rsidRDefault="00543D47" w:rsidP="00D9610A">
            <w:pPr>
              <w:spacing w:before="140" w:after="40"/>
            </w:pPr>
            <w:r w:rsidRPr="00C42023">
              <w:t xml:space="preserve">Amniotic fluid, spectrophotometric examination of, and quantitation of: (a) lecithin/sphingomyelin ratio; or (b) palmitic acid, phosphatidylglycerol or lamellar body phospholipid; or (c) bilirubin, including correction for haemoglobin </w:t>
            </w:r>
            <w:r>
              <w:t xml:space="preserve">- </w:t>
            </w:r>
            <w:r w:rsidRPr="00C42023">
              <w:t>1 or more tests</w:t>
            </w:r>
          </w:p>
        </w:tc>
        <w:tc>
          <w:tcPr>
            <w:tcW w:w="1701" w:type="dxa"/>
            <w:vAlign w:val="center"/>
          </w:tcPr>
          <w:p w14:paraId="3D324627" w14:textId="77777777" w:rsidR="00543D47" w:rsidRPr="00370DFD" w:rsidRDefault="00543D47" w:rsidP="00D9610A">
            <w:pPr>
              <w:spacing w:before="140" w:after="40"/>
              <w:jc w:val="center"/>
              <w:rPr>
                <w:rFonts w:cs="Arial"/>
                <w:szCs w:val="22"/>
              </w:rPr>
            </w:pPr>
            <w:r>
              <w:rPr>
                <w:rFonts w:ascii="Calibri" w:hAnsi="Calibri"/>
                <w:color w:val="000000"/>
                <w:szCs w:val="22"/>
              </w:rPr>
              <w:t>32.95</w:t>
            </w:r>
          </w:p>
        </w:tc>
        <w:tc>
          <w:tcPr>
            <w:tcW w:w="1134" w:type="dxa"/>
            <w:vAlign w:val="center"/>
          </w:tcPr>
          <w:p w14:paraId="4CBA2806" w14:textId="77777777" w:rsidR="00543D47" w:rsidRDefault="00543D47" w:rsidP="00D9610A">
            <w:pPr>
              <w:spacing w:before="140" w:after="40"/>
              <w:jc w:val="center"/>
              <w:rPr>
                <w:rFonts w:ascii="Calibri" w:hAnsi="Calibri"/>
                <w:color w:val="000000"/>
                <w:szCs w:val="22"/>
              </w:rPr>
            </w:pPr>
          </w:p>
          <w:p w14:paraId="1C9E5090" w14:textId="77777777" w:rsidR="00543D47" w:rsidRDefault="00543D47" w:rsidP="00D9610A">
            <w:pPr>
              <w:spacing w:before="140" w:after="40"/>
              <w:jc w:val="center"/>
              <w:rPr>
                <w:rFonts w:ascii="Calibri" w:hAnsi="Calibri"/>
                <w:color w:val="000000"/>
                <w:szCs w:val="22"/>
              </w:rPr>
            </w:pPr>
            <w:r>
              <w:rPr>
                <w:rFonts w:ascii="Calibri" w:hAnsi="Calibri"/>
                <w:color w:val="000000"/>
                <w:szCs w:val="22"/>
              </w:rPr>
              <w:t>46</w:t>
            </w:r>
          </w:p>
          <w:p w14:paraId="00856AC0" w14:textId="77777777" w:rsidR="00543D47" w:rsidRPr="00525A47" w:rsidRDefault="00543D47" w:rsidP="00D9610A">
            <w:pPr>
              <w:spacing w:before="140" w:after="40"/>
              <w:rPr>
                <w:rFonts w:ascii="Calibri" w:hAnsi="Calibri"/>
                <w:color w:val="000000"/>
                <w:szCs w:val="22"/>
              </w:rPr>
            </w:pPr>
          </w:p>
        </w:tc>
      </w:tr>
      <w:tr w:rsidR="00543D47" w:rsidRPr="00370DFD" w14:paraId="01E2B92E" w14:textId="77777777" w:rsidTr="00D9610A">
        <w:tc>
          <w:tcPr>
            <w:tcW w:w="965" w:type="dxa"/>
          </w:tcPr>
          <w:p w14:paraId="1DA342D1" w14:textId="77777777" w:rsidR="00543D47" w:rsidRPr="00525A47" w:rsidRDefault="00543D47" w:rsidP="00D9610A">
            <w:pPr>
              <w:spacing w:before="140" w:after="40"/>
              <w:rPr>
                <w:rFonts w:cs="Arial"/>
                <w:szCs w:val="22"/>
              </w:rPr>
            </w:pPr>
            <w:r w:rsidRPr="00525A47">
              <w:rPr>
                <w:rFonts w:cs="Arial"/>
                <w:szCs w:val="22"/>
              </w:rPr>
              <w:t>71095</w:t>
            </w:r>
          </w:p>
        </w:tc>
        <w:tc>
          <w:tcPr>
            <w:tcW w:w="5522" w:type="dxa"/>
          </w:tcPr>
          <w:p w14:paraId="1B471159" w14:textId="77777777" w:rsidR="00543D47" w:rsidRPr="00C42023" w:rsidRDefault="00543D47" w:rsidP="00D9610A">
            <w:pPr>
              <w:spacing w:before="140" w:after="40"/>
            </w:pPr>
            <w:r w:rsidRPr="00C42023">
              <w:t>Quantitation of serum or plasma eosinophil cationic protein, or both, to a maximum of 3 assays in 1 year, for monitoring the respon</w:t>
            </w:r>
            <w:r>
              <w:t>se to therapy in corticosteroid-</w:t>
            </w:r>
            <w:r w:rsidRPr="00C42023">
              <w:t>treated asthma, in a child aged less than 12 years</w:t>
            </w:r>
          </w:p>
        </w:tc>
        <w:tc>
          <w:tcPr>
            <w:tcW w:w="1701" w:type="dxa"/>
            <w:vAlign w:val="center"/>
          </w:tcPr>
          <w:p w14:paraId="1071551F" w14:textId="77777777" w:rsidR="00543D47" w:rsidRPr="00370DFD" w:rsidRDefault="00543D47" w:rsidP="00D9610A">
            <w:pPr>
              <w:spacing w:before="140" w:after="40"/>
              <w:jc w:val="center"/>
              <w:rPr>
                <w:rFonts w:cs="Arial"/>
                <w:szCs w:val="22"/>
              </w:rPr>
            </w:pPr>
            <w:r w:rsidRPr="00370DFD">
              <w:rPr>
                <w:rFonts w:cs="Arial"/>
                <w:szCs w:val="22"/>
              </w:rPr>
              <w:t>40.55</w:t>
            </w:r>
          </w:p>
        </w:tc>
        <w:tc>
          <w:tcPr>
            <w:tcW w:w="1134" w:type="dxa"/>
            <w:vAlign w:val="center"/>
          </w:tcPr>
          <w:p w14:paraId="66DB308F" w14:textId="77777777" w:rsidR="00543D47" w:rsidRPr="00370DFD" w:rsidRDefault="00543D47" w:rsidP="00D9610A">
            <w:pPr>
              <w:spacing w:before="140" w:after="40"/>
              <w:jc w:val="center"/>
              <w:rPr>
                <w:rFonts w:cs="Arial"/>
                <w:szCs w:val="22"/>
              </w:rPr>
            </w:pPr>
          </w:p>
        </w:tc>
      </w:tr>
      <w:tr w:rsidR="00543D47" w:rsidRPr="00370DFD" w14:paraId="4708D988" w14:textId="77777777" w:rsidTr="00D9610A">
        <w:tc>
          <w:tcPr>
            <w:tcW w:w="965" w:type="dxa"/>
          </w:tcPr>
          <w:p w14:paraId="71E6BF9F" w14:textId="77777777" w:rsidR="00543D47" w:rsidRPr="00370DFD" w:rsidRDefault="00543D47" w:rsidP="00D9610A">
            <w:pPr>
              <w:spacing w:before="140" w:after="40"/>
              <w:rPr>
                <w:rFonts w:cs="Arial"/>
                <w:b/>
                <w:szCs w:val="22"/>
              </w:rPr>
            </w:pPr>
            <w:r>
              <w:t>66783</w:t>
            </w:r>
          </w:p>
        </w:tc>
        <w:tc>
          <w:tcPr>
            <w:tcW w:w="5522" w:type="dxa"/>
            <w:vAlign w:val="bottom"/>
          </w:tcPr>
          <w:p w14:paraId="3C523385" w14:textId="77777777" w:rsidR="00543D47" w:rsidRPr="00370DFD" w:rsidRDefault="00543D47" w:rsidP="00D9610A">
            <w:pPr>
              <w:spacing w:before="140" w:after="40"/>
              <w:jc w:val="both"/>
              <w:rPr>
                <w:rFonts w:cs="Arial"/>
                <w:szCs w:val="22"/>
              </w:rPr>
            </w:pPr>
            <w:r>
              <w:rPr>
                <w:rFonts w:ascii="Calibri" w:hAnsi="Calibri"/>
                <w:color w:val="000000"/>
                <w:szCs w:val="22"/>
              </w:rPr>
              <w:t>A test described in item 66782 if rendered by a receiving APP - 1 or more tests (Item is subject to rule 18)</w:t>
            </w:r>
          </w:p>
        </w:tc>
        <w:tc>
          <w:tcPr>
            <w:tcW w:w="1701" w:type="dxa"/>
            <w:vAlign w:val="center"/>
          </w:tcPr>
          <w:p w14:paraId="388F505B" w14:textId="77777777" w:rsidR="00543D47" w:rsidRPr="00370DFD" w:rsidRDefault="00543D47" w:rsidP="00D9610A">
            <w:pPr>
              <w:spacing w:before="140" w:after="40"/>
              <w:jc w:val="center"/>
              <w:rPr>
                <w:rFonts w:cs="Arial"/>
                <w:szCs w:val="22"/>
              </w:rPr>
            </w:pPr>
            <w:r>
              <w:rPr>
                <w:rFonts w:ascii="Calibri" w:hAnsi="Calibri"/>
                <w:color w:val="000000"/>
                <w:szCs w:val="22"/>
              </w:rPr>
              <w:t>13.15</w:t>
            </w:r>
          </w:p>
        </w:tc>
        <w:tc>
          <w:tcPr>
            <w:tcW w:w="1134" w:type="dxa"/>
            <w:vAlign w:val="center"/>
          </w:tcPr>
          <w:p w14:paraId="6D0A8122" w14:textId="77777777" w:rsidR="00543D47" w:rsidRPr="00370DFD" w:rsidRDefault="00543D47" w:rsidP="00D9610A">
            <w:pPr>
              <w:spacing w:before="140" w:after="40"/>
              <w:jc w:val="center"/>
              <w:rPr>
                <w:rFonts w:cs="Arial"/>
                <w:szCs w:val="22"/>
              </w:rPr>
            </w:pPr>
            <w:r>
              <w:rPr>
                <w:rFonts w:cs="Arial"/>
                <w:szCs w:val="22"/>
              </w:rPr>
              <w:t>668</w:t>
            </w:r>
          </w:p>
        </w:tc>
      </w:tr>
      <w:tr w:rsidR="00543D47" w:rsidRPr="00370DFD" w14:paraId="6ABAA9D3" w14:textId="77777777" w:rsidTr="00D9610A">
        <w:tc>
          <w:tcPr>
            <w:tcW w:w="965" w:type="dxa"/>
          </w:tcPr>
          <w:p w14:paraId="398E0AB4" w14:textId="77777777" w:rsidR="00543D47" w:rsidRDefault="00543D47" w:rsidP="00D9610A">
            <w:r>
              <w:t>66791</w:t>
            </w:r>
          </w:p>
        </w:tc>
        <w:tc>
          <w:tcPr>
            <w:tcW w:w="5522" w:type="dxa"/>
            <w:vAlign w:val="bottom"/>
          </w:tcPr>
          <w:p w14:paraId="193D5C22" w14:textId="77777777" w:rsidR="00543D47" w:rsidRPr="00370DFD" w:rsidRDefault="00543D47" w:rsidP="00D9610A">
            <w:pPr>
              <w:rPr>
                <w:rFonts w:cs="Arial"/>
                <w:szCs w:val="22"/>
              </w:rPr>
            </w:pPr>
            <w:r>
              <w:rPr>
                <w:rFonts w:ascii="Calibri" w:hAnsi="Calibri"/>
                <w:color w:val="000000"/>
                <w:szCs w:val="22"/>
              </w:rPr>
              <w:t>Porphyrin biosynthetic enzymes - measurement of activity in blood cells or other tissues - 1 or more tests</w:t>
            </w:r>
          </w:p>
        </w:tc>
        <w:tc>
          <w:tcPr>
            <w:tcW w:w="1701" w:type="dxa"/>
            <w:vAlign w:val="center"/>
          </w:tcPr>
          <w:p w14:paraId="6204356E" w14:textId="77777777" w:rsidR="00543D47" w:rsidRPr="00370DFD" w:rsidRDefault="00543D47" w:rsidP="00D9610A">
            <w:pPr>
              <w:spacing w:before="140" w:after="40"/>
              <w:jc w:val="center"/>
              <w:rPr>
                <w:rFonts w:cs="Arial"/>
                <w:szCs w:val="22"/>
              </w:rPr>
            </w:pPr>
            <w:r>
              <w:rPr>
                <w:rFonts w:ascii="Calibri" w:hAnsi="Calibri"/>
                <w:color w:val="000000"/>
                <w:szCs w:val="22"/>
              </w:rPr>
              <w:t>74.45</w:t>
            </w:r>
          </w:p>
        </w:tc>
        <w:tc>
          <w:tcPr>
            <w:tcW w:w="1134" w:type="dxa"/>
            <w:vAlign w:val="center"/>
          </w:tcPr>
          <w:p w14:paraId="568295D3" w14:textId="77777777" w:rsidR="00543D47" w:rsidRPr="00370DFD" w:rsidRDefault="00543D47" w:rsidP="00D9610A">
            <w:pPr>
              <w:spacing w:before="140" w:after="40"/>
              <w:jc w:val="center"/>
              <w:rPr>
                <w:rFonts w:cs="Arial"/>
                <w:szCs w:val="22"/>
              </w:rPr>
            </w:pPr>
            <w:r>
              <w:rPr>
                <w:rFonts w:ascii="Calibri" w:hAnsi="Calibri"/>
                <w:color w:val="000000"/>
                <w:szCs w:val="22"/>
              </w:rPr>
              <w:t>4</w:t>
            </w:r>
          </w:p>
        </w:tc>
      </w:tr>
      <w:tr w:rsidR="00543D47" w:rsidRPr="00370DFD" w14:paraId="2D8D9055" w14:textId="77777777" w:rsidTr="00D9610A">
        <w:tc>
          <w:tcPr>
            <w:tcW w:w="965" w:type="dxa"/>
          </w:tcPr>
          <w:p w14:paraId="1611EC41" w14:textId="77777777" w:rsidR="00543D47" w:rsidRDefault="00543D47" w:rsidP="00D9610A">
            <w:r>
              <w:t>66792</w:t>
            </w:r>
          </w:p>
        </w:tc>
        <w:tc>
          <w:tcPr>
            <w:tcW w:w="5522" w:type="dxa"/>
            <w:vAlign w:val="bottom"/>
          </w:tcPr>
          <w:p w14:paraId="48A142F8" w14:textId="77777777" w:rsidR="00543D47" w:rsidRPr="00370DFD" w:rsidRDefault="00543D47" w:rsidP="00D9610A">
            <w:pPr>
              <w:spacing w:before="140" w:after="40"/>
              <w:jc w:val="both"/>
              <w:rPr>
                <w:rFonts w:cs="Arial"/>
                <w:szCs w:val="22"/>
              </w:rPr>
            </w:pPr>
            <w:r>
              <w:rPr>
                <w:rFonts w:ascii="Calibri" w:hAnsi="Calibri"/>
                <w:color w:val="000000"/>
                <w:szCs w:val="22"/>
              </w:rPr>
              <w:t>A test described in item 66791 if rendered by a receiving APP - 1 or more tests (Item is subject to rule 18)</w:t>
            </w:r>
          </w:p>
        </w:tc>
        <w:tc>
          <w:tcPr>
            <w:tcW w:w="1701" w:type="dxa"/>
            <w:vAlign w:val="center"/>
          </w:tcPr>
          <w:p w14:paraId="6D92F743" w14:textId="77777777" w:rsidR="00543D47" w:rsidRPr="00370DFD" w:rsidRDefault="00543D47" w:rsidP="00D9610A">
            <w:pPr>
              <w:spacing w:before="140" w:after="40"/>
              <w:jc w:val="center"/>
              <w:rPr>
                <w:rFonts w:cs="Arial"/>
                <w:szCs w:val="22"/>
              </w:rPr>
            </w:pPr>
            <w:r>
              <w:rPr>
                <w:rFonts w:ascii="Calibri" w:hAnsi="Calibri"/>
                <w:color w:val="000000"/>
                <w:szCs w:val="22"/>
              </w:rPr>
              <w:t>74.45</w:t>
            </w:r>
          </w:p>
        </w:tc>
        <w:tc>
          <w:tcPr>
            <w:tcW w:w="1134" w:type="dxa"/>
            <w:vAlign w:val="center"/>
          </w:tcPr>
          <w:p w14:paraId="3A24B702" w14:textId="77777777" w:rsidR="00543D47" w:rsidRPr="00370DFD" w:rsidRDefault="00543D47" w:rsidP="00D9610A">
            <w:pPr>
              <w:spacing w:before="140" w:after="40"/>
              <w:jc w:val="center"/>
              <w:rPr>
                <w:rFonts w:cs="Arial"/>
                <w:szCs w:val="22"/>
              </w:rPr>
            </w:pPr>
            <w:r>
              <w:rPr>
                <w:rFonts w:ascii="Calibri" w:hAnsi="Calibri"/>
                <w:color w:val="000000"/>
                <w:szCs w:val="22"/>
              </w:rPr>
              <w:t>7</w:t>
            </w:r>
          </w:p>
        </w:tc>
      </w:tr>
      <w:tr w:rsidR="00543D47" w:rsidRPr="00370DFD" w14:paraId="21D4A781" w14:textId="77777777" w:rsidTr="00D9610A">
        <w:tc>
          <w:tcPr>
            <w:tcW w:w="965" w:type="dxa"/>
            <w:vAlign w:val="center"/>
          </w:tcPr>
          <w:p w14:paraId="2AE6E718" w14:textId="77777777" w:rsidR="00543D47" w:rsidRPr="00BD4D2A" w:rsidRDefault="00543D47" w:rsidP="00D9610A">
            <w:pPr>
              <w:rPr>
                <w:szCs w:val="22"/>
              </w:rPr>
            </w:pPr>
            <w:r w:rsidRPr="00525A47">
              <w:rPr>
                <w:szCs w:val="22"/>
              </w:rPr>
              <w:t>66715</w:t>
            </w:r>
          </w:p>
        </w:tc>
        <w:tc>
          <w:tcPr>
            <w:tcW w:w="5522" w:type="dxa"/>
            <w:vAlign w:val="center"/>
          </w:tcPr>
          <w:p w14:paraId="773C51DE" w14:textId="77777777" w:rsidR="00543D47" w:rsidRPr="00635544" w:rsidRDefault="00543D47" w:rsidP="00D9610A">
            <w:pPr>
              <w:spacing w:before="140" w:after="40"/>
              <w:rPr>
                <w:rFonts w:ascii="Calibri" w:hAnsi="Calibri"/>
                <w:color w:val="000000"/>
                <w:szCs w:val="22"/>
              </w:rPr>
            </w:pPr>
            <w:r w:rsidRPr="00525A47">
              <w:rPr>
                <w:rFonts w:ascii="Calibri" w:hAnsi="Calibri"/>
                <w:color w:val="000000"/>
                <w:szCs w:val="22"/>
              </w:rPr>
              <w:t>Tests described in item 66711, other than that described in 66714, if rendered by a receiving APP, each test to a maximum of 1 test (Item is subject to rule</w:t>
            </w:r>
            <w:r>
              <w:rPr>
                <w:rFonts w:ascii="Calibri" w:hAnsi="Calibri"/>
                <w:color w:val="000000"/>
                <w:szCs w:val="22"/>
              </w:rPr>
              <w:t>s</w:t>
            </w:r>
            <w:r w:rsidRPr="00525A47">
              <w:rPr>
                <w:rFonts w:ascii="Calibri" w:hAnsi="Calibri"/>
                <w:color w:val="000000"/>
                <w:szCs w:val="22"/>
              </w:rPr>
              <w:t xml:space="preserve"> 6 and 18)</w:t>
            </w:r>
          </w:p>
        </w:tc>
        <w:tc>
          <w:tcPr>
            <w:tcW w:w="1701" w:type="dxa"/>
            <w:vAlign w:val="center"/>
          </w:tcPr>
          <w:p w14:paraId="601D9CCB" w14:textId="77777777" w:rsidR="00543D47" w:rsidRPr="00635544" w:rsidRDefault="00543D47" w:rsidP="00D9610A">
            <w:pPr>
              <w:spacing w:before="140" w:after="40"/>
              <w:jc w:val="center"/>
              <w:rPr>
                <w:rFonts w:ascii="Calibri" w:hAnsi="Calibri"/>
                <w:color w:val="000000"/>
                <w:szCs w:val="22"/>
              </w:rPr>
            </w:pPr>
            <w:r w:rsidRPr="00525A47">
              <w:rPr>
                <w:rFonts w:ascii="Calibri" w:hAnsi="Calibri"/>
                <w:color w:val="000000"/>
                <w:szCs w:val="22"/>
              </w:rPr>
              <w:t>12.85</w:t>
            </w:r>
          </w:p>
        </w:tc>
        <w:tc>
          <w:tcPr>
            <w:tcW w:w="1134" w:type="dxa"/>
            <w:vAlign w:val="center"/>
          </w:tcPr>
          <w:p w14:paraId="6B150E5B" w14:textId="77777777" w:rsidR="00543D47" w:rsidRPr="00635544" w:rsidRDefault="00543D47" w:rsidP="00D9610A">
            <w:pPr>
              <w:spacing w:before="140" w:after="40"/>
              <w:jc w:val="center"/>
              <w:rPr>
                <w:rFonts w:ascii="Calibri" w:hAnsi="Calibri"/>
                <w:color w:val="000000"/>
                <w:szCs w:val="22"/>
              </w:rPr>
            </w:pPr>
            <w:r w:rsidRPr="00635544">
              <w:rPr>
                <w:rFonts w:ascii="Calibri" w:hAnsi="Calibri"/>
                <w:color w:val="000000"/>
                <w:szCs w:val="22"/>
              </w:rPr>
              <w:t>151</w:t>
            </w:r>
          </w:p>
        </w:tc>
      </w:tr>
      <w:tr w:rsidR="00543D47" w:rsidRPr="00370DFD" w14:paraId="39053DBA" w14:textId="77777777" w:rsidTr="00D9610A">
        <w:tc>
          <w:tcPr>
            <w:tcW w:w="965" w:type="dxa"/>
          </w:tcPr>
          <w:p w14:paraId="762ACFCF" w14:textId="77777777" w:rsidR="00543D47" w:rsidRPr="00BD4D2A" w:rsidRDefault="00543D47" w:rsidP="00D9610A">
            <w:pPr>
              <w:rPr>
                <w:szCs w:val="22"/>
              </w:rPr>
            </w:pPr>
            <w:r w:rsidRPr="00525A47">
              <w:rPr>
                <w:szCs w:val="22"/>
              </w:rPr>
              <w:t>66683</w:t>
            </w:r>
          </w:p>
        </w:tc>
        <w:tc>
          <w:tcPr>
            <w:tcW w:w="5522" w:type="dxa"/>
          </w:tcPr>
          <w:p w14:paraId="63733122" w14:textId="77777777" w:rsidR="00543D47" w:rsidRPr="00304586" w:rsidRDefault="00543D47" w:rsidP="00D9610A">
            <w:pPr>
              <w:spacing w:before="140" w:after="40"/>
              <w:jc w:val="both"/>
              <w:rPr>
                <w:rFonts w:ascii="Calibri" w:hAnsi="Calibri"/>
                <w:color w:val="000000"/>
                <w:szCs w:val="22"/>
              </w:rPr>
            </w:pPr>
            <w:r w:rsidRPr="00525A47">
              <w:rPr>
                <w:rFonts w:ascii="Calibri" w:hAnsi="Calibri"/>
                <w:color w:val="000000"/>
                <w:szCs w:val="22"/>
              </w:rPr>
              <w:t>Enzymes - quantitation in solid tissue or tissues other than blood elements or intestinal tissue - 1 or more tests</w:t>
            </w:r>
          </w:p>
        </w:tc>
        <w:tc>
          <w:tcPr>
            <w:tcW w:w="1701" w:type="dxa"/>
          </w:tcPr>
          <w:p w14:paraId="5530C5C9" w14:textId="77777777" w:rsidR="00543D47" w:rsidRPr="00304586" w:rsidRDefault="00543D47" w:rsidP="00D9610A">
            <w:pPr>
              <w:spacing w:before="140" w:after="40"/>
              <w:jc w:val="center"/>
              <w:rPr>
                <w:rFonts w:ascii="Calibri" w:hAnsi="Calibri"/>
                <w:color w:val="000000"/>
                <w:szCs w:val="22"/>
              </w:rPr>
            </w:pPr>
            <w:r w:rsidRPr="00525A47">
              <w:rPr>
                <w:rFonts w:ascii="Calibri" w:hAnsi="Calibri"/>
                <w:color w:val="000000"/>
                <w:szCs w:val="22"/>
              </w:rPr>
              <w:t>74.45</w:t>
            </w:r>
          </w:p>
        </w:tc>
        <w:tc>
          <w:tcPr>
            <w:tcW w:w="1134" w:type="dxa"/>
          </w:tcPr>
          <w:p w14:paraId="4B208117" w14:textId="77777777" w:rsidR="00543D47" w:rsidRPr="00304586" w:rsidRDefault="00543D47" w:rsidP="00D9610A">
            <w:pPr>
              <w:spacing w:before="140" w:after="40"/>
              <w:jc w:val="center"/>
              <w:rPr>
                <w:rFonts w:ascii="Calibri" w:hAnsi="Calibri"/>
                <w:color w:val="000000"/>
                <w:szCs w:val="22"/>
              </w:rPr>
            </w:pPr>
            <w:r w:rsidRPr="00525A47">
              <w:rPr>
                <w:rFonts w:ascii="Calibri" w:hAnsi="Calibri"/>
                <w:color w:val="000000"/>
                <w:szCs w:val="22"/>
              </w:rPr>
              <w:t>19</w:t>
            </w:r>
          </w:p>
        </w:tc>
      </w:tr>
    </w:tbl>
    <w:p w14:paraId="191DD167" w14:textId="77777777" w:rsidR="00543D47" w:rsidRDefault="00543D47" w:rsidP="00543D47">
      <w:pPr>
        <w:pStyle w:val="03Tableundertext"/>
        <w:rPr>
          <w:lang w:val="en-AU"/>
        </w:rPr>
      </w:pPr>
      <w:r w:rsidRPr="00370DFD">
        <w:rPr>
          <w:lang w:val="en-AU"/>
        </w:rPr>
        <w:t>Source: Department of Human Services</w:t>
      </w:r>
    </w:p>
    <w:p w14:paraId="27F7252D" w14:textId="77777777" w:rsidR="00543D47" w:rsidRDefault="00543D47" w:rsidP="00543D47">
      <w:pPr>
        <w:pStyle w:val="03Tableundertext"/>
        <w:rPr>
          <w:lang w:val="en-AU"/>
        </w:rPr>
      </w:pPr>
    </w:p>
    <w:p w14:paraId="4F59F122" w14:textId="77777777" w:rsidR="00543D47" w:rsidRPr="00370DFD" w:rsidRDefault="00543D47" w:rsidP="00543D47">
      <w:pPr>
        <w:rPr>
          <w:lang w:eastAsia="en-US"/>
        </w:rPr>
      </w:pPr>
    </w:p>
    <w:p w14:paraId="4884919F" w14:textId="77777777" w:rsidR="00543D47" w:rsidRPr="00370DFD" w:rsidRDefault="00543D47" w:rsidP="00543D47">
      <w:pPr>
        <w:pStyle w:val="Heading1"/>
        <w:rPr>
          <w:lang w:val="en-AU"/>
        </w:rPr>
      </w:pPr>
      <w:bookmarkStart w:id="192" w:name="_Toc514247635"/>
      <w:r w:rsidRPr="00370DFD">
        <w:rPr>
          <w:lang w:val="en-AU"/>
        </w:rPr>
        <w:lastRenderedPageBreak/>
        <w:t>References</w:t>
      </w:r>
      <w:bookmarkEnd w:id="192"/>
    </w:p>
    <w:p w14:paraId="20D36CA9" w14:textId="77777777" w:rsidR="00543D47" w:rsidRPr="006D2955" w:rsidRDefault="00543D47" w:rsidP="00543D47">
      <w:pPr>
        <w:pStyle w:val="EndNoteBibliography"/>
        <w:spacing w:after="0"/>
        <w:ind w:left="720" w:hanging="720"/>
      </w:pPr>
      <w:r>
        <w:fldChar w:fldCharType="begin"/>
      </w:r>
      <w:r>
        <w:instrText xml:space="preserve"> ADDIN EN.REFLIST </w:instrText>
      </w:r>
      <w:r>
        <w:fldChar w:fldCharType="separate"/>
      </w:r>
      <w:r w:rsidRPr="006D2955">
        <w:t>1.</w:t>
      </w:r>
      <w:r w:rsidRPr="006D2955">
        <w:tab/>
        <w:t xml:space="preserve">Elshaug AG, Watt AM, Mundy L, et al. Over 150 potentially low-value health care practices: an Australian study. Med J Aust 2012;197:556-60. </w:t>
      </w:r>
      <w:hyperlink r:id="rId24" w:history="1">
        <w:r>
          <w:rPr>
            <w:rStyle w:val="Hyperlink"/>
          </w:rPr>
          <w:t>at https://www.ncbi.nlm.nih.gov/pubmed/23163685</w:t>
        </w:r>
      </w:hyperlink>
      <w:r w:rsidRPr="006D2955">
        <w:t>.</w:t>
      </w:r>
    </w:p>
    <w:p w14:paraId="69FC5873" w14:textId="77777777" w:rsidR="00543D47" w:rsidRPr="006D2955" w:rsidRDefault="00543D47" w:rsidP="00543D47">
      <w:pPr>
        <w:pStyle w:val="EndNoteBibliography"/>
        <w:spacing w:after="0"/>
        <w:ind w:left="720" w:hanging="720"/>
      </w:pPr>
      <w:r w:rsidRPr="006D2955">
        <w:t>2.</w:t>
      </w:r>
      <w:r w:rsidRPr="006D2955">
        <w:tab/>
        <w:t xml:space="preserve">Thygesen K, Alpert JS, Jaffe AS, et al. Third universal definition of myocardial infarction. J Am Coll Cardiol 2012;60:1581-98. </w:t>
      </w:r>
      <w:hyperlink r:id="rId25" w:history="1">
        <w:r>
          <w:rPr>
            <w:rStyle w:val="Hyperlink"/>
          </w:rPr>
          <w:t>at https://www.ncbi.nlm.nih.gov/pubmed/22958960</w:t>
        </w:r>
      </w:hyperlink>
      <w:r w:rsidRPr="006D2955">
        <w:t>.</w:t>
      </w:r>
    </w:p>
    <w:p w14:paraId="10DA1171" w14:textId="77777777" w:rsidR="00543D47" w:rsidRPr="006D2955" w:rsidRDefault="00543D47" w:rsidP="00543D47">
      <w:pPr>
        <w:pStyle w:val="EndNoteBibliography"/>
        <w:spacing w:after="0"/>
        <w:ind w:left="720" w:hanging="720"/>
      </w:pPr>
      <w:r w:rsidRPr="006D2955">
        <w:t>3.</w:t>
      </w:r>
      <w:r w:rsidRPr="006D2955">
        <w:tab/>
        <w:t>Anderson TJ, Grégoire J, Hegele RA, et al. 2012 Update of the Canadian Cardiovascular Society Guidelines for the Diagnosis and Treatment of Dyslipidemia for the Prevention of Cardiovascular Disease in the Adult. Cand</w:t>
      </w:r>
      <w:r>
        <w:t xml:space="preserve"> </w:t>
      </w:r>
      <w:r w:rsidRPr="006D2955">
        <w:t xml:space="preserve">J Cardiol29:151-67. </w:t>
      </w:r>
      <w:hyperlink r:id="rId26" w:history="1">
        <w:r>
          <w:rPr>
            <w:rStyle w:val="Hyperlink"/>
          </w:rPr>
          <w:t>at http://dx.doi.org/10.1016/j.cjca.2012.11.032</w:t>
        </w:r>
      </w:hyperlink>
      <w:r w:rsidRPr="006D2955">
        <w:t>.</w:t>
      </w:r>
    </w:p>
    <w:p w14:paraId="18DBD17A" w14:textId="77777777" w:rsidR="00543D47" w:rsidRPr="006D2955" w:rsidRDefault="00543D47" w:rsidP="00543D47">
      <w:pPr>
        <w:pStyle w:val="EndNoteBibliography"/>
        <w:spacing w:after="0"/>
        <w:ind w:left="720" w:hanging="720"/>
      </w:pPr>
      <w:r w:rsidRPr="006D2955">
        <w:t>4.</w:t>
      </w:r>
      <w:r w:rsidRPr="006D2955">
        <w:tab/>
        <w:t>Health</w:t>
      </w:r>
      <w:r>
        <w:t>Consult for the Department of Health</w:t>
      </w:r>
      <w:r w:rsidRPr="006D2955">
        <w:t>. Literature review of MBS item 66830 – Brain natriuretic peptide. Melbourne, VIC, 2017.</w:t>
      </w:r>
      <w:r>
        <w:t>=</w:t>
      </w:r>
    </w:p>
    <w:p w14:paraId="43FFFC5A" w14:textId="77777777" w:rsidR="00543D47" w:rsidRPr="006D2955" w:rsidRDefault="00543D47" w:rsidP="00543D47">
      <w:pPr>
        <w:pStyle w:val="EndNoteBibliography"/>
        <w:spacing w:after="0"/>
        <w:ind w:left="720" w:hanging="720"/>
      </w:pPr>
      <w:r w:rsidRPr="006D2955">
        <w:t>5.</w:t>
      </w:r>
      <w:r w:rsidRPr="006D2955">
        <w:tab/>
        <w:t>Health</w:t>
      </w:r>
      <w:r>
        <w:t>Consult for the Department of Health</w:t>
      </w:r>
      <w:r w:rsidRPr="006D2955">
        <w:t xml:space="preserve">. Clinical utility of quantitation of disaccharidases and other enzymes in intestinal tissue testing. Sydney, NSW, 2017. </w:t>
      </w:r>
    </w:p>
    <w:p w14:paraId="4E80EA07" w14:textId="77777777" w:rsidR="00543D47" w:rsidRPr="006D2955" w:rsidRDefault="00543D47" w:rsidP="00543D47">
      <w:pPr>
        <w:pStyle w:val="EndNoteBibliography"/>
        <w:spacing w:after="0"/>
        <w:ind w:left="720" w:hanging="720"/>
      </w:pPr>
      <w:r w:rsidRPr="006D2955">
        <w:t>6.</w:t>
      </w:r>
      <w:r w:rsidRPr="006D2955">
        <w:tab/>
      </w:r>
      <w:r>
        <w:t>NPS MedicineWise for the Department of Health</w:t>
      </w:r>
      <w:r w:rsidRPr="006D2955">
        <w:t xml:space="preserve">. Vitamin C testing: A review for the Medicare Review Taskforce. Sydney, NSW, 2017. </w:t>
      </w:r>
    </w:p>
    <w:p w14:paraId="429EE682" w14:textId="77777777" w:rsidR="00543D47" w:rsidRPr="006D2955" w:rsidRDefault="00543D47" w:rsidP="00543D47">
      <w:pPr>
        <w:pStyle w:val="EndNoteBibliography"/>
        <w:spacing w:after="0"/>
        <w:ind w:left="720" w:hanging="720"/>
      </w:pPr>
      <w:r w:rsidRPr="006D2955">
        <w:t>7.</w:t>
      </w:r>
      <w:r w:rsidRPr="006D2955">
        <w:tab/>
        <w:t xml:space="preserve">De Serres FJ, Blanco I, Fernández-Bustillo E. Genetic epidemiology of alpha-1 antitrypsin deficiency in North America and Australia/New Zealand: Australia, Canada, New Zealand and the United States of America. Clinical Genetics 2003;64:382-97. </w:t>
      </w:r>
      <w:hyperlink r:id="rId27" w:history="1">
        <w:r>
          <w:rPr>
            <w:rStyle w:val="Hyperlink"/>
          </w:rPr>
          <w:t>at http://dx.doi.org/10.1034/j.1399-0004.2003.00143.x</w:t>
        </w:r>
      </w:hyperlink>
      <w:r w:rsidRPr="006D2955">
        <w:t>.</w:t>
      </w:r>
    </w:p>
    <w:p w14:paraId="64FDEC81" w14:textId="77777777" w:rsidR="00543D47" w:rsidRPr="006D2955" w:rsidRDefault="00543D47" w:rsidP="00543D47">
      <w:pPr>
        <w:pStyle w:val="EndNoteBibliography"/>
        <w:spacing w:after="0"/>
        <w:ind w:left="720" w:hanging="720"/>
      </w:pPr>
      <w:r w:rsidRPr="006D2955">
        <w:t>8.</w:t>
      </w:r>
      <w:r w:rsidRPr="006D2955">
        <w:tab/>
        <w:t xml:space="preserve">Ungprasert P, Carmona EM, Crowson CS, et al. Diagnostic Utility of Angiotensin Converting Enzyme in Sarcoidosis: A Population-Based Study. Lung 2016;194:91-5. </w:t>
      </w:r>
      <w:hyperlink r:id="rId28" w:history="1">
        <w:r>
          <w:rPr>
            <w:rStyle w:val="Hyperlink"/>
          </w:rPr>
          <w:t>at http://www.ncbi.nlm.nih.gov/pmc/articles/PMC4768304/</w:t>
        </w:r>
      </w:hyperlink>
      <w:r w:rsidRPr="006D2955">
        <w:t>.</w:t>
      </w:r>
    </w:p>
    <w:p w14:paraId="7C67048D" w14:textId="77777777" w:rsidR="00543D47" w:rsidRPr="006D2955" w:rsidRDefault="00543D47" w:rsidP="00543D47">
      <w:pPr>
        <w:pStyle w:val="EndNoteBibliography"/>
        <w:spacing w:after="0"/>
        <w:ind w:left="720" w:hanging="720"/>
      </w:pPr>
      <w:r w:rsidRPr="006D2955">
        <w:t>9.</w:t>
      </w:r>
      <w:r w:rsidRPr="006D2955">
        <w:tab/>
        <w:t>Smolen JS, Landewé R, Bijlsma J, et al. EULAR recommendations for the management of rheumatoid arthritis with synthetic and biological disease-modifying antirheumatic drugs: 2016 update. Annals of the Rheumatic Diseases 2017;76:960-77.</w:t>
      </w:r>
    </w:p>
    <w:p w14:paraId="17268073" w14:textId="77777777" w:rsidR="00543D47" w:rsidRPr="006D2955" w:rsidRDefault="00543D47" w:rsidP="00543D47">
      <w:pPr>
        <w:pStyle w:val="EndNoteBibliography"/>
        <w:spacing w:after="0"/>
        <w:ind w:left="720" w:hanging="720"/>
      </w:pPr>
      <w:r w:rsidRPr="006D2955">
        <w:t>10.</w:t>
      </w:r>
      <w:r w:rsidRPr="006D2955">
        <w:tab/>
        <w:t xml:space="preserve">Department of Health. MBS Data. 2016. (accessed </w:t>
      </w:r>
      <w:r>
        <w:t xml:space="preserve">26 October </w:t>
      </w:r>
      <w:r w:rsidRPr="006D2955">
        <w:t>.2016).</w:t>
      </w:r>
    </w:p>
    <w:p w14:paraId="3B1A6C8E" w14:textId="77777777" w:rsidR="00543D47" w:rsidRPr="006D2955" w:rsidRDefault="00543D47" w:rsidP="00543D47">
      <w:pPr>
        <w:pStyle w:val="EndNoteBibliography"/>
        <w:spacing w:after="0"/>
        <w:ind w:left="720" w:hanging="720"/>
      </w:pPr>
      <w:r w:rsidRPr="006D2955">
        <w:t>11.</w:t>
      </w:r>
      <w:r w:rsidRPr="006D2955">
        <w:tab/>
        <w:t xml:space="preserve">Stehle P, Stoffel-Wagner B, Kuhn KS. Parenteral trace element provision: recent clinical research and practical conclusions. Eur J Clin Nutr 2016;70:886-93. </w:t>
      </w:r>
      <w:hyperlink r:id="rId29" w:history="1">
        <w:r>
          <w:rPr>
            <w:rStyle w:val="Hyperlink"/>
          </w:rPr>
          <w:t>at https://www.ncbi.nlm.nih.gov/pubmed/27049031</w:t>
        </w:r>
      </w:hyperlink>
      <w:r w:rsidRPr="006D2955">
        <w:t>.</w:t>
      </w:r>
    </w:p>
    <w:p w14:paraId="7FC366F0" w14:textId="77777777" w:rsidR="00543D47" w:rsidRPr="006D2955" w:rsidRDefault="00543D47" w:rsidP="00543D47">
      <w:pPr>
        <w:pStyle w:val="EndNoteBibliography"/>
        <w:spacing w:after="0"/>
        <w:ind w:left="720" w:hanging="720"/>
      </w:pPr>
      <w:r w:rsidRPr="006D2955">
        <w:t>12.</w:t>
      </w:r>
      <w:r w:rsidRPr="006D2955">
        <w:tab/>
        <w:t xml:space="preserve">Nutrition ASfPaE. Trace element supplementation for parenteral nutrition guidelines. 2014. </w:t>
      </w:r>
      <w:hyperlink r:id="rId30" w:history="1">
        <w:r>
          <w:rPr>
            <w:rStyle w:val="Hyperlink"/>
          </w:rPr>
          <w:t>at http://www.auspen.org.au/wp-content/uploads/2015/08/AuSPEN-Adult-TE-guidelines-FINAL-FULL-DOCUMENT.pdf</w:t>
        </w:r>
      </w:hyperlink>
      <w:r w:rsidRPr="006D2955">
        <w:t xml:space="preserve"> (accessed 15 June 2017).</w:t>
      </w:r>
    </w:p>
    <w:p w14:paraId="0650FFD9" w14:textId="77777777" w:rsidR="00543D47" w:rsidRPr="006D2955" w:rsidRDefault="00543D47" w:rsidP="00543D47">
      <w:pPr>
        <w:pStyle w:val="EndNoteBibliography"/>
        <w:spacing w:after="0"/>
        <w:ind w:left="720" w:hanging="720"/>
      </w:pPr>
      <w:r w:rsidRPr="006D2955">
        <w:t>13.</w:t>
      </w:r>
      <w:r w:rsidRPr="006D2955">
        <w:tab/>
        <w:t xml:space="preserve">O'Kane M, Pinkey P, Aasheim ET, et al. GP guidance: management of nutrition following bariatric surgery 2014. </w:t>
      </w:r>
      <w:hyperlink r:id="rId31" w:history="1">
        <w:r>
          <w:rPr>
            <w:rStyle w:val="Hyperlink"/>
          </w:rPr>
          <w:t>at http://www.bomss.org.uk/wp-content/uploads/2014/09/GP_Guidance-Final-version-1Oct141.pdf</w:t>
        </w:r>
      </w:hyperlink>
      <w:r w:rsidRPr="006D2955">
        <w:t xml:space="preserve"> (accessed.</w:t>
      </w:r>
    </w:p>
    <w:p w14:paraId="6C73E8A5" w14:textId="77777777" w:rsidR="00543D47" w:rsidRPr="006D2955" w:rsidRDefault="00543D47" w:rsidP="00543D47">
      <w:pPr>
        <w:pStyle w:val="EndNoteBibliography"/>
        <w:spacing w:after="0"/>
        <w:ind w:left="720" w:hanging="720"/>
      </w:pPr>
      <w:r w:rsidRPr="006D2955">
        <w:t>14.</w:t>
      </w:r>
      <w:r w:rsidRPr="006D2955">
        <w:tab/>
        <w:t xml:space="preserve">Crawford BA, Cowell CT, Emder PJ, et al. Iodine toxicity from soy milk and seaweed ingestion is associated with serious thyroid dysfunction. Med J Aust 2010;193:413-5. </w:t>
      </w:r>
      <w:hyperlink r:id="rId32" w:history="1">
        <w:r>
          <w:rPr>
            <w:rStyle w:val="Hyperlink"/>
          </w:rPr>
          <w:t>at https://www.ncbi.nlm.nih.gov/pubmed/20919974</w:t>
        </w:r>
      </w:hyperlink>
      <w:r w:rsidRPr="006D2955">
        <w:t>.</w:t>
      </w:r>
    </w:p>
    <w:p w14:paraId="35B0E05A" w14:textId="77777777" w:rsidR="00543D47" w:rsidRPr="006D2955" w:rsidRDefault="00543D47" w:rsidP="00543D47">
      <w:pPr>
        <w:pStyle w:val="EndNoteBibliography"/>
        <w:spacing w:after="0"/>
        <w:ind w:left="720" w:hanging="720"/>
      </w:pPr>
      <w:r w:rsidRPr="006D2955">
        <w:t>15.</w:t>
      </w:r>
      <w:r w:rsidRPr="006D2955">
        <w:tab/>
        <w:t xml:space="preserve">Kanakiriya S, De Chazal I, Nath KA, et al. Iodine toxicity treated with hemodialysis and continuous venovenous hemodiafiltration. Am J Kidney Dis 2003;41:702-8. </w:t>
      </w:r>
      <w:hyperlink r:id="rId33" w:history="1">
        <w:r>
          <w:rPr>
            <w:rStyle w:val="Hyperlink"/>
          </w:rPr>
          <w:t>at https://www.ncbi.nlm.nih.gov/pubmed/12612997</w:t>
        </w:r>
      </w:hyperlink>
      <w:r w:rsidRPr="006D2955">
        <w:t>.</w:t>
      </w:r>
    </w:p>
    <w:p w14:paraId="5D9BB170" w14:textId="77777777" w:rsidR="00543D47" w:rsidRPr="006D2955" w:rsidRDefault="00543D47" w:rsidP="00543D47">
      <w:pPr>
        <w:pStyle w:val="EndNoteBibliography"/>
        <w:spacing w:after="0"/>
        <w:ind w:left="720" w:hanging="720"/>
      </w:pPr>
      <w:r w:rsidRPr="006D2955">
        <w:t>16.</w:t>
      </w:r>
      <w:r w:rsidRPr="006D2955">
        <w:tab/>
      </w:r>
      <w:r>
        <w:t xml:space="preserve"> Royal Australian College of General Practitioners</w:t>
      </w:r>
      <w:r w:rsidRPr="006D2955">
        <w:t xml:space="preserve">. Clinical guideline for the prevention and treatment of osteoporosis in postmenopausal women and men over 50 years of age. 2010. </w:t>
      </w:r>
      <w:hyperlink r:id="rId34" w:history="1">
        <w:r>
          <w:rPr>
            <w:rStyle w:val="Hyperlink"/>
          </w:rPr>
          <w:t>at http://www.racgp.org.au/download/Documents/Guidelines/Musculoskeletal/osteoporosis-guidelines.pdf</w:t>
        </w:r>
      </w:hyperlink>
      <w:r w:rsidRPr="006D2955">
        <w:t xml:space="preserve"> (accessed 16</w:t>
      </w:r>
      <w:r>
        <w:t xml:space="preserve"> </w:t>
      </w:r>
      <w:r w:rsidRPr="006D2955">
        <w:t>June</w:t>
      </w:r>
      <w:r>
        <w:t xml:space="preserve"> 2010</w:t>
      </w:r>
      <w:r w:rsidRPr="006D2955">
        <w:t>).</w:t>
      </w:r>
    </w:p>
    <w:p w14:paraId="38F3003C" w14:textId="77777777" w:rsidR="00543D47" w:rsidRPr="006D2955" w:rsidRDefault="00543D47" w:rsidP="00543D47">
      <w:pPr>
        <w:pStyle w:val="EndNoteBibliography"/>
        <w:spacing w:after="0"/>
        <w:ind w:left="720" w:hanging="720"/>
      </w:pPr>
      <w:r w:rsidRPr="006D2955">
        <w:t>17.</w:t>
      </w:r>
      <w:r w:rsidRPr="006D2955">
        <w:tab/>
        <w:t xml:space="preserve">Cavalier E, Bergmann P, Bruyere O, et al. The role of biochemical of bone turnover markers in osteoporosis and metabolic bone disease: a consensus paper of the Belgian Bone Club. Osteoporos Int 2016;27:2181-95. </w:t>
      </w:r>
      <w:hyperlink r:id="rId35" w:history="1">
        <w:r>
          <w:rPr>
            <w:rStyle w:val="Hyperlink"/>
          </w:rPr>
          <w:t>at https://www.ncbi.nlm.nih.gov/pubmed/27026330</w:t>
        </w:r>
      </w:hyperlink>
      <w:r w:rsidRPr="006D2955">
        <w:t>.</w:t>
      </w:r>
    </w:p>
    <w:p w14:paraId="5D5CE2E0" w14:textId="77777777" w:rsidR="00543D47" w:rsidRPr="006D2955" w:rsidRDefault="00543D47" w:rsidP="00543D47">
      <w:pPr>
        <w:pStyle w:val="EndNoteBibliography"/>
        <w:spacing w:after="0"/>
        <w:ind w:left="720" w:hanging="720"/>
      </w:pPr>
      <w:r w:rsidRPr="006D2955">
        <w:lastRenderedPageBreak/>
        <w:t>18.</w:t>
      </w:r>
      <w:r w:rsidRPr="006D2955">
        <w:tab/>
        <w:t xml:space="preserve">Vasikaran SD, Paul Chubb SA. The use of biochemical markers of bone turnover in the clinical management of primary and secondary osteoporosis. Endocrine 2016;52:222-5. </w:t>
      </w:r>
      <w:hyperlink r:id="rId36" w:history="1">
        <w:r>
          <w:rPr>
            <w:rStyle w:val="Hyperlink"/>
          </w:rPr>
          <w:t>at http://dx.doi.org/10.1007/s12020-016-0900-2</w:t>
        </w:r>
      </w:hyperlink>
      <w:r w:rsidRPr="006D2955">
        <w:t>.</w:t>
      </w:r>
    </w:p>
    <w:p w14:paraId="4F78867D" w14:textId="77777777" w:rsidR="00543D47" w:rsidRPr="006D2955" w:rsidRDefault="00543D47" w:rsidP="00543D47">
      <w:pPr>
        <w:pStyle w:val="EndNoteBibliography"/>
        <w:spacing w:after="0"/>
        <w:ind w:left="720" w:hanging="720"/>
      </w:pPr>
      <w:r w:rsidRPr="006D2955">
        <w:t>19.</w:t>
      </w:r>
      <w:r w:rsidRPr="006D2955">
        <w:tab/>
        <w:t xml:space="preserve">Kudva YC, Sawka AM, Young JWF. The Laboratory Diagnosis of Adrenal Pheochromocytoma: The Mayo Clinic Experience. J Clinl Endocrinol Metab 2003;88:4533-9. </w:t>
      </w:r>
      <w:hyperlink r:id="rId37" w:history="1">
        <w:r>
          <w:rPr>
            <w:rStyle w:val="Hyperlink"/>
          </w:rPr>
          <w:t>at http://dx.doi.org/10.1210/jc.2003-030720</w:t>
        </w:r>
      </w:hyperlink>
      <w:r w:rsidRPr="006D2955">
        <w:t>.</w:t>
      </w:r>
    </w:p>
    <w:p w14:paraId="5DCC3E74" w14:textId="77777777" w:rsidR="00543D47" w:rsidRPr="006D2955" w:rsidRDefault="00543D47" w:rsidP="00543D47">
      <w:pPr>
        <w:pStyle w:val="EndNoteBibliography"/>
        <w:spacing w:after="0"/>
        <w:ind w:left="720" w:hanging="720"/>
      </w:pPr>
      <w:r w:rsidRPr="006D2955">
        <w:t>20.</w:t>
      </w:r>
      <w:r w:rsidRPr="006D2955">
        <w:tab/>
        <w:t>Perry CG, Sawka AM, Singh R, et al. The diagnostic efficacy of urinary fractionated metanephrines measured by tandem mass spectrometry in detection of pheochromocytoma. Clin</w:t>
      </w:r>
      <w:r>
        <w:t xml:space="preserve"> </w:t>
      </w:r>
      <w:r w:rsidRPr="006D2955">
        <w:t xml:space="preserve">Endocrinol 2007;66:703-8. </w:t>
      </w:r>
      <w:hyperlink r:id="rId38" w:history="1">
        <w:r>
          <w:rPr>
            <w:rStyle w:val="Hyperlink"/>
          </w:rPr>
          <w:t>at http://dx.doi.org/10.1111/j.1365-2265.2007.02805.x</w:t>
        </w:r>
      </w:hyperlink>
      <w:r w:rsidRPr="006D2955">
        <w:t>.</w:t>
      </w:r>
    </w:p>
    <w:p w14:paraId="7F84C832" w14:textId="77777777" w:rsidR="00543D47" w:rsidRPr="006D2955" w:rsidRDefault="00543D47" w:rsidP="00543D47">
      <w:pPr>
        <w:pStyle w:val="EndNoteBibliography"/>
        <w:spacing w:after="0"/>
        <w:ind w:left="720" w:hanging="720"/>
      </w:pPr>
      <w:r w:rsidRPr="006D2955">
        <w:t>21.</w:t>
      </w:r>
      <w:r w:rsidRPr="006D2955">
        <w:tab/>
        <w:t xml:space="preserve">Sawka AM, Jaeschke R, Singh RJ, et al. A Comparison of Biochemical Tests for Pheochromocytoma: Measurement of Fractionated Plasma Metanephrines Compared with the Combination of 24-Hour Urinary Metanephrines and Catecholamines. J Clinl Endocrinol Metab 2003;88:553-8. </w:t>
      </w:r>
      <w:hyperlink r:id="rId39" w:history="1">
        <w:r>
          <w:rPr>
            <w:rStyle w:val="Hyperlink"/>
          </w:rPr>
          <w:t>at http://dx.doi.org/10.1210/jc.2002-021251</w:t>
        </w:r>
      </w:hyperlink>
      <w:r w:rsidRPr="006D2955">
        <w:t>.</w:t>
      </w:r>
    </w:p>
    <w:p w14:paraId="24012120" w14:textId="77777777" w:rsidR="00543D47" w:rsidRPr="006D2955" w:rsidRDefault="00543D47" w:rsidP="00543D47">
      <w:pPr>
        <w:pStyle w:val="EndNoteBibliography"/>
        <w:spacing w:after="0"/>
        <w:ind w:left="720" w:hanging="720"/>
      </w:pPr>
      <w:r w:rsidRPr="006D2955">
        <w:t>22.</w:t>
      </w:r>
      <w:r w:rsidRPr="006D2955">
        <w:tab/>
        <w:t xml:space="preserve">Lenders JM, Pacak K, Walther MM, et al. Biochemical diagnosis of pheochromocytoma: Which test is best? JAMA 2002;287:1427-34. </w:t>
      </w:r>
      <w:hyperlink r:id="rId40" w:history="1">
        <w:r>
          <w:rPr>
            <w:rStyle w:val="Hyperlink"/>
          </w:rPr>
          <w:t>at http://dx.doi.org/10.1001/jama.287.11.1427</w:t>
        </w:r>
      </w:hyperlink>
      <w:r w:rsidRPr="006D2955">
        <w:t>.</w:t>
      </w:r>
    </w:p>
    <w:p w14:paraId="5A607EF2" w14:textId="77777777" w:rsidR="00543D47" w:rsidRPr="006D2955" w:rsidRDefault="00543D47" w:rsidP="00543D47">
      <w:pPr>
        <w:pStyle w:val="EndNoteBibliography"/>
        <w:spacing w:after="0"/>
        <w:ind w:left="720" w:hanging="720"/>
      </w:pPr>
      <w:r w:rsidRPr="006D2955">
        <w:t>23.</w:t>
      </w:r>
      <w:r w:rsidRPr="006D2955">
        <w:tab/>
        <w:t xml:space="preserve">Pacak K, Linehan W, Eisenhofer G, et al. REcent advances in genetics, diagnosis, localization, and treatment of pheochromocytoma. Annals of Internal Medicine 2001;134:315-29. </w:t>
      </w:r>
      <w:hyperlink r:id="rId41" w:history="1">
        <w:r>
          <w:rPr>
            <w:rStyle w:val="Hyperlink"/>
          </w:rPr>
          <w:t>at http://dx.doi.org/10.7326/0003-4819-134-4-200102200-00016</w:t>
        </w:r>
      </w:hyperlink>
      <w:r w:rsidRPr="006D2955">
        <w:t>.</w:t>
      </w:r>
    </w:p>
    <w:p w14:paraId="42F2FE34" w14:textId="77777777" w:rsidR="00543D47" w:rsidRPr="006D2955" w:rsidRDefault="00543D47" w:rsidP="00543D47">
      <w:pPr>
        <w:pStyle w:val="EndNoteBibliography"/>
        <w:spacing w:after="0"/>
        <w:ind w:left="720" w:hanging="720"/>
      </w:pPr>
      <w:r w:rsidRPr="006D2955">
        <w:t>24.</w:t>
      </w:r>
      <w:r w:rsidRPr="006D2955">
        <w:tab/>
        <w:t>Lenders JWM, Duh Q-Y, Eisenhofer G, et al. Pheochromocytoma and Paraganglioma: An Endocrine Society Clinical Practice Guideline. J Clinl Endocrinol Metab</w:t>
      </w:r>
      <w:r w:rsidRPr="006D2955" w:rsidDel="00F3451E">
        <w:t xml:space="preserve"> </w:t>
      </w:r>
      <w:r w:rsidRPr="006D2955">
        <w:t xml:space="preserve">2014;99:1915-42. </w:t>
      </w:r>
      <w:hyperlink r:id="rId42" w:history="1">
        <w:r>
          <w:rPr>
            <w:rStyle w:val="Hyperlink"/>
          </w:rPr>
          <w:t>at http://dx.doi.org/10.1210/jc.2014-1498</w:t>
        </w:r>
      </w:hyperlink>
      <w:r w:rsidRPr="006D2955">
        <w:t>.</w:t>
      </w:r>
    </w:p>
    <w:p w14:paraId="7F0EE721" w14:textId="77777777" w:rsidR="00543D47" w:rsidRPr="006D2955" w:rsidRDefault="00543D47" w:rsidP="00543D47">
      <w:pPr>
        <w:pStyle w:val="EndNoteBibliography"/>
        <w:spacing w:after="0"/>
        <w:ind w:left="720" w:hanging="720"/>
      </w:pPr>
      <w:r w:rsidRPr="006D2955">
        <w:t>25.</w:t>
      </w:r>
      <w:r w:rsidRPr="006D2955">
        <w:tab/>
        <w:t xml:space="preserve">Därr R, Pamporaki C, Peitzsch M, et al. Biochemical diagnosis of phaeochromocytoma using plasma-free normetanephrine, metanephrine and methoxytyramine: importance of supine sampling under fasting conditions. Clinl Endocrinol2014;80:478-86. </w:t>
      </w:r>
      <w:hyperlink r:id="rId43" w:history="1">
        <w:r>
          <w:rPr>
            <w:rStyle w:val="Hyperlink"/>
          </w:rPr>
          <w:t>at http://dx.doi.org/10.1111/cen.12327</w:t>
        </w:r>
      </w:hyperlink>
      <w:r w:rsidRPr="006D2955">
        <w:t>.</w:t>
      </w:r>
    </w:p>
    <w:p w14:paraId="79C5DFCF" w14:textId="77777777" w:rsidR="00543D47" w:rsidRPr="006D2955" w:rsidRDefault="00543D47" w:rsidP="00543D47">
      <w:pPr>
        <w:pStyle w:val="EndNoteBibliography"/>
        <w:spacing w:after="0"/>
        <w:ind w:left="720" w:hanging="720"/>
      </w:pPr>
      <w:r w:rsidRPr="006D2955">
        <w:t>26.</w:t>
      </w:r>
      <w:r w:rsidRPr="006D2955">
        <w:tab/>
        <w:t xml:space="preserve">Eisenhofer G, Lenders JWM, Siegert G, et al. Plasma methoxytyramine: A novel biomarker of metastatic pheochromocytoma and paraganglioma in relation to established risk factors of tumor size, location and SDHB mutation status. Eur J Cancer 2012;48:1739-49. </w:t>
      </w:r>
      <w:hyperlink r:id="rId44" w:history="1">
        <w:r>
          <w:rPr>
            <w:rStyle w:val="Hyperlink"/>
          </w:rPr>
          <w:t>at http://www.ncbi.nlm.nih.gov/pmc/articles/PMC3372624/</w:t>
        </w:r>
      </w:hyperlink>
      <w:r w:rsidRPr="006D2955">
        <w:t>.</w:t>
      </w:r>
    </w:p>
    <w:p w14:paraId="37280E19" w14:textId="77777777" w:rsidR="00543D47" w:rsidRPr="006D2955" w:rsidRDefault="00543D47" w:rsidP="00543D47">
      <w:pPr>
        <w:pStyle w:val="EndNoteBibliography"/>
        <w:spacing w:after="0"/>
        <w:ind w:left="720" w:hanging="720"/>
      </w:pPr>
      <w:r w:rsidRPr="006D2955">
        <w:t>27.</w:t>
      </w:r>
      <w:r w:rsidRPr="006D2955">
        <w:tab/>
        <w:t>Strosberg JR. Urinary excretion of 5-HIAA. Diagnosis of the carcinoid syndrome and tumor localization. UptoDate, 2017. (accessed.</w:t>
      </w:r>
    </w:p>
    <w:p w14:paraId="16B19F57" w14:textId="77777777" w:rsidR="00543D47" w:rsidRPr="006D2955" w:rsidRDefault="00543D47" w:rsidP="00543D47">
      <w:pPr>
        <w:pStyle w:val="EndNoteBibliography"/>
        <w:spacing w:after="0"/>
        <w:ind w:left="720" w:hanging="720"/>
      </w:pPr>
      <w:r w:rsidRPr="006D2955">
        <w:t>28.</w:t>
      </w:r>
      <w:r w:rsidRPr="006D2955">
        <w:tab/>
        <w:t xml:space="preserve">van Toorenenbergen AW, Oranje AP. Comparison of serum tryptase and urine N-methylhistamine in patients with suspected mastocytosis. Clinica Chimica Acta 2005;359:72-7. </w:t>
      </w:r>
      <w:hyperlink r:id="rId45" w:history="1">
        <w:r>
          <w:rPr>
            <w:rStyle w:val="Hyperlink"/>
          </w:rPr>
          <w:t>at http://www.sciencedirect.com/science/article/pii/S0009898105002111</w:t>
        </w:r>
      </w:hyperlink>
      <w:r w:rsidRPr="006D2955">
        <w:t>.</w:t>
      </w:r>
    </w:p>
    <w:p w14:paraId="373A804F" w14:textId="77777777" w:rsidR="00543D47" w:rsidRPr="006D2955" w:rsidRDefault="00543D47" w:rsidP="00543D47">
      <w:pPr>
        <w:pStyle w:val="EndNoteBibliography"/>
        <w:spacing w:after="0"/>
        <w:ind w:left="720" w:hanging="720"/>
      </w:pPr>
      <w:r w:rsidRPr="006D2955">
        <w:t>29.</w:t>
      </w:r>
      <w:r w:rsidRPr="006D2955">
        <w:tab/>
        <w:t xml:space="preserve">Laroche MDPDD, Vergnaud MDM-C, Sillard MDB, et al. Biochemical Markers of Anaphylactoid Reactions to Drugs Comparison of Plasma Histamine and Tryptase. Anesthesiology 1991;75:945-9. </w:t>
      </w:r>
      <w:hyperlink r:id="rId46" w:history="1">
        <w:r>
          <w:rPr>
            <w:rStyle w:val="Hyperlink"/>
          </w:rPr>
          <w:t>at http://dx.doi.org/</w:t>
        </w:r>
      </w:hyperlink>
      <w:r w:rsidRPr="006D2955">
        <w:t>.</w:t>
      </w:r>
    </w:p>
    <w:p w14:paraId="5A5916E9" w14:textId="77777777" w:rsidR="00543D47" w:rsidRPr="006D2955" w:rsidRDefault="00543D47" w:rsidP="00543D47">
      <w:pPr>
        <w:pStyle w:val="EndNoteBibliography"/>
        <w:spacing w:after="0"/>
        <w:ind w:left="720" w:hanging="720"/>
      </w:pPr>
      <w:r w:rsidRPr="006D2955">
        <w:t>30.</w:t>
      </w:r>
      <w:r w:rsidRPr="006D2955">
        <w:tab/>
        <w:t xml:space="preserve">HealthConsult for the Department of Health. MBS item numbers - Tumour markers: Literature overview. Sydney, NSW, 2015. </w:t>
      </w:r>
    </w:p>
    <w:p w14:paraId="26D0DC09" w14:textId="77777777" w:rsidR="00543D47" w:rsidRPr="006D2955" w:rsidRDefault="00543D47" w:rsidP="00543D47">
      <w:pPr>
        <w:pStyle w:val="EndNoteBibliography"/>
        <w:spacing w:after="0"/>
        <w:ind w:left="720" w:hanging="720"/>
      </w:pPr>
      <w:r w:rsidRPr="006D2955">
        <w:t>31.</w:t>
      </w:r>
      <w:r w:rsidRPr="006D2955">
        <w:tab/>
        <w:t xml:space="preserve">Department of Health. Integrated Analysis of Quality Use of Pathology Program (QUPP) Final Reports. 2012. </w:t>
      </w:r>
      <w:hyperlink r:id="rId47" w:history="1">
        <w:r>
          <w:rPr>
            <w:rStyle w:val="Hyperlink"/>
          </w:rPr>
          <w:t>at http://www.health.gov.au/internet/main/publishing.nsf/Content/qupp-endorsed-rep-integanal-qupp</w:t>
        </w:r>
      </w:hyperlink>
      <w:r w:rsidRPr="006D2955">
        <w:t xml:space="preserve"> (accessed 7 April 2017).</w:t>
      </w:r>
    </w:p>
    <w:p w14:paraId="3596149F" w14:textId="77777777" w:rsidR="00543D47" w:rsidRPr="006D2955" w:rsidRDefault="00543D47" w:rsidP="00543D47">
      <w:pPr>
        <w:pStyle w:val="EndNoteBibliography"/>
        <w:spacing w:after="0"/>
        <w:ind w:left="720" w:hanging="720"/>
      </w:pPr>
      <w:r w:rsidRPr="006D2955">
        <w:t>32.</w:t>
      </w:r>
      <w:r w:rsidRPr="006D2955">
        <w:tab/>
        <w:t xml:space="preserve">Loi S, Haydon AM, Shapiro J, et al. Towards evidence-based use of serum tumour marker requests: an audit of use in a tertiary hospital. Intern Med J 2004;34:545-50. </w:t>
      </w:r>
      <w:hyperlink r:id="rId48" w:history="1">
        <w:r>
          <w:rPr>
            <w:rStyle w:val="Hyperlink"/>
          </w:rPr>
          <w:t>at http://onlinelibrary.wiley.com/doi/10.1111/j.1445-5994.2004.00671.x/abstract</w:t>
        </w:r>
      </w:hyperlink>
      <w:r w:rsidRPr="006D2955">
        <w:t>.</w:t>
      </w:r>
    </w:p>
    <w:p w14:paraId="59A1D8F3" w14:textId="77777777" w:rsidR="00543D47" w:rsidRPr="006D2955" w:rsidRDefault="00543D47" w:rsidP="00543D47">
      <w:pPr>
        <w:pStyle w:val="EndNoteBibliography"/>
        <w:spacing w:after="0"/>
        <w:ind w:left="720" w:hanging="720"/>
      </w:pPr>
      <w:r w:rsidRPr="006D2955">
        <w:t>33.</w:t>
      </w:r>
      <w:r w:rsidRPr="006D2955">
        <w:tab/>
        <w:t xml:space="preserve">Choosing Wisely Australia. The Royal College of Pathologists of Australasia: tests, treatments and procedures clinicians and consumers should question. 2015. </w:t>
      </w:r>
      <w:hyperlink r:id="rId49" w:history="1">
        <w:r>
          <w:rPr>
            <w:rStyle w:val="Hyperlink"/>
          </w:rPr>
          <w:t>at http://www.choosingwisely.org.au/recommendations/rcpa</w:t>
        </w:r>
      </w:hyperlink>
      <w:r w:rsidRPr="006D2955">
        <w:t xml:space="preserve"> (accessed 4 April, 2017 ).</w:t>
      </w:r>
    </w:p>
    <w:p w14:paraId="310CBD2B" w14:textId="77777777" w:rsidR="00543D47" w:rsidRPr="006D2955" w:rsidRDefault="00543D47" w:rsidP="00543D47">
      <w:pPr>
        <w:pStyle w:val="EndNoteBibliography"/>
        <w:spacing w:after="0"/>
        <w:ind w:left="720" w:hanging="720"/>
      </w:pPr>
      <w:r w:rsidRPr="006D2955">
        <w:t>34.</w:t>
      </w:r>
      <w:r w:rsidRPr="006D2955">
        <w:tab/>
        <w:t>Binderup ML, Bisgaard ML, Harbud V, et al. Von Hippel-Lindau disease (vHL). National clinical guideline for diagnosis and surveillance in Denmark. 3rd edition. Dan Med J 2013;60:B4763.</w:t>
      </w:r>
      <w:r w:rsidRPr="00F3451E">
        <w:t xml:space="preserve"> </w:t>
      </w:r>
      <w:r w:rsidRPr="00F3451E">
        <w:lastRenderedPageBreak/>
        <w:t>http://www.danmedj.dk/portal/pls/portal/!PORTAL.wwpob_page.show?_docname=10485053.PDF&amp;pTitle=Von%20Hippel-Lindau%20disease%20(vHL)%20-%20national%20cli</w:t>
      </w:r>
    </w:p>
    <w:p w14:paraId="50C1DAC2" w14:textId="77777777" w:rsidR="00543D47" w:rsidRPr="006D2955" w:rsidRDefault="00543D47" w:rsidP="00543D47">
      <w:pPr>
        <w:pStyle w:val="EndNoteBibliography"/>
        <w:spacing w:after="0"/>
        <w:ind w:left="720" w:hanging="720"/>
      </w:pPr>
      <w:r w:rsidRPr="006D2955">
        <w:t>35.</w:t>
      </w:r>
      <w:r w:rsidRPr="006D2955">
        <w:tab/>
        <w:t>Caplin ME, Baudin E, Ferolla P, et al. Pulmonary neuroendocrine (carcinoid) tumors: European Neuroendocrine Tumor Society expert consensus and recommendations for best practice for typical and atypical pulmonary carcinoids. Ann Oncol 2015;26:1604-20.</w:t>
      </w:r>
      <w:r w:rsidRPr="00F3451E">
        <w:t xml:space="preserve"> https://academic.oup.com/annonc/article-lookup/doi/10.1093/annonc/mdv041</w:t>
      </w:r>
    </w:p>
    <w:p w14:paraId="37F230E6" w14:textId="77777777" w:rsidR="00543D47" w:rsidRPr="006D2955" w:rsidRDefault="00543D47" w:rsidP="00543D47">
      <w:pPr>
        <w:pStyle w:val="EndNoteBibliography"/>
        <w:spacing w:after="0"/>
        <w:ind w:left="720" w:hanging="720"/>
      </w:pPr>
      <w:r w:rsidRPr="006D2955">
        <w:t>36.</w:t>
      </w:r>
      <w:r w:rsidRPr="006D2955">
        <w:tab/>
        <w:t>Chen H, Sippel RS, O'Dorisio MS, et al. The North American Neuroendocrine Tumor Society consensus guideline for the diagnosis and management of neuroendocrine tumors: pheochromocytoma, paraganglioma, and medullary thyroid cancer. Pancreas 2010;39:775-83.</w:t>
      </w:r>
      <w:r w:rsidRPr="00F3451E">
        <w:t xml:space="preserve"> https://www.ncbi.nlm.nih.gov/pmc/articles/PMC3419007/</w:t>
      </w:r>
    </w:p>
    <w:p w14:paraId="614ABB06" w14:textId="77777777" w:rsidR="00543D47" w:rsidRPr="006D2955" w:rsidRDefault="00543D47" w:rsidP="00543D47">
      <w:pPr>
        <w:pStyle w:val="EndNoteBibliography"/>
        <w:spacing w:after="0"/>
        <w:ind w:left="720" w:hanging="720"/>
      </w:pPr>
      <w:r w:rsidRPr="006D2955">
        <w:t>37.</w:t>
      </w:r>
      <w:r w:rsidRPr="006D2955">
        <w:tab/>
        <w:t xml:space="preserve">Clinical Oncological Society of Australia. COSA: NETs guidelines/Biochemical markers. 2014. </w:t>
      </w:r>
      <w:hyperlink r:id="rId50" w:history="1">
        <w:r>
          <w:rPr>
            <w:rStyle w:val="Hyperlink"/>
          </w:rPr>
          <w:t>at http://wiki.cancer.org.au/australia/COSA:NETs_guidelines</w:t>
        </w:r>
      </w:hyperlink>
      <w:r w:rsidRPr="006D2955">
        <w:t xml:space="preserve"> (accessed 4 April, 2017).</w:t>
      </w:r>
    </w:p>
    <w:p w14:paraId="0AF5BC5C" w14:textId="77777777" w:rsidR="00543D47" w:rsidRPr="006D2955" w:rsidRDefault="00543D47" w:rsidP="00543D47">
      <w:pPr>
        <w:pStyle w:val="EndNoteBibliography"/>
        <w:spacing w:after="0"/>
        <w:ind w:left="720" w:hanging="720"/>
      </w:pPr>
      <w:r w:rsidRPr="006D2955">
        <w:t>38.</w:t>
      </w:r>
      <w:r w:rsidRPr="006D2955">
        <w:tab/>
        <w:t>Pavel M, Baudin E, Couvelard A, et al. ENETS Consensus Guidelines for the management of patients with liver and other distant metastases from neuroendocrine neoplasms of foregut, midgut, hindgut, and unknown primary. Neuroendocrinology 2012;95:157-76.</w:t>
      </w:r>
    </w:p>
    <w:p w14:paraId="1047CD79" w14:textId="77777777" w:rsidR="00543D47" w:rsidRPr="006D2955" w:rsidRDefault="00543D47" w:rsidP="00543D47">
      <w:pPr>
        <w:pStyle w:val="EndNoteBibliography"/>
        <w:ind w:left="720" w:hanging="720"/>
      </w:pPr>
      <w:r w:rsidRPr="006D2955">
        <w:t>39.</w:t>
      </w:r>
      <w:r w:rsidRPr="006D2955">
        <w:tab/>
        <w:t xml:space="preserve">Ramage JK, Ahmed A, Ardill J, et al. Guidelines for the management of gastroenteropancreatic neuroendocrine (including carcinoid) tumours (NETs). Gut 2012;61:6-32. </w:t>
      </w:r>
      <w:hyperlink r:id="rId51" w:history="1">
        <w:r>
          <w:rPr>
            <w:rStyle w:val="Hyperlink"/>
          </w:rPr>
          <w:t>at http://gut.bmj.com/content/gutjnl/61/1/6.full.pdf</w:t>
        </w:r>
      </w:hyperlink>
      <w:r w:rsidRPr="006D2955">
        <w:t>.</w:t>
      </w:r>
    </w:p>
    <w:p w14:paraId="2DA24957" w14:textId="77777777" w:rsidR="00543D47" w:rsidRDefault="00543D47" w:rsidP="00543D47">
      <w:pPr>
        <w:pStyle w:val="NormalBulleted"/>
        <w:numPr>
          <w:ilvl w:val="0"/>
          <w:numId w:val="0"/>
        </w:numPr>
        <w:rPr>
          <w:lang w:val="en-US" w:eastAsia="en-US"/>
        </w:rPr>
      </w:pPr>
      <w:r>
        <w:rPr>
          <w:lang w:val="en-US" w:eastAsia="en-US"/>
        </w:rPr>
        <w:fldChar w:fldCharType="end"/>
      </w:r>
    </w:p>
    <w:p w14:paraId="45E452CA" w14:textId="77777777" w:rsidR="00543D47" w:rsidRPr="00370DFD" w:rsidRDefault="00543D47" w:rsidP="00543D47"/>
    <w:p w14:paraId="6348F476" w14:textId="77777777" w:rsidR="00543D47" w:rsidRPr="00370DFD" w:rsidRDefault="00543D47" w:rsidP="00543D47">
      <w:pPr>
        <w:spacing w:before="120" w:after="120"/>
        <w:rPr>
          <w:rFonts w:cs="Arial"/>
        </w:rPr>
        <w:sectPr w:rsidR="00543D47" w:rsidRPr="00370DFD" w:rsidSect="002111EC">
          <w:endnotePr>
            <w:numFmt w:val="decimal"/>
          </w:endnotePr>
          <w:pgSz w:w="11906" w:h="16838" w:code="9"/>
          <w:pgMar w:top="1021" w:right="1440" w:bottom="1021" w:left="1440" w:header="567" w:footer="170" w:gutter="0"/>
          <w:paperSrc w:first="2" w:other="2"/>
          <w:cols w:space="720"/>
          <w:docGrid w:linePitch="326"/>
        </w:sectPr>
      </w:pPr>
    </w:p>
    <w:p w14:paraId="00D72DFC" w14:textId="77777777" w:rsidR="00543D47" w:rsidRPr="00370DFD" w:rsidRDefault="00543D47" w:rsidP="00543D47">
      <w:pPr>
        <w:pStyle w:val="Heading1"/>
        <w:rPr>
          <w:lang w:val="en-AU"/>
        </w:rPr>
      </w:pPr>
      <w:bookmarkStart w:id="193" w:name="_Toc514247636"/>
      <w:r w:rsidRPr="00370DFD">
        <w:rPr>
          <w:lang w:val="en-AU"/>
        </w:rPr>
        <w:lastRenderedPageBreak/>
        <w:t>Glossary</w:t>
      </w:r>
      <w:bookmarkEnd w:id="193"/>
      <w:r w:rsidRPr="00370DFD">
        <w:rPr>
          <w:lang w:val="en-AU"/>
        </w:rPr>
        <w:t xml:space="preserve"> </w:t>
      </w:r>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Glossary table contains 2 heading columns: Terms and their decriptions."/>
      </w:tblPr>
      <w:tblGrid>
        <w:gridCol w:w="2754"/>
        <w:gridCol w:w="6272"/>
      </w:tblGrid>
      <w:tr w:rsidR="00543D47" w:rsidRPr="00370DFD" w14:paraId="028EE20D" w14:textId="77777777" w:rsidTr="00D9610A">
        <w:trPr>
          <w:tblHeader/>
        </w:trPr>
        <w:tc>
          <w:tcPr>
            <w:tcW w:w="2754" w:type="dxa"/>
          </w:tcPr>
          <w:p w14:paraId="5A0BCB3A" w14:textId="77777777" w:rsidR="00543D47" w:rsidRPr="00370DFD" w:rsidRDefault="00543D47" w:rsidP="00D9610A">
            <w:pPr>
              <w:spacing w:before="120" w:after="0"/>
              <w:rPr>
                <w:b/>
                <w:sz w:val="20"/>
                <w:szCs w:val="20"/>
              </w:rPr>
            </w:pPr>
            <w:r w:rsidRPr="00370DFD">
              <w:rPr>
                <w:b/>
                <w:sz w:val="20"/>
                <w:szCs w:val="20"/>
              </w:rPr>
              <w:t>Term</w:t>
            </w:r>
          </w:p>
        </w:tc>
        <w:tc>
          <w:tcPr>
            <w:tcW w:w="6272" w:type="dxa"/>
          </w:tcPr>
          <w:p w14:paraId="11805022" w14:textId="77777777" w:rsidR="00543D47" w:rsidRPr="00370DFD" w:rsidRDefault="00543D47" w:rsidP="00D9610A">
            <w:pPr>
              <w:spacing w:before="120" w:after="0"/>
              <w:rPr>
                <w:rFonts w:cs="Arial"/>
                <w:b/>
                <w:color w:val="000000" w:themeColor="text1"/>
                <w:sz w:val="20"/>
                <w:szCs w:val="20"/>
              </w:rPr>
            </w:pPr>
            <w:r w:rsidRPr="00370DFD">
              <w:rPr>
                <w:rFonts w:cs="Arial"/>
                <w:b/>
                <w:color w:val="000000" w:themeColor="text1"/>
                <w:sz w:val="20"/>
                <w:szCs w:val="20"/>
              </w:rPr>
              <w:t>Description</w:t>
            </w:r>
          </w:p>
        </w:tc>
      </w:tr>
      <w:tr w:rsidR="00543D47" w:rsidRPr="00370DFD" w14:paraId="302F3E93" w14:textId="77777777" w:rsidTr="00D9610A">
        <w:tc>
          <w:tcPr>
            <w:tcW w:w="2754" w:type="dxa"/>
          </w:tcPr>
          <w:p w14:paraId="3E82BAF4" w14:textId="77777777" w:rsidR="00543D47" w:rsidRPr="00370DFD" w:rsidRDefault="00543D47" w:rsidP="00D9610A">
            <w:pPr>
              <w:spacing w:before="120" w:after="0"/>
              <w:rPr>
                <w:rFonts w:cs="Arial"/>
                <w:b/>
                <w:sz w:val="20"/>
                <w:szCs w:val="20"/>
              </w:rPr>
            </w:pPr>
            <w:r w:rsidRPr="00370DFD">
              <w:rPr>
                <w:b/>
                <w:sz w:val="20"/>
                <w:szCs w:val="20"/>
              </w:rPr>
              <w:t>ACSQHC</w:t>
            </w:r>
          </w:p>
        </w:tc>
        <w:tc>
          <w:tcPr>
            <w:tcW w:w="6272" w:type="dxa"/>
          </w:tcPr>
          <w:p w14:paraId="384AFF41"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The Australian Commission on Safety and Quality in Health Care</w:t>
            </w:r>
          </w:p>
        </w:tc>
      </w:tr>
      <w:tr w:rsidR="00543D47" w:rsidRPr="00370DFD" w14:paraId="7FC53B04" w14:textId="77777777" w:rsidTr="00D9610A">
        <w:tc>
          <w:tcPr>
            <w:tcW w:w="2754" w:type="dxa"/>
          </w:tcPr>
          <w:p w14:paraId="1F805EB4" w14:textId="77777777" w:rsidR="00543D47" w:rsidRPr="00370DFD" w:rsidRDefault="00543D47" w:rsidP="00D9610A">
            <w:pPr>
              <w:spacing w:before="120" w:after="0"/>
              <w:rPr>
                <w:rFonts w:cs="Arial"/>
                <w:b/>
                <w:sz w:val="20"/>
                <w:szCs w:val="20"/>
              </w:rPr>
            </w:pPr>
            <w:r w:rsidRPr="00370DFD">
              <w:rPr>
                <w:b/>
                <w:sz w:val="20"/>
                <w:szCs w:val="20"/>
              </w:rPr>
              <w:t>AHMAC</w:t>
            </w:r>
          </w:p>
        </w:tc>
        <w:tc>
          <w:tcPr>
            <w:tcW w:w="6272" w:type="dxa"/>
          </w:tcPr>
          <w:p w14:paraId="1ABDD5F1"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Australian Health Ministers’ Advisory Council</w:t>
            </w:r>
          </w:p>
        </w:tc>
      </w:tr>
      <w:tr w:rsidR="00543D47" w:rsidRPr="00370DFD" w14:paraId="7FAD05CE" w14:textId="77777777" w:rsidTr="00D9610A">
        <w:tc>
          <w:tcPr>
            <w:tcW w:w="2754" w:type="dxa"/>
          </w:tcPr>
          <w:p w14:paraId="4C75F8B2" w14:textId="77777777" w:rsidR="00543D47" w:rsidRPr="00370DFD" w:rsidRDefault="00543D47" w:rsidP="00D9610A">
            <w:pPr>
              <w:spacing w:before="120" w:after="0"/>
              <w:rPr>
                <w:rFonts w:cs="Arial"/>
                <w:b/>
                <w:sz w:val="20"/>
                <w:szCs w:val="20"/>
              </w:rPr>
            </w:pPr>
            <w:r w:rsidRPr="00370DFD">
              <w:rPr>
                <w:b/>
                <w:sz w:val="20"/>
                <w:szCs w:val="20"/>
              </w:rPr>
              <w:t>Department, The</w:t>
            </w:r>
          </w:p>
        </w:tc>
        <w:tc>
          <w:tcPr>
            <w:tcW w:w="6272" w:type="dxa"/>
          </w:tcPr>
          <w:p w14:paraId="64D2A266"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Australian Government Department of Health</w:t>
            </w:r>
          </w:p>
        </w:tc>
      </w:tr>
      <w:tr w:rsidR="00543D47" w:rsidRPr="00370DFD" w14:paraId="2F5C3C13" w14:textId="77777777" w:rsidTr="00D9610A">
        <w:tc>
          <w:tcPr>
            <w:tcW w:w="2754" w:type="dxa"/>
          </w:tcPr>
          <w:p w14:paraId="2BC4BF7A" w14:textId="77777777" w:rsidR="00543D47" w:rsidRPr="00370DFD" w:rsidRDefault="00543D47" w:rsidP="00D9610A">
            <w:pPr>
              <w:spacing w:before="120" w:after="0"/>
              <w:rPr>
                <w:rFonts w:cs="Arial"/>
                <w:b/>
                <w:sz w:val="20"/>
                <w:szCs w:val="20"/>
              </w:rPr>
            </w:pPr>
            <w:r w:rsidRPr="00370DFD">
              <w:rPr>
                <w:b/>
                <w:sz w:val="20"/>
                <w:szCs w:val="20"/>
              </w:rPr>
              <w:t>DHS</w:t>
            </w:r>
          </w:p>
        </w:tc>
        <w:tc>
          <w:tcPr>
            <w:tcW w:w="6272" w:type="dxa"/>
          </w:tcPr>
          <w:p w14:paraId="35F266BD"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Australian Government Department of Human Services</w:t>
            </w:r>
          </w:p>
        </w:tc>
      </w:tr>
      <w:tr w:rsidR="00543D47" w:rsidRPr="00370DFD" w14:paraId="4D70F45C" w14:textId="77777777" w:rsidTr="00D9610A">
        <w:tc>
          <w:tcPr>
            <w:tcW w:w="2754" w:type="dxa"/>
          </w:tcPr>
          <w:p w14:paraId="00796F76" w14:textId="77777777" w:rsidR="00543D47" w:rsidRPr="00370DFD" w:rsidRDefault="00543D47" w:rsidP="00D9610A">
            <w:pPr>
              <w:spacing w:before="120" w:after="0"/>
              <w:rPr>
                <w:rFonts w:cs="Arial"/>
                <w:b/>
                <w:sz w:val="20"/>
                <w:szCs w:val="20"/>
              </w:rPr>
            </w:pPr>
            <w:r w:rsidRPr="00370DFD">
              <w:rPr>
                <w:b/>
                <w:sz w:val="20"/>
                <w:szCs w:val="20"/>
              </w:rPr>
              <w:t>GP</w:t>
            </w:r>
          </w:p>
        </w:tc>
        <w:tc>
          <w:tcPr>
            <w:tcW w:w="6272" w:type="dxa"/>
          </w:tcPr>
          <w:p w14:paraId="4DB5AB14"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General practitioner</w:t>
            </w:r>
          </w:p>
        </w:tc>
      </w:tr>
      <w:tr w:rsidR="00543D47" w:rsidRPr="00370DFD" w14:paraId="20A5CB44" w14:textId="77777777" w:rsidTr="00D9610A">
        <w:tc>
          <w:tcPr>
            <w:tcW w:w="2754" w:type="dxa"/>
          </w:tcPr>
          <w:p w14:paraId="015B476A" w14:textId="77777777" w:rsidR="00543D47" w:rsidRPr="00370DFD" w:rsidRDefault="00543D47" w:rsidP="00D9610A">
            <w:pPr>
              <w:spacing w:before="120" w:after="0"/>
              <w:rPr>
                <w:rFonts w:cs="Arial"/>
                <w:b/>
                <w:sz w:val="20"/>
                <w:szCs w:val="20"/>
              </w:rPr>
            </w:pPr>
            <w:r w:rsidRPr="00370DFD">
              <w:rPr>
                <w:rFonts w:eastAsiaTheme="minorHAnsi" w:cstheme="minorBidi"/>
                <w:b/>
                <w:sz w:val="20"/>
                <w:szCs w:val="20"/>
                <w:lang w:eastAsia="en-US"/>
              </w:rPr>
              <w:t>High-value care</w:t>
            </w:r>
          </w:p>
        </w:tc>
        <w:tc>
          <w:tcPr>
            <w:tcW w:w="6272" w:type="dxa"/>
          </w:tcPr>
          <w:p w14:paraId="25CF66C1"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Services of proven efficacy reflecting current best medical practice, or for which the potential benefit to consumers exceeds the risk and costs</w:t>
            </w:r>
            <w:r w:rsidRPr="00370DFD">
              <w:rPr>
                <w:rFonts w:eastAsiaTheme="minorHAnsi" w:cs="Arial"/>
                <w:color w:val="000000" w:themeColor="text1"/>
                <w:sz w:val="20"/>
                <w:szCs w:val="20"/>
                <w:lang w:eastAsia="en-US"/>
              </w:rPr>
              <w:t>.</w:t>
            </w:r>
          </w:p>
        </w:tc>
      </w:tr>
      <w:tr w:rsidR="00543D47" w:rsidRPr="00370DFD" w14:paraId="49C12610" w14:textId="77777777" w:rsidTr="00D9610A">
        <w:tc>
          <w:tcPr>
            <w:tcW w:w="2754" w:type="dxa"/>
          </w:tcPr>
          <w:p w14:paraId="1373A3D2" w14:textId="77777777" w:rsidR="00543D47" w:rsidRPr="00370DFD" w:rsidRDefault="00543D47" w:rsidP="00D9610A">
            <w:pPr>
              <w:spacing w:before="120" w:after="0"/>
              <w:rPr>
                <w:rFonts w:cs="Arial"/>
                <w:b/>
                <w:sz w:val="20"/>
                <w:szCs w:val="20"/>
              </w:rPr>
            </w:pPr>
            <w:r w:rsidRPr="00370DFD">
              <w:rPr>
                <w:rFonts w:eastAsiaTheme="minorHAnsi" w:cstheme="minorBidi"/>
                <w:b/>
                <w:sz w:val="20"/>
                <w:szCs w:val="20"/>
                <w:lang w:eastAsia="en-US"/>
              </w:rPr>
              <w:t>Inappropriate use / misuse</w:t>
            </w:r>
          </w:p>
        </w:tc>
        <w:tc>
          <w:tcPr>
            <w:tcW w:w="6272" w:type="dxa"/>
          </w:tcPr>
          <w:p w14:paraId="56605C48" w14:textId="77777777" w:rsidR="00543D47" w:rsidRPr="00370DFD" w:rsidRDefault="00543D47" w:rsidP="00D9610A">
            <w:pPr>
              <w:spacing w:before="120" w:after="0"/>
              <w:rPr>
                <w:rFonts w:cs="Arial"/>
                <w:sz w:val="20"/>
                <w:szCs w:val="20"/>
              </w:rPr>
            </w:pPr>
            <w:r w:rsidRPr="00370DFD">
              <w:rPr>
                <w:rFonts w:eastAsiaTheme="minorHAnsi" w:cs="Arial"/>
                <w:sz w:val="20"/>
                <w:szCs w:val="20"/>
                <w:lang w:eastAsia="en-US"/>
              </w:rPr>
              <w:t xml:space="preserve">The use of MBS services for purposes other than those intended. This includes a range of behaviours ranging from failing to adhere to </w:t>
            </w:r>
            <w:proofErr w:type="gramStart"/>
            <w:r w:rsidRPr="00370DFD">
              <w:rPr>
                <w:rFonts w:eastAsiaTheme="minorHAnsi" w:cs="Arial"/>
                <w:sz w:val="20"/>
                <w:szCs w:val="20"/>
                <w:lang w:eastAsia="en-US"/>
              </w:rPr>
              <w:t>particular item</w:t>
            </w:r>
            <w:proofErr w:type="gramEnd"/>
            <w:r w:rsidRPr="00370DFD">
              <w:rPr>
                <w:rFonts w:eastAsiaTheme="minorHAnsi" w:cs="Arial"/>
                <w:sz w:val="20"/>
                <w:szCs w:val="20"/>
                <w:lang w:eastAsia="en-US"/>
              </w:rPr>
              <w:t xml:space="preserve"> descriptors or rules, through to deliberate fraud.</w:t>
            </w:r>
          </w:p>
        </w:tc>
      </w:tr>
      <w:tr w:rsidR="00543D47" w:rsidRPr="00370DFD" w14:paraId="12C5D25A" w14:textId="77777777" w:rsidTr="00D9610A">
        <w:tc>
          <w:tcPr>
            <w:tcW w:w="2754" w:type="dxa"/>
          </w:tcPr>
          <w:p w14:paraId="11DE0530" w14:textId="77777777" w:rsidR="00543D47" w:rsidRPr="00370DFD" w:rsidRDefault="00543D47" w:rsidP="00D9610A">
            <w:pPr>
              <w:spacing w:before="120" w:after="0"/>
              <w:rPr>
                <w:rFonts w:cs="Arial"/>
                <w:b/>
                <w:sz w:val="20"/>
                <w:szCs w:val="20"/>
              </w:rPr>
            </w:pPr>
            <w:r w:rsidRPr="00370DFD">
              <w:rPr>
                <w:rFonts w:eastAsiaTheme="minorHAnsi" w:cstheme="minorBidi"/>
                <w:b/>
                <w:sz w:val="20"/>
                <w:szCs w:val="20"/>
                <w:lang w:eastAsia="en-US"/>
              </w:rPr>
              <w:t>Low-value care</w:t>
            </w:r>
          </w:p>
        </w:tc>
        <w:tc>
          <w:tcPr>
            <w:tcW w:w="6272" w:type="dxa"/>
          </w:tcPr>
          <w:p w14:paraId="0D79BFF5" w14:textId="77777777" w:rsidR="00543D47" w:rsidRPr="00370DFD" w:rsidRDefault="00543D47" w:rsidP="00D9610A">
            <w:pPr>
              <w:spacing w:before="120" w:after="0"/>
              <w:rPr>
                <w:rFonts w:cs="Arial"/>
                <w:sz w:val="20"/>
                <w:szCs w:val="20"/>
              </w:rPr>
            </w:pPr>
            <w:r w:rsidRPr="00370DFD">
              <w:rPr>
                <w:rFonts w:cs="Arial"/>
                <w:color w:val="000000" w:themeColor="text1"/>
                <w:sz w:val="20"/>
                <w:szCs w:val="20"/>
                <w:shd w:val="clear" w:color="auto" w:fill="FFFFFF"/>
              </w:rPr>
              <w:t>The use of an intervention which evidence suggests confers no or very little benefit on patients, or that the risk of harm exceeds the likely benefit, or, more broadly, that the added costs of the intervention do not provide proportional added benefits.</w:t>
            </w:r>
          </w:p>
        </w:tc>
      </w:tr>
      <w:tr w:rsidR="00543D47" w:rsidRPr="00370DFD" w14:paraId="3353B42F" w14:textId="77777777" w:rsidTr="00D9610A">
        <w:tc>
          <w:tcPr>
            <w:tcW w:w="2754" w:type="dxa"/>
          </w:tcPr>
          <w:p w14:paraId="4A2390F3" w14:textId="77777777" w:rsidR="00543D47" w:rsidRPr="00370DFD" w:rsidRDefault="00543D47" w:rsidP="00D9610A">
            <w:pPr>
              <w:spacing w:before="120" w:after="0"/>
              <w:rPr>
                <w:rFonts w:cs="Arial"/>
                <w:b/>
                <w:sz w:val="20"/>
                <w:szCs w:val="20"/>
              </w:rPr>
            </w:pPr>
            <w:r w:rsidRPr="00370DFD">
              <w:rPr>
                <w:b/>
                <w:sz w:val="20"/>
                <w:szCs w:val="20"/>
              </w:rPr>
              <w:t>MBS item</w:t>
            </w:r>
          </w:p>
        </w:tc>
        <w:tc>
          <w:tcPr>
            <w:tcW w:w="6272" w:type="dxa"/>
          </w:tcPr>
          <w:p w14:paraId="517C9457" w14:textId="77777777" w:rsidR="00543D47" w:rsidRPr="00370DFD" w:rsidRDefault="00543D47" w:rsidP="00D9610A">
            <w:pPr>
              <w:spacing w:before="120" w:after="0"/>
              <w:rPr>
                <w:rFonts w:cs="Arial"/>
                <w:b/>
                <w:sz w:val="20"/>
                <w:szCs w:val="20"/>
              </w:rPr>
            </w:pPr>
            <w:r w:rsidRPr="00370DFD">
              <w:rPr>
                <w:rFonts w:cs="Arial"/>
                <w:color w:val="000000" w:themeColor="text1"/>
                <w:sz w:val="20"/>
                <w:szCs w:val="20"/>
              </w:rPr>
              <w:t>An administrative object listed in the MBS and used for the purposes of claiming and paying Medicare benefits, comprising an item number, service descriptor and supporting information, Schedule fee and Medicare benefits.</w:t>
            </w:r>
          </w:p>
        </w:tc>
      </w:tr>
      <w:tr w:rsidR="00543D47" w:rsidRPr="00370DFD" w14:paraId="3D43D34C" w14:textId="77777777" w:rsidTr="00D9610A">
        <w:tc>
          <w:tcPr>
            <w:tcW w:w="2754" w:type="dxa"/>
          </w:tcPr>
          <w:p w14:paraId="2D343C1A" w14:textId="77777777" w:rsidR="00543D47" w:rsidRPr="00370DFD" w:rsidRDefault="00543D47" w:rsidP="00D9610A">
            <w:pPr>
              <w:spacing w:before="120" w:after="0"/>
              <w:rPr>
                <w:rFonts w:cs="Arial"/>
                <w:b/>
                <w:sz w:val="20"/>
                <w:szCs w:val="20"/>
              </w:rPr>
            </w:pPr>
            <w:r w:rsidRPr="00370DFD">
              <w:rPr>
                <w:b/>
                <w:sz w:val="20"/>
                <w:szCs w:val="20"/>
              </w:rPr>
              <w:t>MBS service</w:t>
            </w:r>
          </w:p>
        </w:tc>
        <w:tc>
          <w:tcPr>
            <w:tcW w:w="6272" w:type="dxa"/>
          </w:tcPr>
          <w:p w14:paraId="47F280CB" w14:textId="77777777" w:rsidR="00543D47" w:rsidRPr="00370DFD" w:rsidRDefault="00543D47" w:rsidP="00D9610A">
            <w:pPr>
              <w:spacing w:before="120" w:after="0"/>
              <w:rPr>
                <w:rFonts w:cs="Arial"/>
                <w:sz w:val="20"/>
                <w:szCs w:val="20"/>
              </w:rPr>
            </w:pPr>
            <w:r w:rsidRPr="00370DFD">
              <w:rPr>
                <w:rFonts w:cs="Arial"/>
                <w:color w:val="000000" w:themeColor="text1"/>
                <w:sz w:val="20"/>
                <w:szCs w:val="20"/>
              </w:rPr>
              <w:t>The actual medical consultation, procedure, test to which the relevant MBS item refers.</w:t>
            </w:r>
          </w:p>
        </w:tc>
      </w:tr>
      <w:tr w:rsidR="00543D47" w:rsidRPr="00370DFD" w14:paraId="390C9CA3" w14:textId="77777777" w:rsidTr="00D9610A">
        <w:tc>
          <w:tcPr>
            <w:tcW w:w="2754" w:type="dxa"/>
          </w:tcPr>
          <w:p w14:paraId="6E0DE57F" w14:textId="77777777" w:rsidR="00543D47" w:rsidRPr="00370DFD" w:rsidRDefault="00543D47" w:rsidP="00D9610A">
            <w:pPr>
              <w:spacing w:before="120" w:after="0"/>
              <w:rPr>
                <w:rFonts w:eastAsiaTheme="minorHAnsi" w:cs="Arial"/>
                <w:b/>
                <w:sz w:val="20"/>
                <w:szCs w:val="20"/>
                <w:lang w:eastAsia="en-US"/>
              </w:rPr>
            </w:pPr>
            <w:r w:rsidRPr="00370DFD">
              <w:rPr>
                <w:rFonts w:eastAsiaTheme="minorHAnsi" w:cstheme="minorBidi"/>
                <w:b/>
                <w:sz w:val="20"/>
                <w:szCs w:val="20"/>
                <w:lang w:eastAsia="en-US"/>
              </w:rPr>
              <w:lastRenderedPageBreak/>
              <w:t>MMM</w:t>
            </w:r>
          </w:p>
        </w:tc>
        <w:tc>
          <w:tcPr>
            <w:tcW w:w="6272" w:type="dxa"/>
          </w:tcPr>
          <w:p w14:paraId="262A1FA4"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Monash Modifier Model - is a classification system that categorises metropolitan, regional, rural and remote areas according to both geographical remoteness and population size. The system was developed to recognise the challenges in attracting health workers to more remote and smaller communities.</w:t>
            </w:r>
          </w:p>
        </w:tc>
      </w:tr>
      <w:tr w:rsidR="00543D47" w:rsidRPr="00370DFD" w14:paraId="62BE9028" w14:textId="77777777" w:rsidTr="00D9610A">
        <w:tc>
          <w:tcPr>
            <w:tcW w:w="2754" w:type="dxa"/>
          </w:tcPr>
          <w:p w14:paraId="33E1ECB0" w14:textId="77777777" w:rsidR="00543D47" w:rsidRPr="00370DFD" w:rsidRDefault="00543D47" w:rsidP="00D9610A">
            <w:pPr>
              <w:spacing w:before="120" w:after="0"/>
              <w:rPr>
                <w:rFonts w:eastAsiaTheme="minorHAnsi" w:cs="Arial"/>
                <w:b/>
                <w:sz w:val="20"/>
                <w:szCs w:val="20"/>
                <w:lang w:eastAsia="en-US"/>
              </w:rPr>
            </w:pPr>
            <w:r w:rsidRPr="00370DFD">
              <w:rPr>
                <w:rFonts w:eastAsiaTheme="minorHAnsi" w:cstheme="minorBidi"/>
                <w:b/>
                <w:sz w:val="20"/>
                <w:szCs w:val="20"/>
                <w:lang w:eastAsia="en-US"/>
              </w:rPr>
              <w:t>MSAC</w:t>
            </w:r>
          </w:p>
        </w:tc>
        <w:tc>
          <w:tcPr>
            <w:tcW w:w="6272" w:type="dxa"/>
          </w:tcPr>
          <w:p w14:paraId="7D41DCBF" w14:textId="77777777" w:rsidR="00543D47" w:rsidRPr="00370DFD" w:rsidRDefault="00543D47" w:rsidP="00D9610A">
            <w:pPr>
              <w:spacing w:before="120" w:after="0"/>
              <w:rPr>
                <w:rFonts w:cs="Arial"/>
                <w:sz w:val="20"/>
                <w:szCs w:val="20"/>
              </w:rPr>
            </w:pPr>
            <w:r w:rsidRPr="00370DFD">
              <w:rPr>
                <w:rFonts w:eastAsiaTheme="minorHAnsi" w:cstheme="minorBidi"/>
                <w:sz w:val="20"/>
                <w:szCs w:val="20"/>
                <w:lang w:eastAsia="en-US"/>
              </w:rPr>
              <w:t>Medical Services Advisory Committee</w:t>
            </w:r>
          </w:p>
        </w:tc>
      </w:tr>
      <w:tr w:rsidR="00543D47" w:rsidRPr="00370DFD" w14:paraId="0B9809EC" w14:textId="77777777" w:rsidTr="00D9610A">
        <w:tc>
          <w:tcPr>
            <w:tcW w:w="2754" w:type="dxa"/>
          </w:tcPr>
          <w:p w14:paraId="43AD49A3" w14:textId="77777777" w:rsidR="00543D47" w:rsidRPr="00370DFD" w:rsidRDefault="00543D47" w:rsidP="00D9610A">
            <w:pPr>
              <w:spacing w:before="120" w:after="0"/>
              <w:rPr>
                <w:b/>
                <w:sz w:val="20"/>
                <w:szCs w:val="20"/>
              </w:rPr>
            </w:pPr>
            <w:r w:rsidRPr="00370DFD">
              <w:rPr>
                <w:rFonts w:eastAsiaTheme="minorHAnsi" w:cstheme="minorBidi"/>
                <w:b/>
                <w:sz w:val="20"/>
                <w:szCs w:val="20"/>
                <w:lang w:eastAsia="en-US"/>
              </w:rPr>
              <w:t>NICE</w:t>
            </w:r>
          </w:p>
        </w:tc>
        <w:tc>
          <w:tcPr>
            <w:tcW w:w="6272" w:type="dxa"/>
          </w:tcPr>
          <w:p w14:paraId="69EEDCC3"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National Institute for Health and Care Excellence</w:t>
            </w:r>
          </w:p>
        </w:tc>
      </w:tr>
      <w:tr w:rsidR="00543D47" w:rsidRPr="00370DFD" w14:paraId="4F3E236A" w14:textId="77777777" w:rsidTr="00D9610A">
        <w:tc>
          <w:tcPr>
            <w:tcW w:w="2754" w:type="dxa"/>
          </w:tcPr>
          <w:p w14:paraId="62C1577B" w14:textId="77777777" w:rsidR="00543D47" w:rsidRPr="00370DFD" w:rsidRDefault="00543D47" w:rsidP="00D9610A">
            <w:pPr>
              <w:spacing w:before="120" w:after="0"/>
              <w:rPr>
                <w:b/>
                <w:sz w:val="20"/>
                <w:szCs w:val="20"/>
              </w:rPr>
            </w:pPr>
            <w:r w:rsidRPr="00370DFD">
              <w:rPr>
                <w:rFonts w:eastAsiaTheme="minorHAnsi" w:cstheme="minorBidi"/>
                <w:b/>
                <w:sz w:val="20"/>
                <w:szCs w:val="20"/>
                <w:lang w:eastAsia="en-US"/>
              </w:rPr>
              <w:t>OCC</w:t>
            </w:r>
          </w:p>
        </w:tc>
        <w:tc>
          <w:tcPr>
            <w:tcW w:w="6272" w:type="dxa"/>
          </w:tcPr>
          <w:p w14:paraId="2E460518"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Obstetrics Clinical Committee</w:t>
            </w:r>
          </w:p>
        </w:tc>
      </w:tr>
      <w:tr w:rsidR="00543D47" w:rsidRPr="00370DFD" w14:paraId="6326DE68" w14:textId="77777777" w:rsidTr="00D9610A">
        <w:tc>
          <w:tcPr>
            <w:tcW w:w="2754" w:type="dxa"/>
          </w:tcPr>
          <w:p w14:paraId="1DE16E1B" w14:textId="77777777" w:rsidR="00543D47" w:rsidRPr="00370DFD" w:rsidRDefault="00543D47" w:rsidP="00D9610A">
            <w:pPr>
              <w:spacing w:before="120" w:after="0"/>
              <w:rPr>
                <w:b/>
                <w:sz w:val="20"/>
                <w:szCs w:val="20"/>
              </w:rPr>
            </w:pPr>
            <w:r w:rsidRPr="00370DFD">
              <w:rPr>
                <w:rFonts w:eastAsiaTheme="minorHAnsi" w:cstheme="minorBidi"/>
                <w:b/>
                <w:sz w:val="20"/>
                <w:szCs w:val="20"/>
                <w:lang w:eastAsia="en-US"/>
              </w:rPr>
              <w:t>Obsolete services</w:t>
            </w:r>
          </w:p>
        </w:tc>
        <w:tc>
          <w:tcPr>
            <w:tcW w:w="6272" w:type="dxa"/>
          </w:tcPr>
          <w:p w14:paraId="6C49B80E" w14:textId="77777777" w:rsidR="00543D47" w:rsidRPr="00370DFD" w:rsidRDefault="00543D47" w:rsidP="00D9610A">
            <w:pPr>
              <w:spacing w:before="120" w:after="0"/>
              <w:rPr>
                <w:rFonts w:cs="Arial"/>
                <w:color w:val="000000" w:themeColor="text1"/>
                <w:sz w:val="20"/>
                <w:szCs w:val="20"/>
              </w:rPr>
            </w:pPr>
            <w:r w:rsidRPr="00370DFD">
              <w:rPr>
                <w:rFonts w:cs="Arial"/>
                <w:color w:val="000000" w:themeColor="text1"/>
                <w:sz w:val="20"/>
                <w:szCs w:val="20"/>
              </w:rPr>
              <w:t>Services that should no longer be performed as they do not represent current clinical best practice and have been superseded by superior tests or procedures.</w:t>
            </w:r>
          </w:p>
        </w:tc>
      </w:tr>
      <w:tr w:rsidR="00543D47" w:rsidRPr="00370DFD" w14:paraId="399738D7" w14:textId="77777777" w:rsidTr="00D9610A">
        <w:tc>
          <w:tcPr>
            <w:tcW w:w="2754" w:type="dxa"/>
          </w:tcPr>
          <w:p w14:paraId="652F1638" w14:textId="77777777" w:rsidR="00543D47" w:rsidRPr="00370DFD" w:rsidRDefault="00543D47" w:rsidP="00D9610A">
            <w:pPr>
              <w:spacing w:before="120" w:after="0"/>
              <w:rPr>
                <w:b/>
                <w:sz w:val="20"/>
                <w:szCs w:val="20"/>
              </w:rPr>
            </w:pPr>
            <w:r w:rsidRPr="00370DFD">
              <w:rPr>
                <w:b/>
                <w:sz w:val="20"/>
                <w:szCs w:val="20"/>
              </w:rPr>
              <w:t>PBS</w:t>
            </w:r>
          </w:p>
        </w:tc>
        <w:tc>
          <w:tcPr>
            <w:tcW w:w="6272" w:type="dxa"/>
          </w:tcPr>
          <w:p w14:paraId="5A744566" w14:textId="77777777" w:rsidR="00543D47" w:rsidRPr="00370DFD" w:rsidRDefault="00543D47" w:rsidP="00D9610A">
            <w:pPr>
              <w:spacing w:before="120" w:after="0"/>
              <w:rPr>
                <w:rFonts w:cs="Arial"/>
                <w:color w:val="000000" w:themeColor="text1"/>
                <w:sz w:val="20"/>
                <w:szCs w:val="20"/>
              </w:rPr>
            </w:pPr>
            <w:r w:rsidRPr="00370DFD">
              <w:rPr>
                <w:sz w:val="20"/>
                <w:szCs w:val="20"/>
              </w:rPr>
              <w:t>Pharmaceutical Benefits Scheme</w:t>
            </w:r>
          </w:p>
        </w:tc>
      </w:tr>
      <w:tr w:rsidR="00543D47" w:rsidRPr="00370DFD" w14:paraId="7217D487" w14:textId="77777777" w:rsidTr="00D9610A">
        <w:tc>
          <w:tcPr>
            <w:tcW w:w="2754" w:type="dxa"/>
          </w:tcPr>
          <w:p w14:paraId="796C6153" w14:textId="77777777" w:rsidR="00543D47" w:rsidRPr="00370DFD" w:rsidRDefault="00543D47" w:rsidP="00D9610A">
            <w:pPr>
              <w:spacing w:before="120" w:after="0"/>
              <w:rPr>
                <w:b/>
                <w:sz w:val="20"/>
                <w:szCs w:val="20"/>
              </w:rPr>
            </w:pPr>
            <w:r w:rsidRPr="00370DFD">
              <w:rPr>
                <w:rFonts w:eastAsiaTheme="minorHAnsi" w:cstheme="minorBidi"/>
                <w:b/>
                <w:sz w:val="20"/>
                <w:szCs w:val="20"/>
                <w:lang w:eastAsia="en-US"/>
              </w:rPr>
              <w:t>PHCAG</w:t>
            </w:r>
          </w:p>
        </w:tc>
        <w:tc>
          <w:tcPr>
            <w:tcW w:w="6272" w:type="dxa"/>
          </w:tcPr>
          <w:p w14:paraId="4DDEA975" w14:textId="77777777" w:rsidR="00543D47" w:rsidRPr="00370DFD" w:rsidRDefault="00543D47" w:rsidP="00D9610A">
            <w:pPr>
              <w:spacing w:before="120" w:after="0"/>
              <w:rPr>
                <w:rFonts w:cs="Arial"/>
                <w:color w:val="000000" w:themeColor="text1"/>
                <w:sz w:val="20"/>
                <w:szCs w:val="20"/>
              </w:rPr>
            </w:pPr>
            <w:r w:rsidRPr="00370DFD">
              <w:rPr>
                <w:rFonts w:eastAsiaTheme="minorHAnsi" w:cstheme="minorBidi"/>
                <w:sz w:val="20"/>
                <w:szCs w:val="20"/>
                <w:lang w:eastAsia="en-US"/>
              </w:rPr>
              <w:t>Primary Health Care Advisory Group</w:t>
            </w:r>
          </w:p>
        </w:tc>
      </w:tr>
    </w:tbl>
    <w:p w14:paraId="174135E2" w14:textId="77777777" w:rsidR="00543D47" w:rsidRPr="00370DFD" w:rsidRDefault="00543D47" w:rsidP="00543D47">
      <w:pPr>
        <w:rPr>
          <w:lang w:eastAsia="en-US"/>
        </w:rPr>
      </w:pPr>
      <w:r w:rsidRPr="00370DFD">
        <w:rPr>
          <w:lang w:eastAsia="en-US"/>
        </w:rPr>
        <w:br w:type="page"/>
      </w:r>
    </w:p>
    <w:p w14:paraId="3BBCD5E0" w14:textId="77777777" w:rsidR="00543D47" w:rsidRPr="00370DFD" w:rsidRDefault="00543D47" w:rsidP="00543D47">
      <w:pPr>
        <w:pStyle w:val="AppendixStyle1"/>
        <w:rPr>
          <w:lang w:val="en-AU"/>
        </w:rPr>
      </w:pPr>
      <w:bookmarkStart w:id="194" w:name="_Toc514247637"/>
      <w:r w:rsidRPr="00370DFD">
        <w:rPr>
          <w:lang w:val="en-AU"/>
        </w:rPr>
        <w:lastRenderedPageBreak/>
        <w:t>Summary for consumers</w:t>
      </w:r>
      <w:bookmarkEnd w:id="194"/>
    </w:p>
    <w:p w14:paraId="5665C3BF" w14:textId="77777777" w:rsidR="00543D47" w:rsidRDefault="00543D47" w:rsidP="00543D47">
      <w:pPr>
        <w:pStyle w:val="Caption"/>
      </w:pPr>
      <w:bookmarkStart w:id="195" w:name="_Toc534374977"/>
      <w:r>
        <w:t>Table A1:</w:t>
      </w:r>
      <w:r w:rsidRPr="00A11058">
        <w:t xml:space="preserve"> Pathology Clinical Committee recommendations</w:t>
      </w:r>
      <w:bookmarkEnd w:id="195"/>
    </w:p>
    <w:p w14:paraId="19135A45" w14:textId="77777777" w:rsidR="00543D47" w:rsidRPr="00BA5F0C" w:rsidRDefault="00543D47" w:rsidP="00543D47">
      <w:pPr>
        <w:pStyle w:val="Caption"/>
        <w:rPr>
          <w:b/>
          <w:sz w:val="18"/>
          <w:szCs w:val="18"/>
        </w:rPr>
      </w:pPr>
      <w:bookmarkStart w:id="196" w:name="_Toc487753621"/>
      <w:bookmarkStart w:id="197" w:name="_Toc490651343"/>
      <w:bookmarkStart w:id="198" w:name="_Toc490756864"/>
      <w:bookmarkStart w:id="199" w:name="_Toc491340985"/>
      <w:bookmarkStart w:id="200" w:name="_Toc493598679"/>
      <w:bookmarkStart w:id="201" w:name="_Toc493599701"/>
      <w:bookmarkStart w:id="202" w:name="_Toc493599897"/>
      <w:bookmarkStart w:id="203" w:name="_Toc493687758"/>
      <w:bookmarkStart w:id="204" w:name="_Toc534374978"/>
      <w:r w:rsidRPr="00BA5F0C">
        <w:rPr>
          <w:b/>
          <w:i w:val="0"/>
          <w:sz w:val="18"/>
          <w:szCs w:val="18"/>
        </w:rPr>
        <w:t xml:space="preserve">Recommendation </w:t>
      </w:r>
      <w:r w:rsidRPr="00BA5F0C">
        <w:rPr>
          <w:b/>
          <w:i w:val="0"/>
          <w:sz w:val="18"/>
          <w:szCs w:val="18"/>
        </w:rPr>
        <w:fldChar w:fldCharType="begin"/>
      </w:r>
      <w:r w:rsidRPr="00BA5F0C">
        <w:rPr>
          <w:b/>
          <w:i w:val="0"/>
          <w:sz w:val="18"/>
          <w:szCs w:val="18"/>
        </w:rPr>
        <w:instrText xml:space="preserve"> SEQ Recommendation \* ARABIC </w:instrText>
      </w:r>
      <w:r w:rsidRPr="00BA5F0C">
        <w:rPr>
          <w:b/>
          <w:i w:val="0"/>
          <w:sz w:val="18"/>
          <w:szCs w:val="18"/>
        </w:rPr>
        <w:fldChar w:fldCharType="separate"/>
      </w:r>
      <w:r w:rsidRPr="00BA5F0C">
        <w:rPr>
          <w:b/>
          <w:i w:val="0"/>
          <w:noProof/>
          <w:sz w:val="18"/>
          <w:szCs w:val="18"/>
        </w:rPr>
        <w:t>1</w:t>
      </w:r>
      <w:r w:rsidRPr="00BA5F0C">
        <w:rPr>
          <w:b/>
          <w:i w:val="0"/>
          <w:sz w:val="18"/>
          <w:szCs w:val="18"/>
        </w:rPr>
        <w:fldChar w:fldCharType="end"/>
      </w:r>
      <w:r w:rsidRPr="00BA5F0C">
        <w:rPr>
          <w:b/>
          <w:i w:val="0"/>
          <w:sz w:val="18"/>
          <w:szCs w:val="18"/>
        </w:rPr>
        <w:t>: Regrouping common tests</w:t>
      </w:r>
      <w:bookmarkEnd w:id="196"/>
      <w:bookmarkEnd w:id="197"/>
      <w:bookmarkEnd w:id="198"/>
      <w:bookmarkEnd w:id="199"/>
      <w:bookmarkEnd w:id="200"/>
      <w:bookmarkEnd w:id="201"/>
      <w:bookmarkEnd w:id="202"/>
      <w:bookmarkEnd w:id="203"/>
      <w:bookmarkEnd w:id="204"/>
    </w:p>
    <w:tbl>
      <w:tblPr>
        <w:tblStyle w:val="TableGrid"/>
        <w:tblW w:w="14317"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366"/>
        <w:gridCol w:w="3367"/>
        <w:gridCol w:w="3366"/>
        <w:gridCol w:w="3367"/>
      </w:tblGrid>
      <w:tr w:rsidR="00543D47" w:rsidRPr="00BA5F0C" w14:paraId="7F734655" w14:textId="77777777" w:rsidTr="00D9610A">
        <w:trPr>
          <w:cantSplit/>
          <w:tblHeader/>
        </w:trPr>
        <w:tc>
          <w:tcPr>
            <w:tcW w:w="851" w:type="dxa"/>
          </w:tcPr>
          <w:p w14:paraId="167AC16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366" w:type="dxa"/>
          </w:tcPr>
          <w:p w14:paraId="7E5AC9C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367" w:type="dxa"/>
          </w:tcPr>
          <w:p w14:paraId="7BFB17E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366" w:type="dxa"/>
          </w:tcPr>
          <w:p w14:paraId="6AD0DFA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367" w:type="dxa"/>
          </w:tcPr>
          <w:p w14:paraId="6A2097F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3E69E20C" w14:textId="77777777" w:rsidTr="00D9610A">
        <w:trPr>
          <w:cantSplit/>
        </w:trPr>
        <w:tc>
          <w:tcPr>
            <w:tcW w:w="851" w:type="dxa"/>
          </w:tcPr>
          <w:p w14:paraId="045E1608" w14:textId="77777777" w:rsidR="00543D47" w:rsidRPr="00BA5F0C" w:rsidRDefault="00543D47" w:rsidP="00D9610A">
            <w:pPr>
              <w:spacing w:before="40" w:after="40" w:line="240" w:lineRule="auto"/>
              <w:rPr>
                <w:rFonts w:cs="Arial"/>
                <w:b/>
                <w:sz w:val="18"/>
                <w:szCs w:val="18"/>
                <w:lang w:val="en-US" w:eastAsia="en-US"/>
              </w:rPr>
            </w:pPr>
            <w:r w:rsidRPr="00BA5F0C">
              <w:rPr>
                <w:rFonts w:cs="Arial"/>
                <w:b/>
                <w:color w:val="222222"/>
                <w:sz w:val="18"/>
                <w:szCs w:val="18"/>
              </w:rPr>
              <w:t>66500</w:t>
            </w:r>
          </w:p>
        </w:tc>
        <w:tc>
          <w:tcPr>
            <w:tcW w:w="3366" w:type="dxa"/>
          </w:tcPr>
          <w:p w14:paraId="287FDACB" w14:textId="77777777" w:rsidR="00543D47" w:rsidRPr="00BA5F0C" w:rsidRDefault="00543D47" w:rsidP="00D9610A">
            <w:pPr>
              <w:spacing w:before="40" w:after="40" w:line="240" w:lineRule="auto"/>
              <w:rPr>
                <w:rFonts w:cs="Arial"/>
                <w:sz w:val="18"/>
                <w:szCs w:val="18"/>
              </w:rPr>
            </w:pPr>
            <w:r w:rsidRPr="00BA5F0C">
              <w:rPr>
                <w:rFonts w:cs="Arial"/>
                <w:sz w:val="18"/>
                <w:szCs w:val="18"/>
              </w:rPr>
              <w:t>Wide range of frequently requested blood, urine and other body fluid tests, when requested as a single test</w:t>
            </w:r>
          </w:p>
        </w:tc>
        <w:tc>
          <w:tcPr>
            <w:tcW w:w="3367" w:type="dxa"/>
          </w:tcPr>
          <w:p w14:paraId="4BF965D4"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Introduce three new items that would group some of the tests covered under 66500 into three commonly requested panels. The three panels would cover: electrolytes, urea and creatinine (EUC), liver function tests (LFTs) and calcium, phosphate with albumin. Lipids tests will be taken out of the group and integrated into the HDL item. Acid phosphatase and globulin would be removed from this item. Neonatal bilirubin would be added to this item as a single test for infants.</w:t>
            </w:r>
          </w:p>
        </w:tc>
        <w:tc>
          <w:tcPr>
            <w:tcW w:w="3366" w:type="dxa"/>
          </w:tcPr>
          <w:p w14:paraId="39C445D1" w14:textId="77777777" w:rsidR="00543D47" w:rsidRPr="00BA5F0C" w:rsidRDefault="00543D47" w:rsidP="00D9610A">
            <w:pPr>
              <w:spacing w:before="40" w:after="40" w:line="240" w:lineRule="auto"/>
              <w:ind w:left="57" w:right="57"/>
              <w:rPr>
                <w:sz w:val="18"/>
                <w:szCs w:val="18"/>
              </w:rPr>
            </w:pPr>
            <w:r w:rsidRPr="00BA5F0C">
              <w:rPr>
                <w:sz w:val="18"/>
                <w:szCs w:val="18"/>
              </w:rPr>
              <w:t>The tests would be grouped into panels that usefully reflect clinical practice. Lipids tests would be removed from this item, as they will be covered under other items. Some other tests that no longer have clinical utility will be deleted.</w:t>
            </w:r>
          </w:p>
          <w:p w14:paraId="39B72790" w14:textId="77777777" w:rsidR="00543D47" w:rsidRPr="00BA5F0C" w:rsidRDefault="00543D47" w:rsidP="00D9610A">
            <w:pPr>
              <w:spacing w:before="40" w:after="40" w:line="240" w:lineRule="auto"/>
              <w:ind w:left="57" w:right="57"/>
              <w:rPr>
                <w:sz w:val="18"/>
                <w:szCs w:val="18"/>
              </w:rPr>
            </w:pPr>
            <w:r w:rsidRPr="00BA5F0C">
              <w:rPr>
                <w:sz w:val="18"/>
                <w:szCs w:val="18"/>
              </w:rPr>
              <w:t xml:space="preserve">GPs will be educated about the changes to item 66500 and about appropriate collection and transport of samples, particularly for glucose tests. </w:t>
            </w:r>
          </w:p>
          <w:p w14:paraId="42758179" w14:textId="77777777" w:rsidR="00543D47" w:rsidRPr="00BA5F0C" w:rsidRDefault="00543D47" w:rsidP="00D9610A">
            <w:pPr>
              <w:spacing w:before="40" w:after="40" w:line="240" w:lineRule="auto"/>
              <w:ind w:left="57" w:right="57"/>
              <w:rPr>
                <w:rFonts w:cs="Arial"/>
                <w:b/>
                <w:sz w:val="18"/>
                <w:szCs w:val="18"/>
                <w:lang w:val="en-US" w:eastAsia="en-US"/>
              </w:rPr>
            </w:pPr>
          </w:p>
        </w:tc>
        <w:tc>
          <w:tcPr>
            <w:tcW w:w="3367" w:type="dxa"/>
          </w:tcPr>
          <w:p w14:paraId="30F4E7B5" w14:textId="77777777" w:rsidR="00543D47" w:rsidRPr="00BA5F0C" w:rsidRDefault="00543D47" w:rsidP="00D9610A">
            <w:pPr>
              <w:spacing w:before="40" w:after="40" w:line="240" w:lineRule="auto"/>
              <w:rPr>
                <w:rFonts w:cs="Arial"/>
                <w:b/>
                <w:sz w:val="18"/>
                <w:szCs w:val="18"/>
                <w:lang w:val="en-US" w:eastAsia="en-US"/>
              </w:rPr>
            </w:pPr>
            <w:r w:rsidRPr="00BA5F0C">
              <w:rPr>
                <w:sz w:val="18"/>
                <w:szCs w:val="18"/>
              </w:rPr>
              <w:t>To align testing with current clinical requesting practice, rather than billing system, and to allow better MBS data to be collected about tests used in Australia.</w:t>
            </w:r>
          </w:p>
        </w:tc>
      </w:tr>
      <w:tr w:rsidR="00543D47" w:rsidRPr="00BA5F0C" w14:paraId="5B68A61D" w14:textId="77777777" w:rsidTr="00D9610A">
        <w:trPr>
          <w:cantSplit/>
        </w:trPr>
        <w:tc>
          <w:tcPr>
            <w:tcW w:w="851" w:type="dxa"/>
          </w:tcPr>
          <w:p w14:paraId="7F11B149"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66503</w:t>
            </w:r>
          </w:p>
        </w:tc>
        <w:tc>
          <w:tcPr>
            <w:tcW w:w="3366" w:type="dxa"/>
          </w:tcPr>
          <w:p w14:paraId="64CB2FEF" w14:textId="77777777" w:rsidR="00543D47" w:rsidRPr="00BA5F0C" w:rsidRDefault="00543D47" w:rsidP="00D9610A">
            <w:pPr>
              <w:spacing w:before="40" w:after="40" w:line="240" w:lineRule="auto"/>
              <w:rPr>
                <w:rFonts w:cs="Arial"/>
                <w:sz w:val="18"/>
                <w:szCs w:val="18"/>
              </w:rPr>
            </w:pPr>
            <w:r w:rsidRPr="00BA5F0C">
              <w:rPr>
                <w:rFonts w:cs="Arial"/>
                <w:sz w:val="18"/>
                <w:szCs w:val="18"/>
              </w:rPr>
              <w:t>2 tests described in item 66500</w:t>
            </w:r>
          </w:p>
        </w:tc>
        <w:tc>
          <w:tcPr>
            <w:tcW w:w="3367" w:type="dxa"/>
          </w:tcPr>
          <w:p w14:paraId="61FACBBF"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Change to clinically relevant groupings </w:t>
            </w:r>
          </w:p>
        </w:tc>
        <w:tc>
          <w:tcPr>
            <w:tcW w:w="3366" w:type="dxa"/>
          </w:tcPr>
          <w:p w14:paraId="6D675C1D" w14:textId="77777777" w:rsidR="00543D47" w:rsidRPr="00BA5F0C" w:rsidRDefault="00543D47" w:rsidP="00D9610A">
            <w:pPr>
              <w:spacing w:before="40" w:after="40" w:line="240" w:lineRule="auto"/>
              <w:ind w:left="57" w:right="57"/>
              <w:rPr>
                <w:sz w:val="18"/>
                <w:szCs w:val="18"/>
              </w:rPr>
            </w:pPr>
            <w:r w:rsidRPr="00BA5F0C">
              <w:rPr>
                <w:sz w:val="18"/>
                <w:szCs w:val="18"/>
              </w:rPr>
              <w:t>Panels would usefully reflect clinical practice</w:t>
            </w:r>
          </w:p>
        </w:tc>
        <w:tc>
          <w:tcPr>
            <w:tcW w:w="3367" w:type="dxa"/>
          </w:tcPr>
          <w:p w14:paraId="3145BCCC" w14:textId="77777777" w:rsidR="00543D47" w:rsidRPr="00BA5F0C" w:rsidRDefault="00543D47" w:rsidP="00D9610A">
            <w:pPr>
              <w:spacing w:before="40" w:after="40" w:line="240" w:lineRule="auto"/>
              <w:rPr>
                <w:sz w:val="18"/>
                <w:szCs w:val="18"/>
              </w:rPr>
            </w:pPr>
            <w:r w:rsidRPr="00BA5F0C">
              <w:rPr>
                <w:sz w:val="18"/>
                <w:szCs w:val="18"/>
              </w:rPr>
              <w:t>To align testing with current clinical practice.</w:t>
            </w:r>
          </w:p>
        </w:tc>
      </w:tr>
      <w:tr w:rsidR="00543D47" w:rsidRPr="00BA5F0C" w14:paraId="7676CA36" w14:textId="77777777" w:rsidTr="00D9610A">
        <w:trPr>
          <w:cantSplit/>
        </w:trPr>
        <w:tc>
          <w:tcPr>
            <w:tcW w:w="851" w:type="dxa"/>
          </w:tcPr>
          <w:p w14:paraId="58B995BA"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66506</w:t>
            </w:r>
          </w:p>
        </w:tc>
        <w:tc>
          <w:tcPr>
            <w:tcW w:w="3366" w:type="dxa"/>
          </w:tcPr>
          <w:p w14:paraId="62B1EFB0" w14:textId="77777777" w:rsidR="00543D47" w:rsidRPr="00BA5F0C" w:rsidRDefault="00543D47" w:rsidP="00D9610A">
            <w:pPr>
              <w:spacing w:before="40" w:after="40" w:line="240" w:lineRule="auto"/>
              <w:rPr>
                <w:rFonts w:cs="Arial"/>
                <w:sz w:val="18"/>
                <w:szCs w:val="18"/>
              </w:rPr>
            </w:pPr>
            <w:r w:rsidRPr="00BA5F0C">
              <w:rPr>
                <w:rFonts w:cs="Arial"/>
                <w:sz w:val="18"/>
                <w:szCs w:val="18"/>
              </w:rPr>
              <w:t>3 tests described in item 66500</w:t>
            </w:r>
          </w:p>
        </w:tc>
        <w:tc>
          <w:tcPr>
            <w:tcW w:w="3367" w:type="dxa"/>
          </w:tcPr>
          <w:p w14:paraId="5F451B16" w14:textId="77777777" w:rsidR="00543D47" w:rsidRPr="00BA5F0C" w:rsidRDefault="00543D47" w:rsidP="00D9610A">
            <w:pPr>
              <w:spacing w:before="40" w:after="40" w:line="240" w:lineRule="auto"/>
              <w:rPr>
                <w:rFonts w:cs="Arial"/>
                <w:sz w:val="18"/>
                <w:szCs w:val="18"/>
              </w:rPr>
            </w:pPr>
            <w:r w:rsidRPr="00BA5F0C">
              <w:rPr>
                <w:rFonts w:cs="Arial"/>
                <w:sz w:val="18"/>
                <w:szCs w:val="18"/>
              </w:rPr>
              <w:t>Change to clinically relevant groupings</w:t>
            </w:r>
          </w:p>
        </w:tc>
        <w:tc>
          <w:tcPr>
            <w:tcW w:w="3366" w:type="dxa"/>
          </w:tcPr>
          <w:p w14:paraId="792D0743" w14:textId="77777777" w:rsidR="00543D47" w:rsidRPr="00BA5F0C" w:rsidRDefault="00543D47" w:rsidP="00D9610A">
            <w:pPr>
              <w:spacing w:before="40" w:after="40" w:line="240" w:lineRule="auto"/>
              <w:ind w:left="57" w:right="57"/>
              <w:rPr>
                <w:sz w:val="18"/>
                <w:szCs w:val="18"/>
              </w:rPr>
            </w:pPr>
            <w:r w:rsidRPr="00BA5F0C">
              <w:rPr>
                <w:sz w:val="18"/>
                <w:szCs w:val="18"/>
              </w:rPr>
              <w:t>Panels would usefully reflect clinical practice</w:t>
            </w:r>
          </w:p>
        </w:tc>
        <w:tc>
          <w:tcPr>
            <w:tcW w:w="3367" w:type="dxa"/>
          </w:tcPr>
          <w:p w14:paraId="4F7C813C" w14:textId="77777777" w:rsidR="00543D47" w:rsidRPr="00BA5F0C" w:rsidRDefault="00543D47" w:rsidP="00D9610A">
            <w:pPr>
              <w:spacing w:before="40" w:after="40" w:line="240" w:lineRule="auto"/>
              <w:rPr>
                <w:sz w:val="18"/>
                <w:szCs w:val="18"/>
              </w:rPr>
            </w:pPr>
            <w:r w:rsidRPr="00BA5F0C">
              <w:rPr>
                <w:sz w:val="18"/>
                <w:szCs w:val="18"/>
              </w:rPr>
              <w:t>To align testing with current clinical practice.</w:t>
            </w:r>
          </w:p>
        </w:tc>
      </w:tr>
      <w:tr w:rsidR="00543D47" w:rsidRPr="00BA5F0C" w14:paraId="739FDE8D" w14:textId="77777777" w:rsidTr="00D9610A">
        <w:trPr>
          <w:cantSplit/>
        </w:trPr>
        <w:tc>
          <w:tcPr>
            <w:tcW w:w="851" w:type="dxa"/>
          </w:tcPr>
          <w:p w14:paraId="46387DA4"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66509</w:t>
            </w:r>
          </w:p>
        </w:tc>
        <w:tc>
          <w:tcPr>
            <w:tcW w:w="3366" w:type="dxa"/>
          </w:tcPr>
          <w:p w14:paraId="0038D885" w14:textId="77777777" w:rsidR="00543D47" w:rsidRPr="00BA5F0C" w:rsidRDefault="00543D47" w:rsidP="00D9610A">
            <w:pPr>
              <w:spacing w:before="40" w:after="40" w:line="240" w:lineRule="auto"/>
              <w:rPr>
                <w:rFonts w:cs="Arial"/>
                <w:sz w:val="18"/>
                <w:szCs w:val="18"/>
              </w:rPr>
            </w:pPr>
            <w:r w:rsidRPr="00BA5F0C">
              <w:rPr>
                <w:rFonts w:cs="Arial"/>
                <w:sz w:val="18"/>
                <w:szCs w:val="18"/>
              </w:rPr>
              <w:t>4 tests described in item 66500</w:t>
            </w:r>
          </w:p>
        </w:tc>
        <w:tc>
          <w:tcPr>
            <w:tcW w:w="3367" w:type="dxa"/>
          </w:tcPr>
          <w:p w14:paraId="1FD714ED" w14:textId="77777777" w:rsidR="00543D47" w:rsidRPr="00BA5F0C" w:rsidRDefault="00543D47" w:rsidP="00D9610A">
            <w:pPr>
              <w:spacing w:before="40" w:after="40" w:line="240" w:lineRule="auto"/>
              <w:rPr>
                <w:rFonts w:cs="Arial"/>
                <w:sz w:val="18"/>
                <w:szCs w:val="18"/>
              </w:rPr>
            </w:pPr>
            <w:r w:rsidRPr="00BA5F0C">
              <w:rPr>
                <w:rFonts w:cs="Arial"/>
                <w:sz w:val="18"/>
                <w:szCs w:val="18"/>
              </w:rPr>
              <w:t>Change to clinically relevant groupings</w:t>
            </w:r>
          </w:p>
        </w:tc>
        <w:tc>
          <w:tcPr>
            <w:tcW w:w="3366" w:type="dxa"/>
          </w:tcPr>
          <w:p w14:paraId="194A7AD4" w14:textId="77777777" w:rsidR="00543D47" w:rsidRPr="00BA5F0C" w:rsidRDefault="00543D47" w:rsidP="00D9610A">
            <w:pPr>
              <w:spacing w:before="40" w:after="40" w:line="240" w:lineRule="auto"/>
              <w:ind w:left="57" w:right="57"/>
              <w:rPr>
                <w:sz w:val="18"/>
                <w:szCs w:val="18"/>
              </w:rPr>
            </w:pPr>
            <w:r w:rsidRPr="00BA5F0C">
              <w:rPr>
                <w:sz w:val="18"/>
                <w:szCs w:val="18"/>
              </w:rPr>
              <w:t>Panels would usefully reflect clinical practice</w:t>
            </w:r>
          </w:p>
        </w:tc>
        <w:tc>
          <w:tcPr>
            <w:tcW w:w="3367" w:type="dxa"/>
          </w:tcPr>
          <w:p w14:paraId="5956D7C1" w14:textId="77777777" w:rsidR="00543D47" w:rsidRPr="00BA5F0C" w:rsidRDefault="00543D47" w:rsidP="00D9610A">
            <w:pPr>
              <w:spacing w:before="40" w:after="40" w:line="240" w:lineRule="auto"/>
              <w:rPr>
                <w:sz w:val="18"/>
                <w:szCs w:val="18"/>
              </w:rPr>
            </w:pPr>
            <w:r w:rsidRPr="00BA5F0C">
              <w:rPr>
                <w:sz w:val="18"/>
                <w:szCs w:val="18"/>
              </w:rPr>
              <w:t>To align testing with current clinical practice.</w:t>
            </w:r>
          </w:p>
        </w:tc>
      </w:tr>
      <w:tr w:rsidR="00543D47" w:rsidRPr="00BA5F0C" w14:paraId="33339D86" w14:textId="77777777" w:rsidTr="00D9610A">
        <w:trPr>
          <w:cantSplit/>
        </w:trPr>
        <w:tc>
          <w:tcPr>
            <w:tcW w:w="851" w:type="dxa"/>
          </w:tcPr>
          <w:p w14:paraId="5729C67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66512</w:t>
            </w:r>
          </w:p>
        </w:tc>
        <w:tc>
          <w:tcPr>
            <w:tcW w:w="3366" w:type="dxa"/>
          </w:tcPr>
          <w:p w14:paraId="78AF1419" w14:textId="77777777" w:rsidR="00543D47" w:rsidRPr="00BA5F0C" w:rsidRDefault="00543D47" w:rsidP="00D9610A">
            <w:pPr>
              <w:spacing w:before="40" w:after="40" w:line="240" w:lineRule="auto"/>
              <w:rPr>
                <w:rFonts w:cs="Arial"/>
                <w:sz w:val="18"/>
                <w:szCs w:val="18"/>
              </w:rPr>
            </w:pPr>
            <w:r w:rsidRPr="00BA5F0C">
              <w:rPr>
                <w:rFonts w:cs="Arial"/>
                <w:sz w:val="18"/>
                <w:szCs w:val="18"/>
              </w:rPr>
              <w:t>5 or more tests described in item 66500</w:t>
            </w:r>
          </w:p>
        </w:tc>
        <w:tc>
          <w:tcPr>
            <w:tcW w:w="3367" w:type="dxa"/>
          </w:tcPr>
          <w:p w14:paraId="6FA2F99E" w14:textId="77777777" w:rsidR="00543D47" w:rsidRPr="00BA5F0C" w:rsidRDefault="00543D47" w:rsidP="00D9610A">
            <w:pPr>
              <w:spacing w:before="40" w:after="40" w:line="240" w:lineRule="auto"/>
              <w:rPr>
                <w:rFonts w:cs="Arial"/>
                <w:sz w:val="18"/>
                <w:szCs w:val="18"/>
              </w:rPr>
            </w:pPr>
            <w:r w:rsidRPr="00BA5F0C">
              <w:rPr>
                <w:rFonts w:cs="Arial"/>
                <w:sz w:val="18"/>
                <w:szCs w:val="18"/>
              </w:rPr>
              <w:t>Change to clinically relevant groupings</w:t>
            </w:r>
          </w:p>
        </w:tc>
        <w:tc>
          <w:tcPr>
            <w:tcW w:w="3366" w:type="dxa"/>
          </w:tcPr>
          <w:p w14:paraId="5A4F0A06" w14:textId="77777777" w:rsidR="00543D47" w:rsidRPr="00BA5F0C" w:rsidRDefault="00543D47" w:rsidP="00D9610A">
            <w:pPr>
              <w:spacing w:before="40" w:after="40" w:line="240" w:lineRule="auto"/>
              <w:ind w:left="57" w:right="57"/>
              <w:rPr>
                <w:sz w:val="18"/>
                <w:szCs w:val="18"/>
              </w:rPr>
            </w:pPr>
            <w:r w:rsidRPr="00BA5F0C">
              <w:rPr>
                <w:sz w:val="18"/>
                <w:szCs w:val="18"/>
              </w:rPr>
              <w:t>Panels would usefully reflect clinical practice</w:t>
            </w:r>
          </w:p>
        </w:tc>
        <w:tc>
          <w:tcPr>
            <w:tcW w:w="3367" w:type="dxa"/>
          </w:tcPr>
          <w:p w14:paraId="25406A1D" w14:textId="77777777" w:rsidR="00543D47" w:rsidRPr="00BA5F0C" w:rsidRDefault="00543D47" w:rsidP="00D9610A">
            <w:pPr>
              <w:spacing w:before="40" w:after="40" w:line="240" w:lineRule="auto"/>
              <w:rPr>
                <w:sz w:val="18"/>
                <w:szCs w:val="18"/>
              </w:rPr>
            </w:pPr>
            <w:r w:rsidRPr="00BA5F0C">
              <w:rPr>
                <w:sz w:val="18"/>
                <w:szCs w:val="18"/>
              </w:rPr>
              <w:t>To align testing with current clinical practice.</w:t>
            </w:r>
          </w:p>
        </w:tc>
      </w:tr>
    </w:tbl>
    <w:p w14:paraId="5E2EDFFD" w14:textId="77777777" w:rsidR="00543D47" w:rsidRPr="00BA5F0C" w:rsidRDefault="00543D47" w:rsidP="00543D47">
      <w:pPr>
        <w:spacing w:before="40" w:after="40" w:line="240" w:lineRule="auto"/>
        <w:rPr>
          <w:sz w:val="18"/>
          <w:szCs w:val="18"/>
        </w:rPr>
      </w:pPr>
    </w:p>
    <w:p w14:paraId="4753E399" w14:textId="77777777" w:rsidR="00543D47" w:rsidRPr="00BA5F0C" w:rsidRDefault="00543D47" w:rsidP="00543D47">
      <w:pPr>
        <w:pStyle w:val="Caption"/>
        <w:rPr>
          <w:b/>
          <w:i w:val="0"/>
          <w:sz w:val="18"/>
          <w:szCs w:val="18"/>
        </w:rPr>
      </w:pPr>
      <w:bookmarkStart w:id="205" w:name="_Toc487753622"/>
      <w:bookmarkStart w:id="206" w:name="_Toc490651344"/>
      <w:bookmarkStart w:id="207" w:name="_Toc490756865"/>
      <w:bookmarkStart w:id="208" w:name="_Toc491340986"/>
      <w:bookmarkStart w:id="209" w:name="_Toc493598680"/>
      <w:bookmarkStart w:id="210" w:name="_Toc493599702"/>
      <w:bookmarkStart w:id="211" w:name="_Toc493599898"/>
      <w:bookmarkStart w:id="212" w:name="_Toc493687759"/>
      <w:bookmarkStart w:id="213" w:name="_Toc534374979"/>
      <w:r w:rsidRPr="00BA5F0C">
        <w:rPr>
          <w:b/>
          <w:i w:val="0"/>
          <w:sz w:val="18"/>
          <w:szCs w:val="18"/>
        </w:rPr>
        <w:lastRenderedPageBreak/>
        <w:t>Proposed new items</w:t>
      </w:r>
      <w:bookmarkEnd w:id="205"/>
      <w:bookmarkEnd w:id="206"/>
      <w:bookmarkEnd w:id="207"/>
      <w:bookmarkEnd w:id="208"/>
      <w:bookmarkEnd w:id="209"/>
      <w:bookmarkEnd w:id="210"/>
      <w:bookmarkEnd w:id="211"/>
      <w:bookmarkEnd w:id="212"/>
      <w:bookmarkEnd w:id="213"/>
    </w:p>
    <w:tbl>
      <w:tblPr>
        <w:tblStyle w:val="TableGrid"/>
        <w:tblW w:w="14317"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851"/>
        <w:gridCol w:w="3366"/>
        <w:gridCol w:w="3367"/>
        <w:gridCol w:w="3366"/>
        <w:gridCol w:w="3367"/>
      </w:tblGrid>
      <w:tr w:rsidR="00543D47" w:rsidRPr="00BA5F0C" w14:paraId="1710CC9C" w14:textId="77777777" w:rsidTr="00D9610A">
        <w:trPr>
          <w:cantSplit/>
          <w:tblHeader/>
        </w:trPr>
        <w:tc>
          <w:tcPr>
            <w:tcW w:w="851" w:type="dxa"/>
          </w:tcPr>
          <w:p w14:paraId="784F33A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366" w:type="dxa"/>
          </w:tcPr>
          <w:p w14:paraId="117C9988"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What it does</w:t>
            </w:r>
          </w:p>
        </w:tc>
        <w:tc>
          <w:tcPr>
            <w:tcW w:w="3367" w:type="dxa"/>
          </w:tcPr>
          <w:p w14:paraId="741ABB90"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Committee recommendation</w:t>
            </w:r>
          </w:p>
        </w:tc>
        <w:tc>
          <w:tcPr>
            <w:tcW w:w="3366" w:type="dxa"/>
          </w:tcPr>
          <w:p w14:paraId="409A7641"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What would be different</w:t>
            </w:r>
          </w:p>
        </w:tc>
        <w:tc>
          <w:tcPr>
            <w:tcW w:w="3367" w:type="dxa"/>
          </w:tcPr>
          <w:p w14:paraId="00B767AB"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Why</w:t>
            </w:r>
          </w:p>
        </w:tc>
      </w:tr>
      <w:tr w:rsidR="00543D47" w:rsidRPr="00BA5F0C" w14:paraId="45C1BC65" w14:textId="77777777" w:rsidTr="00D9610A">
        <w:trPr>
          <w:cantSplit/>
        </w:trPr>
        <w:tc>
          <w:tcPr>
            <w:tcW w:w="851" w:type="dxa"/>
          </w:tcPr>
          <w:p w14:paraId="7A864D1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New item</w:t>
            </w:r>
          </w:p>
        </w:tc>
        <w:tc>
          <w:tcPr>
            <w:tcW w:w="3366" w:type="dxa"/>
          </w:tcPr>
          <w:p w14:paraId="0D478D10"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 xml:space="preserve">Urea, electrolytes, creatinine panel, that includes tests for: </w:t>
            </w:r>
          </w:p>
          <w:p w14:paraId="0CFB4EB2" w14:textId="77777777" w:rsidR="00543D47" w:rsidRPr="00BA5F0C" w:rsidRDefault="00543D47" w:rsidP="00D9610A">
            <w:pPr>
              <w:pStyle w:val="ListParagraph"/>
              <w:numPr>
                <w:ilvl w:val="0"/>
                <w:numId w:val="31"/>
              </w:numPr>
              <w:spacing w:before="40" w:after="40" w:line="240" w:lineRule="auto"/>
              <w:rPr>
                <w:b w:val="0"/>
                <w:sz w:val="18"/>
                <w:szCs w:val="18"/>
                <w:lang w:val="en-US" w:eastAsia="en-US"/>
              </w:rPr>
            </w:pPr>
            <w:r w:rsidRPr="00BA5F0C">
              <w:rPr>
                <w:b w:val="0"/>
                <w:sz w:val="18"/>
                <w:szCs w:val="18"/>
                <w:lang w:val="en-US" w:eastAsia="en-US"/>
              </w:rPr>
              <w:t xml:space="preserve">bicarbonate </w:t>
            </w:r>
          </w:p>
          <w:p w14:paraId="2006B8C4" w14:textId="77777777" w:rsidR="00543D47" w:rsidRPr="00BA5F0C" w:rsidRDefault="00543D47" w:rsidP="00D9610A">
            <w:pPr>
              <w:pStyle w:val="ListParagraph"/>
              <w:numPr>
                <w:ilvl w:val="0"/>
                <w:numId w:val="31"/>
              </w:numPr>
              <w:spacing w:before="40" w:after="40" w:line="240" w:lineRule="auto"/>
              <w:rPr>
                <w:b w:val="0"/>
                <w:sz w:val="18"/>
                <w:szCs w:val="18"/>
                <w:lang w:val="en-US" w:eastAsia="en-US"/>
              </w:rPr>
            </w:pPr>
            <w:r w:rsidRPr="00BA5F0C">
              <w:rPr>
                <w:b w:val="0"/>
                <w:sz w:val="18"/>
                <w:szCs w:val="18"/>
                <w:lang w:val="en-US" w:eastAsia="en-US"/>
              </w:rPr>
              <w:t>sodium</w:t>
            </w:r>
          </w:p>
          <w:p w14:paraId="3CEAF039" w14:textId="77777777" w:rsidR="00543D47" w:rsidRPr="00BA5F0C" w:rsidRDefault="00543D47" w:rsidP="00D9610A">
            <w:pPr>
              <w:pStyle w:val="ListParagraph"/>
              <w:numPr>
                <w:ilvl w:val="0"/>
                <w:numId w:val="31"/>
              </w:numPr>
              <w:spacing w:before="40" w:after="40" w:line="240" w:lineRule="auto"/>
              <w:rPr>
                <w:b w:val="0"/>
                <w:sz w:val="18"/>
                <w:szCs w:val="18"/>
                <w:lang w:val="en-US" w:eastAsia="en-US"/>
              </w:rPr>
            </w:pPr>
            <w:r w:rsidRPr="00BA5F0C">
              <w:rPr>
                <w:b w:val="0"/>
                <w:sz w:val="18"/>
                <w:szCs w:val="18"/>
                <w:lang w:val="en-US" w:eastAsia="en-US"/>
              </w:rPr>
              <w:t>potassium</w:t>
            </w:r>
          </w:p>
          <w:p w14:paraId="1C0E9D51" w14:textId="77777777" w:rsidR="00543D47" w:rsidRPr="00BA5F0C" w:rsidRDefault="00543D47" w:rsidP="00D9610A">
            <w:pPr>
              <w:pStyle w:val="ListParagraph"/>
              <w:numPr>
                <w:ilvl w:val="0"/>
                <w:numId w:val="31"/>
              </w:numPr>
              <w:spacing w:before="40" w:after="40" w:line="240" w:lineRule="auto"/>
              <w:rPr>
                <w:b w:val="0"/>
                <w:sz w:val="18"/>
                <w:szCs w:val="18"/>
                <w:lang w:val="en-US" w:eastAsia="en-US"/>
              </w:rPr>
            </w:pPr>
            <w:r w:rsidRPr="00BA5F0C">
              <w:rPr>
                <w:b w:val="0"/>
                <w:sz w:val="18"/>
                <w:szCs w:val="18"/>
                <w:lang w:val="en-US" w:eastAsia="en-US"/>
              </w:rPr>
              <w:t>urea</w:t>
            </w:r>
          </w:p>
          <w:p w14:paraId="77B5E166" w14:textId="77777777" w:rsidR="00543D47" w:rsidRPr="003379EB" w:rsidRDefault="00543D47" w:rsidP="00D9610A">
            <w:pPr>
              <w:pStyle w:val="ListParagraph"/>
              <w:numPr>
                <w:ilvl w:val="0"/>
                <w:numId w:val="31"/>
              </w:numPr>
              <w:spacing w:before="40" w:after="40" w:line="240" w:lineRule="auto"/>
              <w:rPr>
                <w:b w:val="0"/>
                <w:sz w:val="18"/>
                <w:szCs w:val="18"/>
              </w:rPr>
            </w:pPr>
            <w:r w:rsidRPr="00BA5F0C">
              <w:rPr>
                <w:b w:val="0"/>
                <w:sz w:val="18"/>
                <w:szCs w:val="18"/>
                <w:lang w:val="en-US" w:eastAsia="en-US"/>
              </w:rPr>
              <w:t>creatinine</w:t>
            </w:r>
          </w:p>
          <w:p w14:paraId="1794F002" w14:textId="77777777" w:rsidR="00543D47" w:rsidRPr="00BA5F0C" w:rsidRDefault="00543D47" w:rsidP="00D9610A">
            <w:pPr>
              <w:pStyle w:val="ListParagraph"/>
              <w:numPr>
                <w:ilvl w:val="0"/>
                <w:numId w:val="31"/>
              </w:numPr>
              <w:spacing w:before="40" w:after="40" w:line="240" w:lineRule="auto"/>
              <w:rPr>
                <w:b w:val="0"/>
                <w:sz w:val="18"/>
                <w:szCs w:val="18"/>
              </w:rPr>
            </w:pPr>
            <w:r>
              <w:rPr>
                <w:b w:val="0"/>
                <w:sz w:val="18"/>
                <w:szCs w:val="18"/>
                <w:lang w:val="en-US" w:eastAsia="en-US"/>
              </w:rPr>
              <w:t>chloride</w:t>
            </w:r>
          </w:p>
        </w:tc>
        <w:tc>
          <w:tcPr>
            <w:tcW w:w="3367" w:type="dxa"/>
          </w:tcPr>
          <w:p w14:paraId="47C82A35"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Create a new item that groups relevant tests as a minimum panel</w:t>
            </w:r>
          </w:p>
        </w:tc>
        <w:tc>
          <w:tcPr>
            <w:tcW w:w="3366" w:type="dxa"/>
          </w:tcPr>
          <w:p w14:paraId="650816E8" w14:textId="77777777" w:rsidR="00543D47" w:rsidRPr="00BA5F0C" w:rsidRDefault="00543D47" w:rsidP="00D9610A">
            <w:pPr>
              <w:spacing w:before="40" w:after="40" w:line="240" w:lineRule="auto"/>
              <w:ind w:left="57" w:right="57"/>
              <w:rPr>
                <w:rFonts w:cs="Arial"/>
                <w:sz w:val="18"/>
                <w:szCs w:val="18"/>
                <w:lang w:val="en-US" w:eastAsia="en-US"/>
              </w:rPr>
            </w:pPr>
            <w:r w:rsidRPr="00BA5F0C">
              <w:rPr>
                <w:rFonts w:cs="Arial"/>
                <w:sz w:val="18"/>
                <w:szCs w:val="18"/>
                <w:lang w:val="en-US" w:eastAsia="en-US"/>
              </w:rPr>
              <w:t>Only adjustment of billing with requesting practice.</w:t>
            </w:r>
          </w:p>
        </w:tc>
        <w:tc>
          <w:tcPr>
            <w:tcW w:w="3367" w:type="dxa"/>
          </w:tcPr>
          <w:p w14:paraId="0263B274"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Reflects better clinical practice and allows better tracking of use.</w:t>
            </w:r>
          </w:p>
        </w:tc>
      </w:tr>
      <w:tr w:rsidR="00543D47" w:rsidRPr="00BA5F0C" w14:paraId="08B8D417" w14:textId="77777777" w:rsidTr="00D9610A">
        <w:trPr>
          <w:cantSplit/>
        </w:trPr>
        <w:tc>
          <w:tcPr>
            <w:tcW w:w="851" w:type="dxa"/>
          </w:tcPr>
          <w:p w14:paraId="346547A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New item</w:t>
            </w:r>
          </w:p>
        </w:tc>
        <w:tc>
          <w:tcPr>
            <w:tcW w:w="3366" w:type="dxa"/>
          </w:tcPr>
          <w:p w14:paraId="2C79F3A2" w14:textId="77777777" w:rsidR="00543D47" w:rsidRPr="00BA5F0C" w:rsidRDefault="00543D47" w:rsidP="00D9610A">
            <w:pPr>
              <w:spacing w:before="40" w:after="40" w:line="240" w:lineRule="auto"/>
              <w:rPr>
                <w:sz w:val="18"/>
                <w:szCs w:val="18"/>
              </w:rPr>
            </w:pPr>
            <w:r w:rsidRPr="00BA5F0C">
              <w:rPr>
                <w:sz w:val="18"/>
                <w:szCs w:val="18"/>
              </w:rPr>
              <w:t xml:space="preserve">Liver function test panel </w:t>
            </w:r>
            <w:r w:rsidRPr="00BA5F0C">
              <w:rPr>
                <w:rFonts w:cs="Arial"/>
                <w:sz w:val="18"/>
                <w:szCs w:val="18"/>
                <w:lang w:val="en-US" w:eastAsia="en-US"/>
              </w:rPr>
              <w:t>that</w:t>
            </w:r>
            <w:r w:rsidRPr="00BA5F0C">
              <w:rPr>
                <w:sz w:val="18"/>
                <w:szCs w:val="18"/>
              </w:rPr>
              <w:t xml:space="preserve"> includes tests for:</w:t>
            </w:r>
          </w:p>
          <w:p w14:paraId="5D846943" w14:textId="77777777" w:rsidR="00543D47" w:rsidRPr="00BA5F0C" w:rsidRDefault="00543D47" w:rsidP="00D9610A">
            <w:pPr>
              <w:pStyle w:val="ListParagraph"/>
              <w:numPr>
                <w:ilvl w:val="0"/>
                <w:numId w:val="30"/>
              </w:numPr>
              <w:spacing w:before="0" w:after="0" w:line="276" w:lineRule="auto"/>
              <w:rPr>
                <w:b w:val="0"/>
                <w:sz w:val="18"/>
                <w:szCs w:val="18"/>
              </w:rPr>
            </w:pPr>
            <w:r w:rsidRPr="00BA5F0C">
              <w:rPr>
                <w:b w:val="0"/>
                <w:sz w:val="18"/>
                <w:szCs w:val="18"/>
              </w:rPr>
              <w:t>alanine aminotransferase</w:t>
            </w:r>
          </w:p>
          <w:p w14:paraId="3BC72042" w14:textId="77777777" w:rsidR="00543D47" w:rsidRPr="00BA5F0C" w:rsidRDefault="00543D47" w:rsidP="00D9610A">
            <w:pPr>
              <w:pStyle w:val="ListParagraph"/>
              <w:numPr>
                <w:ilvl w:val="0"/>
                <w:numId w:val="30"/>
              </w:numPr>
              <w:spacing w:before="0" w:after="0" w:line="276" w:lineRule="auto"/>
              <w:rPr>
                <w:b w:val="0"/>
                <w:sz w:val="18"/>
                <w:szCs w:val="18"/>
              </w:rPr>
            </w:pPr>
            <w:r w:rsidRPr="00BA5F0C">
              <w:rPr>
                <w:b w:val="0"/>
                <w:sz w:val="18"/>
                <w:szCs w:val="18"/>
              </w:rPr>
              <w:t>albumin</w:t>
            </w:r>
          </w:p>
          <w:p w14:paraId="612D538C" w14:textId="77777777" w:rsidR="00543D47" w:rsidRPr="00BA5F0C" w:rsidRDefault="00543D47" w:rsidP="00D9610A">
            <w:pPr>
              <w:pStyle w:val="ListParagraph"/>
              <w:numPr>
                <w:ilvl w:val="0"/>
                <w:numId w:val="30"/>
              </w:numPr>
              <w:spacing w:before="0" w:after="0" w:line="276" w:lineRule="auto"/>
              <w:rPr>
                <w:b w:val="0"/>
                <w:sz w:val="18"/>
                <w:szCs w:val="18"/>
              </w:rPr>
            </w:pPr>
            <w:r w:rsidRPr="00BA5F0C">
              <w:rPr>
                <w:b w:val="0"/>
                <w:sz w:val="18"/>
                <w:szCs w:val="18"/>
              </w:rPr>
              <w:t>alkaline phosphatase</w:t>
            </w:r>
          </w:p>
          <w:p w14:paraId="22EB1E51" w14:textId="77777777" w:rsidR="00543D47" w:rsidRPr="00BA5F0C" w:rsidRDefault="00543D47" w:rsidP="00D9610A">
            <w:pPr>
              <w:pStyle w:val="ListParagraph"/>
              <w:numPr>
                <w:ilvl w:val="0"/>
                <w:numId w:val="30"/>
              </w:numPr>
              <w:spacing w:before="0" w:after="0" w:line="276" w:lineRule="auto"/>
              <w:rPr>
                <w:b w:val="0"/>
                <w:sz w:val="18"/>
                <w:szCs w:val="18"/>
              </w:rPr>
            </w:pPr>
            <w:r w:rsidRPr="00BA5F0C">
              <w:rPr>
                <w:b w:val="0"/>
                <w:sz w:val="18"/>
                <w:szCs w:val="18"/>
              </w:rPr>
              <w:t>bilirubin (total)</w:t>
            </w:r>
          </w:p>
          <w:p w14:paraId="30F6D7F4" w14:textId="77777777" w:rsidR="00543D47" w:rsidRPr="00BA5F0C" w:rsidRDefault="00543D47" w:rsidP="00D9610A">
            <w:pPr>
              <w:pStyle w:val="ListParagraph"/>
              <w:numPr>
                <w:ilvl w:val="0"/>
                <w:numId w:val="30"/>
              </w:numPr>
              <w:spacing w:before="0" w:after="0" w:line="276" w:lineRule="auto"/>
              <w:rPr>
                <w:b w:val="0"/>
                <w:sz w:val="18"/>
                <w:szCs w:val="18"/>
              </w:rPr>
            </w:pPr>
            <w:r w:rsidRPr="00BA5F0C">
              <w:rPr>
                <w:b w:val="0"/>
                <w:sz w:val="18"/>
                <w:szCs w:val="18"/>
              </w:rPr>
              <w:t>gamma glutamyl transferase</w:t>
            </w:r>
          </w:p>
          <w:p w14:paraId="08C76CE8" w14:textId="77777777" w:rsidR="00543D47" w:rsidRPr="00BA5F0C" w:rsidRDefault="00543D47" w:rsidP="00D9610A">
            <w:pPr>
              <w:pStyle w:val="ListParagraph"/>
              <w:numPr>
                <w:ilvl w:val="0"/>
                <w:numId w:val="30"/>
              </w:numPr>
              <w:spacing w:before="0" w:after="0" w:line="276" w:lineRule="auto"/>
              <w:rPr>
                <w:b w:val="0"/>
                <w:sz w:val="18"/>
                <w:szCs w:val="18"/>
              </w:rPr>
            </w:pPr>
            <w:r w:rsidRPr="00BA5F0C">
              <w:rPr>
                <w:b w:val="0"/>
                <w:sz w:val="18"/>
                <w:szCs w:val="18"/>
              </w:rPr>
              <w:t>total protein</w:t>
            </w:r>
          </w:p>
        </w:tc>
        <w:tc>
          <w:tcPr>
            <w:tcW w:w="3367" w:type="dxa"/>
          </w:tcPr>
          <w:p w14:paraId="65A9BBC6"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Create a new item that groups relevant tests as a minimum panel</w:t>
            </w:r>
          </w:p>
        </w:tc>
        <w:tc>
          <w:tcPr>
            <w:tcW w:w="3366" w:type="dxa"/>
          </w:tcPr>
          <w:p w14:paraId="3B957D50" w14:textId="77777777" w:rsidR="00543D47" w:rsidRPr="00BA5F0C" w:rsidRDefault="00543D47" w:rsidP="00D9610A">
            <w:pPr>
              <w:spacing w:before="40" w:after="40" w:line="240" w:lineRule="auto"/>
              <w:ind w:left="57" w:right="57"/>
              <w:rPr>
                <w:rFonts w:cs="Arial"/>
                <w:sz w:val="18"/>
                <w:szCs w:val="18"/>
                <w:lang w:val="en-US" w:eastAsia="en-US"/>
              </w:rPr>
            </w:pPr>
            <w:r w:rsidRPr="00BA5F0C">
              <w:rPr>
                <w:rFonts w:cs="Arial"/>
                <w:sz w:val="18"/>
                <w:szCs w:val="18"/>
                <w:lang w:val="en-US" w:eastAsia="en-US"/>
              </w:rPr>
              <w:t>Only adjustment of billing with requesting practice.</w:t>
            </w:r>
          </w:p>
        </w:tc>
        <w:tc>
          <w:tcPr>
            <w:tcW w:w="3367" w:type="dxa"/>
          </w:tcPr>
          <w:p w14:paraId="70F52C7E"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Reflects better clinical practice and allows better tracking of use.</w:t>
            </w:r>
          </w:p>
        </w:tc>
      </w:tr>
      <w:tr w:rsidR="00543D47" w:rsidRPr="00BA5F0C" w14:paraId="7E749EC9" w14:textId="77777777" w:rsidTr="00D9610A">
        <w:trPr>
          <w:cantSplit/>
        </w:trPr>
        <w:tc>
          <w:tcPr>
            <w:tcW w:w="851" w:type="dxa"/>
          </w:tcPr>
          <w:p w14:paraId="35AD22A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New item</w:t>
            </w:r>
          </w:p>
        </w:tc>
        <w:tc>
          <w:tcPr>
            <w:tcW w:w="3366" w:type="dxa"/>
          </w:tcPr>
          <w:p w14:paraId="4E16AE77" w14:textId="77777777" w:rsidR="00543D47" w:rsidRPr="00BA5F0C" w:rsidRDefault="00543D47" w:rsidP="00D9610A">
            <w:pPr>
              <w:spacing w:before="40" w:after="40" w:line="240" w:lineRule="auto"/>
              <w:rPr>
                <w:sz w:val="18"/>
                <w:szCs w:val="18"/>
              </w:rPr>
            </w:pPr>
            <w:r w:rsidRPr="00BA5F0C">
              <w:rPr>
                <w:sz w:val="18"/>
                <w:szCs w:val="18"/>
              </w:rPr>
              <w:t>Calcium and phosphate tests including tests for:</w:t>
            </w:r>
          </w:p>
          <w:p w14:paraId="572FF09B" w14:textId="77777777" w:rsidR="00543D47" w:rsidRPr="00BA5F0C" w:rsidRDefault="00543D47" w:rsidP="00D9610A">
            <w:pPr>
              <w:pStyle w:val="ListParagraph"/>
              <w:numPr>
                <w:ilvl w:val="0"/>
                <w:numId w:val="33"/>
              </w:numPr>
              <w:spacing w:before="40" w:after="40" w:line="240" w:lineRule="auto"/>
              <w:rPr>
                <w:b w:val="0"/>
                <w:sz w:val="18"/>
                <w:szCs w:val="18"/>
              </w:rPr>
            </w:pPr>
            <w:r w:rsidRPr="00BA5F0C">
              <w:rPr>
                <w:b w:val="0"/>
                <w:sz w:val="18"/>
                <w:szCs w:val="18"/>
              </w:rPr>
              <w:t>calcium’</w:t>
            </w:r>
          </w:p>
          <w:p w14:paraId="652E614B" w14:textId="77777777" w:rsidR="00543D47" w:rsidRPr="00BA5F0C" w:rsidRDefault="00543D47" w:rsidP="00D9610A">
            <w:pPr>
              <w:pStyle w:val="ListParagraph"/>
              <w:numPr>
                <w:ilvl w:val="0"/>
                <w:numId w:val="33"/>
              </w:numPr>
              <w:spacing w:before="40" w:after="40" w:line="240" w:lineRule="auto"/>
              <w:rPr>
                <w:b w:val="0"/>
                <w:sz w:val="18"/>
                <w:szCs w:val="18"/>
              </w:rPr>
            </w:pPr>
            <w:r w:rsidRPr="00BA5F0C">
              <w:rPr>
                <w:b w:val="0"/>
                <w:sz w:val="18"/>
                <w:szCs w:val="18"/>
              </w:rPr>
              <w:t>phosphate</w:t>
            </w:r>
          </w:p>
          <w:p w14:paraId="3F57652B" w14:textId="77777777" w:rsidR="00543D47" w:rsidRPr="00BA5F0C" w:rsidRDefault="00543D47" w:rsidP="00D9610A">
            <w:pPr>
              <w:pStyle w:val="ListParagraph"/>
              <w:numPr>
                <w:ilvl w:val="0"/>
                <w:numId w:val="33"/>
              </w:numPr>
              <w:spacing w:before="40" w:after="40" w:line="240" w:lineRule="auto"/>
              <w:rPr>
                <w:b w:val="0"/>
                <w:sz w:val="18"/>
                <w:szCs w:val="18"/>
              </w:rPr>
            </w:pPr>
            <w:r w:rsidRPr="00BA5F0C">
              <w:rPr>
                <w:b w:val="0"/>
                <w:sz w:val="18"/>
                <w:szCs w:val="18"/>
              </w:rPr>
              <w:t>albumin</w:t>
            </w:r>
          </w:p>
        </w:tc>
        <w:tc>
          <w:tcPr>
            <w:tcW w:w="3367" w:type="dxa"/>
          </w:tcPr>
          <w:p w14:paraId="16D1042E"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Create a new item that groups relevant tests as a minimum panel</w:t>
            </w:r>
          </w:p>
        </w:tc>
        <w:tc>
          <w:tcPr>
            <w:tcW w:w="3366" w:type="dxa"/>
          </w:tcPr>
          <w:p w14:paraId="6B9A1F37" w14:textId="77777777" w:rsidR="00543D47" w:rsidRPr="00BA5F0C" w:rsidRDefault="00543D47" w:rsidP="00D9610A">
            <w:pPr>
              <w:spacing w:before="40" w:after="40" w:line="240" w:lineRule="auto"/>
              <w:ind w:left="57" w:right="57"/>
              <w:rPr>
                <w:rFonts w:cs="Arial"/>
                <w:sz w:val="18"/>
                <w:szCs w:val="18"/>
                <w:lang w:val="en-US" w:eastAsia="en-US"/>
              </w:rPr>
            </w:pPr>
            <w:r w:rsidRPr="00BA5F0C">
              <w:rPr>
                <w:rFonts w:cs="Arial"/>
                <w:sz w:val="18"/>
                <w:szCs w:val="18"/>
                <w:lang w:val="en-US" w:eastAsia="en-US"/>
              </w:rPr>
              <w:t>Only adjustment of billing with requesting practice.</w:t>
            </w:r>
          </w:p>
        </w:tc>
        <w:tc>
          <w:tcPr>
            <w:tcW w:w="3367" w:type="dxa"/>
          </w:tcPr>
          <w:p w14:paraId="12AC7E43"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Reflects better clinical practice and allows better tracking of use.</w:t>
            </w:r>
          </w:p>
        </w:tc>
      </w:tr>
      <w:tr w:rsidR="00543D47" w:rsidRPr="00BA5F0C" w14:paraId="1C9315CB" w14:textId="77777777" w:rsidTr="00D9610A">
        <w:trPr>
          <w:cantSplit/>
        </w:trPr>
        <w:tc>
          <w:tcPr>
            <w:tcW w:w="851" w:type="dxa"/>
          </w:tcPr>
          <w:p w14:paraId="5AFC8C0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lastRenderedPageBreak/>
              <w:t>66500</w:t>
            </w:r>
          </w:p>
        </w:tc>
        <w:tc>
          <w:tcPr>
            <w:tcW w:w="3366" w:type="dxa"/>
          </w:tcPr>
          <w:p w14:paraId="259541C3" w14:textId="77777777" w:rsidR="00543D47" w:rsidRPr="00BA5F0C" w:rsidRDefault="00543D47" w:rsidP="00D9610A">
            <w:pPr>
              <w:spacing w:before="0" w:after="0" w:line="276" w:lineRule="auto"/>
              <w:contextualSpacing/>
              <w:rPr>
                <w:sz w:val="18"/>
                <w:szCs w:val="18"/>
              </w:rPr>
            </w:pPr>
            <w:r w:rsidRPr="00BA5F0C">
              <w:rPr>
                <w:sz w:val="18"/>
                <w:szCs w:val="18"/>
              </w:rPr>
              <w:t>Single tests for:</w:t>
            </w:r>
          </w:p>
          <w:p w14:paraId="6A089F6B"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ammonia</w:t>
            </w:r>
          </w:p>
          <w:p w14:paraId="67D8B3F2"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amylase</w:t>
            </w:r>
          </w:p>
          <w:p w14:paraId="7F7C3037"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C-reactive protein</w:t>
            </w:r>
          </w:p>
          <w:p w14:paraId="5A529DFF"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creatine kinase</w:t>
            </w:r>
          </w:p>
          <w:p w14:paraId="2E842EC2"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glucose</w:t>
            </w:r>
          </w:p>
          <w:p w14:paraId="20028A44"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lipase</w:t>
            </w:r>
          </w:p>
          <w:p w14:paraId="1C7F189D"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magnesium</w:t>
            </w:r>
          </w:p>
          <w:p w14:paraId="52E00491"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urate</w:t>
            </w:r>
          </w:p>
          <w:p w14:paraId="771C1E17"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neonatal bilirubin</w:t>
            </w:r>
          </w:p>
          <w:p w14:paraId="0CBB5C62"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lactate dehydrogenase</w:t>
            </w:r>
          </w:p>
          <w:p w14:paraId="0AD3D12E" w14:textId="77777777" w:rsidR="00543D47" w:rsidRPr="00BA5F0C" w:rsidRDefault="00543D47" w:rsidP="00D9610A">
            <w:pPr>
              <w:pStyle w:val="ListParagraph"/>
              <w:numPr>
                <w:ilvl w:val="0"/>
                <w:numId w:val="32"/>
              </w:numPr>
              <w:spacing w:before="0" w:after="0" w:line="276" w:lineRule="auto"/>
              <w:rPr>
                <w:b w:val="0"/>
                <w:sz w:val="18"/>
                <w:szCs w:val="18"/>
              </w:rPr>
            </w:pPr>
            <w:r w:rsidRPr="00BA5F0C">
              <w:rPr>
                <w:b w:val="0"/>
                <w:sz w:val="18"/>
                <w:szCs w:val="18"/>
              </w:rPr>
              <w:t>chloride</w:t>
            </w:r>
          </w:p>
          <w:p w14:paraId="7B0C8050" w14:textId="77777777" w:rsidR="00543D47" w:rsidRPr="00BA5F0C" w:rsidRDefault="00543D47" w:rsidP="00D9610A">
            <w:pPr>
              <w:pStyle w:val="ListParagraph"/>
              <w:numPr>
                <w:ilvl w:val="0"/>
                <w:numId w:val="32"/>
              </w:numPr>
              <w:spacing w:before="0" w:after="0" w:line="276" w:lineRule="auto"/>
              <w:rPr>
                <w:sz w:val="18"/>
                <w:szCs w:val="18"/>
              </w:rPr>
            </w:pPr>
            <w:r w:rsidRPr="00BA5F0C">
              <w:rPr>
                <w:b w:val="0"/>
                <w:sz w:val="18"/>
                <w:szCs w:val="18"/>
              </w:rPr>
              <w:t>aspartate aminotransferase</w:t>
            </w:r>
          </w:p>
        </w:tc>
        <w:tc>
          <w:tcPr>
            <w:tcW w:w="3367" w:type="dxa"/>
          </w:tcPr>
          <w:p w14:paraId="29A37C84"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Leaves single tests as items to be added to panels where necessary</w:t>
            </w:r>
          </w:p>
        </w:tc>
        <w:tc>
          <w:tcPr>
            <w:tcW w:w="3366" w:type="dxa"/>
          </w:tcPr>
          <w:p w14:paraId="7FECACBD" w14:textId="77777777" w:rsidR="00543D47" w:rsidRPr="00BA5F0C" w:rsidRDefault="00543D47" w:rsidP="00D9610A">
            <w:pPr>
              <w:spacing w:before="40" w:after="40" w:line="240" w:lineRule="auto"/>
              <w:ind w:left="57" w:right="57"/>
              <w:rPr>
                <w:rFonts w:cs="Arial"/>
                <w:sz w:val="18"/>
                <w:szCs w:val="18"/>
                <w:lang w:val="en-US" w:eastAsia="en-US"/>
              </w:rPr>
            </w:pPr>
            <w:r w:rsidRPr="00BA5F0C">
              <w:rPr>
                <w:rFonts w:cs="Arial"/>
                <w:sz w:val="18"/>
                <w:szCs w:val="18"/>
                <w:lang w:val="en-US" w:eastAsia="en-US"/>
              </w:rPr>
              <w:t>Not different</w:t>
            </w:r>
          </w:p>
        </w:tc>
        <w:tc>
          <w:tcPr>
            <w:tcW w:w="3367" w:type="dxa"/>
          </w:tcPr>
          <w:p w14:paraId="35ABD83B" w14:textId="77777777" w:rsidR="00543D47" w:rsidRPr="00BA5F0C" w:rsidRDefault="00543D47" w:rsidP="00D9610A">
            <w:pPr>
              <w:spacing w:before="40" w:after="40" w:line="240" w:lineRule="auto"/>
              <w:rPr>
                <w:rFonts w:cs="Arial"/>
                <w:b/>
                <w:sz w:val="18"/>
                <w:szCs w:val="18"/>
                <w:lang w:val="en-US" w:eastAsia="en-US"/>
              </w:rPr>
            </w:pPr>
          </w:p>
        </w:tc>
      </w:tr>
    </w:tbl>
    <w:p w14:paraId="51B7D5BA" w14:textId="77777777" w:rsidR="00543D47" w:rsidRPr="00BA5F0C" w:rsidRDefault="00543D47" w:rsidP="00543D47">
      <w:pPr>
        <w:rPr>
          <w:sz w:val="18"/>
          <w:szCs w:val="18"/>
        </w:rPr>
      </w:pPr>
    </w:p>
    <w:p w14:paraId="148F1744" w14:textId="77777777" w:rsidR="00543D47" w:rsidRPr="00BA5F0C" w:rsidRDefault="00543D47" w:rsidP="00543D47">
      <w:pPr>
        <w:pStyle w:val="Caption"/>
        <w:rPr>
          <w:b/>
          <w:bCs/>
          <w:iCs/>
          <w:sz w:val="18"/>
          <w:szCs w:val="18"/>
        </w:rPr>
      </w:pPr>
      <w:bookmarkStart w:id="214" w:name="_Toc487753623"/>
      <w:bookmarkStart w:id="215" w:name="_Toc490651345"/>
      <w:bookmarkStart w:id="216" w:name="_Toc490756866"/>
      <w:bookmarkStart w:id="217" w:name="_Toc491340987"/>
      <w:bookmarkStart w:id="218" w:name="_Toc493598681"/>
      <w:bookmarkStart w:id="219" w:name="_Toc493599703"/>
      <w:bookmarkStart w:id="220" w:name="_Toc493599899"/>
      <w:bookmarkStart w:id="221" w:name="_Toc493687760"/>
      <w:bookmarkStart w:id="222" w:name="_Toc534374980"/>
      <w:r w:rsidRPr="00BA5F0C">
        <w:rPr>
          <w:b/>
          <w:i w:val="0"/>
          <w:sz w:val="18"/>
          <w:szCs w:val="18"/>
        </w:rPr>
        <w:t xml:space="preserve">Recommendation </w:t>
      </w:r>
      <w:r w:rsidRPr="00BA5F0C">
        <w:rPr>
          <w:b/>
          <w:i w:val="0"/>
          <w:sz w:val="18"/>
          <w:szCs w:val="18"/>
        </w:rPr>
        <w:fldChar w:fldCharType="begin"/>
      </w:r>
      <w:r w:rsidRPr="00BA5F0C">
        <w:rPr>
          <w:b/>
          <w:i w:val="0"/>
          <w:sz w:val="18"/>
          <w:szCs w:val="18"/>
        </w:rPr>
        <w:instrText xml:space="preserve"> SEQ Recommendation \* ARABIC </w:instrText>
      </w:r>
      <w:r w:rsidRPr="00BA5F0C">
        <w:rPr>
          <w:b/>
          <w:i w:val="0"/>
          <w:sz w:val="18"/>
          <w:szCs w:val="18"/>
        </w:rPr>
        <w:fldChar w:fldCharType="separate"/>
      </w:r>
      <w:r w:rsidRPr="00BA5F0C">
        <w:rPr>
          <w:b/>
          <w:i w:val="0"/>
          <w:noProof/>
          <w:sz w:val="18"/>
          <w:szCs w:val="18"/>
        </w:rPr>
        <w:t>2</w:t>
      </w:r>
      <w:r w:rsidRPr="00BA5F0C">
        <w:rPr>
          <w:b/>
          <w:i w:val="0"/>
          <w:sz w:val="18"/>
          <w:szCs w:val="18"/>
        </w:rPr>
        <w:fldChar w:fldCharType="end"/>
      </w:r>
      <w:r w:rsidRPr="00BA5F0C">
        <w:rPr>
          <w:b/>
          <w:i w:val="0"/>
          <w:sz w:val="18"/>
          <w:szCs w:val="18"/>
        </w:rPr>
        <w:t xml:space="preserve">: </w:t>
      </w:r>
      <w:r w:rsidRPr="00BA5F0C">
        <w:rPr>
          <w:b/>
          <w:bCs/>
          <w:i w:val="0"/>
          <w:iCs/>
          <w:sz w:val="18"/>
          <w:szCs w:val="18"/>
        </w:rPr>
        <w:t>Amniotic fluid: item 66749</w:t>
      </w:r>
      <w:bookmarkEnd w:id="214"/>
      <w:bookmarkEnd w:id="215"/>
      <w:bookmarkEnd w:id="216"/>
      <w:bookmarkEnd w:id="217"/>
      <w:bookmarkEnd w:id="218"/>
      <w:bookmarkEnd w:id="219"/>
      <w:bookmarkEnd w:id="220"/>
      <w:bookmarkEnd w:id="221"/>
      <w:bookmarkEnd w:id="222"/>
    </w:p>
    <w:tbl>
      <w:tblPr>
        <w:tblStyle w:val="TableGrid"/>
        <w:tblW w:w="14175"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0"/>
        <w:gridCol w:w="3331"/>
        <w:gridCol w:w="3331"/>
        <w:gridCol w:w="3331"/>
        <w:gridCol w:w="3332"/>
      </w:tblGrid>
      <w:tr w:rsidR="00543D47" w:rsidRPr="00BA5F0C" w14:paraId="26676604" w14:textId="77777777" w:rsidTr="00D9610A">
        <w:trPr>
          <w:cantSplit/>
          <w:tblHeader/>
        </w:trPr>
        <w:tc>
          <w:tcPr>
            <w:tcW w:w="850" w:type="dxa"/>
          </w:tcPr>
          <w:p w14:paraId="507C453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331" w:type="dxa"/>
          </w:tcPr>
          <w:p w14:paraId="4A796EE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331" w:type="dxa"/>
          </w:tcPr>
          <w:p w14:paraId="2FA09F23"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331" w:type="dxa"/>
          </w:tcPr>
          <w:p w14:paraId="4005C7E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332" w:type="dxa"/>
          </w:tcPr>
          <w:p w14:paraId="38D38A2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0F37829C" w14:textId="77777777" w:rsidTr="00D9610A">
        <w:trPr>
          <w:cantSplit/>
        </w:trPr>
        <w:tc>
          <w:tcPr>
            <w:tcW w:w="850" w:type="dxa"/>
          </w:tcPr>
          <w:p w14:paraId="67C1603F" w14:textId="77777777" w:rsidR="00543D47" w:rsidRPr="00BA5F0C" w:rsidRDefault="00543D47" w:rsidP="00D9610A">
            <w:pPr>
              <w:spacing w:before="40" w:after="40" w:line="240" w:lineRule="auto"/>
              <w:rPr>
                <w:rFonts w:cs="Arial"/>
                <w:b/>
                <w:sz w:val="18"/>
                <w:szCs w:val="18"/>
                <w:lang w:val="en-US" w:eastAsia="en-US"/>
              </w:rPr>
            </w:pPr>
            <w:r w:rsidRPr="00BA5F0C">
              <w:rPr>
                <w:rFonts w:cs="Arial"/>
                <w:b/>
                <w:color w:val="222222"/>
                <w:sz w:val="18"/>
                <w:szCs w:val="18"/>
              </w:rPr>
              <w:t>66749</w:t>
            </w:r>
          </w:p>
        </w:tc>
        <w:tc>
          <w:tcPr>
            <w:tcW w:w="3331" w:type="dxa"/>
          </w:tcPr>
          <w:p w14:paraId="009644F4" w14:textId="77777777" w:rsidR="00543D47" w:rsidRPr="00BA5F0C" w:rsidRDefault="00543D47" w:rsidP="00D9610A">
            <w:pPr>
              <w:spacing w:before="40" w:after="40" w:line="240" w:lineRule="auto"/>
              <w:rPr>
                <w:rFonts w:cs="Arial"/>
                <w:sz w:val="18"/>
                <w:szCs w:val="18"/>
              </w:rPr>
            </w:pPr>
            <w:r w:rsidRPr="00BA5F0C">
              <w:rPr>
                <w:rFonts w:cs="Arial"/>
                <w:sz w:val="18"/>
                <w:szCs w:val="18"/>
              </w:rPr>
              <w:t>Measures lung maturity of the unborn.</w:t>
            </w:r>
          </w:p>
        </w:tc>
        <w:tc>
          <w:tcPr>
            <w:tcW w:w="3331" w:type="dxa"/>
          </w:tcPr>
          <w:p w14:paraId="1FE005FB" w14:textId="77777777" w:rsidR="00543D47" w:rsidRPr="00BA5F0C" w:rsidRDefault="00543D47" w:rsidP="00D9610A">
            <w:pPr>
              <w:spacing w:before="40" w:after="40" w:line="240" w:lineRule="auto"/>
              <w:rPr>
                <w:rFonts w:cs="Arial"/>
                <w:sz w:val="18"/>
                <w:szCs w:val="18"/>
              </w:rPr>
            </w:pPr>
            <w:r w:rsidRPr="00BA5F0C">
              <w:rPr>
                <w:rFonts w:cs="Arial"/>
                <w:sz w:val="18"/>
                <w:szCs w:val="18"/>
              </w:rPr>
              <w:t>Delete this item from the MBS</w:t>
            </w:r>
          </w:p>
          <w:p w14:paraId="705230A5" w14:textId="77777777" w:rsidR="00543D47" w:rsidRPr="00BA5F0C" w:rsidRDefault="00543D47" w:rsidP="00D9610A">
            <w:pPr>
              <w:spacing w:before="40" w:after="40" w:line="240" w:lineRule="auto"/>
              <w:rPr>
                <w:rFonts w:cs="Arial"/>
                <w:b/>
                <w:sz w:val="18"/>
                <w:szCs w:val="18"/>
                <w:lang w:val="en-US" w:eastAsia="en-US"/>
              </w:rPr>
            </w:pPr>
          </w:p>
        </w:tc>
        <w:tc>
          <w:tcPr>
            <w:tcW w:w="3331" w:type="dxa"/>
          </w:tcPr>
          <w:p w14:paraId="1C2113B5" w14:textId="77777777" w:rsidR="00543D47" w:rsidRPr="00BA5F0C" w:rsidRDefault="00543D47" w:rsidP="00D9610A">
            <w:pPr>
              <w:spacing w:before="40" w:after="40" w:line="240" w:lineRule="auto"/>
              <w:ind w:left="57" w:right="57"/>
              <w:rPr>
                <w:rFonts w:cs="Arial"/>
                <w:b/>
                <w:sz w:val="18"/>
                <w:szCs w:val="18"/>
                <w:lang w:val="en-US" w:eastAsia="en-US"/>
              </w:rPr>
            </w:pPr>
            <w:r w:rsidRPr="00BA5F0C">
              <w:rPr>
                <w:sz w:val="18"/>
                <w:szCs w:val="18"/>
              </w:rPr>
              <w:t xml:space="preserve">This test would no longer be available on the MBS. </w:t>
            </w:r>
          </w:p>
        </w:tc>
        <w:tc>
          <w:tcPr>
            <w:tcW w:w="3332" w:type="dxa"/>
          </w:tcPr>
          <w:p w14:paraId="3BFDB5E2" w14:textId="77777777" w:rsidR="00543D47" w:rsidRPr="00BA5F0C" w:rsidRDefault="00543D47" w:rsidP="00D9610A">
            <w:pPr>
              <w:spacing w:before="40" w:after="40" w:line="240" w:lineRule="auto"/>
              <w:rPr>
                <w:rFonts w:cs="Arial"/>
                <w:b/>
                <w:sz w:val="18"/>
                <w:szCs w:val="18"/>
                <w:lang w:val="en-US" w:eastAsia="en-US"/>
              </w:rPr>
            </w:pPr>
            <w:r w:rsidRPr="00BA5F0C">
              <w:rPr>
                <w:sz w:val="18"/>
                <w:szCs w:val="18"/>
              </w:rPr>
              <w:t>The test is rarely used, and all at one site in Victoria. It has little clinical utility and quality is difficult to maintain at low volume.</w:t>
            </w:r>
          </w:p>
        </w:tc>
      </w:tr>
    </w:tbl>
    <w:p w14:paraId="5F9A568A" w14:textId="77777777" w:rsidR="00543D47" w:rsidRPr="00BA5F0C" w:rsidRDefault="00543D47" w:rsidP="00543D47">
      <w:pPr>
        <w:rPr>
          <w:sz w:val="18"/>
          <w:szCs w:val="18"/>
        </w:rPr>
      </w:pPr>
    </w:p>
    <w:p w14:paraId="3EF6CAFE" w14:textId="77777777" w:rsidR="00543D47" w:rsidRPr="00BA5F0C" w:rsidRDefault="00543D47" w:rsidP="00543D47">
      <w:pPr>
        <w:pStyle w:val="Caption"/>
        <w:rPr>
          <w:b/>
          <w:i w:val="0"/>
          <w:sz w:val="18"/>
          <w:szCs w:val="18"/>
        </w:rPr>
      </w:pPr>
      <w:bookmarkStart w:id="223" w:name="_Toc487753624"/>
      <w:bookmarkStart w:id="224" w:name="_Toc490651346"/>
      <w:bookmarkStart w:id="225" w:name="_Toc490756867"/>
      <w:bookmarkStart w:id="226" w:name="_Toc491340988"/>
      <w:bookmarkStart w:id="227" w:name="_Toc493598682"/>
      <w:bookmarkStart w:id="228" w:name="_Toc493599704"/>
      <w:bookmarkStart w:id="229" w:name="_Toc493599900"/>
      <w:bookmarkStart w:id="230" w:name="_Toc493687761"/>
      <w:bookmarkStart w:id="231" w:name="_Toc534374981"/>
      <w:r w:rsidRPr="00BA5F0C">
        <w:rPr>
          <w:b/>
          <w:i w:val="0"/>
          <w:sz w:val="18"/>
          <w:szCs w:val="18"/>
        </w:rPr>
        <w:t xml:space="preserve">Recommendation </w:t>
      </w:r>
      <w:r w:rsidRPr="00BA5F0C">
        <w:rPr>
          <w:b/>
          <w:i w:val="0"/>
          <w:sz w:val="18"/>
          <w:szCs w:val="18"/>
        </w:rPr>
        <w:fldChar w:fldCharType="begin"/>
      </w:r>
      <w:r w:rsidRPr="00BA5F0C">
        <w:rPr>
          <w:b/>
          <w:i w:val="0"/>
          <w:sz w:val="18"/>
          <w:szCs w:val="18"/>
        </w:rPr>
        <w:instrText xml:space="preserve"> SEQ Recommendation \* ARABIC </w:instrText>
      </w:r>
      <w:r w:rsidRPr="00BA5F0C">
        <w:rPr>
          <w:b/>
          <w:i w:val="0"/>
          <w:sz w:val="18"/>
          <w:szCs w:val="18"/>
        </w:rPr>
        <w:fldChar w:fldCharType="separate"/>
      </w:r>
      <w:r w:rsidRPr="00BA5F0C">
        <w:rPr>
          <w:b/>
          <w:i w:val="0"/>
          <w:noProof/>
          <w:sz w:val="18"/>
          <w:szCs w:val="18"/>
        </w:rPr>
        <w:t>3</w:t>
      </w:r>
      <w:r w:rsidRPr="00BA5F0C">
        <w:rPr>
          <w:b/>
          <w:i w:val="0"/>
          <w:sz w:val="18"/>
          <w:szCs w:val="18"/>
        </w:rPr>
        <w:fldChar w:fldCharType="end"/>
      </w:r>
      <w:r w:rsidRPr="00BA5F0C">
        <w:rPr>
          <w:b/>
          <w:i w:val="0"/>
          <w:sz w:val="18"/>
          <w:szCs w:val="18"/>
        </w:rPr>
        <w:t>: Antenatal testing for chromosomal abnormalities in pregnancy: items 66750 and 66751</w:t>
      </w:r>
      <w:bookmarkEnd w:id="223"/>
      <w:bookmarkEnd w:id="224"/>
      <w:bookmarkEnd w:id="225"/>
      <w:bookmarkEnd w:id="226"/>
      <w:bookmarkEnd w:id="227"/>
      <w:bookmarkEnd w:id="228"/>
      <w:bookmarkEnd w:id="229"/>
      <w:bookmarkEnd w:id="230"/>
      <w:bookmarkEnd w:id="231"/>
    </w:p>
    <w:tbl>
      <w:tblPr>
        <w:tblStyle w:val="TableGrid"/>
        <w:tblW w:w="14316"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0"/>
        <w:gridCol w:w="3366"/>
        <w:gridCol w:w="3367"/>
        <w:gridCol w:w="3366"/>
        <w:gridCol w:w="3367"/>
      </w:tblGrid>
      <w:tr w:rsidR="00543D47" w:rsidRPr="00BA5F0C" w14:paraId="4F91F7E9" w14:textId="77777777" w:rsidTr="00D9610A">
        <w:trPr>
          <w:cantSplit/>
          <w:tblHeader/>
        </w:trPr>
        <w:tc>
          <w:tcPr>
            <w:tcW w:w="850" w:type="dxa"/>
          </w:tcPr>
          <w:p w14:paraId="1CD64A77"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366" w:type="dxa"/>
          </w:tcPr>
          <w:p w14:paraId="63F3890D"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367" w:type="dxa"/>
          </w:tcPr>
          <w:p w14:paraId="10DD9F0D"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366" w:type="dxa"/>
          </w:tcPr>
          <w:p w14:paraId="212B7BB5"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367" w:type="dxa"/>
          </w:tcPr>
          <w:p w14:paraId="1C359B4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2C77AD90" w14:textId="77777777" w:rsidTr="00D9610A">
        <w:trPr>
          <w:cantSplit/>
        </w:trPr>
        <w:tc>
          <w:tcPr>
            <w:tcW w:w="850" w:type="dxa"/>
          </w:tcPr>
          <w:p w14:paraId="2DE083AE"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66750</w:t>
            </w:r>
          </w:p>
        </w:tc>
        <w:tc>
          <w:tcPr>
            <w:tcW w:w="3366" w:type="dxa"/>
          </w:tcPr>
          <w:p w14:paraId="1928827B" w14:textId="77777777" w:rsidR="00543D47" w:rsidRPr="00BA5F0C" w:rsidRDefault="00543D47" w:rsidP="00D9610A">
            <w:pPr>
              <w:spacing w:before="40" w:after="40" w:line="240" w:lineRule="auto"/>
              <w:rPr>
                <w:rFonts w:cs="Arial"/>
                <w:sz w:val="18"/>
                <w:szCs w:val="18"/>
              </w:rPr>
            </w:pPr>
            <w:r w:rsidRPr="00BA5F0C">
              <w:rPr>
                <w:rFonts w:cs="Arial"/>
                <w:sz w:val="18"/>
                <w:szCs w:val="18"/>
                <w:lang w:val="en-US" w:eastAsia="en-US"/>
              </w:rPr>
              <w:t xml:space="preserve">Helps detect congenital malformations in the </w:t>
            </w:r>
            <w:proofErr w:type="spellStart"/>
            <w:r w:rsidRPr="00BA5F0C">
              <w:rPr>
                <w:rFonts w:cs="Arial"/>
                <w:sz w:val="18"/>
                <w:szCs w:val="18"/>
                <w:lang w:val="en-US" w:eastAsia="en-US"/>
              </w:rPr>
              <w:t>foetus</w:t>
            </w:r>
            <w:proofErr w:type="spellEnd"/>
            <w:r w:rsidRPr="00BA5F0C">
              <w:rPr>
                <w:rFonts w:cs="Arial"/>
                <w:sz w:val="18"/>
                <w:szCs w:val="18"/>
                <w:lang w:val="en-US" w:eastAsia="en-US"/>
              </w:rPr>
              <w:t xml:space="preserve"> before birth</w:t>
            </w:r>
          </w:p>
        </w:tc>
        <w:tc>
          <w:tcPr>
            <w:tcW w:w="3367" w:type="dxa"/>
          </w:tcPr>
          <w:p w14:paraId="42225B1C"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lang w:val="en-US" w:eastAsia="en-US"/>
              </w:rPr>
              <w:t>Change item descriptor to stipulate test is performed as first trimester screening test.</w:t>
            </w:r>
          </w:p>
        </w:tc>
        <w:tc>
          <w:tcPr>
            <w:tcW w:w="3366" w:type="dxa"/>
          </w:tcPr>
          <w:p w14:paraId="3B0E2461" w14:textId="77777777" w:rsidR="00543D47" w:rsidRPr="00BA5F0C" w:rsidRDefault="00543D47" w:rsidP="00D9610A">
            <w:pPr>
              <w:spacing w:before="40" w:after="40" w:line="240" w:lineRule="auto"/>
              <w:ind w:left="57" w:right="57"/>
              <w:rPr>
                <w:rFonts w:cs="Arial"/>
                <w:sz w:val="18"/>
                <w:szCs w:val="18"/>
                <w:lang w:val="en-US" w:eastAsia="en-US"/>
              </w:rPr>
            </w:pPr>
            <w:r w:rsidRPr="00BA5F0C">
              <w:rPr>
                <w:rFonts w:cs="Arial"/>
                <w:sz w:val="18"/>
                <w:szCs w:val="18"/>
                <w:lang w:val="en-US" w:eastAsia="en-US"/>
              </w:rPr>
              <w:t>This test would be performed with nuchal translucency scanning in trimester 1 as part of routine screening.</w:t>
            </w:r>
          </w:p>
        </w:tc>
        <w:tc>
          <w:tcPr>
            <w:tcW w:w="3367" w:type="dxa"/>
          </w:tcPr>
          <w:p w14:paraId="28966399" w14:textId="77777777" w:rsidR="00543D47" w:rsidRPr="007C4351" w:rsidRDefault="00543D47" w:rsidP="00D9610A">
            <w:pPr>
              <w:spacing w:before="40" w:after="40" w:line="240" w:lineRule="auto"/>
              <w:rPr>
                <w:rFonts w:cs="Arial"/>
                <w:b/>
                <w:sz w:val="18"/>
                <w:szCs w:val="18"/>
                <w:lang w:val="en-US" w:eastAsia="en-US"/>
              </w:rPr>
            </w:pPr>
            <w:r w:rsidRPr="007C4351">
              <w:rPr>
                <w:rFonts w:cs="Arial"/>
                <w:sz w:val="18"/>
                <w:szCs w:val="18"/>
                <w:lang w:val="en-US" w:eastAsia="en-US"/>
              </w:rPr>
              <w:t>To bill appropriately in first trimester testing.</w:t>
            </w:r>
          </w:p>
        </w:tc>
      </w:tr>
      <w:tr w:rsidR="00543D47" w:rsidRPr="00BA5F0C" w14:paraId="1F1B7E1E" w14:textId="77777777" w:rsidTr="00D9610A">
        <w:trPr>
          <w:cantSplit/>
        </w:trPr>
        <w:tc>
          <w:tcPr>
            <w:tcW w:w="850" w:type="dxa"/>
          </w:tcPr>
          <w:p w14:paraId="064A440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66751</w:t>
            </w:r>
          </w:p>
        </w:tc>
        <w:tc>
          <w:tcPr>
            <w:tcW w:w="3366" w:type="dxa"/>
          </w:tcPr>
          <w:p w14:paraId="6A1FBA45" w14:textId="77777777" w:rsidR="00543D47" w:rsidRPr="00BA5F0C" w:rsidRDefault="00543D47" w:rsidP="00D9610A">
            <w:pPr>
              <w:spacing w:before="40" w:after="40" w:line="240" w:lineRule="auto"/>
              <w:rPr>
                <w:rFonts w:cs="Arial"/>
                <w:sz w:val="18"/>
                <w:szCs w:val="18"/>
              </w:rPr>
            </w:pPr>
            <w:r w:rsidRPr="00BA5F0C">
              <w:rPr>
                <w:rFonts w:cs="Arial"/>
                <w:sz w:val="18"/>
                <w:szCs w:val="18"/>
                <w:lang w:val="en-US" w:eastAsia="en-US"/>
              </w:rPr>
              <w:t xml:space="preserve">Helps detect congenital malformations in the </w:t>
            </w:r>
            <w:proofErr w:type="spellStart"/>
            <w:r w:rsidRPr="00BA5F0C">
              <w:rPr>
                <w:rFonts w:cs="Arial"/>
                <w:sz w:val="18"/>
                <w:szCs w:val="18"/>
                <w:lang w:val="en-US" w:eastAsia="en-US"/>
              </w:rPr>
              <w:t>foetus</w:t>
            </w:r>
            <w:proofErr w:type="spellEnd"/>
            <w:r w:rsidRPr="00BA5F0C">
              <w:rPr>
                <w:rFonts w:cs="Arial"/>
                <w:sz w:val="18"/>
                <w:szCs w:val="18"/>
                <w:lang w:val="en-US" w:eastAsia="en-US"/>
              </w:rPr>
              <w:t xml:space="preserve"> before birth</w:t>
            </w:r>
          </w:p>
        </w:tc>
        <w:tc>
          <w:tcPr>
            <w:tcW w:w="3367" w:type="dxa"/>
          </w:tcPr>
          <w:p w14:paraId="5E39D616"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Change item descriptor to stipulate test is performed as second trimester screening test, when patient has NOT had first trimester screening.</w:t>
            </w:r>
          </w:p>
        </w:tc>
        <w:tc>
          <w:tcPr>
            <w:tcW w:w="3366" w:type="dxa"/>
          </w:tcPr>
          <w:p w14:paraId="6BD6EED8" w14:textId="77777777" w:rsidR="00543D47" w:rsidRPr="00BA5F0C" w:rsidRDefault="00543D47" w:rsidP="00D9610A">
            <w:pPr>
              <w:spacing w:before="40" w:after="40" w:line="240" w:lineRule="auto"/>
              <w:ind w:left="57" w:right="57"/>
              <w:rPr>
                <w:rFonts w:cs="Arial"/>
                <w:sz w:val="18"/>
                <w:szCs w:val="18"/>
                <w:lang w:val="en-US" w:eastAsia="en-US"/>
              </w:rPr>
            </w:pPr>
            <w:r w:rsidRPr="00BA5F0C">
              <w:rPr>
                <w:rFonts w:cs="Arial"/>
                <w:sz w:val="18"/>
                <w:szCs w:val="18"/>
                <w:lang w:val="en-US" w:eastAsia="en-US"/>
              </w:rPr>
              <w:t>This item would only be used, without nuchal translucency scanning, when first trimester screening has been missed.</w:t>
            </w:r>
          </w:p>
        </w:tc>
        <w:tc>
          <w:tcPr>
            <w:tcW w:w="3367" w:type="dxa"/>
          </w:tcPr>
          <w:p w14:paraId="2F95C10B"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To bill appropriately in second trimester testing.</w:t>
            </w:r>
          </w:p>
        </w:tc>
      </w:tr>
    </w:tbl>
    <w:p w14:paraId="7CC2046F" w14:textId="77777777" w:rsidR="00543D47" w:rsidRPr="00BA5F0C" w:rsidRDefault="00543D47" w:rsidP="00543D47">
      <w:pPr>
        <w:spacing w:before="40" w:after="40" w:line="240" w:lineRule="auto"/>
        <w:rPr>
          <w:b/>
          <w:sz w:val="18"/>
          <w:szCs w:val="18"/>
        </w:rPr>
      </w:pPr>
    </w:p>
    <w:p w14:paraId="3A3117BA" w14:textId="77777777" w:rsidR="00543D47" w:rsidRPr="00BA5F0C" w:rsidRDefault="00543D47" w:rsidP="00543D47">
      <w:pPr>
        <w:pStyle w:val="Caption"/>
        <w:rPr>
          <w:b/>
          <w:sz w:val="18"/>
          <w:szCs w:val="18"/>
        </w:rPr>
      </w:pPr>
      <w:bookmarkStart w:id="232" w:name="_Toc487753625"/>
      <w:bookmarkStart w:id="233" w:name="_Toc490651347"/>
      <w:bookmarkStart w:id="234" w:name="_Toc490756868"/>
      <w:bookmarkStart w:id="235" w:name="_Toc491340989"/>
      <w:bookmarkStart w:id="236" w:name="_Toc493598683"/>
      <w:bookmarkStart w:id="237" w:name="_Toc493599705"/>
      <w:bookmarkStart w:id="238" w:name="_Toc493599901"/>
      <w:bookmarkStart w:id="239" w:name="_Toc493687762"/>
      <w:bookmarkStart w:id="240" w:name="_Toc534374982"/>
      <w:r w:rsidRPr="00BA5F0C">
        <w:rPr>
          <w:b/>
          <w:i w:val="0"/>
          <w:sz w:val="18"/>
          <w:szCs w:val="18"/>
        </w:rPr>
        <w:t>Recommendation 4: Cardiac or skeletal muscle damage: items 66518 and 66519</w:t>
      </w:r>
      <w:bookmarkEnd w:id="232"/>
      <w:bookmarkEnd w:id="233"/>
      <w:bookmarkEnd w:id="234"/>
      <w:bookmarkEnd w:id="235"/>
      <w:bookmarkEnd w:id="236"/>
      <w:bookmarkEnd w:id="237"/>
      <w:bookmarkEnd w:id="238"/>
      <w:bookmarkEnd w:id="239"/>
      <w:bookmarkEnd w:id="240"/>
    </w:p>
    <w:tbl>
      <w:tblPr>
        <w:tblStyle w:val="TableGrid"/>
        <w:tblW w:w="14405"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0"/>
        <w:gridCol w:w="3388"/>
        <w:gridCol w:w="3389"/>
        <w:gridCol w:w="3389"/>
        <w:gridCol w:w="3389"/>
      </w:tblGrid>
      <w:tr w:rsidR="00543D47" w:rsidRPr="00BA5F0C" w14:paraId="7EC130CE" w14:textId="77777777" w:rsidTr="00D9610A">
        <w:trPr>
          <w:cantSplit/>
          <w:tblHeader/>
        </w:trPr>
        <w:tc>
          <w:tcPr>
            <w:tcW w:w="850" w:type="dxa"/>
          </w:tcPr>
          <w:p w14:paraId="086808B9"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388" w:type="dxa"/>
          </w:tcPr>
          <w:p w14:paraId="1A2365FE"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389" w:type="dxa"/>
          </w:tcPr>
          <w:p w14:paraId="5B0C915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389" w:type="dxa"/>
          </w:tcPr>
          <w:p w14:paraId="0C31CA0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389" w:type="dxa"/>
          </w:tcPr>
          <w:p w14:paraId="6D1FF9DB"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5D58A1A1" w14:textId="77777777" w:rsidTr="00D9610A">
        <w:trPr>
          <w:cantSplit/>
        </w:trPr>
        <w:tc>
          <w:tcPr>
            <w:tcW w:w="850" w:type="dxa"/>
          </w:tcPr>
          <w:p w14:paraId="547A3E8E"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66518</w:t>
            </w:r>
          </w:p>
        </w:tc>
        <w:tc>
          <w:tcPr>
            <w:tcW w:w="3388" w:type="dxa"/>
          </w:tcPr>
          <w:p w14:paraId="70BEA0D4" w14:textId="77777777" w:rsidR="00543D47" w:rsidRPr="00BA5F0C" w:rsidRDefault="00543D47" w:rsidP="00D9610A">
            <w:pPr>
              <w:spacing w:before="40" w:after="40" w:line="240" w:lineRule="auto"/>
              <w:rPr>
                <w:rFonts w:cs="Arial"/>
                <w:sz w:val="18"/>
                <w:szCs w:val="18"/>
              </w:rPr>
            </w:pPr>
            <w:r w:rsidRPr="00BA5F0C">
              <w:rPr>
                <w:rFonts w:cs="Arial"/>
                <w:sz w:val="18"/>
                <w:szCs w:val="18"/>
              </w:rPr>
              <w:t>Detects cardiac damage</w:t>
            </w:r>
          </w:p>
        </w:tc>
        <w:tc>
          <w:tcPr>
            <w:tcW w:w="3389" w:type="dxa"/>
          </w:tcPr>
          <w:p w14:paraId="5C2CDDA6" w14:textId="77777777" w:rsidR="00543D47" w:rsidRPr="00BA5F0C" w:rsidRDefault="00543D47" w:rsidP="00D9610A">
            <w:pPr>
              <w:spacing w:before="40" w:after="40" w:line="240" w:lineRule="auto"/>
              <w:rPr>
                <w:rFonts w:cs="Arial"/>
                <w:sz w:val="18"/>
                <w:szCs w:val="18"/>
                <w:lang w:val="en-US" w:eastAsia="en-US"/>
              </w:rPr>
            </w:pPr>
            <w:r w:rsidRPr="00BA5F0C">
              <w:rPr>
                <w:rFonts w:cs="Arial"/>
                <w:sz w:val="18"/>
                <w:szCs w:val="18"/>
                <w:lang w:val="en-US" w:eastAsia="en-US"/>
              </w:rPr>
              <w:t>Change the wording of the item descriptor for item 66518 to remove creatine kinase isoenzymes and myoglobin.</w:t>
            </w:r>
          </w:p>
          <w:p w14:paraId="4040143A" w14:textId="77777777" w:rsidR="00543D47" w:rsidRPr="00BA5F0C" w:rsidRDefault="00543D47" w:rsidP="00D9610A">
            <w:pPr>
              <w:spacing w:before="40" w:after="40" w:line="240" w:lineRule="auto"/>
              <w:rPr>
                <w:rFonts w:cs="Arial"/>
                <w:sz w:val="18"/>
                <w:szCs w:val="18"/>
              </w:rPr>
            </w:pPr>
          </w:p>
        </w:tc>
        <w:tc>
          <w:tcPr>
            <w:tcW w:w="3389" w:type="dxa"/>
          </w:tcPr>
          <w:p w14:paraId="7554D6A0" w14:textId="77777777" w:rsidR="00543D47" w:rsidRPr="00BA5F0C" w:rsidRDefault="00543D47" w:rsidP="00D9610A">
            <w:pPr>
              <w:spacing w:before="40" w:after="40" w:line="240" w:lineRule="auto"/>
              <w:ind w:left="57" w:right="57"/>
              <w:rPr>
                <w:sz w:val="18"/>
                <w:szCs w:val="18"/>
              </w:rPr>
            </w:pPr>
            <w:r w:rsidRPr="00BA5F0C">
              <w:rPr>
                <w:sz w:val="18"/>
                <w:szCs w:val="18"/>
              </w:rPr>
              <w:t>Troponin is currently used by all laboratories in Australia for this purpose.</w:t>
            </w:r>
          </w:p>
        </w:tc>
        <w:tc>
          <w:tcPr>
            <w:tcW w:w="3389" w:type="dxa"/>
          </w:tcPr>
          <w:p w14:paraId="52BAA4FF" w14:textId="77777777" w:rsidR="00543D47" w:rsidRPr="00BA5F0C" w:rsidRDefault="00543D47" w:rsidP="00D9610A">
            <w:pPr>
              <w:spacing w:before="40" w:after="40" w:line="240" w:lineRule="auto"/>
              <w:rPr>
                <w:rFonts w:cs="Arial"/>
                <w:sz w:val="18"/>
                <w:szCs w:val="18"/>
              </w:rPr>
            </w:pPr>
            <w:r w:rsidRPr="00BA5F0C">
              <w:rPr>
                <w:rFonts w:cs="Arial"/>
                <w:sz w:val="18"/>
                <w:szCs w:val="18"/>
                <w:lang w:val="en-US" w:eastAsia="en-US"/>
              </w:rPr>
              <w:t>This item is out of date and needs updating. Troponin is a superior test to detect cardiac damage.</w:t>
            </w:r>
          </w:p>
        </w:tc>
      </w:tr>
      <w:tr w:rsidR="00543D47" w:rsidRPr="00BA5F0C" w14:paraId="356BB24B" w14:textId="77777777" w:rsidTr="00D9610A">
        <w:trPr>
          <w:cantSplit/>
        </w:trPr>
        <w:tc>
          <w:tcPr>
            <w:tcW w:w="850" w:type="dxa"/>
          </w:tcPr>
          <w:p w14:paraId="2C3D72E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66519</w:t>
            </w:r>
          </w:p>
        </w:tc>
        <w:tc>
          <w:tcPr>
            <w:tcW w:w="3388" w:type="dxa"/>
          </w:tcPr>
          <w:p w14:paraId="4C6E0AD1" w14:textId="77777777" w:rsidR="00543D47" w:rsidRPr="00BA5F0C" w:rsidRDefault="00543D47" w:rsidP="00D9610A">
            <w:pPr>
              <w:spacing w:before="40" w:after="40" w:line="240" w:lineRule="auto"/>
              <w:rPr>
                <w:rFonts w:cs="Arial"/>
                <w:sz w:val="18"/>
                <w:szCs w:val="18"/>
              </w:rPr>
            </w:pPr>
            <w:r w:rsidRPr="00BA5F0C">
              <w:rPr>
                <w:rFonts w:cs="Arial"/>
                <w:sz w:val="18"/>
                <w:szCs w:val="18"/>
              </w:rPr>
              <w:t>Detects cardiac damage.</w:t>
            </w:r>
          </w:p>
        </w:tc>
        <w:tc>
          <w:tcPr>
            <w:tcW w:w="3389" w:type="dxa"/>
          </w:tcPr>
          <w:p w14:paraId="34A1DA47" w14:textId="77777777" w:rsidR="00543D47" w:rsidRPr="00BA5F0C" w:rsidDel="00D752D4" w:rsidRDefault="00543D47" w:rsidP="00D9610A">
            <w:pPr>
              <w:spacing w:before="40" w:after="40" w:line="240" w:lineRule="auto"/>
              <w:rPr>
                <w:rFonts w:cs="Arial"/>
                <w:sz w:val="18"/>
                <w:szCs w:val="18"/>
              </w:rPr>
            </w:pPr>
            <w:r w:rsidRPr="00BA5F0C">
              <w:rPr>
                <w:rFonts w:cs="Arial"/>
                <w:sz w:val="18"/>
                <w:szCs w:val="18"/>
              </w:rPr>
              <w:t>Change the wording of the item descriptor for item 66518 to remove creatine kinase isoenzymes and myoglobin.</w:t>
            </w:r>
          </w:p>
        </w:tc>
        <w:tc>
          <w:tcPr>
            <w:tcW w:w="3389" w:type="dxa"/>
          </w:tcPr>
          <w:p w14:paraId="403FB447" w14:textId="77777777" w:rsidR="00543D47" w:rsidRPr="00BA5F0C" w:rsidRDefault="00543D47" w:rsidP="00D9610A">
            <w:pPr>
              <w:spacing w:before="40" w:after="40" w:line="240" w:lineRule="auto"/>
              <w:ind w:left="57" w:right="57"/>
              <w:rPr>
                <w:sz w:val="18"/>
                <w:szCs w:val="18"/>
              </w:rPr>
            </w:pPr>
            <w:r w:rsidRPr="00BA5F0C">
              <w:rPr>
                <w:sz w:val="18"/>
                <w:szCs w:val="18"/>
              </w:rPr>
              <w:t>Troponin is currently used by all laboratories in Australia for this purpose.</w:t>
            </w:r>
          </w:p>
        </w:tc>
        <w:tc>
          <w:tcPr>
            <w:tcW w:w="3389" w:type="dxa"/>
          </w:tcPr>
          <w:p w14:paraId="66F3E381" w14:textId="77777777" w:rsidR="00543D47" w:rsidRPr="00BA5F0C" w:rsidRDefault="00543D47" w:rsidP="00D9610A">
            <w:pPr>
              <w:spacing w:before="40" w:after="40" w:line="240" w:lineRule="auto"/>
              <w:rPr>
                <w:rFonts w:cs="Arial"/>
                <w:sz w:val="18"/>
                <w:szCs w:val="18"/>
              </w:rPr>
            </w:pPr>
            <w:r w:rsidRPr="00BA5F0C">
              <w:rPr>
                <w:rFonts w:cs="Arial"/>
                <w:sz w:val="18"/>
                <w:szCs w:val="18"/>
                <w:lang w:val="en-US" w:eastAsia="en-US"/>
              </w:rPr>
              <w:t>This item is out of date. Troponin is a superior test to detect cardiac damage.</w:t>
            </w:r>
          </w:p>
        </w:tc>
      </w:tr>
    </w:tbl>
    <w:p w14:paraId="7FA3A655" w14:textId="77777777" w:rsidR="00543D47" w:rsidRPr="00BA5F0C" w:rsidRDefault="00543D47" w:rsidP="00543D47">
      <w:pPr>
        <w:rPr>
          <w:sz w:val="18"/>
          <w:szCs w:val="18"/>
        </w:rPr>
      </w:pPr>
    </w:p>
    <w:p w14:paraId="443108D5" w14:textId="77777777" w:rsidR="00543D47" w:rsidRPr="00BA5F0C" w:rsidRDefault="00543D47" w:rsidP="00543D47">
      <w:pPr>
        <w:pStyle w:val="Caption"/>
        <w:rPr>
          <w:b/>
          <w:sz w:val="18"/>
          <w:szCs w:val="18"/>
        </w:rPr>
      </w:pPr>
      <w:bookmarkStart w:id="241" w:name="_Toc487753626"/>
      <w:bookmarkStart w:id="242" w:name="_Toc490651348"/>
      <w:bookmarkStart w:id="243" w:name="_Toc490756869"/>
      <w:bookmarkStart w:id="244" w:name="_Toc491340990"/>
      <w:bookmarkStart w:id="245" w:name="_Toc493598684"/>
      <w:bookmarkStart w:id="246" w:name="_Toc493599706"/>
      <w:bookmarkStart w:id="247" w:name="_Toc493599902"/>
      <w:bookmarkStart w:id="248" w:name="_Toc493687763"/>
      <w:bookmarkStart w:id="249" w:name="_Toc534374983"/>
      <w:r w:rsidRPr="00BA5F0C">
        <w:rPr>
          <w:b/>
          <w:i w:val="0"/>
          <w:sz w:val="18"/>
          <w:szCs w:val="18"/>
        </w:rPr>
        <w:t>Recommendation 5: Quantitation of HDL-cholesterol: item 66536</w:t>
      </w:r>
      <w:bookmarkEnd w:id="241"/>
      <w:bookmarkEnd w:id="242"/>
      <w:bookmarkEnd w:id="243"/>
      <w:bookmarkEnd w:id="244"/>
      <w:bookmarkEnd w:id="245"/>
      <w:bookmarkEnd w:id="246"/>
      <w:bookmarkEnd w:id="247"/>
      <w:bookmarkEnd w:id="248"/>
      <w:bookmarkEnd w:id="249"/>
    </w:p>
    <w:tbl>
      <w:tblPr>
        <w:tblStyle w:val="TableGrid"/>
        <w:tblW w:w="14317" w:type="dxa"/>
        <w:tblBorders>
          <w:top w:val="single" w:sz="4" w:space="0" w:color="B56011"/>
          <w:left w:val="none" w:sz="0" w:space="0" w:color="auto"/>
          <w:bottom w:val="single" w:sz="4" w:space="0" w:color="B56011"/>
          <w:right w:val="none" w:sz="0" w:space="0" w:color="auto"/>
          <w:insideH w:val="single" w:sz="4" w:space="0" w:color="B56011"/>
        </w:tblBorders>
        <w:tblLayout w:type="fixed"/>
        <w:tblLook w:val="04A0" w:firstRow="1" w:lastRow="0" w:firstColumn="1" w:lastColumn="0" w:noHBand="0" w:noVBand="1"/>
        <w:tblCaption w:val="Summary for consumers - Pathology Clinical Committee recommendations"/>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1276"/>
        <w:gridCol w:w="2941"/>
        <w:gridCol w:w="3367"/>
        <w:gridCol w:w="3366"/>
        <w:gridCol w:w="3367"/>
      </w:tblGrid>
      <w:tr w:rsidR="00543D47" w:rsidRPr="00BA5F0C" w14:paraId="077EEB93" w14:textId="77777777" w:rsidTr="00D9610A">
        <w:trPr>
          <w:cantSplit/>
          <w:tblHeader/>
        </w:trPr>
        <w:tc>
          <w:tcPr>
            <w:tcW w:w="1276" w:type="dxa"/>
          </w:tcPr>
          <w:p w14:paraId="282CBA4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2941" w:type="dxa"/>
          </w:tcPr>
          <w:p w14:paraId="56F23883"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367" w:type="dxa"/>
          </w:tcPr>
          <w:p w14:paraId="256EDED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366" w:type="dxa"/>
          </w:tcPr>
          <w:p w14:paraId="2966E0F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367" w:type="dxa"/>
          </w:tcPr>
          <w:p w14:paraId="6AD1A39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5B9645E3" w14:textId="77777777" w:rsidTr="00D9610A">
        <w:trPr>
          <w:cantSplit/>
        </w:trPr>
        <w:tc>
          <w:tcPr>
            <w:tcW w:w="1276" w:type="dxa"/>
          </w:tcPr>
          <w:p w14:paraId="2B200D97" w14:textId="77777777" w:rsidR="00543D47" w:rsidRPr="00BA5F0C" w:rsidRDefault="00543D47" w:rsidP="00D9610A">
            <w:pPr>
              <w:spacing w:before="40" w:after="40" w:line="240" w:lineRule="auto"/>
              <w:rPr>
                <w:rFonts w:cs="Arial"/>
                <w:b/>
                <w:sz w:val="18"/>
                <w:szCs w:val="18"/>
                <w:lang w:val="en-US" w:eastAsia="en-US"/>
              </w:rPr>
            </w:pPr>
            <w:r w:rsidRPr="00BA5F0C">
              <w:rPr>
                <w:rFonts w:cs="Arial"/>
                <w:b/>
                <w:color w:val="222222"/>
                <w:sz w:val="18"/>
                <w:szCs w:val="18"/>
              </w:rPr>
              <w:t>66536</w:t>
            </w:r>
          </w:p>
        </w:tc>
        <w:tc>
          <w:tcPr>
            <w:tcW w:w="2941" w:type="dxa"/>
          </w:tcPr>
          <w:p w14:paraId="07B633A0"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Measures HDL cholesterol, triglycerides, total cholesterol, LDL-cholesterol, </w:t>
            </w:r>
            <w:proofErr w:type="gramStart"/>
            <w:r w:rsidRPr="00BA5F0C">
              <w:rPr>
                <w:rFonts w:cs="Arial"/>
                <w:sz w:val="18"/>
                <w:szCs w:val="18"/>
              </w:rPr>
              <w:t>non HDL</w:t>
            </w:r>
            <w:proofErr w:type="gramEnd"/>
            <w:r w:rsidRPr="00BA5F0C">
              <w:rPr>
                <w:rFonts w:cs="Arial"/>
                <w:sz w:val="18"/>
                <w:szCs w:val="18"/>
              </w:rPr>
              <w:t>-cholesterol</w:t>
            </w:r>
          </w:p>
        </w:tc>
        <w:tc>
          <w:tcPr>
            <w:tcW w:w="3367" w:type="dxa"/>
          </w:tcPr>
          <w:p w14:paraId="73E72576"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Create new item for lipids that includes cholesterol and triglycerides testing from item 66500 into this new item.</w:t>
            </w:r>
          </w:p>
        </w:tc>
        <w:tc>
          <w:tcPr>
            <w:tcW w:w="3366" w:type="dxa"/>
          </w:tcPr>
          <w:p w14:paraId="059523BF" w14:textId="77777777" w:rsidR="00543D47" w:rsidRPr="00BA5F0C" w:rsidRDefault="00543D47" w:rsidP="00D9610A">
            <w:pPr>
              <w:spacing w:before="40" w:after="40" w:line="240" w:lineRule="auto"/>
              <w:ind w:left="57" w:right="57"/>
              <w:rPr>
                <w:rFonts w:cs="Arial"/>
                <w:b/>
                <w:sz w:val="18"/>
                <w:szCs w:val="18"/>
                <w:lang w:val="en-US" w:eastAsia="en-US"/>
              </w:rPr>
            </w:pPr>
            <w:r w:rsidRPr="00BA5F0C">
              <w:rPr>
                <w:sz w:val="18"/>
                <w:szCs w:val="18"/>
              </w:rPr>
              <w:t xml:space="preserve">All lipid testing would be grouped together and </w:t>
            </w:r>
            <w:proofErr w:type="gramStart"/>
            <w:r w:rsidRPr="00BA5F0C">
              <w:rPr>
                <w:sz w:val="18"/>
                <w:szCs w:val="18"/>
              </w:rPr>
              <w:t>a</w:t>
            </w:r>
            <w:proofErr w:type="gramEnd"/>
            <w:r w:rsidRPr="00BA5F0C">
              <w:rPr>
                <w:sz w:val="18"/>
                <w:szCs w:val="18"/>
              </w:rPr>
              <w:t xml:space="preserve"> HDL would be done on every lipid request.</w:t>
            </w:r>
          </w:p>
        </w:tc>
        <w:tc>
          <w:tcPr>
            <w:tcW w:w="3367" w:type="dxa"/>
          </w:tcPr>
          <w:p w14:paraId="4588FDE0" w14:textId="77777777" w:rsidR="00543D47" w:rsidRPr="00BA5F0C" w:rsidRDefault="00543D47" w:rsidP="00D9610A">
            <w:pPr>
              <w:spacing w:before="40" w:after="40" w:line="240" w:lineRule="auto"/>
              <w:rPr>
                <w:rFonts w:cs="Arial"/>
                <w:sz w:val="18"/>
                <w:szCs w:val="18"/>
              </w:rPr>
            </w:pPr>
            <w:r w:rsidRPr="00BA5F0C">
              <w:rPr>
                <w:rFonts w:cs="Arial"/>
                <w:sz w:val="18"/>
                <w:szCs w:val="18"/>
              </w:rPr>
              <w:t>Inclusion of HDL in every lipid request gives better information to the requesting doctor and is recommended by international bodies.</w:t>
            </w:r>
          </w:p>
          <w:p w14:paraId="338049A6" w14:textId="77777777" w:rsidR="00543D47" w:rsidRPr="00BA5F0C" w:rsidRDefault="00543D47" w:rsidP="00D9610A">
            <w:pPr>
              <w:spacing w:before="40" w:after="40" w:line="240" w:lineRule="auto"/>
              <w:rPr>
                <w:rFonts w:cs="Arial"/>
                <w:b/>
                <w:sz w:val="18"/>
                <w:szCs w:val="18"/>
                <w:lang w:val="en-US" w:eastAsia="en-US"/>
              </w:rPr>
            </w:pPr>
          </w:p>
        </w:tc>
      </w:tr>
      <w:tr w:rsidR="00543D47" w:rsidRPr="00BA5F0C" w14:paraId="0C08FB6A" w14:textId="77777777" w:rsidTr="00D9610A">
        <w:trPr>
          <w:cantSplit/>
        </w:trPr>
        <w:tc>
          <w:tcPr>
            <w:tcW w:w="1276" w:type="dxa"/>
          </w:tcPr>
          <w:p w14:paraId="2F03F47A"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Ladder item (subject to MSAC assessment</w:t>
            </w:r>
          </w:p>
          <w:p w14:paraId="45C6AC16" w14:textId="77777777" w:rsidR="00543D47" w:rsidRPr="00BA5F0C" w:rsidRDefault="00543D47" w:rsidP="00D9610A">
            <w:pPr>
              <w:spacing w:before="40" w:after="40" w:line="240" w:lineRule="auto"/>
              <w:rPr>
                <w:rFonts w:cs="Arial"/>
                <w:b/>
                <w:color w:val="222222"/>
                <w:sz w:val="18"/>
                <w:szCs w:val="18"/>
              </w:rPr>
            </w:pPr>
          </w:p>
        </w:tc>
        <w:tc>
          <w:tcPr>
            <w:tcW w:w="2941" w:type="dxa"/>
          </w:tcPr>
          <w:p w14:paraId="71C49192"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Measures HDL cholesterol, triglycerides, total cholesterol, LDL-cholesterol, </w:t>
            </w:r>
            <w:proofErr w:type="gramStart"/>
            <w:r w:rsidRPr="00BA5F0C">
              <w:rPr>
                <w:rFonts w:cs="Arial"/>
                <w:sz w:val="18"/>
                <w:szCs w:val="18"/>
              </w:rPr>
              <w:t>non HDL</w:t>
            </w:r>
            <w:proofErr w:type="gramEnd"/>
            <w:r w:rsidRPr="00BA5F0C">
              <w:rPr>
                <w:rFonts w:cs="Arial"/>
                <w:sz w:val="18"/>
                <w:szCs w:val="18"/>
              </w:rPr>
              <w:t xml:space="preserve">-cholesterol and </w:t>
            </w:r>
            <w:proofErr w:type="spellStart"/>
            <w:r w:rsidRPr="00BA5F0C">
              <w:rPr>
                <w:rFonts w:cs="Arial"/>
                <w:sz w:val="18"/>
                <w:szCs w:val="18"/>
              </w:rPr>
              <w:t>ApoB</w:t>
            </w:r>
            <w:proofErr w:type="spellEnd"/>
            <w:r w:rsidRPr="00BA5F0C">
              <w:rPr>
                <w:rFonts w:cs="Arial"/>
                <w:sz w:val="18"/>
                <w:szCs w:val="18"/>
              </w:rPr>
              <w:t xml:space="preserve"> in patients with </w:t>
            </w:r>
            <w:proofErr w:type="spellStart"/>
            <w:r w:rsidRPr="00BA5F0C">
              <w:rPr>
                <w:rFonts w:cs="Arial"/>
                <w:sz w:val="18"/>
                <w:szCs w:val="18"/>
              </w:rPr>
              <w:t>hypertriglyceridaemia</w:t>
            </w:r>
            <w:proofErr w:type="spellEnd"/>
          </w:p>
        </w:tc>
        <w:tc>
          <w:tcPr>
            <w:tcW w:w="3367" w:type="dxa"/>
          </w:tcPr>
          <w:p w14:paraId="1D11761E"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Add test for </w:t>
            </w:r>
            <w:proofErr w:type="spellStart"/>
            <w:r w:rsidRPr="00BA5F0C">
              <w:rPr>
                <w:rFonts w:cs="Arial"/>
                <w:sz w:val="18"/>
                <w:szCs w:val="18"/>
              </w:rPr>
              <w:t>ApoB</w:t>
            </w:r>
            <w:proofErr w:type="spellEnd"/>
          </w:p>
        </w:tc>
        <w:tc>
          <w:tcPr>
            <w:tcW w:w="3366" w:type="dxa"/>
          </w:tcPr>
          <w:p w14:paraId="41ED1BEA" w14:textId="77777777" w:rsidR="00543D47" w:rsidRPr="00BA5F0C" w:rsidRDefault="00543D47" w:rsidP="00D9610A">
            <w:pPr>
              <w:spacing w:before="40" w:after="40" w:line="240" w:lineRule="auto"/>
              <w:rPr>
                <w:sz w:val="18"/>
                <w:szCs w:val="18"/>
              </w:rPr>
            </w:pPr>
            <w:r w:rsidRPr="00BA5F0C">
              <w:rPr>
                <w:rFonts w:cs="Arial"/>
                <w:sz w:val="18"/>
                <w:szCs w:val="18"/>
              </w:rPr>
              <w:t xml:space="preserve">Special testing for </w:t>
            </w:r>
            <w:proofErr w:type="spellStart"/>
            <w:r w:rsidRPr="00BA5F0C">
              <w:rPr>
                <w:rFonts w:cs="Arial"/>
                <w:sz w:val="18"/>
                <w:szCs w:val="18"/>
              </w:rPr>
              <w:t>hypertriglyceridaemia</w:t>
            </w:r>
            <w:proofErr w:type="spellEnd"/>
            <w:r w:rsidRPr="00BA5F0C">
              <w:rPr>
                <w:rFonts w:cs="Arial"/>
                <w:sz w:val="18"/>
                <w:szCs w:val="18"/>
              </w:rPr>
              <w:t xml:space="preserve"> patients</w:t>
            </w:r>
          </w:p>
        </w:tc>
        <w:tc>
          <w:tcPr>
            <w:tcW w:w="3367" w:type="dxa"/>
          </w:tcPr>
          <w:p w14:paraId="4054B0A2" w14:textId="77777777" w:rsidR="00543D47" w:rsidRPr="00BA5F0C" w:rsidRDefault="00543D47" w:rsidP="00D9610A">
            <w:pPr>
              <w:spacing w:before="40" w:after="40" w:line="240" w:lineRule="auto"/>
              <w:rPr>
                <w:rFonts w:cs="Arial"/>
                <w:sz w:val="18"/>
                <w:szCs w:val="18"/>
              </w:rPr>
            </w:pPr>
            <w:r w:rsidRPr="00BA5F0C">
              <w:rPr>
                <w:rFonts w:cs="Arial"/>
                <w:sz w:val="18"/>
                <w:szCs w:val="18"/>
              </w:rPr>
              <w:t>LDL cholesterol testing may be i</w:t>
            </w:r>
            <w:r>
              <w:rPr>
                <w:rFonts w:cs="Arial"/>
                <w:sz w:val="18"/>
                <w:szCs w:val="18"/>
              </w:rPr>
              <w:t xml:space="preserve">naccurate in </w:t>
            </w:r>
            <w:proofErr w:type="gramStart"/>
            <w:r>
              <w:rPr>
                <w:rFonts w:cs="Arial"/>
                <w:sz w:val="18"/>
                <w:szCs w:val="18"/>
              </w:rPr>
              <w:t>these patient</w:t>
            </w:r>
            <w:proofErr w:type="gramEnd"/>
            <w:r>
              <w:rPr>
                <w:rFonts w:cs="Arial"/>
                <w:sz w:val="18"/>
                <w:szCs w:val="18"/>
              </w:rPr>
              <w:t xml:space="preserve"> and </w:t>
            </w:r>
            <w:proofErr w:type="spellStart"/>
            <w:r>
              <w:rPr>
                <w:rFonts w:cs="Arial"/>
                <w:sz w:val="18"/>
                <w:szCs w:val="18"/>
              </w:rPr>
              <w:t>Apo</w:t>
            </w:r>
            <w:r w:rsidRPr="00BA5F0C">
              <w:rPr>
                <w:rFonts w:cs="Arial"/>
                <w:sz w:val="18"/>
                <w:szCs w:val="18"/>
              </w:rPr>
              <w:t>B</w:t>
            </w:r>
            <w:proofErr w:type="spellEnd"/>
            <w:r w:rsidRPr="00BA5F0C">
              <w:rPr>
                <w:rFonts w:cs="Arial"/>
                <w:sz w:val="18"/>
                <w:szCs w:val="18"/>
              </w:rPr>
              <w:t xml:space="preserve"> provides better risk information.</w:t>
            </w:r>
          </w:p>
        </w:tc>
      </w:tr>
      <w:tr w:rsidR="00543D47" w:rsidRPr="00BA5F0C" w14:paraId="0EF154C4" w14:textId="77777777" w:rsidTr="00D9610A">
        <w:trPr>
          <w:cantSplit/>
        </w:trPr>
        <w:tc>
          <w:tcPr>
            <w:tcW w:w="1276" w:type="dxa"/>
          </w:tcPr>
          <w:p w14:paraId="4FA1CCB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Ladder item (subject to MSAC assessment</w:t>
            </w:r>
          </w:p>
          <w:p w14:paraId="0D36DBE7" w14:textId="77777777" w:rsidR="00543D47" w:rsidRPr="00BA5F0C" w:rsidRDefault="00543D47" w:rsidP="00D9610A">
            <w:pPr>
              <w:spacing w:before="40" w:after="40" w:line="240" w:lineRule="auto"/>
              <w:rPr>
                <w:rFonts w:cs="Arial"/>
                <w:b/>
                <w:color w:val="222222"/>
                <w:sz w:val="18"/>
                <w:szCs w:val="18"/>
              </w:rPr>
            </w:pPr>
          </w:p>
        </w:tc>
        <w:tc>
          <w:tcPr>
            <w:tcW w:w="2941" w:type="dxa"/>
          </w:tcPr>
          <w:p w14:paraId="0C9EDD7A" w14:textId="77777777" w:rsidR="00543D47" w:rsidRPr="00BA5F0C" w:rsidRDefault="00543D47" w:rsidP="00D9610A">
            <w:pPr>
              <w:spacing w:before="40" w:after="40" w:line="240" w:lineRule="auto"/>
              <w:rPr>
                <w:rFonts w:cs="Arial"/>
                <w:sz w:val="18"/>
                <w:szCs w:val="18"/>
              </w:rPr>
            </w:pPr>
            <w:r>
              <w:rPr>
                <w:rFonts w:cs="Arial"/>
                <w:sz w:val="18"/>
                <w:szCs w:val="18"/>
              </w:rPr>
              <w:t>Measures HDL cholesterol, tri</w:t>
            </w:r>
            <w:r w:rsidRPr="00BA5F0C">
              <w:rPr>
                <w:rFonts w:cs="Arial"/>
                <w:sz w:val="18"/>
                <w:szCs w:val="18"/>
              </w:rPr>
              <w:t xml:space="preserve">glycerides, total cholesterol, LDL-cholesterol, </w:t>
            </w:r>
            <w:proofErr w:type="gramStart"/>
            <w:r w:rsidRPr="00BA5F0C">
              <w:rPr>
                <w:rFonts w:cs="Arial"/>
                <w:sz w:val="18"/>
                <w:szCs w:val="18"/>
              </w:rPr>
              <w:t>non HDL</w:t>
            </w:r>
            <w:proofErr w:type="gramEnd"/>
            <w:r w:rsidRPr="00BA5F0C">
              <w:rPr>
                <w:rFonts w:cs="Arial"/>
                <w:sz w:val="18"/>
                <w:szCs w:val="18"/>
              </w:rPr>
              <w:t>-cholesterol and LP(a) in patients on PCSK9 inhibitors and on nicotinic acid</w:t>
            </w:r>
          </w:p>
        </w:tc>
        <w:tc>
          <w:tcPr>
            <w:tcW w:w="3367" w:type="dxa"/>
          </w:tcPr>
          <w:p w14:paraId="45A33968" w14:textId="77777777" w:rsidR="00543D47" w:rsidRPr="00BA5F0C" w:rsidRDefault="00543D47" w:rsidP="00D9610A">
            <w:pPr>
              <w:spacing w:before="40" w:after="40" w:line="240" w:lineRule="auto"/>
              <w:rPr>
                <w:rFonts w:cs="Arial"/>
                <w:sz w:val="18"/>
                <w:szCs w:val="18"/>
              </w:rPr>
            </w:pPr>
            <w:r w:rsidRPr="00BA5F0C">
              <w:rPr>
                <w:rFonts w:cs="Arial"/>
                <w:sz w:val="18"/>
                <w:szCs w:val="18"/>
              </w:rPr>
              <w:t>Add test for Lipoprotein (a)</w:t>
            </w:r>
          </w:p>
        </w:tc>
        <w:tc>
          <w:tcPr>
            <w:tcW w:w="3366" w:type="dxa"/>
          </w:tcPr>
          <w:p w14:paraId="21DE2B71" w14:textId="77777777" w:rsidR="00543D47" w:rsidRPr="00BA5F0C" w:rsidRDefault="00543D47" w:rsidP="00D9610A">
            <w:pPr>
              <w:spacing w:before="40" w:after="40" w:line="240" w:lineRule="auto"/>
              <w:ind w:left="57" w:right="57"/>
              <w:rPr>
                <w:sz w:val="18"/>
                <w:szCs w:val="18"/>
              </w:rPr>
            </w:pPr>
            <w:r w:rsidRPr="00BA5F0C">
              <w:rPr>
                <w:sz w:val="18"/>
                <w:szCs w:val="18"/>
              </w:rPr>
              <w:t>Special testing for patients on PCSK9 inhibitors or nicotinic acid</w:t>
            </w:r>
          </w:p>
        </w:tc>
        <w:tc>
          <w:tcPr>
            <w:tcW w:w="3367" w:type="dxa"/>
          </w:tcPr>
          <w:p w14:paraId="63354DAA" w14:textId="77777777" w:rsidR="00543D47" w:rsidRPr="00BA5F0C" w:rsidRDefault="00543D47" w:rsidP="00D9610A">
            <w:pPr>
              <w:spacing w:before="40" w:after="40" w:line="240" w:lineRule="auto"/>
              <w:rPr>
                <w:rFonts w:cs="Arial"/>
                <w:sz w:val="18"/>
                <w:szCs w:val="18"/>
              </w:rPr>
            </w:pPr>
            <w:r>
              <w:rPr>
                <w:rFonts w:cs="Arial"/>
                <w:sz w:val="18"/>
                <w:szCs w:val="18"/>
              </w:rPr>
              <w:t>Because testing of LP</w:t>
            </w:r>
            <w:r w:rsidRPr="00BA5F0C">
              <w:rPr>
                <w:rFonts w:cs="Arial"/>
                <w:sz w:val="18"/>
                <w:szCs w:val="18"/>
              </w:rPr>
              <w:t>(a) provides additional risk information for heart attacks and may help management in these patients.</w:t>
            </w:r>
          </w:p>
        </w:tc>
      </w:tr>
    </w:tbl>
    <w:p w14:paraId="5B4DAD28" w14:textId="77777777" w:rsidR="00543D47" w:rsidRPr="00BA5F0C" w:rsidRDefault="00543D47" w:rsidP="00543D47">
      <w:pPr>
        <w:rPr>
          <w:sz w:val="18"/>
          <w:szCs w:val="18"/>
          <w:lang w:eastAsia="en-US"/>
        </w:rPr>
      </w:pPr>
    </w:p>
    <w:p w14:paraId="4DF8BC16" w14:textId="77777777" w:rsidR="00543D47" w:rsidRPr="00BA5F0C" w:rsidRDefault="00543D47" w:rsidP="00543D47">
      <w:pPr>
        <w:pStyle w:val="Caption"/>
        <w:rPr>
          <w:b/>
          <w:sz w:val="18"/>
          <w:szCs w:val="18"/>
        </w:rPr>
      </w:pPr>
      <w:bookmarkStart w:id="250" w:name="_Toc487753627"/>
      <w:bookmarkStart w:id="251" w:name="_Toc490651349"/>
      <w:bookmarkStart w:id="252" w:name="_Toc490756870"/>
      <w:bookmarkStart w:id="253" w:name="_Toc491340991"/>
      <w:bookmarkStart w:id="254" w:name="_Toc493598685"/>
      <w:bookmarkStart w:id="255" w:name="_Toc493599707"/>
      <w:bookmarkStart w:id="256" w:name="_Toc493599903"/>
      <w:bookmarkStart w:id="257" w:name="_Toc493687764"/>
      <w:bookmarkStart w:id="258" w:name="_Toc534374984"/>
      <w:r w:rsidRPr="00BA5F0C">
        <w:rPr>
          <w:b/>
          <w:i w:val="0"/>
          <w:sz w:val="18"/>
          <w:szCs w:val="18"/>
        </w:rPr>
        <w:lastRenderedPageBreak/>
        <w:t>Recommendation 6: Quantitation of disaccharides: item 66680</w:t>
      </w:r>
      <w:bookmarkEnd w:id="250"/>
      <w:bookmarkEnd w:id="251"/>
      <w:bookmarkEnd w:id="252"/>
      <w:bookmarkEnd w:id="253"/>
      <w:bookmarkEnd w:id="254"/>
      <w:bookmarkEnd w:id="255"/>
      <w:bookmarkEnd w:id="256"/>
      <w:bookmarkEnd w:id="257"/>
      <w:bookmarkEnd w:id="258"/>
    </w:p>
    <w:tbl>
      <w:tblPr>
        <w:tblStyle w:val="TableGrid"/>
        <w:tblW w:w="14458"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0"/>
        <w:gridCol w:w="3402"/>
        <w:gridCol w:w="3402"/>
        <w:gridCol w:w="3402"/>
        <w:gridCol w:w="3402"/>
      </w:tblGrid>
      <w:tr w:rsidR="00543D47" w:rsidRPr="00BA5F0C" w14:paraId="62724A80" w14:textId="77777777" w:rsidTr="00D9610A">
        <w:trPr>
          <w:cantSplit/>
          <w:tblHeader/>
        </w:trPr>
        <w:tc>
          <w:tcPr>
            <w:tcW w:w="850" w:type="dxa"/>
          </w:tcPr>
          <w:p w14:paraId="5A5468B0"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734119D3"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2388B77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4EF2A419"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4D8E2D7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06F2846E" w14:textId="77777777" w:rsidTr="00D9610A">
        <w:trPr>
          <w:cantSplit/>
        </w:trPr>
        <w:tc>
          <w:tcPr>
            <w:tcW w:w="850" w:type="dxa"/>
          </w:tcPr>
          <w:p w14:paraId="55A0F368"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66680</w:t>
            </w:r>
          </w:p>
        </w:tc>
        <w:tc>
          <w:tcPr>
            <w:tcW w:w="3402" w:type="dxa"/>
          </w:tcPr>
          <w:p w14:paraId="1AA6ADA2" w14:textId="77777777" w:rsidR="00543D47" w:rsidRPr="00BA5F0C" w:rsidRDefault="00543D47" w:rsidP="00D9610A">
            <w:pPr>
              <w:spacing w:before="40" w:after="40" w:line="240" w:lineRule="auto"/>
              <w:rPr>
                <w:rFonts w:cs="Arial"/>
                <w:sz w:val="18"/>
                <w:szCs w:val="18"/>
              </w:rPr>
            </w:pPr>
            <w:r w:rsidRPr="00BA5F0C">
              <w:rPr>
                <w:rFonts w:cs="Arial"/>
                <w:sz w:val="18"/>
                <w:szCs w:val="18"/>
              </w:rPr>
              <w:t>Measures lactase deficiency in malabsorption.</w:t>
            </w:r>
          </w:p>
        </w:tc>
        <w:tc>
          <w:tcPr>
            <w:tcW w:w="3402" w:type="dxa"/>
          </w:tcPr>
          <w:p w14:paraId="075FD2F5" w14:textId="77777777" w:rsidR="00543D47" w:rsidRPr="00BA5F0C" w:rsidRDefault="00543D47" w:rsidP="00D9610A">
            <w:pPr>
              <w:spacing w:before="40" w:after="40" w:line="240" w:lineRule="auto"/>
              <w:rPr>
                <w:rFonts w:cs="Arial"/>
                <w:sz w:val="18"/>
                <w:szCs w:val="18"/>
              </w:rPr>
            </w:pPr>
            <w:r w:rsidRPr="00BA5F0C">
              <w:rPr>
                <w:rFonts w:cs="Arial"/>
                <w:sz w:val="18"/>
                <w:szCs w:val="18"/>
              </w:rPr>
              <w:t>Change item descriptor to stipulate that the test should only be used in patients who cannot operate the hydrogen breath test</w:t>
            </w:r>
          </w:p>
          <w:p w14:paraId="022CAFD7" w14:textId="77777777" w:rsidR="00543D47" w:rsidRPr="00BA5F0C" w:rsidRDefault="00543D47" w:rsidP="00D9610A">
            <w:pPr>
              <w:spacing w:before="40" w:after="40" w:line="240" w:lineRule="auto"/>
              <w:rPr>
                <w:rFonts w:cs="Arial"/>
                <w:sz w:val="18"/>
                <w:szCs w:val="18"/>
              </w:rPr>
            </w:pPr>
          </w:p>
        </w:tc>
        <w:tc>
          <w:tcPr>
            <w:tcW w:w="3402" w:type="dxa"/>
          </w:tcPr>
          <w:p w14:paraId="07626C61" w14:textId="77777777" w:rsidR="00543D47" w:rsidRPr="00BA5F0C" w:rsidRDefault="00543D47" w:rsidP="00D9610A">
            <w:pPr>
              <w:spacing w:before="40" w:after="40" w:line="240" w:lineRule="auto"/>
              <w:ind w:left="57" w:right="57"/>
              <w:rPr>
                <w:sz w:val="18"/>
                <w:szCs w:val="18"/>
              </w:rPr>
            </w:pPr>
            <w:r w:rsidRPr="00BA5F0C">
              <w:rPr>
                <w:sz w:val="18"/>
                <w:szCs w:val="18"/>
              </w:rPr>
              <w:t>Instead of a test on an intestinal biopsy a breath test after lactose is suggested.</w:t>
            </w:r>
          </w:p>
        </w:tc>
        <w:tc>
          <w:tcPr>
            <w:tcW w:w="3402" w:type="dxa"/>
          </w:tcPr>
          <w:p w14:paraId="65E46B3A"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The test is limited to patients </w:t>
            </w:r>
            <w:r>
              <w:rPr>
                <w:rFonts w:cs="Arial"/>
                <w:sz w:val="18"/>
                <w:szCs w:val="18"/>
              </w:rPr>
              <w:t>who</w:t>
            </w:r>
            <w:r w:rsidRPr="00BA5F0C">
              <w:rPr>
                <w:rFonts w:cs="Arial"/>
                <w:sz w:val="18"/>
                <w:szCs w:val="18"/>
              </w:rPr>
              <w:t xml:space="preserve"> cannot have the less invasive test first (mainly children).</w:t>
            </w:r>
          </w:p>
        </w:tc>
      </w:tr>
    </w:tbl>
    <w:p w14:paraId="20CF1786" w14:textId="77777777" w:rsidR="00543D47" w:rsidRPr="00BA5F0C" w:rsidRDefault="00543D47" w:rsidP="00543D47">
      <w:pPr>
        <w:spacing w:before="40" w:after="40" w:line="240" w:lineRule="auto"/>
        <w:rPr>
          <w:b/>
          <w:sz w:val="18"/>
          <w:szCs w:val="18"/>
        </w:rPr>
      </w:pPr>
    </w:p>
    <w:p w14:paraId="43C645EC" w14:textId="77777777" w:rsidR="00543D47" w:rsidRPr="00BA5F0C" w:rsidRDefault="00543D47" w:rsidP="00543D47">
      <w:pPr>
        <w:pStyle w:val="Caption"/>
        <w:rPr>
          <w:b/>
          <w:sz w:val="18"/>
          <w:szCs w:val="18"/>
        </w:rPr>
      </w:pPr>
      <w:bookmarkStart w:id="259" w:name="_Toc487753629"/>
      <w:bookmarkStart w:id="260" w:name="_Toc490651351"/>
      <w:bookmarkStart w:id="261" w:name="_Toc490756872"/>
      <w:bookmarkStart w:id="262" w:name="_Toc491340993"/>
      <w:bookmarkStart w:id="263" w:name="_Toc493598687"/>
      <w:bookmarkStart w:id="264" w:name="_Toc493599709"/>
      <w:bookmarkStart w:id="265" w:name="_Toc493599905"/>
      <w:bookmarkStart w:id="266" w:name="_Toc493687765"/>
      <w:bookmarkStart w:id="267" w:name="_Toc534374985"/>
      <w:r w:rsidRPr="00BA5F0C">
        <w:rPr>
          <w:b/>
          <w:i w:val="0"/>
          <w:sz w:val="18"/>
          <w:szCs w:val="18"/>
        </w:rPr>
        <w:t xml:space="preserve">Recommendation </w:t>
      </w:r>
      <w:r>
        <w:rPr>
          <w:b/>
          <w:i w:val="0"/>
          <w:sz w:val="18"/>
          <w:szCs w:val="18"/>
        </w:rPr>
        <w:t>7</w:t>
      </w:r>
      <w:r w:rsidRPr="00BA5F0C">
        <w:rPr>
          <w:b/>
          <w:i w:val="0"/>
          <w:sz w:val="18"/>
          <w:szCs w:val="18"/>
        </w:rPr>
        <w:t>: Quantitation of faecal fat: item 66674</w:t>
      </w:r>
      <w:bookmarkEnd w:id="259"/>
      <w:bookmarkEnd w:id="260"/>
      <w:bookmarkEnd w:id="261"/>
      <w:bookmarkEnd w:id="262"/>
      <w:bookmarkEnd w:id="263"/>
      <w:bookmarkEnd w:id="264"/>
      <w:bookmarkEnd w:id="265"/>
      <w:bookmarkEnd w:id="266"/>
      <w:bookmarkEnd w:id="267"/>
    </w:p>
    <w:tbl>
      <w:tblPr>
        <w:tblStyle w:val="TableGrid"/>
        <w:tblW w:w="14742"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0"/>
        <w:gridCol w:w="3473"/>
        <w:gridCol w:w="3473"/>
        <w:gridCol w:w="3473"/>
        <w:gridCol w:w="3473"/>
      </w:tblGrid>
      <w:tr w:rsidR="00543D47" w:rsidRPr="00BA5F0C" w14:paraId="00213ED3" w14:textId="77777777" w:rsidTr="00D9610A">
        <w:trPr>
          <w:cantSplit/>
          <w:tblHeader/>
        </w:trPr>
        <w:tc>
          <w:tcPr>
            <w:tcW w:w="850" w:type="dxa"/>
          </w:tcPr>
          <w:p w14:paraId="28754B33"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73" w:type="dxa"/>
          </w:tcPr>
          <w:p w14:paraId="36D29C8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73" w:type="dxa"/>
          </w:tcPr>
          <w:p w14:paraId="48CC8977"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73" w:type="dxa"/>
          </w:tcPr>
          <w:p w14:paraId="69C2759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73" w:type="dxa"/>
          </w:tcPr>
          <w:p w14:paraId="6425259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5509FEF2" w14:textId="77777777" w:rsidTr="00D9610A">
        <w:trPr>
          <w:cantSplit/>
        </w:trPr>
        <w:tc>
          <w:tcPr>
            <w:tcW w:w="850" w:type="dxa"/>
          </w:tcPr>
          <w:p w14:paraId="1673D40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66674</w:t>
            </w:r>
          </w:p>
        </w:tc>
        <w:tc>
          <w:tcPr>
            <w:tcW w:w="3473" w:type="dxa"/>
          </w:tcPr>
          <w:p w14:paraId="749922C6" w14:textId="77777777" w:rsidR="00543D47" w:rsidRPr="00BA5F0C" w:rsidRDefault="00543D47" w:rsidP="00D9610A">
            <w:pPr>
              <w:spacing w:before="40" w:after="40" w:line="240" w:lineRule="auto"/>
              <w:rPr>
                <w:rFonts w:cs="Arial"/>
                <w:sz w:val="18"/>
                <w:szCs w:val="18"/>
              </w:rPr>
            </w:pPr>
            <w:r w:rsidRPr="00BA5F0C">
              <w:rPr>
                <w:rFonts w:cs="Arial"/>
                <w:sz w:val="18"/>
                <w:szCs w:val="18"/>
              </w:rPr>
              <w:t>Measures faecal fat or breath hydrogen to detect malabsorption</w:t>
            </w:r>
          </w:p>
        </w:tc>
        <w:tc>
          <w:tcPr>
            <w:tcW w:w="3473" w:type="dxa"/>
          </w:tcPr>
          <w:p w14:paraId="31D7EA2B" w14:textId="77777777" w:rsidR="00543D47" w:rsidRPr="00BA5F0C" w:rsidRDefault="00543D47" w:rsidP="00D9610A">
            <w:pPr>
              <w:spacing w:before="40" w:after="40" w:line="240" w:lineRule="auto"/>
              <w:rPr>
                <w:rFonts w:cs="Arial"/>
                <w:sz w:val="18"/>
                <w:szCs w:val="18"/>
              </w:rPr>
            </w:pPr>
            <w:r w:rsidRPr="00BA5F0C">
              <w:rPr>
                <w:rFonts w:cs="Arial"/>
                <w:sz w:val="18"/>
                <w:szCs w:val="18"/>
              </w:rPr>
              <w:t>Add extra wording to the item descriptor to include monosaccharides, faecal elastase in the investigation of pancreatic insufficiency, and methane.</w:t>
            </w:r>
          </w:p>
        </w:tc>
        <w:tc>
          <w:tcPr>
            <w:tcW w:w="3473" w:type="dxa"/>
          </w:tcPr>
          <w:p w14:paraId="433F3063" w14:textId="77777777" w:rsidR="00543D47" w:rsidRPr="00BA5F0C" w:rsidRDefault="00543D47" w:rsidP="00D9610A">
            <w:pPr>
              <w:spacing w:before="40" w:after="40" w:line="240" w:lineRule="auto"/>
              <w:ind w:left="57" w:right="57"/>
              <w:rPr>
                <w:sz w:val="18"/>
                <w:szCs w:val="18"/>
              </w:rPr>
            </w:pPr>
            <w:r w:rsidRPr="00BA5F0C">
              <w:rPr>
                <w:sz w:val="18"/>
                <w:szCs w:val="18"/>
              </w:rPr>
              <w:t>The test would include additional features and provide useful information for a larger number of patients.</w:t>
            </w:r>
          </w:p>
        </w:tc>
        <w:tc>
          <w:tcPr>
            <w:tcW w:w="3473" w:type="dxa"/>
          </w:tcPr>
          <w:p w14:paraId="6A302BB7" w14:textId="77777777" w:rsidR="00543D47" w:rsidRPr="00BA5F0C" w:rsidRDefault="00543D47" w:rsidP="00D9610A">
            <w:pPr>
              <w:spacing w:before="40" w:after="40" w:line="240" w:lineRule="auto"/>
              <w:rPr>
                <w:rFonts w:cs="Arial"/>
                <w:sz w:val="18"/>
                <w:szCs w:val="18"/>
              </w:rPr>
            </w:pPr>
            <w:r w:rsidRPr="00BA5F0C">
              <w:rPr>
                <w:rFonts w:cs="Arial"/>
                <w:sz w:val="18"/>
                <w:szCs w:val="18"/>
              </w:rPr>
              <w:t>To bring test in line with clinical knowledge and practice.</w:t>
            </w:r>
          </w:p>
        </w:tc>
      </w:tr>
    </w:tbl>
    <w:p w14:paraId="7B86603A" w14:textId="77777777" w:rsidR="00543D47" w:rsidRPr="00BA5F0C" w:rsidRDefault="00543D47" w:rsidP="00543D47">
      <w:pPr>
        <w:rPr>
          <w:sz w:val="18"/>
          <w:szCs w:val="18"/>
        </w:rPr>
      </w:pPr>
    </w:p>
    <w:p w14:paraId="6D269ADC" w14:textId="77777777" w:rsidR="00543D47" w:rsidRPr="00BA5F0C" w:rsidRDefault="00543D47" w:rsidP="00543D47">
      <w:pPr>
        <w:pStyle w:val="Caption"/>
        <w:rPr>
          <w:b/>
          <w:sz w:val="18"/>
          <w:szCs w:val="18"/>
        </w:rPr>
      </w:pPr>
      <w:bookmarkStart w:id="268" w:name="_Toc487753630"/>
      <w:bookmarkStart w:id="269" w:name="_Toc490651352"/>
      <w:bookmarkStart w:id="270" w:name="_Toc490756873"/>
      <w:bookmarkStart w:id="271" w:name="_Toc491340994"/>
      <w:bookmarkStart w:id="272" w:name="_Toc493598688"/>
      <w:bookmarkStart w:id="273" w:name="_Toc493599710"/>
      <w:bookmarkStart w:id="274" w:name="_Toc493599906"/>
      <w:bookmarkStart w:id="275" w:name="_Toc493687766"/>
      <w:bookmarkStart w:id="276" w:name="_Toc534374986"/>
      <w:r w:rsidRPr="00BA5F0C">
        <w:rPr>
          <w:b/>
          <w:i w:val="0"/>
          <w:sz w:val="18"/>
          <w:szCs w:val="18"/>
        </w:rPr>
        <w:t xml:space="preserve">Recommendation </w:t>
      </w:r>
      <w:r>
        <w:rPr>
          <w:b/>
          <w:i w:val="0"/>
          <w:sz w:val="18"/>
          <w:szCs w:val="18"/>
        </w:rPr>
        <w:t>8</w:t>
      </w:r>
      <w:r w:rsidRPr="00BA5F0C">
        <w:rPr>
          <w:b/>
          <w:i w:val="0"/>
          <w:sz w:val="18"/>
          <w:szCs w:val="18"/>
        </w:rPr>
        <w:t>: Vitamins B1, B3, B6 or C</w:t>
      </w:r>
      <w:bookmarkEnd w:id="268"/>
      <w:bookmarkEnd w:id="269"/>
      <w:bookmarkEnd w:id="270"/>
      <w:bookmarkEnd w:id="271"/>
      <w:bookmarkEnd w:id="272"/>
      <w:bookmarkEnd w:id="273"/>
      <w:bookmarkEnd w:id="274"/>
      <w:bookmarkEnd w:id="275"/>
      <w:bookmarkEnd w:id="276"/>
    </w:p>
    <w:tbl>
      <w:tblPr>
        <w:tblStyle w:val="TableGrid"/>
        <w:tblW w:w="14742"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72"/>
        <w:gridCol w:w="3473"/>
        <w:gridCol w:w="3473"/>
        <w:gridCol w:w="3473"/>
      </w:tblGrid>
      <w:tr w:rsidR="00543D47" w:rsidRPr="00BA5F0C" w14:paraId="48B19654" w14:textId="77777777" w:rsidTr="00D9610A">
        <w:trPr>
          <w:cantSplit/>
          <w:tblHeader/>
        </w:trPr>
        <w:tc>
          <w:tcPr>
            <w:tcW w:w="851" w:type="dxa"/>
          </w:tcPr>
          <w:p w14:paraId="7D0FEB9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72" w:type="dxa"/>
          </w:tcPr>
          <w:p w14:paraId="66CF1CC9"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73" w:type="dxa"/>
          </w:tcPr>
          <w:p w14:paraId="329025C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73" w:type="dxa"/>
          </w:tcPr>
          <w:p w14:paraId="5F055C0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73" w:type="dxa"/>
          </w:tcPr>
          <w:p w14:paraId="6BA8E04B"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69C7694B" w14:textId="77777777" w:rsidTr="00D9610A">
        <w:trPr>
          <w:cantSplit/>
        </w:trPr>
        <w:tc>
          <w:tcPr>
            <w:tcW w:w="851" w:type="dxa"/>
            <w:vAlign w:val="center"/>
          </w:tcPr>
          <w:p w14:paraId="5FE102BC"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66605</w:t>
            </w:r>
          </w:p>
        </w:tc>
        <w:tc>
          <w:tcPr>
            <w:tcW w:w="3472" w:type="dxa"/>
          </w:tcPr>
          <w:p w14:paraId="5632C78E"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Measures vitamins B1, B2, B3, </w:t>
            </w:r>
            <w:r>
              <w:rPr>
                <w:rFonts w:cs="Arial"/>
                <w:sz w:val="18"/>
                <w:szCs w:val="18"/>
              </w:rPr>
              <w:t>B</w:t>
            </w:r>
            <w:r w:rsidRPr="00BA5F0C">
              <w:rPr>
                <w:rFonts w:cs="Arial"/>
                <w:sz w:val="18"/>
                <w:szCs w:val="18"/>
              </w:rPr>
              <w:t xml:space="preserve">6 or </w:t>
            </w:r>
            <w:r>
              <w:rPr>
                <w:rFonts w:cs="Arial"/>
                <w:sz w:val="18"/>
                <w:szCs w:val="18"/>
              </w:rPr>
              <w:t>C</w:t>
            </w:r>
            <w:r w:rsidRPr="00BA5F0C">
              <w:rPr>
                <w:rFonts w:cs="Arial"/>
                <w:sz w:val="18"/>
                <w:szCs w:val="18"/>
              </w:rPr>
              <w:t xml:space="preserve"> in blood, urine or other body fluid - 1 or more tests</w:t>
            </w:r>
          </w:p>
        </w:tc>
        <w:tc>
          <w:tcPr>
            <w:tcW w:w="3473" w:type="dxa"/>
          </w:tcPr>
          <w:p w14:paraId="751E6395"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29DF3288" w14:textId="77777777" w:rsidR="00543D47" w:rsidRPr="00BA5F0C" w:rsidRDefault="00543D47" w:rsidP="00D9610A">
            <w:pPr>
              <w:spacing w:before="40" w:after="40" w:line="240" w:lineRule="auto"/>
              <w:rPr>
                <w:rFonts w:cs="Arial"/>
                <w:sz w:val="18"/>
                <w:szCs w:val="18"/>
              </w:rPr>
            </w:pPr>
          </w:p>
        </w:tc>
        <w:tc>
          <w:tcPr>
            <w:tcW w:w="3473" w:type="dxa"/>
          </w:tcPr>
          <w:p w14:paraId="72A2585B" w14:textId="77777777" w:rsidR="00543D47" w:rsidRPr="00BA5F0C" w:rsidRDefault="00543D47" w:rsidP="00D9610A">
            <w:pPr>
              <w:spacing w:before="40" w:after="40" w:line="240" w:lineRule="auto"/>
              <w:ind w:left="57" w:right="57"/>
              <w:rPr>
                <w:sz w:val="18"/>
                <w:szCs w:val="18"/>
              </w:rPr>
            </w:pPr>
          </w:p>
        </w:tc>
        <w:tc>
          <w:tcPr>
            <w:tcW w:w="3473" w:type="dxa"/>
          </w:tcPr>
          <w:p w14:paraId="592489CD" w14:textId="77777777" w:rsidR="00543D47" w:rsidRPr="00BA5F0C" w:rsidRDefault="00543D47" w:rsidP="00D9610A">
            <w:pPr>
              <w:spacing w:before="40" w:after="40" w:line="240" w:lineRule="auto"/>
              <w:rPr>
                <w:rFonts w:cs="Arial"/>
                <w:sz w:val="18"/>
                <w:szCs w:val="18"/>
              </w:rPr>
            </w:pPr>
          </w:p>
        </w:tc>
      </w:tr>
      <w:tr w:rsidR="00543D47" w:rsidRPr="00BA5F0C" w14:paraId="77429412" w14:textId="77777777" w:rsidTr="00D9610A">
        <w:trPr>
          <w:cantSplit/>
        </w:trPr>
        <w:tc>
          <w:tcPr>
            <w:tcW w:w="851" w:type="dxa"/>
            <w:vAlign w:val="center"/>
          </w:tcPr>
          <w:p w14:paraId="221F4AB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66606</w:t>
            </w:r>
          </w:p>
        </w:tc>
        <w:tc>
          <w:tcPr>
            <w:tcW w:w="3472" w:type="dxa"/>
          </w:tcPr>
          <w:p w14:paraId="25817073"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A test described in item 66605 if rendered by a receiving APP - 1 or more </w:t>
            </w:r>
            <w:proofErr w:type="gramStart"/>
            <w:r w:rsidRPr="00BA5F0C">
              <w:rPr>
                <w:rFonts w:cs="Arial"/>
                <w:sz w:val="18"/>
                <w:szCs w:val="18"/>
              </w:rPr>
              <w:t>tests(</w:t>
            </w:r>
            <w:proofErr w:type="gramEnd"/>
            <w:r w:rsidRPr="00BA5F0C">
              <w:rPr>
                <w:rFonts w:cs="Arial"/>
                <w:sz w:val="18"/>
                <w:szCs w:val="18"/>
              </w:rPr>
              <w:t>Item is subject to rule 18 and 25)</w:t>
            </w:r>
          </w:p>
        </w:tc>
        <w:tc>
          <w:tcPr>
            <w:tcW w:w="3473" w:type="dxa"/>
          </w:tcPr>
          <w:p w14:paraId="71C3A0D3"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73" w:type="dxa"/>
          </w:tcPr>
          <w:p w14:paraId="78FDAF91" w14:textId="77777777" w:rsidR="00543D47" w:rsidRPr="00BA5F0C" w:rsidRDefault="00543D47" w:rsidP="00D9610A">
            <w:pPr>
              <w:spacing w:before="40" w:after="40" w:line="240" w:lineRule="auto"/>
              <w:ind w:left="57" w:right="57"/>
              <w:rPr>
                <w:sz w:val="18"/>
                <w:szCs w:val="18"/>
              </w:rPr>
            </w:pPr>
          </w:p>
        </w:tc>
        <w:tc>
          <w:tcPr>
            <w:tcW w:w="3473" w:type="dxa"/>
          </w:tcPr>
          <w:p w14:paraId="374543B0" w14:textId="77777777" w:rsidR="00543D47" w:rsidRPr="00BA5F0C" w:rsidRDefault="00543D47" w:rsidP="00D9610A">
            <w:pPr>
              <w:spacing w:before="40" w:after="40" w:line="240" w:lineRule="auto"/>
              <w:rPr>
                <w:rFonts w:cs="Arial"/>
                <w:sz w:val="18"/>
                <w:szCs w:val="18"/>
              </w:rPr>
            </w:pPr>
          </w:p>
        </w:tc>
      </w:tr>
    </w:tbl>
    <w:p w14:paraId="50376E46" w14:textId="77777777" w:rsidR="00543D47" w:rsidRPr="00BA5F0C" w:rsidRDefault="00543D47" w:rsidP="00543D47">
      <w:pPr>
        <w:rPr>
          <w:sz w:val="18"/>
          <w:szCs w:val="18"/>
        </w:rPr>
      </w:pPr>
    </w:p>
    <w:p w14:paraId="798E5775" w14:textId="77777777" w:rsidR="00543D47" w:rsidRPr="00BA5F0C" w:rsidRDefault="00543D47" w:rsidP="00543D47">
      <w:pPr>
        <w:pStyle w:val="Caption"/>
        <w:rPr>
          <w:b/>
          <w:sz w:val="18"/>
          <w:szCs w:val="18"/>
        </w:rPr>
      </w:pPr>
      <w:bookmarkStart w:id="277" w:name="_Toc487753631"/>
      <w:bookmarkStart w:id="278" w:name="_Toc490651353"/>
      <w:bookmarkStart w:id="279" w:name="_Toc490756874"/>
      <w:bookmarkStart w:id="280" w:name="_Toc491340995"/>
      <w:bookmarkStart w:id="281" w:name="_Toc493598689"/>
      <w:bookmarkStart w:id="282" w:name="_Toc493599711"/>
      <w:bookmarkStart w:id="283" w:name="_Toc493599907"/>
      <w:bookmarkStart w:id="284" w:name="_Toc493687767"/>
      <w:bookmarkStart w:id="285" w:name="_Toc534374987"/>
      <w:r w:rsidRPr="00BA5F0C">
        <w:rPr>
          <w:b/>
          <w:i w:val="0"/>
          <w:sz w:val="18"/>
          <w:szCs w:val="18"/>
        </w:rPr>
        <w:lastRenderedPageBreak/>
        <w:t xml:space="preserve">Recommendation </w:t>
      </w:r>
      <w:r>
        <w:rPr>
          <w:b/>
          <w:i w:val="0"/>
          <w:sz w:val="18"/>
          <w:szCs w:val="18"/>
        </w:rPr>
        <w:t>9</w:t>
      </w:r>
      <w:r w:rsidRPr="00BA5F0C">
        <w:rPr>
          <w:b/>
          <w:i w:val="0"/>
          <w:sz w:val="18"/>
          <w:szCs w:val="18"/>
        </w:rPr>
        <w:t>: Drugs of abuse: items 66623, 66626</w:t>
      </w:r>
      <w:bookmarkEnd w:id="277"/>
      <w:bookmarkEnd w:id="278"/>
      <w:bookmarkEnd w:id="279"/>
      <w:bookmarkEnd w:id="280"/>
      <w:bookmarkEnd w:id="281"/>
      <w:bookmarkEnd w:id="282"/>
      <w:bookmarkEnd w:id="283"/>
      <w:bookmarkEnd w:id="284"/>
      <w:bookmarkEnd w:id="285"/>
    </w:p>
    <w:tbl>
      <w:tblPr>
        <w:tblStyle w:val="TableGrid"/>
        <w:tblW w:w="14742"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72"/>
        <w:gridCol w:w="3473"/>
        <w:gridCol w:w="3473"/>
        <w:gridCol w:w="3473"/>
      </w:tblGrid>
      <w:tr w:rsidR="00543D47" w:rsidRPr="00BA5F0C" w14:paraId="3AA167BB" w14:textId="77777777" w:rsidTr="00D9610A">
        <w:trPr>
          <w:cantSplit/>
          <w:tblHeader/>
        </w:trPr>
        <w:tc>
          <w:tcPr>
            <w:tcW w:w="851" w:type="dxa"/>
          </w:tcPr>
          <w:p w14:paraId="64BE102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72" w:type="dxa"/>
          </w:tcPr>
          <w:p w14:paraId="6A7E6A5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73" w:type="dxa"/>
          </w:tcPr>
          <w:p w14:paraId="0EC20145"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73" w:type="dxa"/>
          </w:tcPr>
          <w:p w14:paraId="43B764F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73" w:type="dxa"/>
          </w:tcPr>
          <w:p w14:paraId="6DAA5590"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2422E8A0" w14:textId="77777777" w:rsidTr="00D9610A">
        <w:trPr>
          <w:cantSplit/>
        </w:trPr>
        <w:tc>
          <w:tcPr>
            <w:tcW w:w="851" w:type="dxa"/>
          </w:tcPr>
          <w:p w14:paraId="5D15327F"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66623</w:t>
            </w:r>
          </w:p>
        </w:tc>
        <w:tc>
          <w:tcPr>
            <w:tcW w:w="3472" w:type="dxa"/>
          </w:tcPr>
          <w:p w14:paraId="113F0982" w14:textId="77777777" w:rsidR="00543D47" w:rsidRPr="00BA5F0C" w:rsidRDefault="00543D47" w:rsidP="00D9610A">
            <w:pPr>
              <w:spacing w:before="40" w:after="40" w:line="240" w:lineRule="auto"/>
              <w:rPr>
                <w:rFonts w:cs="Arial"/>
                <w:sz w:val="18"/>
                <w:szCs w:val="18"/>
              </w:rPr>
            </w:pPr>
            <w:r w:rsidRPr="00BA5F0C">
              <w:rPr>
                <w:rFonts w:cs="Arial"/>
                <w:sz w:val="18"/>
                <w:szCs w:val="18"/>
              </w:rPr>
              <w:t>Measures levels of drugs of abuse, or of toxic chemicals in blood, urine or other body fluids, (excluding performance improving substances in sports, or monitoring of patients in drug abuse treatment programs).</w:t>
            </w:r>
          </w:p>
        </w:tc>
        <w:tc>
          <w:tcPr>
            <w:tcW w:w="3473" w:type="dxa"/>
          </w:tcPr>
          <w:p w14:paraId="3A5C6BC3"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73" w:type="dxa"/>
          </w:tcPr>
          <w:p w14:paraId="069EDFC6"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73" w:type="dxa"/>
          </w:tcPr>
          <w:p w14:paraId="17FB70CB" w14:textId="77777777" w:rsidR="00543D47" w:rsidRPr="00BA5F0C" w:rsidRDefault="00543D47" w:rsidP="00D9610A">
            <w:pPr>
              <w:spacing w:before="40" w:after="40" w:line="240" w:lineRule="auto"/>
              <w:rPr>
                <w:rFonts w:cs="Arial"/>
                <w:sz w:val="18"/>
                <w:szCs w:val="18"/>
              </w:rPr>
            </w:pPr>
          </w:p>
        </w:tc>
      </w:tr>
      <w:tr w:rsidR="00543D47" w:rsidRPr="00BA5F0C" w14:paraId="0CAF092D" w14:textId="77777777" w:rsidTr="00D9610A">
        <w:trPr>
          <w:cantSplit/>
        </w:trPr>
        <w:tc>
          <w:tcPr>
            <w:tcW w:w="851" w:type="dxa"/>
          </w:tcPr>
          <w:p w14:paraId="6A430389"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66626</w:t>
            </w:r>
          </w:p>
        </w:tc>
        <w:tc>
          <w:tcPr>
            <w:tcW w:w="3472" w:type="dxa"/>
          </w:tcPr>
          <w:p w14:paraId="27EB8E90" w14:textId="77777777" w:rsidR="00543D47" w:rsidRPr="00BA5F0C" w:rsidRDefault="00543D47" w:rsidP="00D9610A">
            <w:pPr>
              <w:spacing w:before="40" w:after="40" w:line="240" w:lineRule="auto"/>
              <w:rPr>
                <w:rFonts w:cs="Arial"/>
                <w:sz w:val="18"/>
                <w:szCs w:val="18"/>
              </w:rPr>
            </w:pPr>
            <w:r w:rsidRPr="00BA5F0C">
              <w:rPr>
                <w:rFonts w:cs="Arial"/>
                <w:sz w:val="18"/>
                <w:szCs w:val="18"/>
              </w:rPr>
              <w:t>Measures levels of drugs of abuse or therapeutic drugs in blood, urine or other body fluids in people in drug abuse treatment programs, (excluding surveillance of sports people for performance improving substances).</w:t>
            </w:r>
          </w:p>
        </w:tc>
        <w:tc>
          <w:tcPr>
            <w:tcW w:w="3473" w:type="dxa"/>
          </w:tcPr>
          <w:p w14:paraId="12C90474"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73" w:type="dxa"/>
          </w:tcPr>
          <w:p w14:paraId="44BC9D53" w14:textId="77777777" w:rsidR="00543D47" w:rsidRPr="00BA5F0C" w:rsidRDefault="00543D47" w:rsidP="00D9610A">
            <w:pPr>
              <w:spacing w:before="40" w:after="40" w:line="240" w:lineRule="auto"/>
              <w:ind w:left="57" w:right="57"/>
              <w:rPr>
                <w:sz w:val="18"/>
                <w:szCs w:val="18"/>
              </w:rPr>
            </w:pPr>
          </w:p>
        </w:tc>
        <w:tc>
          <w:tcPr>
            <w:tcW w:w="3473" w:type="dxa"/>
          </w:tcPr>
          <w:p w14:paraId="12EC4210" w14:textId="77777777" w:rsidR="00543D47" w:rsidRPr="00BA5F0C" w:rsidRDefault="00543D47" w:rsidP="00D9610A">
            <w:pPr>
              <w:spacing w:before="40" w:after="40" w:line="240" w:lineRule="auto"/>
              <w:rPr>
                <w:rFonts w:cs="Arial"/>
                <w:sz w:val="18"/>
                <w:szCs w:val="18"/>
              </w:rPr>
            </w:pPr>
          </w:p>
        </w:tc>
      </w:tr>
    </w:tbl>
    <w:p w14:paraId="31FFC104" w14:textId="77777777" w:rsidR="00543D47" w:rsidRPr="00BA5F0C" w:rsidRDefault="00543D47" w:rsidP="00543D47">
      <w:pPr>
        <w:spacing w:before="40" w:after="40" w:line="240" w:lineRule="auto"/>
        <w:rPr>
          <w:b/>
          <w:sz w:val="18"/>
          <w:szCs w:val="18"/>
        </w:rPr>
      </w:pPr>
    </w:p>
    <w:p w14:paraId="3B9C7CBD" w14:textId="77777777" w:rsidR="00543D47" w:rsidRPr="00BA5F0C" w:rsidRDefault="00543D47" w:rsidP="00543D47">
      <w:pPr>
        <w:pStyle w:val="Caption"/>
        <w:rPr>
          <w:b/>
          <w:sz w:val="18"/>
          <w:szCs w:val="18"/>
        </w:rPr>
      </w:pPr>
      <w:bookmarkStart w:id="286" w:name="_Toc487753632"/>
      <w:bookmarkStart w:id="287" w:name="_Toc490651354"/>
      <w:bookmarkStart w:id="288" w:name="_Toc490756875"/>
      <w:bookmarkStart w:id="289" w:name="_Toc491340996"/>
      <w:bookmarkStart w:id="290" w:name="_Toc493598690"/>
      <w:bookmarkStart w:id="291" w:name="_Toc493599712"/>
      <w:bookmarkStart w:id="292" w:name="_Toc493599908"/>
      <w:bookmarkStart w:id="293" w:name="_Toc493687768"/>
      <w:bookmarkStart w:id="294" w:name="_Toc534374988"/>
      <w:r w:rsidRPr="00BA5F0C">
        <w:rPr>
          <w:b/>
          <w:i w:val="0"/>
          <w:sz w:val="18"/>
          <w:szCs w:val="18"/>
        </w:rPr>
        <w:t>Recommendation 1</w:t>
      </w:r>
      <w:r>
        <w:rPr>
          <w:b/>
          <w:i w:val="0"/>
          <w:sz w:val="18"/>
          <w:szCs w:val="18"/>
        </w:rPr>
        <w:t>0</w:t>
      </w:r>
      <w:r w:rsidRPr="00BA5F0C">
        <w:rPr>
          <w:b/>
          <w:i w:val="0"/>
          <w:sz w:val="18"/>
          <w:szCs w:val="18"/>
        </w:rPr>
        <w:t>: Therapeutic drug monitoring: items 66800, 66803, 66804, 66805, 66806</w:t>
      </w:r>
      <w:bookmarkEnd w:id="286"/>
      <w:bookmarkEnd w:id="287"/>
      <w:bookmarkEnd w:id="288"/>
      <w:bookmarkEnd w:id="289"/>
      <w:bookmarkEnd w:id="290"/>
      <w:bookmarkEnd w:id="291"/>
      <w:bookmarkEnd w:id="292"/>
      <w:bookmarkEnd w:id="293"/>
      <w:bookmarkEnd w:id="294"/>
    </w:p>
    <w:tbl>
      <w:tblPr>
        <w:tblStyle w:val="TableGrid"/>
        <w:tblW w:w="14742"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72"/>
        <w:gridCol w:w="3473"/>
        <w:gridCol w:w="3473"/>
        <w:gridCol w:w="3473"/>
      </w:tblGrid>
      <w:tr w:rsidR="00543D47" w:rsidRPr="00BA5F0C" w14:paraId="606F9125" w14:textId="77777777" w:rsidTr="00D9610A">
        <w:trPr>
          <w:cantSplit/>
          <w:tblHeader/>
        </w:trPr>
        <w:tc>
          <w:tcPr>
            <w:tcW w:w="851" w:type="dxa"/>
          </w:tcPr>
          <w:p w14:paraId="7D6A20AB"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72" w:type="dxa"/>
          </w:tcPr>
          <w:p w14:paraId="6B74414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73" w:type="dxa"/>
          </w:tcPr>
          <w:p w14:paraId="65F9E02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73" w:type="dxa"/>
          </w:tcPr>
          <w:p w14:paraId="3E18B5B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73" w:type="dxa"/>
          </w:tcPr>
          <w:p w14:paraId="54FF47B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3C35A294" w14:textId="77777777" w:rsidTr="00D9610A">
        <w:trPr>
          <w:cantSplit/>
        </w:trPr>
        <w:tc>
          <w:tcPr>
            <w:tcW w:w="851" w:type="dxa"/>
          </w:tcPr>
          <w:p w14:paraId="33202BD5"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66800</w:t>
            </w:r>
          </w:p>
        </w:tc>
        <w:tc>
          <w:tcPr>
            <w:tcW w:w="3472" w:type="dxa"/>
          </w:tcPr>
          <w:p w14:paraId="743E59BA" w14:textId="77777777" w:rsidR="00543D47" w:rsidRPr="00BA5F0C" w:rsidRDefault="00543D47" w:rsidP="00D9610A">
            <w:pPr>
              <w:spacing w:before="40" w:after="40" w:line="240" w:lineRule="auto"/>
              <w:ind w:left="57" w:right="57"/>
              <w:rPr>
                <w:sz w:val="18"/>
                <w:szCs w:val="18"/>
              </w:rPr>
            </w:pPr>
            <w:r w:rsidRPr="00BA5F0C">
              <w:rPr>
                <w:sz w:val="18"/>
                <w:szCs w:val="18"/>
              </w:rPr>
              <w:t>Quantitation in blood, urine or other body fluid by any method (except reagent tablet or reagent strip) of a range of therapeutic drugs – 1 test (subject to rule 6)</w:t>
            </w:r>
          </w:p>
        </w:tc>
        <w:tc>
          <w:tcPr>
            <w:tcW w:w="3473" w:type="dxa"/>
          </w:tcPr>
          <w:p w14:paraId="17051C20"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Removal of -disopyramide, ethosuximide, lignocaine, netilmicin, procainamide, quinidine, salicylate from item descriptor, leaving antibiotics: amikacin, gentamicin, tobramycin, </w:t>
            </w:r>
            <w:proofErr w:type="gramStart"/>
            <w:r w:rsidRPr="00BA5F0C">
              <w:rPr>
                <w:rFonts w:cs="Arial"/>
                <w:sz w:val="18"/>
                <w:szCs w:val="18"/>
              </w:rPr>
              <w:t>vancomycin;</w:t>
            </w:r>
            <w:proofErr w:type="gramEnd"/>
          </w:p>
          <w:p w14:paraId="3A14AC4D" w14:textId="77777777" w:rsidR="00543D47" w:rsidRDefault="00543D47" w:rsidP="00D9610A">
            <w:pPr>
              <w:spacing w:before="40" w:after="40" w:line="240" w:lineRule="auto"/>
              <w:rPr>
                <w:rFonts w:cs="Arial"/>
                <w:sz w:val="18"/>
                <w:szCs w:val="18"/>
              </w:rPr>
            </w:pPr>
            <w:r w:rsidRPr="00BA5F0C">
              <w:rPr>
                <w:rFonts w:cs="Arial"/>
                <w:sz w:val="18"/>
                <w:szCs w:val="18"/>
              </w:rPr>
              <w:t xml:space="preserve">antiepileptic drugs: carbamazepine, phenytoin, phenobarbitone, primidone, </w:t>
            </w:r>
            <w:proofErr w:type="gramStart"/>
            <w:r w:rsidRPr="00BA5F0C">
              <w:rPr>
                <w:rFonts w:cs="Arial"/>
                <w:sz w:val="18"/>
                <w:szCs w:val="18"/>
              </w:rPr>
              <w:t>valp</w:t>
            </w:r>
            <w:r>
              <w:rPr>
                <w:rFonts w:cs="Arial"/>
                <w:sz w:val="18"/>
                <w:szCs w:val="18"/>
              </w:rPr>
              <w:t>roate;</w:t>
            </w:r>
            <w:proofErr w:type="gramEnd"/>
            <w:r>
              <w:rPr>
                <w:rFonts w:cs="Arial"/>
                <w:sz w:val="18"/>
                <w:szCs w:val="18"/>
              </w:rPr>
              <w:t xml:space="preserve"> </w:t>
            </w:r>
          </w:p>
          <w:p w14:paraId="4622D40C" w14:textId="77777777" w:rsidR="00543D47" w:rsidRPr="00BA5F0C" w:rsidRDefault="00543D47" w:rsidP="00D9610A">
            <w:pPr>
              <w:spacing w:before="40" w:after="40" w:line="240" w:lineRule="auto"/>
              <w:rPr>
                <w:rFonts w:cs="Arial"/>
                <w:sz w:val="18"/>
                <w:szCs w:val="18"/>
              </w:rPr>
            </w:pPr>
            <w:r w:rsidRPr="00BA5F0C">
              <w:rPr>
                <w:rFonts w:cs="Arial"/>
                <w:sz w:val="18"/>
                <w:szCs w:val="18"/>
              </w:rPr>
              <w:t>digoxin, ethanol, lithium, paracetamol, theophylline.</w:t>
            </w:r>
          </w:p>
          <w:p w14:paraId="412DB48A" w14:textId="77777777" w:rsidR="00543D47" w:rsidRPr="00BA5F0C" w:rsidRDefault="00543D47" w:rsidP="00D9610A">
            <w:pPr>
              <w:spacing w:before="40" w:after="40" w:line="240" w:lineRule="auto"/>
              <w:rPr>
                <w:rFonts w:cs="Arial"/>
                <w:sz w:val="18"/>
                <w:szCs w:val="18"/>
              </w:rPr>
            </w:pPr>
          </w:p>
        </w:tc>
        <w:tc>
          <w:tcPr>
            <w:tcW w:w="3473" w:type="dxa"/>
          </w:tcPr>
          <w:p w14:paraId="1173E65B" w14:textId="77777777" w:rsidR="00543D47" w:rsidRPr="00BA5F0C" w:rsidRDefault="00543D47" w:rsidP="00D9610A">
            <w:pPr>
              <w:spacing w:before="40" w:after="40" w:line="240" w:lineRule="auto"/>
              <w:ind w:left="57" w:right="57"/>
              <w:rPr>
                <w:sz w:val="18"/>
                <w:szCs w:val="18"/>
              </w:rPr>
            </w:pPr>
            <w:r w:rsidRPr="00BA5F0C">
              <w:rPr>
                <w:sz w:val="18"/>
                <w:szCs w:val="18"/>
              </w:rPr>
              <w:t>Removal of some drugs from list nominated for testing for therapeutic monitoring.</w:t>
            </w:r>
          </w:p>
        </w:tc>
        <w:tc>
          <w:tcPr>
            <w:tcW w:w="3473" w:type="dxa"/>
          </w:tcPr>
          <w:p w14:paraId="2658EAD5"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These drugs are no longer or very rarely measured, because they are not used, or drug monitoring is not helpful. </w:t>
            </w:r>
          </w:p>
        </w:tc>
      </w:tr>
      <w:tr w:rsidR="00543D47" w:rsidRPr="00BA5F0C" w14:paraId="4465F12F" w14:textId="77777777" w:rsidTr="00D9610A">
        <w:trPr>
          <w:cantSplit/>
        </w:trPr>
        <w:tc>
          <w:tcPr>
            <w:tcW w:w="851" w:type="dxa"/>
          </w:tcPr>
          <w:p w14:paraId="70AAE04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66803</w:t>
            </w:r>
          </w:p>
        </w:tc>
        <w:tc>
          <w:tcPr>
            <w:tcW w:w="3472" w:type="dxa"/>
          </w:tcPr>
          <w:p w14:paraId="666A0B4E" w14:textId="77777777" w:rsidR="00543D47" w:rsidRPr="00BA5F0C" w:rsidRDefault="00543D47" w:rsidP="00D9610A">
            <w:pPr>
              <w:spacing w:before="40" w:after="40" w:line="240" w:lineRule="auto"/>
              <w:ind w:left="57" w:right="57"/>
              <w:rPr>
                <w:sz w:val="18"/>
                <w:szCs w:val="18"/>
              </w:rPr>
            </w:pPr>
            <w:r w:rsidRPr="00BA5F0C">
              <w:rPr>
                <w:sz w:val="18"/>
                <w:szCs w:val="18"/>
              </w:rPr>
              <w:t>2 tests described in item 66800</w:t>
            </w:r>
            <w:r>
              <w:rPr>
                <w:sz w:val="18"/>
                <w:szCs w:val="18"/>
              </w:rPr>
              <w:t xml:space="preserve"> </w:t>
            </w:r>
            <w:r w:rsidRPr="00BA5F0C">
              <w:rPr>
                <w:sz w:val="18"/>
                <w:szCs w:val="18"/>
              </w:rPr>
              <w:t>(subject to rule 6)</w:t>
            </w:r>
          </w:p>
        </w:tc>
        <w:tc>
          <w:tcPr>
            <w:tcW w:w="3473" w:type="dxa"/>
          </w:tcPr>
          <w:p w14:paraId="0D40AC8B"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73" w:type="dxa"/>
          </w:tcPr>
          <w:p w14:paraId="052817FB" w14:textId="77777777" w:rsidR="00543D47" w:rsidRPr="00BA5F0C" w:rsidRDefault="00543D47" w:rsidP="00D9610A">
            <w:pPr>
              <w:spacing w:before="40" w:after="40" w:line="240" w:lineRule="auto"/>
              <w:ind w:left="57" w:right="57"/>
              <w:rPr>
                <w:sz w:val="18"/>
                <w:szCs w:val="18"/>
              </w:rPr>
            </w:pPr>
          </w:p>
        </w:tc>
        <w:tc>
          <w:tcPr>
            <w:tcW w:w="3473" w:type="dxa"/>
          </w:tcPr>
          <w:p w14:paraId="6E2CB699" w14:textId="77777777" w:rsidR="00543D47" w:rsidRPr="00BA5F0C" w:rsidRDefault="00543D47" w:rsidP="00D9610A">
            <w:pPr>
              <w:spacing w:before="40" w:after="40" w:line="240" w:lineRule="auto"/>
              <w:rPr>
                <w:rFonts w:cs="Arial"/>
                <w:sz w:val="18"/>
                <w:szCs w:val="18"/>
              </w:rPr>
            </w:pPr>
          </w:p>
        </w:tc>
      </w:tr>
      <w:tr w:rsidR="00543D47" w:rsidRPr="00BA5F0C" w14:paraId="6104080A" w14:textId="77777777" w:rsidTr="00D9610A">
        <w:trPr>
          <w:cantSplit/>
        </w:trPr>
        <w:tc>
          <w:tcPr>
            <w:tcW w:w="851" w:type="dxa"/>
          </w:tcPr>
          <w:p w14:paraId="15E27D9B"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66804</w:t>
            </w:r>
          </w:p>
        </w:tc>
        <w:tc>
          <w:tcPr>
            <w:tcW w:w="3472" w:type="dxa"/>
          </w:tcPr>
          <w:p w14:paraId="2CF95B82" w14:textId="77777777" w:rsidR="00543D47" w:rsidRPr="00BA5F0C" w:rsidRDefault="00543D47" w:rsidP="00D9610A">
            <w:pPr>
              <w:spacing w:before="40" w:after="40" w:line="240" w:lineRule="auto"/>
              <w:ind w:left="57" w:right="57"/>
              <w:rPr>
                <w:sz w:val="18"/>
                <w:szCs w:val="18"/>
              </w:rPr>
            </w:pPr>
            <w:r w:rsidRPr="00BA5F0C">
              <w:rPr>
                <w:sz w:val="18"/>
                <w:szCs w:val="18"/>
              </w:rPr>
              <w:t>A test described in item 66800 if rendered by a receiving APP, where no tests in the item have been rendered by the referring APP - 1 test</w:t>
            </w:r>
            <w:r>
              <w:rPr>
                <w:sz w:val="18"/>
                <w:szCs w:val="18"/>
              </w:rPr>
              <w:t xml:space="preserve"> </w:t>
            </w:r>
            <w:r w:rsidRPr="00BA5F0C">
              <w:rPr>
                <w:sz w:val="18"/>
                <w:szCs w:val="18"/>
              </w:rPr>
              <w:t>(Item is subject to rule 6 and 18)</w:t>
            </w:r>
          </w:p>
        </w:tc>
        <w:tc>
          <w:tcPr>
            <w:tcW w:w="3473" w:type="dxa"/>
          </w:tcPr>
          <w:p w14:paraId="7538468A"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73" w:type="dxa"/>
          </w:tcPr>
          <w:p w14:paraId="0AF724CE" w14:textId="77777777" w:rsidR="00543D47" w:rsidRPr="00BA5F0C" w:rsidRDefault="00543D47" w:rsidP="00D9610A">
            <w:pPr>
              <w:spacing w:before="40" w:after="40" w:line="240" w:lineRule="auto"/>
              <w:ind w:left="57" w:right="57"/>
              <w:rPr>
                <w:sz w:val="18"/>
                <w:szCs w:val="18"/>
              </w:rPr>
            </w:pPr>
          </w:p>
        </w:tc>
        <w:tc>
          <w:tcPr>
            <w:tcW w:w="3473" w:type="dxa"/>
          </w:tcPr>
          <w:p w14:paraId="464BB24D" w14:textId="77777777" w:rsidR="00543D47" w:rsidRPr="00BA5F0C" w:rsidRDefault="00543D47" w:rsidP="00D9610A">
            <w:pPr>
              <w:spacing w:before="40" w:after="40" w:line="240" w:lineRule="auto"/>
              <w:rPr>
                <w:rFonts w:cs="Arial"/>
                <w:sz w:val="18"/>
                <w:szCs w:val="18"/>
              </w:rPr>
            </w:pPr>
          </w:p>
        </w:tc>
      </w:tr>
      <w:tr w:rsidR="00543D47" w:rsidRPr="00BA5F0C" w14:paraId="584395AA" w14:textId="77777777" w:rsidTr="00D9610A">
        <w:trPr>
          <w:cantSplit/>
        </w:trPr>
        <w:tc>
          <w:tcPr>
            <w:tcW w:w="851" w:type="dxa"/>
          </w:tcPr>
          <w:p w14:paraId="72B5603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lastRenderedPageBreak/>
              <w:t>66805</w:t>
            </w:r>
          </w:p>
        </w:tc>
        <w:tc>
          <w:tcPr>
            <w:tcW w:w="3472" w:type="dxa"/>
          </w:tcPr>
          <w:p w14:paraId="33381B9B" w14:textId="77777777" w:rsidR="00543D47" w:rsidRPr="00BA5F0C" w:rsidRDefault="00543D47" w:rsidP="00D9610A">
            <w:pPr>
              <w:spacing w:before="40" w:after="40" w:line="240" w:lineRule="auto"/>
              <w:ind w:left="57" w:right="57"/>
              <w:rPr>
                <w:sz w:val="18"/>
                <w:szCs w:val="18"/>
              </w:rPr>
            </w:pPr>
            <w:r w:rsidRPr="00BA5F0C">
              <w:rPr>
                <w:sz w:val="18"/>
                <w:szCs w:val="18"/>
              </w:rPr>
              <w:t>A test described in item 66800 other than that described in 66804, if rendered by a receiving APP - each test to a maximum of 2 tests</w:t>
            </w:r>
            <w:r>
              <w:rPr>
                <w:sz w:val="18"/>
                <w:szCs w:val="18"/>
              </w:rPr>
              <w:t xml:space="preserve"> </w:t>
            </w:r>
            <w:r w:rsidRPr="00BA5F0C">
              <w:rPr>
                <w:sz w:val="18"/>
                <w:szCs w:val="18"/>
              </w:rPr>
              <w:t>(Item is subject to rule 6 and 18)</w:t>
            </w:r>
          </w:p>
        </w:tc>
        <w:tc>
          <w:tcPr>
            <w:tcW w:w="3473" w:type="dxa"/>
          </w:tcPr>
          <w:p w14:paraId="0A87E10E"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73" w:type="dxa"/>
          </w:tcPr>
          <w:p w14:paraId="19D17E1A" w14:textId="77777777" w:rsidR="00543D47" w:rsidRPr="00BA5F0C" w:rsidRDefault="00543D47" w:rsidP="00D9610A">
            <w:pPr>
              <w:spacing w:before="40" w:after="40" w:line="240" w:lineRule="auto"/>
              <w:ind w:left="57" w:right="57"/>
              <w:rPr>
                <w:sz w:val="18"/>
                <w:szCs w:val="18"/>
              </w:rPr>
            </w:pPr>
          </w:p>
        </w:tc>
        <w:tc>
          <w:tcPr>
            <w:tcW w:w="3473" w:type="dxa"/>
          </w:tcPr>
          <w:p w14:paraId="14DF5EC6" w14:textId="77777777" w:rsidR="00543D47" w:rsidRPr="00BA5F0C" w:rsidRDefault="00543D47" w:rsidP="00D9610A">
            <w:pPr>
              <w:spacing w:before="40" w:after="40" w:line="240" w:lineRule="auto"/>
              <w:rPr>
                <w:rFonts w:cs="Arial"/>
                <w:sz w:val="18"/>
                <w:szCs w:val="18"/>
              </w:rPr>
            </w:pPr>
          </w:p>
        </w:tc>
      </w:tr>
      <w:tr w:rsidR="00543D47" w:rsidRPr="00BA5F0C" w14:paraId="2A6E70EC" w14:textId="77777777" w:rsidTr="00D9610A">
        <w:trPr>
          <w:cantSplit/>
        </w:trPr>
        <w:tc>
          <w:tcPr>
            <w:tcW w:w="851" w:type="dxa"/>
          </w:tcPr>
          <w:p w14:paraId="33D17C64"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66806</w:t>
            </w:r>
          </w:p>
        </w:tc>
        <w:tc>
          <w:tcPr>
            <w:tcW w:w="3472" w:type="dxa"/>
          </w:tcPr>
          <w:p w14:paraId="069DD5CF" w14:textId="77777777" w:rsidR="00543D47" w:rsidRPr="00BA5F0C" w:rsidRDefault="00543D47" w:rsidP="00D9610A">
            <w:pPr>
              <w:spacing w:before="40" w:after="40" w:line="240" w:lineRule="auto"/>
              <w:ind w:left="57" w:right="57"/>
              <w:rPr>
                <w:sz w:val="18"/>
                <w:szCs w:val="18"/>
              </w:rPr>
            </w:pPr>
            <w:r w:rsidRPr="00BA5F0C">
              <w:rPr>
                <w:sz w:val="18"/>
                <w:szCs w:val="18"/>
              </w:rPr>
              <w:t>3 tests described in item 66800</w:t>
            </w:r>
            <w:r w:rsidRPr="00BA5F0C">
              <w:rPr>
                <w:sz w:val="18"/>
                <w:szCs w:val="18"/>
              </w:rPr>
              <w:br/>
              <w:t>(Item is subject to rule 6)</w:t>
            </w:r>
          </w:p>
        </w:tc>
        <w:tc>
          <w:tcPr>
            <w:tcW w:w="3473" w:type="dxa"/>
          </w:tcPr>
          <w:p w14:paraId="702012A1"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73" w:type="dxa"/>
          </w:tcPr>
          <w:p w14:paraId="19779FAE" w14:textId="77777777" w:rsidR="00543D47" w:rsidRPr="00BA5F0C" w:rsidRDefault="00543D47" w:rsidP="00D9610A">
            <w:pPr>
              <w:spacing w:before="40" w:after="40" w:line="240" w:lineRule="auto"/>
              <w:ind w:left="57" w:right="57"/>
              <w:rPr>
                <w:sz w:val="18"/>
                <w:szCs w:val="18"/>
              </w:rPr>
            </w:pPr>
          </w:p>
        </w:tc>
        <w:tc>
          <w:tcPr>
            <w:tcW w:w="3473" w:type="dxa"/>
          </w:tcPr>
          <w:p w14:paraId="1D358CFC" w14:textId="77777777" w:rsidR="00543D47" w:rsidRPr="00BA5F0C" w:rsidRDefault="00543D47" w:rsidP="00D9610A">
            <w:pPr>
              <w:spacing w:before="40" w:after="40" w:line="240" w:lineRule="auto"/>
              <w:rPr>
                <w:rFonts w:cs="Arial"/>
                <w:sz w:val="18"/>
                <w:szCs w:val="18"/>
              </w:rPr>
            </w:pPr>
          </w:p>
        </w:tc>
      </w:tr>
    </w:tbl>
    <w:p w14:paraId="69EECB40" w14:textId="77777777" w:rsidR="00543D47" w:rsidRPr="00BA5F0C" w:rsidRDefault="00543D47" w:rsidP="00543D47">
      <w:pPr>
        <w:spacing w:before="40" w:after="40" w:line="240" w:lineRule="auto"/>
        <w:rPr>
          <w:b/>
          <w:sz w:val="18"/>
          <w:szCs w:val="18"/>
        </w:rPr>
      </w:pPr>
    </w:p>
    <w:p w14:paraId="08F834F7" w14:textId="77777777" w:rsidR="00543D47" w:rsidRPr="00BA5F0C" w:rsidRDefault="00543D47" w:rsidP="00543D47">
      <w:pPr>
        <w:pStyle w:val="Caption"/>
        <w:rPr>
          <w:b/>
          <w:sz w:val="18"/>
          <w:szCs w:val="18"/>
        </w:rPr>
      </w:pPr>
      <w:bookmarkStart w:id="295" w:name="_Toc487753633"/>
      <w:bookmarkStart w:id="296" w:name="_Toc490651355"/>
      <w:bookmarkStart w:id="297" w:name="_Toc490756876"/>
      <w:bookmarkStart w:id="298" w:name="_Toc491340997"/>
      <w:bookmarkStart w:id="299" w:name="_Toc493598691"/>
      <w:bookmarkStart w:id="300" w:name="_Toc493599713"/>
      <w:bookmarkStart w:id="301" w:name="_Toc493599909"/>
      <w:bookmarkStart w:id="302" w:name="_Toc493687769"/>
      <w:bookmarkStart w:id="303" w:name="_Toc534374989"/>
      <w:r w:rsidRPr="00BA5F0C">
        <w:rPr>
          <w:b/>
          <w:i w:val="0"/>
          <w:sz w:val="18"/>
          <w:szCs w:val="18"/>
        </w:rPr>
        <w:t>Recommendation 1</w:t>
      </w:r>
      <w:r>
        <w:rPr>
          <w:b/>
          <w:i w:val="0"/>
          <w:sz w:val="18"/>
          <w:szCs w:val="18"/>
        </w:rPr>
        <w:t>1</w:t>
      </w:r>
      <w:r w:rsidRPr="00BA5F0C">
        <w:rPr>
          <w:b/>
          <w:i w:val="0"/>
          <w:sz w:val="18"/>
          <w:szCs w:val="18"/>
        </w:rPr>
        <w:t>: Special therapeutic drug monitoring: items 66812, 66815, 66816, 66817</w:t>
      </w:r>
      <w:bookmarkEnd w:id="295"/>
      <w:bookmarkEnd w:id="296"/>
      <w:bookmarkEnd w:id="297"/>
      <w:bookmarkEnd w:id="298"/>
      <w:bookmarkEnd w:id="299"/>
      <w:bookmarkEnd w:id="300"/>
      <w:bookmarkEnd w:id="301"/>
      <w:bookmarkEnd w:id="302"/>
      <w:bookmarkEnd w:id="303"/>
    </w:p>
    <w:tbl>
      <w:tblPr>
        <w:tblStyle w:val="TableGrid"/>
        <w:tblW w:w="1459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0"/>
        <w:gridCol w:w="3437"/>
        <w:gridCol w:w="3437"/>
        <w:gridCol w:w="3437"/>
        <w:gridCol w:w="3438"/>
      </w:tblGrid>
      <w:tr w:rsidR="00543D47" w:rsidRPr="00BA5F0C" w14:paraId="31A37E4B" w14:textId="77777777" w:rsidTr="00D9610A">
        <w:trPr>
          <w:cantSplit/>
          <w:tblHeader/>
        </w:trPr>
        <w:tc>
          <w:tcPr>
            <w:tcW w:w="850" w:type="dxa"/>
          </w:tcPr>
          <w:p w14:paraId="35148B9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703D2CD3"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7" w:type="dxa"/>
          </w:tcPr>
          <w:p w14:paraId="75ED813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33838189"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570D3B29"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21BD79D6" w14:textId="77777777" w:rsidTr="00D9610A">
        <w:trPr>
          <w:cantSplit/>
        </w:trPr>
        <w:tc>
          <w:tcPr>
            <w:tcW w:w="850" w:type="dxa"/>
          </w:tcPr>
          <w:p w14:paraId="6830DA6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66812</w:t>
            </w:r>
          </w:p>
        </w:tc>
        <w:tc>
          <w:tcPr>
            <w:tcW w:w="3437" w:type="dxa"/>
          </w:tcPr>
          <w:p w14:paraId="3536EB52" w14:textId="77777777" w:rsidR="00543D47" w:rsidRPr="00BA5F0C" w:rsidRDefault="00543D47" w:rsidP="00D9610A">
            <w:pPr>
              <w:spacing w:before="40" w:after="40" w:line="240" w:lineRule="auto"/>
              <w:ind w:left="57" w:right="57"/>
              <w:rPr>
                <w:sz w:val="18"/>
                <w:szCs w:val="18"/>
              </w:rPr>
            </w:pPr>
            <w:r w:rsidRPr="00BA5F0C">
              <w:rPr>
                <w:sz w:val="18"/>
                <w:szCs w:val="18"/>
              </w:rPr>
              <w:t xml:space="preserve">Quantitation, not elsewhere described in this Table by any method or methods, in blood, urine or other body fluid, of a drug being used therapeutically </w:t>
            </w:r>
          </w:p>
        </w:tc>
        <w:tc>
          <w:tcPr>
            <w:tcW w:w="3437" w:type="dxa"/>
          </w:tcPr>
          <w:p w14:paraId="16EE7D16"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564175BB" w14:textId="77777777" w:rsidR="00543D47" w:rsidRPr="00BA5F0C" w:rsidRDefault="00543D47" w:rsidP="00D9610A">
            <w:pPr>
              <w:spacing w:before="40" w:after="40" w:line="240" w:lineRule="auto"/>
              <w:rPr>
                <w:rFonts w:cs="Arial"/>
                <w:sz w:val="18"/>
                <w:szCs w:val="18"/>
              </w:rPr>
            </w:pPr>
          </w:p>
        </w:tc>
        <w:tc>
          <w:tcPr>
            <w:tcW w:w="3437" w:type="dxa"/>
          </w:tcPr>
          <w:p w14:paraId="284E5E60"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38" w:type="dxa"/>
          </w:tcPr>
          <w:p w14:paraId="618761BD" w14:textId="77777777" w:rsidR="00543D47" w:rsidRPr="00BA5F0C" w:rsidRDefault="00543D47" w:rsidP="00D9610A">
            <w:pPr>
              <w:spacing w:before="40" w:after="40" w:line="240" w:lineRule="auto"/>
              <w:rPr>
                <w:rFonts w:cs="Arial"/>
                <w:sz w:val="18"/>
                <w:szCs w:val="18"/>
              </w:rPr>
            </w:pPr>
          </w:p>
        </w:tc>
      </w:tr>
      <w:tr w:rsidR="00543D47" w:rsidRPr="00BA5F0C" w14:paraId="7F8247B1" w14:textId="77777777" w:rsidTr="00D9610A">
        <w:trPr>
          <w:cantSplit/>
        </w:trPr>
        <w:tc>
          <w:tcPr>
            <w:tcW w:w="850" w:type="dxa"/>
          </w:tcPr>
          <w:p w14:paraId="7CF7C8FA"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66815</w:t>
            </w:r>
          </w:p>
        </w:tc>
        <w:tc>
          <w:tcPr>
            <w:tcW w:w="3437" w:type="dxa"/>
          </w:tcPr>
          <w:p w14:paraId="48E60E8A" w14:textId="77777777" w:rsidR="00543D47" w:rsidRPr="00BA5F0C" w:rsidRDefault="00543D47" w:rsidP="00D9610A">
            <w:pPr>
              <w:spacing w:before="40" w:after="40" w:line="240" w:lineRule="auto"/>
              <w:ind w:left="57" w:right="57"/>
              <w:rPr>
                <w:sz w:val="18"/>
                <w:szCs w:val="18"/>
              </w:rPr>
            </w:pPr>
            <w:r w:rsidRPr="00BA5F0C">
              <w:rPr>
                <w:sz w:val="18"/>
                <w:szCs w:val="18"/>
              </w:rPr>
              <w:t>2 tests described in item 66812</w:t>
            </w:r>
            <w:r w:rsidRPr="00BA5F0C">
              <w:rPr>
                <w:sz w:val="18"/>
                <w:szCs w:val="18"/>
              </w:rPr>
              <w:br/>
            </w:r>
          </w:p>
        </w:tc>
        <w:tc>
          <w:tcPr>
            <w:tcW w:w="3437" w:type="dxa"/>
          </w:tcPr>
          <w:p w14:paraId="3CC89761"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76643682" w14:textId="77777777" w:rsidR="00543D47" w:rsidRPr="00BA5F0C" w:rsidRDefault="00543D47" w:rsidP="00D9610A">
            <w:pPr>
              <w:spacing w:before="40" w:after="40" w:line="240" w:lineRule="auto"/>
              <w:ind w:left="57" w:right="57"/>
              <w:rPr>
                <w:sz w:val="18"/>
                <w:szCs w:val="18"/>
              </w:rPr>
            </w:pPr>
          </w:p>
        </w:tc>
        <w:tc>
          <w:tcPr>
            <w:tcW w:w="3438" w:type="dxa"/>
          </w:tcPr>
          <w:p w14:paraId="7D8C03FF" w14:textId="77777777" w:rsidR="00543D47" w:rsidRPr="00BA5F0C" w:rsidRDefault="00543D47" w:rsidP="00D9610A">
            <w:pPr>
              <w:spacing w:before="40" w:after="40" w:line="240" w:lineRule="auto"/>
              <w:rPr>
                <w:rFonts w:cs="Arial"/>
                <w:sz w:val="18"/>
                <w:szCs w:val="18"/>
              </w:rPr>
            </w:pPr>
          </w:p>
        </w:tc>
      </w:tr>
      <w:tr w:rsidR="00543D47" w:rsidRPr="00BA5F0C" w14:paraId="25DFDFDB" w14:textId="77777777" w:rsidTr="00D9610A">
        <w:trPr>
          <w:cantSplit/>
        </w:trPr>
        <w:tc>
          <w:tcPr>
            <w:tcW w:w="850" w:type="dxa"/>
          </w:tcPr>
          <w:p w14:paraId="44054D75"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66816</w:t>
            </w:r>
          </w:p>
        </w:tc>
        <w:tc>
          <w:tcPr>
            <w:tcW w:w="3437" w:type="dxa"/>
          </w:tcPr>
          <w:p w14:paraId="1A795A99" w14:textId="77777777" w:rsidR="00543D47" w:rsidRPr="00BA5F0C" w:rsidRDefault="00543D47" w:rsidP="00D9610A">
            <w:pPr>
              <w:spacing w:before="40" w:after="40" w:line="240" w:lineRule="auto"/>
              <w:ind w:left="57" w:right="57"/>
              <w:rPr>
                <w:sz w:val="18"/>
                <w:szCs w:val="18"/>
              </w:rPr>
            </w:pPr>
            <w:r w:rsidRPr="00BA5F0C">
              <w:rPr>
                <w:sz w:val="18"/>
                <w:szCs w:val="18"/>
              </w:rPr>
              <w:t>A test described in item 66812 if rendered by a receiving APP, where no tests in the item have been rendered by the referring APP - 1 test</w:t>
            </w:r>
            <w:r>
              <w:rPr>
                <w:sz w:val="18"/>
                <w:szCs w:val="18"/>
              </w:rPr>
              <w:t xml:space="preserve"> </w:t>
            </w:r>
            <w:r w:rsidRPr="00BA5F0C">
              <w:rPr>
                <w:sz w:val="18"/>
                <w:szCs w:val="18"/>
              </w:rPr>
              <w:t>(Item is subject to rule 6 and 18)</w:t>
            </w:r>
          </w:p>
        </w:tc>
        <w:tc>
          <w:tcPr>
            <w:tcW w:w="3437" w:type="dxa"/>
          </w:tcPr>
          <w:p w14:paraId="3C9551EF"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47751A10" w14:textId="77777777" w:rsidR="00543D47" w:rsidRPr="00BA5F0C" w:rsidRDefault="00543D47" w:rsidP="00D9610A">
            <w:pPr>
              <w:spacing w:before="40" w:after="40" w:line="240" w:lineRule="auto"/>
              <w:ind w:left="57" w:right="57"/>
              <w:rPr>
                <w:sz w:val="18"/>
                <w:szCs w:val="18"/>
              </w:rPr>
            </w:pPr>
          </w:p>
        </w:tc>
        <w:tc>
          <w:tcPr>
            <w:tcW w:w="3438" w:type="dxa"/>
          </w:tcPr>
          <w:p w14:paraId="7275A24A" w14:textId="77777777" w:rsidR="00543D47" w:rsidRPr="00BA5F0C" w:rsidRDefault="00543D47" w:rsidP="00D9610A">
            <w:pPr>
              <w:spacing w:before="40" w:after="40" w:line="240" w:lineRule="auto"/>
              <w:rPr>
                <w:rFonts w:cs="Arial"/>
                <w:sz w:val="18"/>
                <w:szCs w:val="18"/>
              </w:rPr>
            </w:pPr>
          </w:p>
        </w:tc>
      </w:tr>
      <w:tr w:rsidR="00543D47" w:rsidRPr="00BA5F0C" w14:paraId="4EC312DA" w14:textId="77777777" w:rsidTr="00D9610A">
        <w:trPr>
          <w:cantSplit/>
        </w:trPr>
        <w:tc>
          <w:tcPr>
            <w:tcW w:w="850" w:type="dxa"/>
          </w:tcPr>
          <w:p w14:paraId="189B887D"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66817</w:t>
            </w:r>
          </w:p>
        </w:tc>
        <w:tc>
          <w:tcPr>
            <w:tcW w:w="3437" w:type="dxa"/>
          </w:tcPr>
          <w:p w14:paraId="21CFD22B" w14:textId="77777777" w:rsidR="00543D47" w:rsidRPr="00BA5F0C" w:rsidRDefault="00543D47" w:rsidP="00D9610A">
            <w:pPr>
              <w:spacing w:before="40" w:after="40" w:line="240" w:lineRule="auto"/>
              <w:ind w:left="57" w:right="57"/>
              <w:rPr>
                <w:sz w:val="18"/>
                <w:szCs w:val="18"/>
              </w:rPr>
            </w:pPr>
            <w:r w:rsidRPr="00BA5F0C">
              <w:rPr>
                <w:sz w:val="18"/>
                <w:szCs w:val="18"/>
              </w:rPr>
              <w:t>A test described in item 66812, other than that described in 66816, if rendered by a receiving APP - to a maximum of 1 test</w:t>
            </w:r>
            <w:r>
              <w:rPr>
                <w:sz w:val="18"/>
                <w:szCs w:val="18"/>
              </w:rPr>
              <w:t xml:space="preserve"> </w:t>
            </w:r>
            <w:r w:rsidRPr="00BA5F0C">
              <w:rPr>
                <w:sz w:val="18"/>
                <w:szCs w:val="18"/>
              </w:rPr>
              <w:t>(Item is subject to rule 6 and 18)</w:t>
            </w:r>
          </w:p>
        </w:tc>
        <w:tc>
          <w:tcPr>
            <w:tcW w:w="3437" w:type="dxa"/>
          </w:tcPr>
          <w:p w14:paraId="3CBE7C49"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72B2CCFD" w14:textId="77777777" w:rsidR="00543D47" w:rsidRPr="00BA5F0C" w:rsidRDefault="00543D47" w:rsidP="00D9610A">
            <w:pPr>
              <w:spacing w:before="40" w:after="40" w:line="240" w:lineRule="auto"/>
              <w:ind w:left="57" w:right="57"/>
              <w:rPr>
                <w:sz w:val="18"/>
                <w:szCs w:val="18"/>
              </w:rPr>
            </w:pPr>
          </w:p>
        </w:tc>
        <w:tc>
          <w:tcPr>
            <w:tcW w:w="3438" w:type="dxa"/>
          </w:tcPr>
          <w:p w14:paraId="506F0942" w14:textId="77777777" w:rsidR="00543D47" w:rsidRPr="00BA5F0C" w:rsidRDefault="00543D47" w:rsidP="00D9610A">
            <w:pPr>
              <w:spacing w:before="40" w:after="40" w:line="240" w:lineRule="auto"/>
              <w:rPr>
                <w:rFonts w:cs="Arial"/>
                <w:sz w:val="18"/>
                <w:szCs w:val="18"/>
              </w:rPr>
            </w:pPr>
          </w:p>
        </w:tc>
      </w:tr>
    </w:tbl>
    <w:p w14:paraId="2CB701EC" w14:textId="77777777" w:rsidR="00543D47" w:rsidRPr="00BA5F0C" w:rsidRDefault="00543D47" w:rsidP="00543D47">
      <w:pPr>
        <w:spacing w:before="40" w:after="40" w:line="240" w:lineRule="auto"/>
        <w:rPr>
          <w:b/>
          <w:sz w:val="18"/>
          <w:szCs w:val="18"/>
        </w:rPr>
      </w:pPr>
    </w:p>
    <w:p w14:paraId="03D19494" w14:textId="77777777" w:rsidR="00543D47" w:rsidRPr="00BA5F0C" w:rsidRDefault="00543D47" w:rsidP="00543D47">
      <w:pPr>
        <w:pStyle w:val="Caption"/>
        <w:rPr>
          <w:b/>
          <w:sz w:val="18"/>
          <w:szCs w:val="18"/>
        </w:rPr>
      </w:pPr>
      <w:bookmarkStart w:id="304" w:name="_Toc487753634"/>
      <w:bookmarkStart w:id="305" w:name="_Toc490651356"/>
      <w:bookmarkStart w:id="306" w:name="_Toc490756877"/>
      <w:bookmarkStart w:id="307" w:name="_Toc491340998"/>
      <w:bookmarkStart w:id="308" w:name="_Toc493598692"/>
      <w:bookmarkStart w:id="309" w:name="_Toc493599714"/>
      <w:bookmarkStart w:id="310" w:name="_Toc493599910"/>
      <w:bookmarkStart w:id="311" w:name="_Toc493687770"/>
      <w:bookmarkStart w:id="312" w:name="_Toc534374990"/>
      <w:r w:rsidRPr="00BA5F0C">
        <w:rPr>
          <w:b/>
          <w:i w:val="0"/>
          <w:sz w:val="18"/>
          <w:szCs w:val="18"/>
        </w:rPr>
        <w:t>Recommendation 1</w:t>
      </w:r>
      <w:r>
        <w:rPr>
          <w:b/>
          <w:i w:val="0"/>
          <w:sz w:val="18"/>
          <w:szCs w:val="18"/>
        </w:rPr>
        <w:t>2</w:t>
      </w:r>
      <w:r w:rsidRPr="00BA5F0C">
        <w:rPr>
          <w:b/>
          <w:i w:val="0"/>
          <w:sz w:val="18"/>
          <w:szCs w:val="18"/>
        </w:rPr>
        <w:t>: Caeruloplasmin, haptoglobins, or prealbumin: Item 66632</w:t>
      </w:r>
      <w:bookmarkEnd w:id="304"/>
      <w:bookmarkEnd w:id="305"/>
      <w:bookmarkEnd w:id="306"/>
      <w:bookmarkEnd w:id="307"/>
      <w:bookmarkEnd w:id="308"/>
      <w:bookmarkEnd w:id="309"/>
      <w:bookmarkEnd w:id="310"/>
      <w:bookmarkEnd w:id="311"/>
      <w:bookmarkEnd w:id="312"/>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0"/>
        <w:gridCol w:w="3437"/>
        <w:gridCol w:w="3438"/>
        <w:gridCol w:w="3438"/>
        <w:gridCol w:w="3438"/>
      </w:tblGrid>
      <w:tr w:rsidR="00543D47" w:rsidRPr="00BA5F0C" w14:paraId="2863DA79" w14:textId="77777777" w:rsidTr="00D9610A">
        <w:trPr>
          <w:cantSplit/>
          <w:tblHeader/>
        </w:trPr>
        <w:tc>
          <w:tcPr>
            <w:tcW w:w="850" w:type="dxa"/>
          </w:tcPr>
          <w:p w14:paraId="1A3D9D1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48BFBB4B"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7E80FA7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8" w:type="dxa"/>
          </w:tcPr>
          <w:p w14:paraId="3515BFB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1E68752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6BAE8D93" w14:textId="77777777" w:rsidTr="00D9610A">
        <w:trPr>
          <w:cantSplit/>
        </w:trPr>
        <w:tc>
          <w:tcPr>
            <w:tcW w:w="850" w:type="dxa"/>
          </w:tcPr>
          <w:p w14:paraId="19C1245C"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66632</w:t>
            </w:r>
          </w:p>
        </w:tc>
        <w:tc>
          <w:tcPr>
            <w:tcW w:w="3437" w:type="dxa"/>
          </w:tcPr>
          <w:p w14:paraId="219C8D14" w14:textId="77777777" w:rsidR="00543D47" w:rsidRPr="00BA5F0C" w:rsidRDefault="00543D47" w:rsidP="00D9610A">
            <w:pPr>
              <w:spacing w:before="40" w:after="40" w:line="240" w:lineRule="auto"/>
              <w:ind w:left="57" w:right="57"/>
              <w:rPr>
                <w:sz w:val="18"/>
                <w:szCs w:val="18"/>
              </w:rPr>
            </w:pPr>
            <w:r w:rsidRPr="00BA5F0C">
              <w:rPr>
                <w:sz w:val="18"/>
                <w:szCs w:val="18"/>
              </w:rPr>
              <w:t>Measures caeruloplasmin, haptoglobins, or prealbumin in serum, urine or other body fluids - 1 or more tests</w:t>
            </w:r>
          </w:p>
        </w:tc>
        <w:tc>
          <w:tcPr>
            <w:tcW w:w="3438" w:type="dxa"/>
          </w:tcPr>
          <w:p w14:paraId="0DDCFFD3"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724F0708" w14:textId="77777777" w:rsidR="00543D47" w:rsidRPr="00BA5F0C" w:rsidRDefault="00543D47" w:rsidP="00D9610A">
            <w:pPr>
              <w:spacing w:before="40" w:after="40" w:line="240" w:lineRule="auto"/>
              <w:rPr>
                <w:rFonts w:cs="Arial"/>
                <w:sz w:val="18"/>
                <w:szCs w:val="18"/>
              </w:rPr>
            </w:pPr>
          </w:p>
        </w:tc>
        <w:tc>
          <w:tcPr>
            <w:tcW w:w="3438" w:type="dxa"/>
          </w:tcPr>
          <w:p w14:paraId="5CCDC5C0"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38" w:type="dxa"/>
          </w:tcPr>
          <w:p w14:paraId="5D283CBA" w14:textId="77777777" w:rsidR="00543D47" w:rsidRPr="00BA5F0C" w:rsidRDefault="00543D47" w:rsidP="00D9610A">
            <w:pPr>
              <w:spacing w:before="40" w:after="40" w:line="240" w:lineRule="auto"/>
              <w:rPr>
                <w:rFonts w:cs="Arial"/>
                <w:sz w:val="18"/>
                <w:szCs w:val="18"/>
              </w:rPr>
            </w:pPr>
          </w:p>
        </w:tc>
      </w:tr>
    </w:tbl>
    <w:p w14:paraId="227A30B9" w14:textId="77777777" w:rsidR="00543D47" w:rsidRPr="00BA5F0C" w:rsidRDefault="00543D47" w:rsidP="00543D47">
      <w:pPr>
        <w:spacing w:before="40" w:after="40" w:line="240" w:lineRule="auto"/>
        <w:rPr>
          <w:b/>
          <w:sz w:val="18"/>
          <w:szCs w:val="18"/>
        </w:rPr>
      </w:pPr>
    </w:p>
    <w:p w14:paraId="44ABE779" w14:textId="77777777" w:rsidR="00543D47" w:rsidRPr="00BA5F0C" w:rsidRDefault="00543D47" w:rsidP="00543D47">
      <w:pPr>
        <w:pStyle w:val="Caption"/>
        <w:rPr>
          <w:b/>
          <w:sz w:val="18"/>
          <w:szCs w:val="18"/>
        </w:rPr>
      </w:pPr>
      <w:bookmarkStart w:id="313" w:name="_Toc487753635"/>
      <w:bookmarkStart w:id="314" w:name="_Toc490651357"/>
      <w:bookmarkStart w:id="315" w:name="_Toc490756878"/>
      <w:bookmarkStart w:id="316" w:name="_Toc491340999"/>
      <w:bookmarkStart w:id="317" w:name="_Toc493598693"/>
      <w:bookmarkStart w:id="318" w:name="_Toc493599715"/>
      <w:bookmarkStart w:id="319" w:name="_Toc493599911"/>
      <w:bookmarkStart w:id="320" w:name="_Toc493687771"/>
      <w:bookmarkStart w:id="321" w:name="_Toc534374991"/>
      <w:r w:rsidRPr="00BA5F0C">
        <w:rPr>
          <w:b/>
          <w:i w:val="0"/>
          <w:sz w:val="18"/>
          <w:szCs w:val="18"/>
        </w:rPr>
        <w:lastRenderedPageBreak/>
        <w:t>Recommendation 1</w:t>
      </w:r>
      <w:r>
        <w:rPr>
          <w:b/>
          <w:i w:val="0"/>
          <w:sz w:val="18"/>
          <w:szCs w:val="18"/>
        </w:rPr>
        <w:t>3</w:t>
      </w:r>
      <w:r w:rsidRPr="00BA5F0C">
        <w:rPr>
          <w:b/>
          <w:i w:val="0"/>
          <w:sz w:val="18"/>
          <w:szCs w:val="18"/>
        </w:rPr>
        <w:t>: Alpha-1-antitrypsin: items 66635, 66638, and 66639</w:t>
      </w:r>
      <w:bookmarkEnd w:id="313"/>
      <w:bookmarkEnd w:id="314"/>
      <w:bookmarkEnd w:id="315"/>
      <w:bookmarkEnd w:id="316"/>
      <w:bookmarkEnd w:id="317"/>
      <w:bookmarkEnd w:id="318"/>
      <w:bookmarkEnd w:id="319"/>
      <w:bookmarkEnd w:id="320"/>
      <w:bookmarkEnd w:id="321"/>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37"/>
        <w:gridCol w:w="3438"/>
        <w:gridCol w:w="3437"/>
        <w:gridCol w:w="3438"/>
      </w:tblGrid>
      <w:tr w:rsidR="00543D47" w:rsidRPr="00BA5F0C" w14:paraId="5A80DB93" w14:textId="77777777" w:rsidTr="00D9610A">
        <w:trPr>
          <w:cantSplit/>
          <w:tblHeader/>
        </w:trPr>
        <w:tc>
          <w:tcPr>
            <w:tcW w:w="851" w:type="dxa"/>
          </w:tcPr>
          <w:p w14:paraId="11DBE4A0"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3BDE958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651B6037"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664707B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4DFF698B"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39755B01" w14:textId="77777777" w:rsidTr="00D9610A">
        <w:trPr>
          <w:cantSplit/>
        </w:trPr>
        <w:tc>
          <w:tcPr>
            <w:tcW w:w="851" w:type="dxa"/>
          </w:tcPr>
          <w:p w14:paraId="1C748DB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66635</w:t>
            </w:r>
          </w:p>
        </w:tc>
        <w:tc>
          <w:tcPr>
            <w:tcW w:w="3437" w:type="dxa"/>
          </w:tcPr>
          <w:p w14:paraId="3E6C795F" w14:textId="77777777" w:rsidR="00543D47" w:rsidRPr="00BA5F0C" w:rsidRDefault="00543D47" w:rsidP="00D9610A">
            <w:pPr>
              <w:spacing w:before="40" w:after="40" w:line="240" w:lineRule="auto"/>
              <w:ind w:left="57" w:right="57"/>
              <w:rPr>
                <w:sz w:val="18"/>
                <w:szCs w:val="18"/>
              </w:rPr>
            </w:pPr>
            <w:r w:rsidRPr="00BA5F0C">
              <w:rPr>
                <w:sz w:val="18"/>
                <w:szCs w:val="18"/>
              </w:rPr>
              <w:t>Alpha-1-antitrypsin - quantitation in serum, urine or other body fluid - 1 or more tests</w:t>
            </w:r>
          </w:p>
        </w:tc>
        <w:tc>
          <w:tcPr>
            <w:tcW w:w="3438" w:type="dxa"/>
          </w:tcPr>
          <w:p w14:paraId="62790295"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5764FC7F" w14:textId="77777777" w:rsidR="00543D47" w:rsidRPr="00BA5F0C" w:rsidRDefault="00543D47" w:rsidP="00D9610A">
            <w:pPr>
              <w:spacing w:before="40" w:after="40" w:line="240" w:lineRule="auto"/>
              <w:rPr>
                <w:rFonts w:cs="Arial"/>
                <w:sz w:val="18"/>
                <w:szCs w:val="18"/>
              </w:rPr>
            </w:pPr>
          </w:p>
        </w:tc>
        <w:tc>
          <w:tcPr>
            <w:tcW w:w="3437" w:type="dxa"/>
          </w:tcPr>
          <w:p w14:paraId="58378354"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38" w:type="dxa"/>
          </w:tcPr>
          <w:p w14:paraId="64B61CA2" w14:textId="77777777" w:rsidR="00543D47" w:rsidRPr="00BA5F0C" w:rsidRDefault="00543D47" w:rsidP="00D9610A">
            <w:pPr>
              <w:spacing w:before="40" w:after="40" w:line="240" w:lineRule="auto"/>
              <w:rPr>
                <w:rFonts w:cs="Arial"/>
                <w:sz w:val="18"/>
                <w:szCs w:val="18"/>
              </w:rPr>
            </w:pPr>
          </w:p>
        </w:tc>
      </w:tr>
      <w:tr w:rsidR="00543D47" w:rsidRPr="00BA5F0C" w14:paraId="512EE240" w14:textId="77777777" w:rsidTr="00D9610A">
        <w:trPr>
          <w:cantSplit/>
        </w:trPr>
        <w:tc>
          <w:tcPr>
            <w:tcW w:w="851" w:type="dxa"/>
          </w:tcPr>
          <w:p w14:paraId="6630FB45"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66638</w:t>
            </w:r>
          </w:p>
        </w:tc>
        <w:tc>
          <w:tcPr>
            <w:tcW w:w="3437" w:type="dxa"/>
          </w:tcPr>
          <w:p w14:paraId="002471F8" w14:textId="77777777" w:rsidR="00543D47" w:rsidRPr="00BA5F0C" w:rsidRDefault="00543D47" w:rsidP="00D9610A">
            <w:pPr>
              <w:spacing w:before="40" w:after="40" w:line="240" w:lineRule="auto"/>
              <w:ind w:left="57" w:right="57"/>
              <w:rPr>
                <w:sz w:val="18"/>
                <w:szCs w:val="18"/>
              </w:rPr>
            </w:pPr>
            <w:r w:rsidRPr="00BA5F0C">
              <w:rPr>
                <w:sz w:val="18"/>
                <w:szCs w:val="18"/>
              </w:rPr>
              <w:t>Isoelectric focussing or similar methods for determination of alpha-1-antitrypsin phenotype in serum - 1 or more tests</w:t>
            </w:r>
          </w:p>
        </w:tc>
        <w:tc>
          <w:tcPr>
            <w:tcW w:w="3438" w:type="dxa"/>
          </w:tcPr>
          <w:p w14:paraId="1134D9CA" w14:textId="77777777" w:rsidR="00543D47" w:rsidRPr="00BA5F0C" w:rsidRDefault="00543D47" w:rsidP="00D9610A">
            <w:pPr>
              <w:spacing w:before="40" w:after="40" w:line="240" w:lineRule="auto"/>
              <w:ind w:left="57" w:right="57"/>
              <w:rPr>
                <w:sz w:val="18"/>
                <w:szCs w:val="18"/>
              </w:rPr>
            </w:pPr>
            <w:r w:rsidRPr="00BA5F0C">
              <w:rPr>
                <w:sz w:val="18"/>
                <w:szCs w:val="18"/>
              </w:rPr>
              <w:t>Require abnormal alpha-1-antitrypsin levels or a family history of alpha-1-antitrypsin deficiency for the phenotype testing</w:t>
            </w:r>
          </w:p>
        </w:tc>
        <w:tc>
          <w:tcPr>
            <w:tcW w:w="3437" w:type="dxa"/>
          </w:tcPr>
          <w:p w14:paraId="3393D1AF" w14:textId="77777777" w:rsidR="00543D47" w:rsidRPr="00BA5F0C" w:rsidRDefault="00543D47" w:rsidP="00D9610A">
            <w:pPr>
              <w:spacing w:before="40" w:after="40" w:line="240" w:lineRule="auto"/>
              <w:ind w:left="57" w:right="57"/>
              <w:rPr>
                <w:sz w:val="18"/>
                <w:szCs w:val="18"/>
              </w:rPr>
            </w:pPr>
            <w:r w:rsidRPr="00BA5F0C">
              <w:rPr>
                <w:sz w:val="18"/>
                <w:szCs w:val="18"/>
              </w:rPr>
              <w:t>The specialist test would only be done, if there is an appropriate indication for it.</w:t>
            </w:r>
          </w:p>
        </w:tc>
        <w:tc>
          <w:tcPr>
            <w:tcW w:w="3438" w:type="dxa"/>
          </w:tcPr>
          <w:p w14:paraId="48DFEA5E" w14:textId="77777777" w:rsidR="00543D47" w:rsidRPr="00BA5F0C" w:rsidRDefault="00543D47" w:rsidP="00D9610A">
            <w:pPr>
              <w:spacing w:before="40" w:after="40" w:line="240" w:lineRule="auto"/>
              <w:rPr>
                <w:rFonts w:cs="Arial"/>
                <w:sz w:val="18"/>
                <w:szCs w:val="18"/>
              </w:rPr>
            </w:pPr>
            <w:r w:rsidRPr="00BA5F0C">
              <w:rPr>
                <w:rFonts w:cs="Arial"/>
                <w:sz w:val="18"/>
                <w:szCs w:val="18"/>
              </w:rPr>
              <w:t>An abnormal spike of requests in one state only was observed. The change will allow the test to be done, when appropriate.</w:t>
            </w:r>
          </w:p>
        </w:tc>
      </w:tr>
      <w:tr w:rsidR="00543D47" w:rsidRPr="00BA5F0C" w14:paraId="1B719985" w14:textId="77777777" w:rsidTr="00D9610A">
        <w:trPr>
          <w:cantSplit/>
        </w:trPr>
        <w:tc>
          <w:tcPr>
            <w:tcW w:w="851" w:type="dxa"/>
          </w:tcPr>
          <w:p w14:paraId="0EAAA3BE"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66639</w:t>
            </w:r>
          </w:p>
        </w:tc>
        <w:tc>
          <w:tcPr>
            <w:tcW w:w="3437" w:type="dxa"/>
          </w:tcPr>
          <w:p w14:paraId="4358787B" w14:textId="77777777" w:rsidR="00543D47" w:rsidRPr="00BA5F0C" w:rsidRDefault="00543D47" w:rsidP="00D9610A">
            <w:pPr>
              <w:spacing w:before="40" w:after="40" w:line="240" w:lineRule="auto"/>
              <w:ind w:left="57" w:right="57"/>
              <w:rPr>
                <w:sz w:val="18"/>
                <w:szCs w:val="18"/>
              </w:rPr>
            </w:pPr>
            <w:r w:rsidRPr="00BA5F0C">
              <w:rPr>
                <w:sz w:val="18"/>
                <w:szCs w:val="18"/>
              </w:rPr>
              <w:t>A test described in item 66638 if rendered by a receiving APP - 1 or more tests (Item is subject to rule 18)</w:t>
            </w:r>
          </w:p>
        </w:tc>
        <w:tc>
          <w:tcPr>
            <w:tcW w:w="3438" w:type="dxa"/>
          </w:tcPr>
          <w:p w14:paraId="3412D2F6" w14:textId="77777777" w:rsidR="00543D47" w:rsidRPr="00BA5F0C" w:rsidRDefault="00543D47" w:rsidP="00D9610A">
            <w:pPr>
              <w:spacing w:before="40" w:after="40" w:line="240" w:lineRule="auto"/>
              <w:ind w:left="57" w:right="57"/>
              <w:rPr>
                <w:sz w:val="18"/>
                <w:szCs w:val="18"/>
              </w:rPr>
            </w:pPr>
            <w:r w:rsidRPr="00BA5F0C">
              <w:rPr>
                <w:sz w:val="18"/>
                <w:szCs w:val="18"/>
              </w:rPr>
              <w:t>Require abnormal alpha-1-antitrypsin levels or a family history of alpha-1-antitrypsin deficiency for the phenotype testing</w:t>
            </w:r>
          </w:p>
        </w:tc>
        <w:tc>
          <w:tcPr>
            <w:tcW w:w="3437" w:type="dxa"/>
          </w:tcPr>
          <w:p w14:paraId="5133FDC2" w14:textId="77777777" w:rsidR="00543D47" w:rsidRPr="00BA5F0C" w:rsidRDefault="00543D47" w:rsidP="00D9610A">
            <w:pPr>
              <w:spacing w:before="40" w:after="40" w:line="240" w:lineRule="auto"/>
              <w:ind w:left="57" w:right="57"/>
              <w:rPr>
                <w:sz w:val="18"/>
                <w:szCs w:val="18"/>
              </w:rPr>
            </w:pPr>
          </w:p>
        </w:tc>
        <w:tc>
          <w:tcPr>
            <w:tcW w:w="3438" w:type="dxa"/>
          </w:tcPr>
          <w:p w14:paraId="529AE5E0" w14:textId="77777777" w:rsidR="00543D47" w:rsidRPr="00BA5F0C" w:rsidRDefault="00543D47" w:rsidP="00D9610A">
            <w:pPr>
              <w:spacing w:before="40" w:after="40" w:line="240" w:lineRule="auto"/>
              <w:rPr>
                <w:rFonts w:cs="Arial"/>
                <w:sz w:val="18"/>
                <w:szCs w:val="18"/>
              </w:rPr>
            </w:pPr>
          </w:p>
        </w:tc>
      </w:tr>
    </w:tbl>
    <w:p w14:paraId="701B404E" w14:textId="77777777" w:rsidR="00543D47" w:rsidRPr="00BA5F0C" w:rsidRDefault="00543D47" w:rsidP="00543D47">
      <w:pPr>
        <w:spacing w:before="40" w:after="40" w:line="240" w:lineRule="auto"/>
        <w:rPr>
          <w:b/>
          <w:sz w:val="18"/>
          <w:szCs w:val="18"/>
        </w:rPr>
      </w:pPr>
    </w:p>
    <w:p w14:paraId="607EEAFE" w14:textId="77777777" w:rsidR="00543D47" w:rsidRPr="00BA5F0C" w:rsidRDefault="00543D47" w:rsidP="00543D47">
      <w:pPr>
        <w:pStyle w:val="Caption"/>
        <w:rPr>
          <w:b/>
          <w:sz w:val="18"/>
          <w:szCs w:val="18"/>
        </w:rPr>
      </w:pPr>
      <w:bookmarkStart w:id="322" w:name="_Toc487753636"/>
      <w:bookmarkStart w:id="323" w:name="_Toc490651358"/>
      <w:bookmarkStart w:id="324" w:name="_Toc490756879"/>
      <w:bookmarkStart w:id="325" w:name="_Toc491341000"/>
      <w:bookmarkStart w:id="326" w:name="_Toc493598694"/>
      <w:bookmarkStart w:id="327" w:name="_Toc493599716"/>
      <w:bookmarkStart w:id="328" w:name="_Toc493599912"/>
      <w:bookmarkStart w:id="329" w:name="_Toc493687772"/>
      <w:bookmarkStart w:id="330" w:name="_Toc534374992"/>
      <w:r w:rsidRPr="00BA5F0C">
        <w:rPr>
          <w:b/>
          <w:i w:val="0"/>
          <w:sz w:val="18"/>
          <w:szCs w:val="18"/>
        </w:rPr>
        <w:t>Recommendation 1</w:t>
      </w:r>
      <w:r>
        <w:rPr>
          <w:b/>
          <w:i w:val="0"/>
          <w:sz w:val="18"/>
          <w:szCs w:val="18"/>
        </w:rPr>
        <w:t>4</w:t>
      </w:r>
      <w:r w:rsidRPr="00BA5F0C">
        <w:rPr>
          <w:b/>
          <w:i w:val="0"/>
          <w:sz w:val="18"/>
          <w:szCs w:val="18"/>
        </w:rPr>
        <w:t>: Electrophoresis of serum isoenzymes: items 66641 and 66642</w:t>
      </w:r>
      <w:bookmarkEnd w:id="322"/>
      <w:bookmarkEnd w:id="323"/>
      <w:bookmarkEnd w:id="324"/>
      <w:bookmarkEnd w:id="325"/>
      <w:bookmarkEnd w:id="326"/>
      <w:bookmarkEnd w:id="327"/>
      <w:bookmarkEnd w:id="328"/>
      <w:bookmarkEnd w:id="329"/>
      <w:bookmarkEnd w:id="330"/>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37"/>
        <w:gridCol w:w="3438"/>
        <w:gridCol w:w="3437"/>
        <w:gridCol w:w="3438"/>
      </w:tblGrid>
      <w:tr w:rsidR="00543D47" w:rsidRPr="00BA5F0C" w14:paraId="61623FC0" w14:textId="77777777" w:rsidTr="00D9610A">
        <w:trPr>
          <w:cantSplit/>
          <w:tblHeader/>
        </w:trPr>
        <w:tc>
          <w:tcPr>
            <w:tcW w:w="851" w:type="dxa"/>
          </w:tcPr>
          <w:p w14:paraId="0009F97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19B38F3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1888F92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59CC51E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0E6F5D7D"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6444BDA1" w14:textId="77777777" w:rsidTr="00D9610A">
        <w:trPr>
          <w:cantSplit/>
        </w:trPr>
        <w:tc>
          <w:tcPr>
            <w:tcW w:w="851" w:type="dxa"/>
          </w:tcPr>
          <w:p w14:paraId="1134A390"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66641</w:t>
            </w:r>
          </w:p>
        </w:tc>
        <w:tc>
          <w:tcPr>
            <w:tcW w:w="3437" w:type="dxa"/>
          </w:tcPr>
          <w:p w14:paraId="2B7373A0" w14:textId="77777777" w:rsidR="00543D47" w:rsidRPr="00BA5F0C" w:rsidRDefault="00543D47" w:rsidP="00D9610A">
            <w:pPr>
              <w:spacing w:before="40" w:after="40" w:line="240" w:lineRule="auto"/>
              <w:rPr>
                <w:rFonts w:cs="Arial"/>
                <w:sz w:val="18"/>
                <w:szCs w:val="18"/>
              </w:rPr>
            </w:pPr>
            <w:r w:rsidRPr="00BA5F0C">
              <w:rPr>
                <w:color w:val="000000"/>
                <w:sz w:val="18"/>
                <w:szCs w:val="18"/>
              </w:rPr>
              <w:t>Detects isoenzymes of lactate dehydrogenase and alkaline phosphatase as markers of haemolysis and myocardial infarction</w:t>
            </w:r>
          </w:p>
        </w:tc>
        <w:tc>
          <w:tcPr>
            <w:tcW w:w="3438" w:type="dxa"/>
          </w:tcPr>
          <w:p w14:paraId="07279054" w14:textId="77777777" w:rsidR="00543D47" w:rsidRPr="00BA5F0C" w:rsidRDefault="00543D47" w:rsidP="00D9610A">
            <w:pPr>
              <w:spacing w:before="40" w:after="40" w:line="240" w:lineRule="auto"/>
              <w:ind w:left="57" w:right="57"/>
              <w:rPr>
                <w:sz w:val="18"/>
                <w:szCs w:val="18"/>
              </w:rPr>
            </w:pPr>
            <w:r w:rsidRPr="00BA5F0C">
              <w:rPr>
                <w:sz w:val="18"/>
                <w:szCs w:val="18"/>
              </w:rPr>
              <w:t>Remove lactate dehydrogenase isoenzymes</w:t>
            </w:r>
          </w:p>
        </w:tc>
        <w:tc>
          <w:tcPr>
            <w:tcW w:w="3437" w:type="dxa"/>
          </w:tcPr>
          <w:p w14:paraId="13D899C5" w14:textId="77777777" w:rsidR="00543D47" w:rsidRPr="00BA5F0C" w:rsidRDefault="00543D47" w:rsidP="00D9610A">
            <w:pPr>
              <w:spacing w:before="40" w:after="40" w:line="240" w:lineRule="auto"/>
              <w:ind w:left="57" w:right="57"/>
              <w:rPr>
                <w:sz w:val="18"/>
                <w:szCs w:val="18"/>
              </w:rPr>
            </w:pPr>
            <w:r w:rsidRPr="00BA5F0C">
              <w:rPr>
                <w:sz w:val="18"/>
                <w:szCs w:val="18"/>
              </w:rPr>
              <w:t>This item would no longer measure lactate dehydrogenase isoenzymes</w:t>
            </w:r>
          </w:p>
        </w:tc>
        <w:tc>
          <w:tcPr>
            <w:tcW w:w="3438" w:type="dxa"/>
          </w:tcPr>
          <w:p w14:paraId="778FD755"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There are now better markers for these conditions and the test no longer has clinical utility. </w:t>
            </w:r>
          </w:p>
        </w:tc>
      </w:tr>
      <w:tr w:rsidR="00543D47" w:rsidRPr="00BA5F0C" w14:paraId="2C7F0B59" w14:textId="77777777" w:rsidTr="00D9610A">
        <w:trPr>
          <w:cantSplit/>
        </w:trPr>
        <w:tc>
          <w:tcPr>
            <w:tcW w:w="851" w:type="dxa"/>
          </w:tcPr>
          <w:p w14:paraId="3C2BBD1A"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66642</w:t>
            </w:r>
          </w:p>
        </w:tc>
        <w:tc>
          <w:tcPr>
            <w:tcW w:w="3437" w:type="dxa"/>
          </w:tcPr>
          <w:p w14:paraId="750272B2" w14:textId="77777777" w:rsidR="00543D47" w:rsidRPr="00BA5F0C" w:rsidRDefault="00543D47" w:rsidP="00D9610A">
            <w:pPr>
              <w:spacing w:before="40" w:after="40" w:line="240" w:lineRule="auto"/>
              <w:rPr>
                <w:rFonts w:cs="Arial"/>
                <w:sz w:val="18"/>
                <w:szCs w:val="18"/>
              </w:rPr>
            </w:pPr>
            <w:r w:rsidRPr="00BA5F0C">
              <w:rPr>
                <w:color w:val="000000"/>
                <w:sz w:val="18"/>
                <w:szCs w:val="18"/>
              </w:rPr>
              <w:t>A test described in item 66641 if rendered by a receiving APP - 1 or more tests (Item is subject to rule 18)</w:t>
            </w:r>
          </w:p>
        </w:tc>
        <w:tc>
          <w:tcPr>
            <w:tcW w:w="3438" w:type="dxa"/>
          </w:tcPr>
          <w:p w14:paraId="79F71836" w14:textId="77777777" w:rsidR="00543D47" w:rsidRPr="00BA5F0C" w:rsidRDefault="00543D47" w:rsidP="00D9610A">
            <w:pPr>
              <w:spacing w:before="40" w:after="40" w:line="240" w:lineRule="auto"/>
              <w:ind w:left="57" w:right="57"/>
              <w:rPr>
                <w:sz w:val="18"/>
                <w:szCs w:val="18"/>
              </w:rPr>
            </w:pPr>
            <w:r w:rsidRPr="00BA5F0C">
              <w:rPr>
                <w:sz w:val="18"/>
                <w:szCs w:val="18"/>
              </w:rPr>
              <w:t>Remove lactate dehydrogenase isoenzymes</w:t>
            </w:r>
          </w:p>
        </w:tc>
        <w:tc>
          <w:tcPr>
            <w:tcW w:w="3437" w:type="dxa"/>
          </w:tcPr>
          <w:p w14:paraId="1768D212" w14:textId="77777777" w:rsidR="00543D47" w:rsidRPr="00BA5F0C" w:rsidRDefault="00543D47" w:rsidP="00D9610A">
            <w:pPr>
              <w:spacing w:before="40" w:after="40" w:line="240" w:lineRule="auto"/>
              <w:ind w:left="57" w:right="57"/>
              <w:rPr>
                <w:sz w:val="18"/>
                <w:szCs w:val="18"/>
              </w:rPr>
            </w:pPr>
            <w:r w:rsidRPr="00BA5F0C">
              <w:rPr>
                <w:sz w:val="18"/>
                <w:szCs w:val="18"/>
              </w:rPr>
              <w:t>This item would no longer measure lactate dehydrogenase isoenzymes</w:t>
            </w:r>
          </w:p>
        </w:tc>
        <w:tc>
          <w:tcPr>
            <w:tcW w:w="3438" w:type="dxa"/>
          </w:tcPr>
          <w:p w14:paraId="2B4FB928" w14:textId="77777777" w:rsidR="00543D47" w:rsidRPr="00BA5F0C" w:rsidRDefault="00543D47" w:rsidP="00D9610A">
            <w:pPr>
              <w:spacing w:before="40" w:after="40" w:line="240" w:lineRule="auto"/>
              <w:rPr>
                <w:rFonts w:cs="Arial"/>
                <w:sz w:val="18"/>
                <w:szCs w:val="18"/>
              </w:rPr>
            </w:pPr>
            <w:r w:rsidRPr="00BA5F0C">
              <w:rPr>
                <w:rFonts w:cs="Arial"/>
                <w:sz w:val="18"/>
                <w:szCs w:val="18"/>
              </w:rPr>
              <w:t>There are now better markers for these conditions and the test no longer has clinical utility.</w:t>
            </w:r>
          </w:p>
        </w:tc>
      </w:tr>
    </w:tbl>
    <w:p w14:paraId="20E32AAD" w14:textId="77777777" w:rsidR="00543D47" w:rsidRPr="00BA5F0C" w:rsidRDefault="00543D47" w:rsidP="00543D47">
      <w:pPr>
        <w:spacing w:before="40" w:after="40" w:line="240" w:lineRule="auto"/>
        <w:rPr>
          <w:b/>
          <w:sz w:val="18"/>
          <w:szCs w:val="18"/>
        </w:rPr>
      </w:pPr>
    </w:p>
    <w:p w14:paraId="45E9046A" w14:textId="77777777" w:rsidR="00543D47" w:rsidRPr="00BA5F0C" w:rsidRDefault="00543D47" w:rsidP="00543D47">
      <w:pPr>
        <w:pStyle w:val="Caption"/>
        <w:rPr>
          <w:b/>
          <w:sz w:val="18"/>
          <w:szCs w:val="18"/>
        </w:rPr>
      </w:pPr>
      <w:bookmarkStart w:id="331" w:name="_Toc487753637"/>
      <w:bookmarkStart w:id="332" w:name="_Toc490651359"/>
      <w:bookmarkStart w:id="333" w:name="_Toc490756880"/>
      <w:bookmarkStart w:id="334" w:name="_Toc491341001"/>
      <w:bookmarkStart w:id="335" w:name="_Toc493598695"/>
      <w:bookmarkStart w:id="336" w:name="_Toc493599717"/>
      <w:bookmarkStart w:id="337" w:name="_Toc493599913"/>
      <w:bookmarkStart w:id="338" w:name="_Toc493687773"/>
      <w:bookmarkStart w:id="339" w:name="_Toc534374993"/>
      <w:r w:rsidRPr="00BA5F0C">
        <w:rPr>
          <w:b/>
          <w:i w:val="0"/>
          <w:sz w:val="18"/>
          <w:szCs w:val="18"/>
        </w:rPr>
        <w:t>Recommendation 1</w:t>
      </w:r>
      <w:r>
        <w:rPr>
          <w:b/>
          <w:i w:val="0"/>
          <w:sz w:val="18"/>
          <w:szCs w:val="18"/>
        </w:rPr>
        <w:t>5</w:t>
      </w:r>
      <w:r w:rsidRPr="00BA5F0C">
        <w:rPr>
          <w:b/>
          <w:i w:val="0"/>
          <w:sz w:val="18"/>
          <w:szCs w:val="18"/>
        </w:rPr>
        <w:t>: C1 inhibitor levels: items 66644, 66647</w:t>
      </w:r>
      <w:bookmarkEnd w:id="331"/>
      <w:bookmarkEnd w:id="332"/>
      <w:bookmarkEnd w:id="333"/>
      <w:bookmarkEnd w:id="334"/>
      <w:bookmarkEnd w:id="335"/>
      <w:bookmarkEnd w:id="336"/>
      <w:bookmarkEnd w:id="337"/>
      <w:bookmarkEnd w:id="338"/>
      <w:bookmarkEnd w:id="339"/>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37"/>
        <w:gridCol w:w="3438"/>
        <w:gridCol w:w="3437"/>
        <w:gridCol w:w="3438"/>
      </w:tblGrid>
      <w:tr w:rsidR="00543D47" w:rsidRPr="00BA5F0C" w14:paraId="327AD85F" w14:textId="77777777" w:rsidTr="00D9610A">
        <w:trPr>
          <w:cantSplit/>
          <w:tblHeader/>
        </w:trPr>
        <w:tc>
          <w:tcPr>
            <w:tcW w:w="851" w:type="dxa"/>
          </w:tcPr>
          <w:p w14:paraId="175B40F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22D8BB4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6F960B7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6A43425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31555A6D"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11A5A363" w14:textId="77777777" w:rsidTr="00D9610A">
        <w:trPr>
          <w:cantSplit/>
        </w:trPr>
        <w:tc>
          <w:tcPr>
            <w:tcW w:w="851" w:type="dxa"/>
          </w:tcPr>
          <w:p w14:paraId="2DCB8702"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66644</w:t>
            </w:r>
          </w:p>
        </w:tc>
        <w:tc>
          <w:tcPr>
            <w:tcW w:w="3437" w:type="dxa"/>
          </w:tcPr>
          <w:p w14:paraId="7407310A" w14:textId="77777777" w:rsidR="00543D47" w:rsidRPr="00BA5F0C" w:rsidRDefault="00543D47" w:rsidP="00D9610A">
            <w:pPr>
              <w:spacing w:before="40" w:after="40" w:line="240" w:lineRule="auto"/>
              <w:rPr>
                <w:color w:val="000000"/>
                <w:sz w:val="18"/>
                <w:szCs w:val="18"/>
              </w:rPr>
            </w:pPr>
            <w:r w:rsidRPr="00BA5F0C">
              <w:rPr>
                <w:color w:val="000000"/>
                <w:sz w:val="18"/>
                <w:szCs w:val="18"/>
              </w:rPr>
              <w:t xml:space="preserve">Measures C-1 esterase inhibitor </w:t>
            </w:r>
          </w:p>
        </w:tc>
        <w:tc>
          <w:tcPr>
            <w:tcW w:w="3438" w:type="dxa"/>
          </w:tcPr>
          <w:p w14:paraId="52F13A41"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0B549F91"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38" w:type="dxa"/>
          </w:tcPr>
          <w:p w14:paraId="487A29E2" w14:textId="77777777" w:rsidR="00543D47" w:rsidRPr="00BA5F0C" w:rsidRDefault="00543D47" w:rsidP="00D9610A">
            <w:pPr>
              <w:spacing w:before="40" w:after="40" w:line="240" w:lineRule="auto"/>
              <w:rPr>
                <w:rFonts w:cs="Arial"/>
                <w:sz w:val="18"/>
                <w:szCs w:val="18"/>
              </w:rPr>
            </w:pPr>
          </w:p>
        </w:tc>
      </w:tr>
      <w:tr w:rsidR="00543D47" w:rsidRPr="00BA5F0C" w14:paraId="62B0B910" w14:textId="77777777" w:rsidTr="00D9610A">
        <w:trPr>
          <w:cantSplit/>
        </w:trPr>
        <w:tc>
          <w:tcPr>
            <w:tcW w:w="851" w:type="dxa"/>
          </w:tcPr>
          <w:p w14:paraId="1A79D01A"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66647</w:t>
            </w:r>
          </w:p>
        </w:tc>
        <w:tc>
          <w:tcPr>
            <w:tcW w:w="3437" w:type="dxa"/>
          </w:tcPr>
          <w:p w14:paraId="4E3145B1" w14:textId="77777777" w:rsidR="00543D47" w:rsidRPr="00BA5F0C" w:rsidRDefault="00543D47" w:rsidP="00D9610A">
            <w:pPr>
              <w:spacing w:before="40" w:after="40" w:line="240" w:lineRule="auto"/>
              <w:rPr>
                <w:color w:val="000000"/>
                <w:sz w:val="18"/>
                <w:szCs w:val="18"/>
              </w:rPr>
            </w:pPr>
            <w:r w:rsidRPr="00BA5F0C">
              <w:rPr>
                <w:color w:val="000000"/>
                <w:sz w:val="18"/>
                <w:szCs w:val="18"/>
              </w:rPr>
              <w:t>Functional assay of C-1 esterase inhibitor.</w:t>
            </w:r>
          </w:p>
        </w:tc>
        <w:tc>
          <w:tcPr>
            <w:tcW w:w="3438" w:type="dxa"/>
          </w:tcPr>
          <w:p w14:paraId="534B85BF"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1356C030" w14:textId="77777777" w:rsidR="00543D47" w:rsidRPr="00BA5F0C" w:rsidRDefault="00543D47" w:rsidP="00D9610A">
            <w:pPr>
              <w:spacing w:before="40" w:after="40" w:line="240" w:lineRule="auto"/>
              <w:ind w:left="57" w:right="57"/>
              <w:rPr>
                <w:sz w:val="18"/>
                <w:szCs w:val="18"/>
              </w:rPr>
            </w:pPr>
          </w:p>
        </w:tc>
        <w:tc>
          <w:tcPr>
            <w:tcW w:w="3438" w:type="dxa"/>
          </w:tcPr>
          <w:p w14:paraId="0217B613" w14:textId="77777777" w:rsidR="00543D47" w:rsidRPr="00BA5F0C" w:rsidRDefault="00543D47" w:rsidP="00D9610A">
            <w:pPr>
              <w:spacing w:before="40" w:after="40" w:line="240" w:lineRule="auto"/>
              <w:rPr>
                <w:rFonts w:cs="Arial"/>
                <w:sz w:val="18"/>
                <w:szCs w:val="18"/>
              </w:rPr>
            </w:pPr>
          </w:p>
        </w:tc>
      </w:tr>
    </w:tbl>
    <w:p w14:paraId="30B88391" w14:textId="77777777" w:rsidR="00543D47" w:rsidRPr="00BA5F0C" w:rsidRDefault="00543D47" w:rsidP="00543D47">
      <w:pPr>
        <w:spacing w:before="40" w:after="40" w:line="240" w:lineRule="auto"/>
        <w:rPr>
          <w:b/>
          <w:sz w:val="18"/>
          <w:szCs w:val="18"/>
        </w:rPr>
      </w:pPr>
    </w:p>
    <w:p w14:paraId="319C199C" w14:textId="77777777" w:rsidR="00543D47" w:rsidRPr="00BA5F0C" w:rsidRDefault="00543D47" w:rsidP="00543D47">
      <w:pPr>
        <w:pStyle w:val="Caption"/>
        <w:rPr>
          <w:b/>
          <w:sz w:val="18"/>
          <w:szCs w:val="18"/>
        </w:rPr>
      </w:pPr>
      <w:bookmarkStart w:id="340" w:name="_Toc487753638"/>
      <w:bookmarkStart w:id="341" w:name="_Toc490651360"/>
      <w:bookmarkStart w:id="342" w:name="_Toc490756881"/>
      <w:bookmarkStart w:id="343" w:name="_Toc491341002"/>
      <w:bookmarkStart w:id="344" w:name="_Toc493598696"/>
      <w:bookmarkStart w:id="345" w:name="_Toc493599718"/>
      <w:bookmarkStart w:id="346" w:name="_Toc493599914"/>
      <w:bookmarkStart w:id="347" w:name="_Toc493687774"/>
      <w:bookmarkStart w:id="348" w:name="_Toc534374994"/>
      <w:r w:rsidRPr="00BA5F0C">
        <w:rPr>
          <w:b/>
          <w:i w:val="0"/>
          <w:sz w:val="18"/>
          <w:szCs w:val="18"/>
        </w:rPr>
        <w:lastRenderedPageBreak/>
        <w:t>Recommendation 1</w:t>
      </w:r>
      <w:r>
        <w:rPr>
          <w:b/>
          <w:i w:val="0"/>
          <w:sz w:val="18"/>
          <w:szCs w:val="18"/>
        </w:rPr>
        <w:t>6</w:t>
      </w:r>
      <w:r w:rsidRPr="00BA5F0C">
        <w:rPr>
          <w:b/>
          <w:i w:val="0"/>
          <w:sz w:val="18"/>
          <w:szCs w:val="18"/>
        </w:rPr>
        <w:t>: Angiotensin converting enzyme: item 66758</w:t>
      </w:r>
      <w:bookmarkEnd w:id="340"/>
      <w:bookmarkEnd w:id="341"/>
      <w:bookmarkEnd w:id="342"/>
      <w:bookmarkEnd w:id="343"/>
      <w:bookmarkEnd w:id="344"/>
      <w:bookmarkEnd w:id="345"/>
      <w:bookmarkEnd w:id="346"/>
      <w:bookmarkEnd w:id="347"/>
      <w:bookmarkEnd w:id="348"/>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37"/>
        <w:gridCol w:w="3438"/>
        <w:gridCol w:w="3437"/>
        <w:gridCol w:w="3438"/>
      </w:tblGrid>
      <w:tr w:rsidR="00543D47" w:rsidRPr="00BA5F0C" w14:paraId="4AA32338" w14:textId="77777777" w:rsidTr="00D9610A">
        <w:trPr>
          <w:cantSplit/>
          <w:tblHeader/>
        </w:trPr>
        <w:tc>
          <w:tcPr>
            <w:tcW w:w="851" w:type="dxa"/>
          </w:tcPr>
          <w:p w14:paraId="4C8F3789"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2D524FA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49C654B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58ACE04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7B24B79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51A0050E" w14:textId="77777777" w:rsidTr="00D9610A">
        <w:trPr>
          <w:cantSplit/>
        </w:trPr>
        <w:tc>
          <w:tcPr>
            <w:tcW w:w="851" w:type="dxa"/>
          </w:tcPr>
          <w:p w14:paraId="6F8B0AC2"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66758</w:t>
            </w:r>
          </w:p>
        </w:tc>
        <w:tc>
          <w:tcPr>
            <w:tcW w:w="3437" w:type="dxa"/>
          </w:tcPr>
          <w:p w14:paraId="4428B880"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Measures </w:t>
            </w:r>
            <w:r w:rsidRPr="00BA5F0C">
              <w:rPr>
                <w:color w:val="000000"/>
                <w:sz w:val="18"/>
                <w:szCs w:val="18"/>
              </w:rPr>
              <w:t>angiotensin converting enzyme, or cholinesterase</w:t>
            </w:r>
          </w:p>
        </w:tc>
        <w:tc>
          <w:tcPr>
            <w:tcW w:w="3438" w:type="dxa"/>
          </w:tcPr>
          <w:p w14:paraId="693AE26F"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130DB7A9" w14:textId="77777777" w:rsidR="00543D47" w:rsidRPr="00BA5F0C" w:rsidRDefault="00543D47" w:rsidP="00D9610A">
            <w:pPr>
              <w:spacing w:before="40" w:after="40" w:line="240" w:lineRule="auto"/>
              <w:rPr>
                <w:rFonts w:cs="Arial"/>
                <w:sz w:val="18"/>
                <w:szCs w:val="18"/>
              </w:rPr>
            </w:pPr>
          </w:p>
        </w:tc>
        <w:tc>
          <w:tcPr>
            <w:tcW w:w="3437" w:type="dxa"/>
          </w:tcPr>
          <w:p w14:paraId="104B8120"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38" w:type="dxa"/>
          </w:tcPr>
          <w:p w14:paraId="3BA55AFA" w14:textId="77777777" w:rsidR="00543D47" w:rsidRPr="00BA5F0C" w:rsidRDefault="00543D47" w:rsidP="00D9610A">
            <w:pPr>
              <w:spacing w:before="40" w:after="40" w:line="240" w:lineRule="auto"/>
              <w:rPr>
                <w:rFonts w:cs="Arial"/>
                <w:sz w:val="18"/>
                <w:szCs w:val="18"/>
              </w:rPr>
            </w:pPr>
          </w:p>
        </w:tc>
      </w:tr>
    </w:tbl>
    <w:p w14:paraId="02EEDAEF" w14:textId="77777777" w:rsidR="00543D47" w:rsidRPr="00BA5F0C" w:rsidRDefault="00543D47" w:rsidP="00543D47">
      <w:pPr>
        <w:spacing w:before="40" w:after="40" w:line="240" w:lineRule="auto"/>
        <w:rPr>
          <w:b/>
          <w:sz w:val="18"/>
          <w:szCs w:val="18"/>
        </w:rPr>
      </w:pPr>
    </w:p>
    <w:p w14:paraId="2051A512" w14:textId="77777777" w:rsidR="00543D47" w:rsidRPr="00BA5F0C" w:rsidRDefault="00543D47" w:rsidP="00543D47">
      <w:pPr>
        <w:pStyle w:val="Caption"/>
        <w:rPr>
          <w:b/>
          <w:sz w:val="18"/>
          <w:szCs w:val="18"/>
        </w:rPr>
      </w:pPr>
      <w:bookmarkStart w:id="349" w:name="_Toc487753639"/>
      <w:bookmarkStart w:id="350" w:name="_Toc490651361"/>
      <w:bookmarkStart w:id="351" w:name="_Toc490756882"/>
      <w:bookmarkStart w:id="352" w:name="_Toc491341003"/>
      <w:bookmarkStart w:id="353" w:name="_Toc493598697"/>
      <w:bookmarkStart w:id="354" w:name="_Toc493599719"/>
      <w:bookmarkStart w:id="355" w:name="_Toc493599915"/>
      <w:bookmarkStart w:id="356" w:name="_Toc493687775"/>
      <w:bookmarkStart w:id="357" w:name="_Toc534374995"/>
      <w:r w:rsidRPr="00BA5F0C">
        <w:rPr>
          <w:b/>
          <w:i w:val="0"/>
          <w:sz w:val="18"/>
          <w:szCs w:val="18"/>
        </w:rPr>
        <w:t>Recommendation 1</w:t>
      </w:r>
      <w:r>
        <w:rPr>
          <w:b/>
          <w:i w:val="0"/>
          <w:sz w:val="18"/>
          <w:szCs w:val="18"/>
        </w:rPr>
        <w:t>7</w:t>
      </w:r>
      <w:r w:rsidRPr="00BA5F0C">
        <w:rPr>
          <w:b/>
          <w:i w:val="0"/>
          <w:sz w:val="18"/>
          <w:szCs w:val="18"/>
        </w:rPr>
        <w:t>: Immunology items: 71057, 71058, 71059, 71060, 71062, 71064, 71066, 71068, 71069, 71071, 71072, 71073, 71074, 71075, 71076, 71077, 71200</w:t>
      </w:r>
      <w:bookmarkEnd w:id="349"/>
      <w:bookmarkEnd w:id="350"/>
      <w:bookmarkEnd w:id="351"/>
      <w:bookmarkEnd w:id="352"/>
      <w:bookmarkEnd w:id="353"/>
      <w:bookmarkEnd w:id="354"/>
      <w:bookmarkEnd w:id="355"/>
      <w:bookmarkEnd w:id="356"/>
      <w:bookmarkEnd w:id="357"/>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37"/>
        <w:gridCol w:w="3438"/>
        <w:gridCol w:w="3437"/>
        <w:gridCol w:w="3438"/>
      </w:tblGrid>
      <w:tr w:rsidR="00543D47" w:rsidRPr="00BA5F0C" w14:paraId="1D0A12D2" w14:textId="77777777" w:rsidTr="00D9610A">
        <w:trPr>
          <w:cantSplit/>
          <w:tblHeader/>
        </w:trPr>
        <w:tc>
          <w:tcPr>
            <w:tcW w:w="851" w:type="dxa"/>
          </w:tcPr>
          <w:p w14:paraId="77365764"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Item</w:t>
            </w:r>
          </w:p>
        </w:tc>
        <w:tc>
          <w:tcPr>
            <w:tcW w:w="3437" w:type="dxa"/>
          </w:tcPr>
          <w:p w14:paraId="7AC37C7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388B5CE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55785BF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056C0BB7"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12E6E4F7" w14:textId="77777777" w:rsidTr="00D9610A">
        <w:trPr>
          <w:cantSplit/>
        </w:trPr>
        <w:tc>
          <w:tcPr>
            <w:tcW w:w="851" w:type="dxa"/>
          </w:tcPr>
          <w:p w14:paraId="2680C3A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71057</w:t>
            </w:r>
          </w:p>
        </w:tc>
        <w:tc>
          <w:tcPr>
            <w:tcW w:w="3437" w:type="dxa"/>
          </w:tcPr>
          <w:p w14:paraId="34DDB9F3" w14:textId="77777777" w:rsidR="00543D47" w:rsidRPr="00BA5F0C" w:rsidRDefault="00543D47" w:rsidP="00D9610A">
            <w:pPr>
              <w:spacing w:before="40" w:after="40" w:line="240" w:lineRule="auto"/>
              <w:rPr>
                <w:color w:val="000000"/>
                <w:sz w:val="18"/>
                <w:szCs w:val="18"/>
              </w:rPr>
            </w:pPr>
            <w:r w:rsidRPr="00BA5F0C">
              <w:rPr>
                <w:color w:val="000000"/>
                <w:sz w:val="18"/>
                <w:szCs w:val="18"/>
              </w:rPr>
              <w:t xml:space="preserve">Electrophoresis, quantitative and qualitative, of serum, urine or other body fluid </w:t>
            </w:r>
            <w:r>
              <w:rPr>
                <w:color w:val="000000"/>
                <w:sz w:val="18"/>
                <w:szCs w:val="18"/>
              </w:rPr>
              <w:t>all collected within a 28-</w:t>
            </w:r>
            <w:r w:rsidRPr="00BA5F0C">
              <w:rPr>
                <w:color w:val="000000"/>
                <w:sz w:val="18"/>
                <w:szCs w:val="18"/>
              </w:rPr>
              <w:t>day period, to demonstrate: (a) protein classes; or (b) presence and amount of paraprotein; including the preliminary quantitation of total protein, albumin and globulin - 1 specimen type</w:t>
            </w:r>
          </w:p>
        </w:tc>
        <w:tc>
          <w:tcPr>
            <w:tcW w:w="3438" w:type="dxa"/>
          </w:tcPr>
          <w:p w14:paraId="39337D8A"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0763DDF2" w14:textId="77777777" w:rsidR="00543D47" w:rsidRPr="00BA5F0C" w:rsidRDefault="00543D47" w:rsidP="00D9610A">
            <w:pPr>
              <w:spacing w:before="40" w:after="40" w:line="240" w:lineRule="auto"/>
              <w:rPr>
                <w:color w:val="000000"/>
                <w:sz w:val="18"/>
                <w:szCs w:val="18"/>
              </w:rPr>
            </w:pPr>
          </w:p>
        </w:tc>
        <w:tc>
          <w:tcPr>
            <w:tcW w:w="3437" w:type="dxa"/>
          </w:tcPr>
          <w:p w14:paraId="1D4632FB"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38" w:type="dxa"/>
          </w:tcPr>
          <w:p w14:paraId="291E8527" w14:textId="77777777" w:rsidR="00543D47" w:rsidRPr="00BA5F0C" w:rsidRDefault="00543D47" w:rsidP="00D9610A">
            <w:pPr>
              <w:spacing w:before="40" w:after="40" w:line="240" w:lineRule="auto"/>
              <w:rPr>
                <w:rFonts w:cs="Arial"/>
                <w:sz w:val="18"/>
                <w:szCs w:val="18"/>
              </w:rPr>
            </w:pPr>
          </w:p>
        </w:tc>
      </w:tr>
      <w:tr w:rsidR="00543D47" w:rsidRPr="00BA5F0C" w14:paraId="70432C67" w14:textId="77777777" w:rsidTr="00D9610A">
        <w:trPr>
          <w:cantSplit/>
        </w:trPr>
        <w:tc>
          <w:tcPr>
            <w:tcW w:w="851" w:type="dxa"/>
          </w:tcPr>
          <w:p w14:paraId="3EEA8942"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71058</w:t>
            </w:r>
          </w:p>
        </w:tc>
        <w:tc>
          <w:tcPr>
            <w:tcW w:w="3437" w:type="dxa"/>
          </w:tcPr>
          <w:p w14:paraId="46A0854A" w14:textId="77777777" w:rsidR="00543D47" w:rsidRPr="00BA5F0C" w:rsidRDefault="00543D47" w:rsidP="00D9610A">
            <w:pPr>
              <w:spacing w:before="40" w:after="40" w:line="240" w:lineRule="auto"/>
              <w:rPr>
                <w:rFonts w:cs="Arial"/>
                <w:sz w:val="18"/>
                <w:szCs w:val="18"/>
              </w:rPr>
            </w:pPr>
            <w:r w:rsidRPr="00BA5F0C">
              <w:rPr>
                <w:rFonts w:cs="Arial"/>
                <w:sz w:val="18"/>
                <w:szCs w:val="18"/>
              </w:rPr>
              <w:t>Examination as described in item 71057 of 2 or more specimen types</w:t>
            </w:r>
          </w:p>
        </w:tc>
        <w:tc>
          <w:tcPr>
            <w:tcW w:w="3438" w:type="dxa"/>
          </w:tcPr>
          <w:p w14:paraId="17263955"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3072365D" w14:textId="77777777" w:rsidR="00543D47" w:rsidRPr="00BA5F0C" w:rsidRDefault="00543D47" w:rsidP="00D9610A">
            <w:pPr>
              <w:spacing w:before="40" w:after="40" w:line="240" w:lineRule="auto"/>
              <w:rPr>
                <w:color w:val="000000"/>
                <w:sz w:val="18"/>
                <w:szCs w:val="18"/>
              </w:rPr>
            </w:pPr>
          </w:p>
        </w:tc>
        <w:tc>
          <w:tcPr>
            <w:tcW w:w="3437" w:type="dxa"/>
          </w:tcPr>
          <w:p w14:paraId="289C6860" w14:textId="77777777" w:rsidR="00543D47" w:rsidRPr="00BA5F0C" w:rsidRDefault="00543D47" w:rsidP="00D9610A">
            <w:pPr>
              <w:spacing w:before="40" w:after="40" w:line="240" w:lineRule="auto"/>
              <w:ind w:left="57" w:right="57"/>
              <w:rPr>
                <w:sz w:val="18"/>
                <w:szCs w:val="18"/>
              </w:rPr>
            </w:pPr>
          </w:p>
        </w:tc>
        <w:tc>
          <w:tcPr>
            <w:tcW w:w="3438" w:type="dxa"/>
          </w:tcPr>
          <w:p w14:paraId="135CF582" w14:textId="77777777" w:rsidR="00543D47" w:rsidRPr="00BA5F0C" w:rsidRDefault="00543D47" w:rsidP="00D9610A">
            <w:pPr>
              <w:spacing w:before="40" w:after="40" w:line="240" w:lineRule="auto"/>
              <w:rPr>
                <w:rFonts w:cs="Arial"/>
                <w:sz w:val="18"/>
                <w:szCs w:val="18"/>
              </w:rPr>
            </w:pPr>
          </w:p>
        </w:tc>
      </w:tr>
      <w:tr w:rsidR="00543D47" w:rsidRPr="00BA5F0C" w14:paraId="2346705F" w14:textId="77777777" w:rsidTr="00D9610A">
        <w:trPr>
          <w:cantSplit/>
        </w:trPr>
        <w:tc>
          <w:tcPr>
            <w:tcW w:w="851" w:type="dxa"/>
          </w:tcPr>
          <w:p w14:paraId="5C0B63C0"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71059</w:t>
            </w:r>
          </w:p>
        </w:tc>
        <w:tc>
          <w:tcPr>
            <w:tcW w:w="3437" w:type="dxa"/>
          </w:tcPr>
          <w:p w14:paraId="3BFEB22A" w14:textId="77777777" w:rsidR="00543D47" w:rsidRPr="00BA5F0C" w:rsidRDefault="00543D47" w:rsidP="00D9610A">
            <w:pPr>
              <w:spacing w:before="40" w:after="40" w:line="240" w:lineRule="auto"/>
              <w:rPr>
                <w:color w:val="000000"/>
                <w:sz w:val="18"/>
                <w:szCs w:val="18"/>
              </w:rPr>
            </w:pPr>
            <w:r w:rsidRPr="00BA5F0C">
              <w:rPr>
                <w:color w:val="000000"/>
                <w:sz w:val="18"/>
                <w:szCs w:val="18"/>
              </w:rPr>
              <w:t xml:space="preserve">Immunofixation or </w:t>
            </w:r>
            <w:proofErr w:type="spellStart"/>
            <w:r w:rsidRPr="00BA5F0C">
              <w:rPr>
                <w:color w:val="000000"/>
                <w:sz w:val="18"/>
                <w:szCs w:val="18"/>
              </w:rPr>
              <w:t>immunoelectrophoresis</w:t>
            </w:r>
            <w:proofErr w:type="spellEnd"/>
            <w:r w:rsidRPr="00BA5F0C">
              <w:rPr>
                <w:color w:val="000000"/>
                <w:sz w:val="18"/>
                <w:szCs w:val="18"/>
              </w:rPr>
              <w:t xml:space="preserve"> or isoelectric focusing</w:t>
            </w:r>
            <w:r>
              <w:rPr>
                <w:color w:val="000000"/>
                <w:sz w:val="18"/>
                <w:szCs w:val="18"/>
              </w:rPr>
              <w:t xml:space="preserve"> of:(a) urine for detection of Bence J</w:t>
            </w:r>
            <w:r w:rsidRPr="00BA5F0C">
              <w:rPr>
                <w:color w:val="000000"/>
                <w:sz w:val="18"/>
                <w:szCs w:val="18"/>
              </w:rPr>
              <w:t>ones proteins; or(b) serum, plasma or other body fluid; and characterisation of a paraprotein or cryoglobulin</w:t>
            </w:r>
            <w:r>
              <w:rPr>
                <w:color w:val="000000"/>
                <w:sz w:val="18"/>
                <w:szCs w:val="18"/>
              </w:rPr>
              <w:t xml:space="preserve"> </w:t>
            </w:r>
            <w:r w:rsidRPr="00BA5F0C">
              <w:rPr>
                <w:color w:val="000000"/>
                <w:sz w:val="18"/>
                <w:szCs w:val="18"/>
              </w:rPr>
              <w:t>-examination of 1 specimen type (</w:t>
            </w:r>
            <w:proofErr w:type="spellStart"/>
            <w:r w:rsidRPr="00BA5F0C">
              <w:rPr>
                <w:color w:val="000000"/>
                <w:sz w:val="18"/>
                <w:szCs w:val="18"/>
              </w:rPr>
              <w:t>eg.</w:t>
            </w:r>
            <w:proofErr w:type="spellEnd"/>
            <w:r w:rsidRPr="00BA5F0C">
              <w:rPr>
                <w:color w:val="000000"/>
                <w:sz w:val="18"/>
                <w:szCs w:val="18"/>
              </w:rPr>
              <w:t xml:space="preserve"> serum, urine or </w:t>
            </w:r>
            <w:r>
              <w:rPr>
                <w:color w:val="000000"/>
                <w:sz w:val="18"/>
                <w:szCs w:val="18"/>
              </w:rPr>
              <w:t>CSF</w:t>
            </w:r>
            <w:r w:rsidRPr="00BA5F0C">
              <w:rPr>
                <w:color w:val="000000"/>
                <w:sz w:val="18"/>
                <w:szCs w:val="18"/>
              </w:rPr>
              <w:t>)</w:t>
            </w:r>
          </w:p>
        </w:tc>
        <w:tc>
          <w:tcPr>
            <w:tcW w:w="3438" w:type="dxa"/>
          </w:tcPr>
          <w:p w14:paraId="3505C0F0"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38C77C32" w14:textId="77777777" w:rsidR="00543D47" w:rsidRPr="00BA5F0C" w:rsidRDefault="00543D47" w:rsidP="00D9610A">
            <w:pPr>
              <w:spacing w:before="40" w:after="40" w:line="240" w:lineRule="auto"/>
              <w:rPr>
                <w:color w:val="000000"/>
                <w:sz w:val="18"/>
                <w:szCs w:val="18"/>
              </w:rPr>
            </w:pPr>
          </w:p>
        </w:tc>
        <w:tc>
          <w:tcPr>
            <w:tcW w:w="3437" w:type="dxa"/>
          </w:tcPr>
          <w:p w14:paraId="57F46F2B" w14:textId="77777777" w:rsidR="00543D47" w:rsidRPr="00BA5F0C" w:rsidRDefault="00543D47" w:rsidP="00D9610A">
            <w:pPr>
              <w:spacing w:before="40" w:after="40" w:line="240" w:lineRule="auto"/>
              <w:ind w:left="57" w:right="57"/>
              <w:rPr>
                <w:sz w:val="18"/>
                <w:szCs w:val="18"/>
              </w:rPr>
            </w:pPr>
          </w:p>
        </w:tc>
        <w:tc>
          <w:tcPr>
            <w:tcW w:w="3438" w:type="dxa"/>
          </w:tcPr>
          <w:p w14:paraId="575998C4" w14:textId="77777777" w:rsidR="00543D47" w:rsidRPr="00BA5F0C" w:rsidRDefault="00543D47" w:rsidP="00D9610A">
            <w:pPr>
              <w:spacing w:before="40" w:after="40" w:line="240" w:lineRule="auto"/>
              <w:rPr>
                <w:rFonts w:cs="Arial"/>
                <w:sz w:val="18"/>
                <w:szCs w:val="18"/>
              </w:rPr>
            </w:pPr>
          </w:p>
        </w:tc>
      </w:tr>
      <w:tr w:rsidR="00543D47" w:rsidRPr="00BA5F0C" w14:paraId="208CC401" w14:textId="77777777" w:rsidTr="00D9610A">
        <w:trPr>
          <w:cantSplit/>
        </w:trPr>
        <w:tc>
          <w:tcPr>
            <w:tcW w:w="851" w:type="dxa"/>
          </w:tcPr>
          <w:p w14:paraId="6051A5D5"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71060</w:t>
            </w:r>
          </w:p>
        </w:tc>
        <w:tc>
          <w:tcPr>
            <w:tcW w:w="3437" w:type="dxa"/>
          </w:tcPr>
          <w:p w14:paraId="3753B47F" w14:textId="77777777" w:rsidR="00543D47" w:rsidRPr="00BA5F0C" w:rsidRDefault="00543D47" w:rsidP="00D9610A">
            <w:pPr>
              <w:spacing w:before="40" w:after="40" w:line="240" w:lineRule="auto"/>
              <w:rPr>
                <w:color w:val="000000"/>
                <w:sz w:val="18"/>
                <w:szCs w:val="18"/>
              </w:rPr>
            </w:pPr>
            <w:r w:rsidRPr="00BA5F0C">
              <w:rPr>
                <w:color w:val="000000"/>
                <w:sz w:val="18"/>
                <w:szCs w:val="18"/>
              </w:rPr>
              <w:t>Examination as described in item 71059 of 2 or more specimen types</w:t>
            </w:r>
          </w:p>
        </w:tc>
        <w:tc>
          <w:tcPr>
            <w:tcW w:w="3438" w:type="dxa"/>
          </w:tcPr>
          <w:p w14:paraId="214036FE"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378A735C" w14:textId="77777777" w:rsidR="00543D47" w:rsidRPr="00BA5F0C" w:rsidRDefault="00543D47" w:rsidP="00D9610A">
            <w:pPr>
              <w:spacing w:before="40" w:after="40" w:line="240" w:lineRule="auto"/>
              <w:rPr>
                <w:color w:val="000000"/>
                <w:sz w:val="18"/>
                <w:szCs w:val="18"/>
              </w:rPr>
            </w:pPr>
          </w:p>
        </w:tc>
        <w:tc>
          <w:tcPr>
            <w:tcW w:w="3437" w:type="dxa"/>
          </w:tcPr>
          <w:p w14:paraId="55785607" w14:textId="77777777" w:rsidR="00543D47" w:rsidRPr="00BA5F0C" w:rsidRDefault="00543D47" w:rsidP="00D9610A">
            <w:pPr>
              <w:spacing w:before="40" w:after="40" w:line="240" w:lineRule="auto"/>
              <w:ind w:left="57" w:right="57"/>
              <w:rPr>
                <w:sz w:val="18"/>
                <w:szCs w:val="18"/>
              </w:rPr>
            </w:pPr>
          </w:p>
        </w:tc>
        <w:tc>
          <w:tcPr>
            <w:tcW w:w="3438" w:type="dxa"/>
          </w:tcPr>
          <w:p w14:paraId="048940EF" w14:textId="77777777" w:rsidR="00543D47" w:rsidRPr="00BA5F0C" w:rsidRDefault="00543D47" w:rsidP="00D9610A">
            <w:pPr>
              <w:spacing w:before="40" w:after="40" w:line="240" w:lineRule="auto"/>
              <w:rPr>
                <w:rFonts w:cs="Arial"/>
                <w:sz w:val="18"/>
                <w:szCs w:val="18"/>
              </w:rPr>
            </w:pPr>
          </w:p>
        </w:tc>
      </w:tr>
      <w:tr w:rsidR="00543D47" w:rsidRPr="00BA5F0C" w14:paraId="45515708" w14:textId="77777777" w:rsidTr="00D9610A">
        <w:trPr>
          <w:cantSplit/>
        </w:trPr>
        <w:tc>
          <w:tcPr>
            <w:tcW w:w="851" w:type="dxa"/>
          </w:tcPr>
          <w:p w14:paraId="53481029"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71062</w:t>
            </w:r>
          </w:p>
        </w:tc>
        <w:tc>
          <w:tcPr>
            <w:tcW w:w="3437" w:type="dxa"/>
          </w:tcPr>
          <w:p w14:paraId="0EA0DEC6" w14:textId="77777777" w:rsidR="00543D47" w:rsidRPr="00BA5F0C" w:rsidRDefault="00543D47" w:rsidP="00D9610A">
            <w:pPr>
              <w:spacing w:before="40" w:after="40" w:line="240" w:lineRule="auto"/>
              <w:rPr>
                <w:color w:val="000000"/>
                <w:sz w:val="18"/>
                <w:szCs w:val="18"/>
              </w:rPr>
            </w:pPr>
            <w:r w:rsidRPr="00BA5F0C">
              <w:rPr>
                <w:color w:val="000000"/>
                <w:sz w:val="18"/>
                <w:szCs w:val="18"/>
              </w:rPr>
              <w:t xml:space="preserve">Electrophoresis and immunofixation or </w:t>
            </w:r>
            <w:proofErr w:type="spellStart"/>
            <w:r w:rsidRPr="00BA5F0C">
              <w:rPr>
                <w:color w:val="000000"/>
                <w:sz w:val="18"/>
                <w:szCs w:val="18"/>
              </w:rPr>
              <w:t>immunoelectrophoresis</w:t>
            </w:r>
            <w:proofErr w:type="spellEnd"/>
            <w:r w:rsidRPr="00BA5F0C">
              <w:rPr>
                <w:color w:val="000000"/>
                <w:sz w:val="18"/>
                <w:szCs w:val="18"/>
              </w:rPr>
              <w:t xml:space="preserve"> or isoelectric focussing of CSF for the detection of oligoclonal bands and including if required electrophoresis of the patient's serum for comparison purposes - 1 or more tests</w:t>
            </w:r>
          </w:p>
        </w:tc>
        <w:tc>
          <w:tcPr>
            <w:tcW w:w="3438" w:type="dxa"/>
          </w:tcPr>
          <w:p w14:paraId="4C8EF84B"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23D82F16" w14:textId="77777777" w:rsidR="00543D47" w:rsidRPr="00BA5F0C" w:rsidRDefault="00543D47" w:rsidP="00D9610A">
            <w:pPr>
              <w:spacing w:before="40" w:after="40" w:line="240" w:lineRule="auto"/>
              <w:rPr>
                <w:color w:val="000000"/>
                <w:sz w:val="18"/>
                <w:szCs w:val="18"/>
              </w:rPr>
            </w:pPr>
          </w:p>
        </w:tc>
        <w:tc>
          <w:tcPr>
            <w:tcW w:w="3437" w:type="dxa"/>
          </w:tcPr>
          <w:p w14:paraId="379330AA" w14:textId="77777777" w:rsidR="00543D47" w:rsidRPr="00BA5F0C" w:rsidRDefault="00543D47" w:rsidP="00D9610A">
            <w:pPr>
              <w:spacing w:before="40" w:after="40" w:line="240" w:lineRule="auto"/>
              <w:ind w:left="57" w:right="57"/>
              <w:rPr>
                <w:sz w:val="18"/>
                <w:szCs w:val="18"/>
              </w:rPr>
            </w:pPr>
          </w:p>
        </w:tc>
        <w:tc>
          <w:tcPr>
            <w:tcW w:w="3438" w:type="dxa"/>
          </w:tcPr>
          <w:p w14:paraId="24BEC326" w14:textId="77777777" w:rsidR="00543D47" w:rsidRPr="00BA5F0C" w:rsidRDefault="00543D47" w:rsidP="00D9610A">
            <w:pPr>
              <w:spacing w:before="40" w:after="40" w:line="240" w:lineRule="auto"/>
              <w:rPr>
                <w:rFonts w:cs="Arial"/>
                <w:sz w:val="18"/>
                <w:szCs w:val="18"/>
              </w:rPr>
            </w:pPr>
          </w:p>
        </w:tc>
      </w:tr>
      <w:tr w:rsidR="00543D47" w:rsidRPr="00BA5F0C" w14:paraId="4714626B" w14:textId="77777777" w:rsidTr="00D9610A">
        <w:trPr>
          <w:cantSplit/>
        </w:trPr>
        <w:tc>
          <w:tcPr>
            <w:tcW w:w="851" w:type="dxa"/>
          </w:tcPr>
          <w:p w14:paraId="5C8499A8"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71064</w:t>
            </w:r>
          </w:p>
        </w:tc>
        <w:tc>
          <w:tcPr>
            <w:tcW w:w="3437" w:type="dxa"/>
          </w:tcPr>
          <w:p w14:paraId="6607B45F" w14:textId="77777777" w:rsidR="00543D47" w:rsidRPr="00BA5F0C" w:rsidRDefault="00543D47" w:rsidP="00D9610A">
            <w:pPr>
              <w:spacing w:before="40" w:after="40" w:line="240" w:lineRule="auto"/>
              <w:rPr>
                <w:color w:val="000000"/>
                <w:sz w:val="18"/>
                <w:szCs w:val="18"/>
              </w:rPr>
            </w:pPr>
            <w:r w:rsidRPr="00BA5F0C">
              <w:rPr>
                <w:color w:val="000000"/>
                <w:sz w:val="18"/>
                <w:szCs w:val="18"/>
              </w:rPr>
              <w:t xml:space="preserve">Detection and quantitation of cryoglobulins or </w:t>
            </w:r>
            <w:proofErr w:type="spellStart"/>
            <w:r w:rsidRPr="00BA5F0C">
              <w:rPr>
                <w:color w:val="000000"/>
                <w:sz w:val="18"/>
                <w:szCs w:val="18"/>
              </w:rPr>
              <w:t>cryofibrinogen</w:t>
            </w:r>
            <w:proofErr w:type="spellEnd"/>
            <w:r w:rsidRPr="00BA5F0C">
              <w:rPr>
                <w:color w:val="000000"/>
                <w:sz w:val="18"/>
                <w:szCs w:val="18"/>
              </w:rPr>
              <w:t xml:space="preserve"> - 1 or more tests</w:t>
            </w:r>
          </w:p>
        </w:tc>
        <w:tc>
          <w:tcPr>
            <w:tcW w:w="3438" w:type="dxa"/>
          </w:tcPr>
          <w:p w14:paraId="509F8165" w14:textId="77777777" w:rsidR="00543D47" w:rsidRPr="00BA5F0C" w:rsidRDefault="00543D47" w:rsidP="00D9610A">
            <w:pPr>
              <w:spacing w:before="40" w:after="40" w:line="240" w:lineRule="auto"/>
              <w:rPr>
                <w:color w:val="000000"/>
                <w:sz w:val="18"/>
                <w:szCs w:val="18"/>
              </w:rPr>
            </w:pPr>
            <w:r w:rsidRPr="00BA5F0C">
              <w:rPr>
                <w:color w:val="000000"/>
                <w:sz w:val="18"/>
                <w:szCs w:val="18"/>
              </w:rPr>
              <w:t>Increase fee to reflect costs of transport and ‘hot box’ collection.</w:t>
            </w:r>
          </w:p>
        </w:tc>
        <w:tc>
          <w:tcPr>
            <w:tcW w:w="3437" w:type="dxa"/>
          </w:tcPr>
          <w:p w14:paraId="1233D437" w14:textId="77777777" w:rsidR="00543D47" w:rsidRPr="00BA5F0C" w:rsidRDefault="00543D47" w:rsidP="00D9610A">
            <w:pPr>
              <w:spacing w:before="40" w:after="40" w:line="240" w:lineRule="auto"/>
              <w:ind w:left="57" w:right="57"/>
              <w:rPr>
                <w:sz w:val="18"/>
                <w:szCs w:val="18"/>
              </w:rPr>
            </w:pPr>
            <w:r w:rsidRPr="00BA5F0C">
              <w:rPr>
                <w:sz w:val="18"/>
                <w:szCs w:val="18"/>
              </w:rPr>
              <w:t>Adjustment of fee</w:t>
            </w:r>
          </w:p>
        </w:tc>
        <w:tc>
          <w:tcPr>
            <w:tcW w:w="3438" w:type="dxa"/>
          </w:tcPr>
          <w:p w14:paraId="6960F142" w14:textId="77777777" w:rsidR="00543D47" w:rsidRPr="00BA5F0C" w:rsidRDefault="00543D47" w:rsidP="00D9610A">
            <w:pPr>
              <w:spacing w:before="40" w:after="40" w:line="240" w:lineRule="auto"/>
              <w:rPr>
                <w:rFonts w:cs="Arial"/>
                <w:sz w:val="18"/>
                <w:szCs w:val="18"/>
              </w:rPr>
            </w:pPr>
            <w:r w:rsidRPr="00BA5F0C">
              <w:rPr>
                <w:rFonts w:cs="Arial"/>
                <w:sz w:val="18"/>
                <w:szCs w:val="18"/>
              </w:rPr>
              <w:t>Recognition of the cost of collection and transport for this specialised test.</w:t>
            </w:r>
          </w:p>
        </w:tc>
      </w:tr>
      <w:tr w:rsidR="00543D47" w:rsidRPr="00BA5F0C" w14:paraId="76B5974F" w14:textId="77777777" w:rsidTr="00D9610A">
        <w:trPr>
          <w:cantSplit/>
        </w:trPr>
        <w:tc>
          <w:tcPr>
            <w:tcW w:w="851" w:type="dxa"/>
          </w:tcPr>
          <w:p w14:paraId="74107CDB"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lastRenderedPageBreak/>
              <w:t>71066</w:t>
            </w:r>
          </w:p>
        </w:tc>
        <w:tc>
          <w:tcPr>
            <w:tcW w:w="3437" w:type="dxa"/>
          </w:tcPr>
          <w:p w14:paraId="3792E388" w14:textId="77777777" w:rsidR="00543D47" w:rsidRPr="00BA5F0C" w:rsidRDefault="00543D47" w:rsidP="00D9610A">
            <w:pPr>
              <w:spacing w:before="40" w:after="40" w:line="240" w:lineRule="auto"/>
              <w:rPr>
                <w:color w:val="000000"/>
                <w:sz w:val="18"/>
                <w:szCs w:val="18"/>
              </w:rPr>
            </w:pPr>
            <w:r w:rsidRPr="00BA5F0C">
              <w:rPr>
                <w:color w:val="000000"/>
                <w:sz w:val="18"/>
                <w:szCs w:val="18"/>
              </w:rPr>
              <w:t>Quantitation of total immunoglobulin A by any method in serum, urine or other body fluid – 1 test</w:t>
            </w:r>
          </w:p>
        </w:tc>
        <w:tc>
          <w:tcPr>
            <w:tcW w:w="3438" w:type="dxa"/>
          </w:tcPr>
          <w:p w14:paraId="192FA98E" w14:textId="77777777" w:rsidR="00543D47" w:rsidRPr="00BA5F0C" w:rsidRDefault="00543D47" w:rsidP="00D9610A">
            <w:pPr>
              <w:spacing w:before="40" w:after="40" w:line="240" w:lineRule="auto"/>
              <w:rPr>
                <w:color w:val="000000"/>
                <w:sz w:val="18"/>
                <w:szCs w:val="18"/>
              </w:rPr>
            </w:pPr>
            <w:r w:rsidRPr="00BA5F0C">
              <w:rPr>
                <w:color w:val="000000"/>
                <w:sz w:val="18"/>
                <w:szCs w:val="18"/>
              </w:rPr>
              <w:t>Remove the wording ‘urine or other body fluid’</w:t>
            </w:r>
          </w:p>
        </w:tc>
        <w:tc>
          <w:tcPr>
            <w:tcW w:w="3437" w:type="dxa"/>
          </w:tcPr>
          <w:p w14:paraId="54887B8F" w14:textId="77777777" w:rsidR="00543D47" w:rsidRPr="00BA5F0C" w:rsidRDefault="00543D47" w:rsidP="00D9610A">
            <w:pPr>
              <w:spacing w:before="40" w:after="40" w:line="240" w:lineRule="auto"/>
              <w:ind w:left="57" w:right="57"/>
              <w:rPr>
                <w:sz w:val="18"/>
                <w:szCs w:val="18"/>
              </w:rPr>
            </w:pPr>
            <w:r w:rsidRPr="00BA5F0C">
              <w:rPr>
                <w:sz w:val="18"/>
                <w:szCs w:val="18"/>
              </w:rPr>
              <w:t>To be measured in blood only.</w:t>
            </w:r>
          </w:p>
        </w:tc>
        <w:tc>
          <w:tcPr>
            <w:tcW w:w="3438" w:type="dxa"/>
          </w:tcPr>
          <w:p w14:paraId="12F90806" w14:textId="77777777" w:rsidR="00543D47" w:rsidRPr="00BA5F0C" w:rsidRDefault="00543D47" w:rsidP="00D9610A">
            <w:pPr>
              <w:spacing w:before="40" w:after="40" w:line="240" w:lineRule="auto"/>
              <w:rPr>
                <w:rFonts w:cs="Arial"/>
                <w:sz w:val="18"/>
                <w:szCs w:val="18"/>
              </w:rPr>
            </w:pPr>
            <w:r w:rsidRPr="00BA5F0C">
              <w:rPr>
                <w:rFonts w:cs="Arial"/>
                <w:sz w:val="18"/>
                <w:szCs w:val="18"/>
              </w:rPr>
              <w:t>The test is useless if done in urine or other body fluids apart from serum.</w:t>
            </w:r>
          </w:p>
        </w:tc>
      </w:tr>
      <w:tr w:rsidR="00543D47" w:rsidRPr="00BA5F0C" w14:paraId="723DD587" w14:textId="77777777" w:rsidTr="00D9610A">
        <w:trPr>
          <w:cantSplit/>
        </w:trPr>
        <w:tc>
          <w:tcPr>
            <w:tcW w:w="851" w:type="dxa"/>
          </w:tcPr>
          <w:p w14:paraId="2F7A9654"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71068</w:t>
            </w:r>
          </w:p>
        </w:tc>
        <w:tc>
          <w:tcPr>
            <w:tcW w:w="3437" w:type="dxa"/>
          </w:tcPr>
          <w:p w14:paraId="0CE5EC43" w14:textId="77777777" w:rsidR="00543D47" w:rsidRPr="00BA5F0C" w:rsidRDefault="00543D47" w:rsidP="00D9610A">
            <w:pPr>
              <w:spacing w:before="40" w:after="40" w:line="240" w:lineRule="auto"/>
              <w:rPr>
                <w:color w:val="000000"/>
                <w:sz w:val="18"/>
                <w:szCs w:val="18"/>
              </w:rPr>
            </w:pPr>
            <w:r w:rsidRPr="00BA5F0C">
              <w:rPr>
                <w:color w:val="000000"/>
                <w:sz w:val="18"/>
                <w:szCs w:val="18"/>
              </w:rPr>
              <w:t>Quantitation of total immunoglobulin G by any method in serum, urine or other body fluid - 1 test</w:t>
            </w:r>
          </w:p>
        </w:tc>
        <w:tc>
          <w:tcPr>
            <w:tcW w:w="3438" w:type="dxa"/>
          </w:tcPr>
          <w:p w14:paraId="6BA56E59" w14:textId="77777777" w:rsidR="00543D47" w:rsidRPr="00BA5F0C" w:rsidRDefault="00543D47" w:rsidP="00D9610A">
            <w:pPr>
              <w:spacing w:before="40" w:after="40" w:line="240" w:lineRule="auto"/>
              <w:rPr>
                <w:color w:val="000000"/>
                <w:sz w:val="18"/>
                <w:szCs w:val="18"/>
              </w:rPr>
            </w:pPr>
            <w:r w:rsidRPr="00BA5F0C">
              <w:rPr>
                <w:color w:val="000000"/>
                <w:sz w:val="18"/>
                <w:szCs w:val="18"/>
              </w:rPr>
              <w:t>Remove the wording ‘urine or other body fluid’</w:t>
            </w:r>
          </w:p>
        </w:tc>
        <w:tc>
          <w:tcPr>
            <w:tcW w:w="3437" w:type="dxa"/>
          </w:tcPr>
          <w:p w14:paraId="44874C62" w14:textId="77777777" w:rsidR="00543D47" w:rsidRPr="00BA5F0C" w:rsidRDefault="00543D47" w:rsidP="00D9610A">
            <w:pPr>
              <w:spacing w:before="40" w:after="40" w:line="240" w:lineRule="auto"/>
              <w:ind w:left="57" w:right="57"/>
              <w:rPr>
                <w:sz w:val="18"/>
                <w:szCs w:val="18"/>
              </w:rPr>
            </w:pPr>
            <w:r w:rsidRPr="00BA5F0C">
              <w:rPr>
                <w:sz w:val="18"/>
                <w:szCs w:val="18"/>
              </w:rPr>
              <w:t>To be measured in blood only.</w:t>
            </w:r>
          </w:p>
        </w:tc>
        <w:tc>
          <w:tcPr>
            <w:tcW w:w="3438" w:type="dxa"/>
          </w:tcPr>
          <w:p w14:paraId="158A35C7" w14:textId="77777777" w:rsidR="00543D47" w:rsidRPr="00BA5F0C" w:rsidRDefault="00543D47" w:rsidP="00D9610A">
            <w:pPr>
              <w:spacing w:before="40" w:after="40" w:line="240" w:lineRule="auto"/>
              <w:rPr>
                <w:rFonts w:cs="Arial"/>
                <w:sz w:val="18"/>
                <w:szCs w:val="18"/>
              </w:rPr>
            </w:pPr>
            <w:r w:rsidRPr="00BA5F0C">
              <w:rPr>
                <w:rFonts w:cs="Arial"/>
                <w:sz w:val="18"/>
                <w:szCs w:val="18"/>
              </w:rPr>
              <w:t>The test is useless if done in urine or other body fluids apart from serum.</w:t>
            </w:r>
          </w:p>
        </w:tc>
      </w:tr>
      <w:tr w:rsidR="00543D47" w:rsidRPr="00BA5F0C" w14:paraId="3297E516" w14:textId="77777777" w:rsidTr="00D9610A">
        <w:trPr>
          <w:cantSplit/>
        </w:trPr>
        <w:tc>
          <w:tcPr>
            <w:tcW w:w="851" w:type="dxa"/>
          </w:tcPr>
          <w:p w14:paraId="49358BC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71069</w:t>
            </w:r>
          </w:p>
        </w:tc>
        <w:tc>
          <w:tcPr>
            <w:tcW w:w="3437" w:type="dxa"/>
          </w:tcPr>
          <w:p w14:paraId="263F8B16" w14:textId="77777777" w:rsidR="00543D47" w:rsidRPr="00BA5F0C" w:rsidRDefault="00543D47" w:rsidP="00D9610A">
            <w:pPr>
              <w:spacing w:before="40" w:after="40" w:line="240" w:lineRule="auto"/>
              <w:rPr>
                <w:color w:val="000000"/>
                <w:sz w:val="18"/>
                <w:szCs w:val="18"/>
              </w:rPr>
            </w:pPr>
            <w:r w:rsidRPr="00BA5F0C">
              <w:rPr>
                <w:color w:val="000000"/>
                <w:sz w:val="18"/>
                <w:szCs w:val="18"/>
              </w:rPr>
              <w:t>2 tests described in items 71066, 71068, 71072 or 71074</w:t>
            </w:r>
          </w:p>
        </w:tc>
        <w:tc>
          <w:tcPr>
            <w:tcW w:w="3438" w:type="dxa"/>
          </w:tcPr>
          <w:p w14:paraId="6EC79D43"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7AE8FE1C" w14:textId="77777777" w:rsidR="00543D47" w:rsidRPr="00BA5F0C" w:rsidRDefault="00543D47" w:rsidP="00D9610A">
            <w:pPr>
              <w:spacing w:before="40" w:after="40" w:line="240" w:lineRule="auto"/>
              <w:rPr>
                <w:color w:val="000000"/>
                <w:sz w:val="18"/>
                <w:szCs w:val="18"/>
              </w:rPr>
            </w:pPr>
          </w:p>
        </w:tc>
        <w:tc>
          <w:tcPr>
            <w:tcW w:w="3437" w:type="dxa"/>
          </w:tcPr>
          <w:p w14:paraId="5769723B" w14:textId="77777777" w:rsidR="00543D47" w:rsidRPr="00BA5F0C" w:rsidRDefault="00543D47" w:rsidP="00D9610A">
            <w:pPr>
              <w:spacing w:before="40" w:after="40" w:line="240" w:lineRule="auto"/>
              <w:ind w:left="57" w:right="57"/>
              <w:rPr>
                <w:sz w:val="18"/>
                <w:szCs w:val="18"/>
              </w:rPr>
            </w:pPr>
          </w:p>
        </w:tc>
        <w:tc>
          <w:tcPr>
            <w:tcW w:w="3438" w:type="dxa"/>
          </w:tcPr>
          <w:p w14:paraId="0350173B" w14:textId="77777777" w:rsidR="00543D47" w:rsidRPr="00BA5F0C" w:rsidRDefault="00543D47" w:rsidP="00D9610A">
            <w:pPr>
              <w:spacing w:before="40" w:after="40" w:line="240" w:lineRule="auto"/>
              <w:rPr>
                <w:rFonts w:cs="Arial"/>
                <w:sz w:val="18"/>
                <w:szCs w:val="18"/>
              </w:rPr>
            </w:pPr>
          </w:p>
        </w:tc>
      </w:tr>
      <w:tr w:rsidR="00543D47" w:rsidRPr="00BA5F0C" w14:paraId="3ECEBEA5" w14:textId="77777777" w:rsidTr="00D9610A">
        <w:trPr>
          <w:cantSplit/>
        </w:trPr>
        <w:tc>
          <w:tcPr>
            <w:tcW w:w="851" w:type="dxa"/>
          </w:tcPr>
          <w:p w14:paraId="083C4EBF"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71071</w:t>
            </w:r>
          </w:p>
        </w:tc>
        <w:tc>
          <w:tcPr>
            <w:tcW w:w="3437" w:type="dxa"/>
          </w:tcPr>
          <w:p w14:paraId="0CA5A006" w14:textId="77777777" w:rsidR="00543D47" w:rsidRPr="00BA5F0C" w:rsidRDefault="00543D47" w:rsidP="00D9610A">
            <w:pPr>
              <w:spacing w:before="40" w:after="40" w:line="240" w:lineRule="auto"/>
              <w:rPr>
                <w:color w:val="000000"/>
                <w:sz w:val="18"/>
                <w:szCs w:val="18"/>
              </w:rPr>
            </w:pPr>
            <w:r w:rsidRPr="00BA5F0C">
              <w:rPr>
                <w:color w:val="000000"/>
                <w:sz w:val="18"/>
                <w:szCs w:val="18"/>
              </w:rPr>
              <w:t>3 or more tests described in items 71066, 71068, 71072 or 71074</w:t>
            </w:r>
          </w:p>
        </w:tc>
        <w:tc>
          <w:tcPr>
            <w:tcW w:w="3438" w:type="dxa"/>
          </w:tcPr>
          <w:p w14:paraId="48F8C738"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0AFF7C4C" w14:textId="77777777" w:rsidR="00543D47" w:rsidRPr="00BA5F0C" w:rsidRDefault="00543D47" w:rsidP="00D9610A">
            <w:pPr>
              <w:spacing w:before="40" w:after="40" w:line="240" w:lineRule="auto"/>
              <w:rPr>
                <w:color w:val="000000"/>
                <w:sz w:val="18"/>
                <w:szCs w:val="18"/>
              </w:rPr>
            </w:pPr>
          </w:p>
        </w:tc>
        <w:tc>
          <w:tcPr>
            <w:tcW w:w="3437" w:type="dxa"/>
          </w:tcPr>
          <w:p w14:paraId="065037FE" w14:textId="77777777" w:rsidR="00543D47" w:rsidRPr="00BA5F0C" w:rsidRDefault="00543D47" w:rsidP="00D9610A">
            <w:pPr>
              <w:spacing w:before="40" w:after="40" w:line="240" w:lineRule="auto"/>
              <w:ind w:left="57" w:right="57"/>
              <w:rPr>
                <w:sz w:val="18"/>
                <w:szCs w:val="18"/>
              </w:rPr>
            </w:pPr>
          </w:p>
        </w:tc>
        <w:tc>
          <w:tcPr>
            <w:tcW w:w="3438" w:type="dxa"/>
          </w:tcPr>
          <w:p w14:paraId="4E80D095" w14:textId="77777777" w:rsidR="00543D47" w:rsidRPr="00BA5F0C" w:rsidRDefault="00543D47" w:rsidP="00D9610A">
            <w:pPr>
              <w:spacing w:before="40" w:after="40" w:line="240" w:lineRule="auto"/>
              <w:rPr>
                <w:rFonts w:cs="Arial"/>
                <w:sz w:val="18"/>
                <w:szCs w:val="18"/>
              </w:rPr>
            </w:pPr>
          </w:p>
        </w:tc>
      </w:tr>
      <w:tr w:rsidR="00543D47" w:rsidRPr="00BA5F0C" w14:paraId="6DEFD6DA" w14:textId="77777777" w:rsidTr="00D9610A">
        <w:trPr>
          <w:cantSplit/>
        </w:trPr>
        <w:tc>
          <w:tcPr>
            <w:tcW w:w="851" w:type="dxa"/>
          </w:tcPr>
          <w:p w14:paraId="1C74839B"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71072</w:t>
            </w:r>
          </w:p>
        </w:tc>
        <w:tc>
          <w:tcPr>
            <w:tcW w:w="3437" w:type="dxa"/>
          </w:tcPr>
          <w:p w14:paraId="3CE9859C" w14:textId="77777777" w:rsidR="00543D47" w:rsidRPr="00BA5F0C" w:rsidRDefault="00543D47" w:rsidP="00D9610A">
            <w:pPr>
              <w:spacing w:before="40" w:after="40" w:line="240" w:lineRule="auto"/>
              <w:rPr>
                <w:color w:val="000000"/>
                <w:sz w:val="18"/>
                <w:szCs w:val="18"/>
              </w:rPr>
            </w:pPr>
            <w:r w:rsidRPr="00BA5F0C">
              <w:rPr>
                <w:color w:val="000000"/>
                <w:sz w:val="18"/>
                <w:szCs w:val="18"/>
              </w:rPr>
              <w:t>Quantitation of total immunoglobulin M by any method in serum, urine or other body fluid - 1 test</w:t>
            </w:r>
          </w:p>
        </w:tc>
        <w:tc>
          <w:tcPr>
            <w:tcW w:w="3438" w:type="dxa"/>
          </w:tcPr>
          <w:p w14:paraId="65B78344" w14:textId="77777777" w:rsidR="00543D47" w:rsidRPr="00BA5F0C" w:rsidRDefault="00543D47" w:rsidP="00D9610A">
            <w:pPr>
              <w:spacing w:before="40" w:after="40" w:line="240" w:lineRule="auto"/>
              <w:rPr>
                <w:color w:val="000000"/>
                <w:sz w:val="18"/>
                <w:szCs w:val="18"/>
              </w:rPr>
            </w:pPr>
            <w:r w:rsidRPr="00BA5F0C">
              <w:rPr>
                <w:color w:val="000000"/>
                <w:sz w:val="18"/>
                <w:szCs w:val="18"/>
              </w:rPr>
              <w:t>Remove the wording ‘urine or other body fluid’</w:t>
            </w:r>
          </w:p>
        </w:tc>
        <w:tc>
          <w:tcPr>
            <w:tcW w:w="3437" w:type="dxa"/>
          </w:tcPr>
          <w:p w14:paraId="4C33C07D" w14:textId="77777777" w:rsidR="00543D47" w:rsidRPr="00BA5F0C" w:rsidRDefault="00543D47" w:rsidP="00D9610A">
            <w:pPr>
              <w:spacing w:before="40" w:after="40" w:line="240" w:lineRule="auto"/>
              <w:ind w:left="57" w:right="57"/>
              <w:rPr>
                <w:sz w:val="18"/>
                <w:szCs w:val="18"/>
              </w:rPr>
            </w:pPr>
            <w:r w:rsidRPr="00BA5F0C">
              <w:rPr>
                <w:sz w:val="18"/>
                <w:szCs w:val="18"/>
              </w:rPr>
              <w:t>To be measured in blood only.</w:t>
            </w:r>
          </w:p>
        </w:tc>
        <w:tc>
          <w:tcPr>
            <w:tcW w:w="3438" w:type="dxa"/>
          </w:tcPr>
          <w:p w14:paraId="786C4DC1" w14:textId="77777777" w:rsidR="00543D47" w:rsidRPr="00BA5F0C" w:rsidRDefault="00543D47" w:rsidP="00D9610A">
            <w:pPr>
              <w:spacing w:before="40" w:after="40" w:line="240" w:lineRule="auto"/>
              <w:rPr>
                <w:rFonts w:cs="Arial"/>
                <w:sz w:val="18"/>
                <w:szCs w:val="18"/>
              </w:rPr>
            </w:pPr>
            <w:r w:rsidRPr="00BA5F0C">
              <w:rPr>
                <w:rFonts w:cs="Arial"/>
                <w:sz w:val="18"/>
                <w:szCs w:val="18"/>
              </w:rPr>
              <w:t>The test is useless if done in urine or other body fluids apart from serum.</w:t>
            </w:r>
          </w:p>
        </w:tc>
      </w:tr>
      <w:tr w:rsidR="00543D47" w:rsidRPr="00BA5F0C" w14:paraId="2FA0611C" w14:textId="77777777" w:rsidTr="00D9610A">
        <w:trPr>
          <w:cantSplit/>
        </w:trPr>
        <w:tc>
          <w:tcPr>
            <w:tcW w:w="851" w:type="dxa"/>
          </w:tcPr>
          <w:p w14:paraId="25125F36"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71073</w:t>
            </w:r>
          </w:p>
        </w:tc>
        <w:tc>
          <w:tcPr>
            <w:tcW w:w="3437" w:type="dxa"/>
          </w:tcPr>
          <w:p w14:paraId="4CDB5164" w14:textId="77777777" w:rsidR="00543D47" w:rsidRPr="00BA5F0C" w:rsidRDefault="00543D47" w:rsidP="00D9610A">
            <w:pPr>
              <w:spacing w:before="40" w:after="40" w:line="240" w:lineRule="auto"/>
              <w:rPr>
                <w:color w:val="000000"/>
                <w:sz w:val="18"/>
                <w:szCs w:val="18"/>
              </w:rPr>
            </w:pPr>
            <w:r w:rsidRPr="00BA5F0C">
              <w:rPr>
                <w:color w:val="000000"/>
                <w:sz w:val="18"/>
                <w:szCs w:val="18"/>
              </w:rPr>
              <w:t>Quantitation of all 4 immunoglobulin G subclasses</w:t>
            </w:r>
          </w:p>
        </w:tc>
        <w:tc>
          <w:tcPr>
            <w:tcW w:w="3438" w:type="dxa"/>
          </w:tcPr>
          <w:p w14:paraId="14CE3AB4"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46AEC8E8" w14:textId="77777777" w:rsidR="00543D47" w:rsidRPr="00BA5F0C" w:rsidRDefault="00543D47" w:rsidP="00D9610A">
            <w:pPr>
              <w:spacing w:before="40" w:after="40" w:line="240" w:lineRule="auto"/>
              <w:rPr>
                <w:color w:val="000000"/>
                <w:sz w:val="18"/>
                <w:szCs w:val="18"/>
              </w:rPr>
            </w:pPr>
          </w:p>
        </w:tc>
        <w:tc>
          <w:tcPr>
            <w:tcW w:w="3437" w:type="dxa"/>
          </w:tcPr>
          <w:p w14:paraId="3A5E4AFE" w14:textId="77777777" w:rsidR="00543D47" w:rsidRPr="00BA5F0C" w:rsidRDefault="00543D47" w:rsidP="00D9610A">
            <w:pPr>
              <w:spacing w:before="40" w:after="40" w:line="240" w:lineRule="auto"/>
              <w:ind w:left="57" w:right="57"/>
              <w:rPr>
                <w:sz w:val="18"/>
                <w:szCs w:val="18"/>
              </w:rPr>
            </w:pPr>
          </w:p>
        </w:tc>
        <w:tc>
          <w:tcPr>
            <w:tcW w:w="3438" w:type="dxa"/>
          </w:tcPr>
          <w:p w14:paraId="4E6FBC87" w14:textId="77777777" w:rsidR="00543D47" w:rsidRPr="00BA5F0C" w:rsidRDefault="00543D47" w:rsidP="00D9610A">
            <w:pPr>
              <w:spacing w:before="40" w:after="40" w:line="240" w:lineRule="auto"/>
              <w:rPr>
                <w:rFonts w:cs="Arial"/>
                <w:sz w:val="18"/>
                <w:szCs w:val="18"/>
              </w:rPr>
            </w:pPr>
          </w:p>
        </w:tc>
      </w:tr>
      <w:tr w:rsidR="00543D47" w:rsidRPr="00BA5F0C" w14:paraId="7FDC5EC7" w14:textId="77777777" w:rsidTr="00D9610A">
        <w:trPr>
          <w:cantSplit/>
        </w:trPr>
        <w:tc>
          <w:tcPr>
            <w:tcW w:w="851" w:type="dxa"/>
          </w:tcPr>
          <w:p w14:paraId="36BA2F6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71074</w:t>
            </w:r>
          </w:p>
        </w:tc>
        <w:tc>
          <w:tcPr>
            <w:tcW w:w="3437" w:type="dxa"/>
          </w:tcPr>
          <w:p w14:paraId="1FB8B5FE" w14:textId="77777777" w:rsidR="00543D47" w:rsidRPr="00BA5F0C" w:rsidRDefault="00543D47" w:rsidP="00D9610A">
            <w:pPr>
              <w:spacing w:before="40" w:after="40" w:line="240" w:lineRule="auto"/>
              <w:rPr>
                <w:color w:val="000000"/>
                <w:sz w:val="18"/>
                <w:szCs w:val="18"/>
              </w:rPr>
            </w:pPr>
            <w:r w:rsidRPr="00BA5F0C">
              <w:rPr>
                <w:color w:val="000000"/>
                <w:sz w:val="18"/>
                <w:szCs w:val="18"/>
              </w:rPr>
              <w:t>Quantitation of total immunoglobulin D by any method in serum, urine or other body fluid - 1 test</w:t>
            </w:r>
          </w:p>
        </w:tc>
        <w:tc>
          <w:tcPr>
            <w:tcW w:w="3438" w:type="dxa"/>
          </w:tcPr>
          <w:p w14:paraId="0C2AA0A0" w14:textId="77777777" w:rsidR="00543D47" w:rsidRPr="00BA5F0C" w:rsidRDefault="00543D47" w:rsidP="00D9610A">
            <w:pPr>
              <w:spacing w:before="40" w:after="40" w:line="240" w:lineRule="auto"/>
              <w:rPr>
                <w:color w:val="000000"/>
                <w:sz w:val="18"/>
                <w:szCs w:val="18"/>
              </w:rPr>
            </w:pPr>
            <w:r w:rsidRPr="00BA5F0C">
              <w:rPr>
                <w:color w:val="000000"/>
                <w:sz w:val="18"/>
                <w:szCs w:val="18"/>
              </w:rPr>
              <w:t>Remove the wording ‘urine or other body fluid’</w:t>
            </w:r>
          </w:p>
        </w:tc>
        <w:tc>
          <w:tcPr>
            <w:tcW w:w="3437" w:type="dxa"/>
          </w:tcPr>
          <w:p w14:paraId="5A60DB50" w14:textId="77777777" w:rsidR="00543D47" w:rsidRPr="00BA5F0C" w:rsidRDefault="00543D47" w:rsidP="00D9610A">
            <w:pPr>
              <w:spacing w:before="40" w:after="40" w:line="240" w:lineRule="auto"/>
              <w:ind w:left="57" w:right="57"/>
              <w:rPr>
                <w:sz w:val="18"/>
                <w:szCs w:val="18"/>
              </w:rPr>
            </w:pPr>
            <w:r w:rsidRPr="00BA5F0C">
              <w:rPr>
                <w:sz w:val="18"/>
                <w:szCs w:val="18"/>
              </w:rPr>
              <w:t>To be measured in blood only.</w:t>
            </w:r>
          </w:p>
        </w:tc>
        <w:tc>
          <w:tcPr>
            <w:tcW w:w="3438" w:type="dxa"/>
          </w:tcPr>
          <w:p w14:paraId="50CA66F3" w14:textId="77777777" w:rsidR="00543D47" w:rsidRPr="00BA5F0C" w:rsidRDefault="00543D47" w:rsidP="00D9610A">
            <w:pPr>
              <w:spacing w:before="40" w:after="40" w:line="240" w:lineRule="auto"/>
              <w:rPr>
                <w:rFonts w:cs="Arial"/>
                <w:sz w:val="18"/>
                <w:szCs w:val="18"/>
              </w:rPr>
            </w:pPr>
            <w:r w:rsidRPr="00BA5F0C">
              <w:rPr>
                <w:rFonts w:cs="Arial"/>
                <w:sz w:val="18"/>
                <w:szCs w:val="18"/>
              </w:rPr>
              <w:t>The test is useless if done in urine or other body fluids apart from serum.</w:t>
            </w:r>
          </w:p>
        </w:tc>
      </w:tr>
      <w:tr w:rsidR="00543D47" w:rsidRPr="00BA5F0C" w14:paraId="03F91EA7" w14:textId="77777777" w:rsidTr="00D9610A">
        <w:trPr>
          <w:cantSplit/>
        </w:trPr>
        <w:tc>
          <w:tcPr>
            <w:tcW w:w="851" w:type="dxa"/>
          </w:tcPr>
          <w:p w14:paraId="442CE4B7"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71075</w:t>
            </w:r>
          </w:p>
        </w:tc>
        <w:tc>
          <w:tcPr>
            <w:tcW w:w="3437" w:type="dxa"/>
          </w:tcPr>
          <w:p w14:paraId="094F1407" w14:textId="77777777" w:rsidR="00543D47" w:rsidRPr="00BA5F0C" w:rsidRDefault="00543D47" w:rsidP="00D9610A">
            <w:pPr>
              <w:spacing w:before="40" w:after="40" w:line="240" w:lineRule="auto"/>
              <w:rPr>
                <w:color w:val="000000"/>
                <w:sz w:val="18"/>
                <w:szCs w:val="18"/>
              </w:rPr>
            </w:pPr>
            <w:r w:rsidRPr="00BA5F0C">
              <w:rPr>
                <w:color w:val="000000"/>
                <w:sz w:val="18"/>
                <w:szCs w:val="18"/>
              </w:rPr>
              <w:t>Quantitation of immunoglobulin E (total), (Ig</w:t>
            </w:r>
            <w:r>
              <w:rPr>
                <w:color w:val="000000"/>
                <w:sz w:val="18"/>
                <w:szCs w:val="18"/>
              </w:rPr>
              <w:t xml:space="preserve"> </w:t>
            </w:r>
            <w:r w:rsidRPr="00BA5F0C">
              <w:rPr>
                <w:color w:val="000000"/>
                <w:sz w:val="18"/>
                <w:szCs w:val="18"/>
              </w:rPr>
              <w:t>E)</w:t>
            </w:r>
            <w:r>
              <w:rPr>
                <w:color w:val="000000"/>
                <w:sz w:val="18"/>
                <w:szCs w:val="18"/>
              </w:rPr>
              <w:t xml:space="preserve"> </w:t>
            </w:r>
            <w:r w:rsidRPr="00BA5F0C">
              <w:rPr>
                <w:color w:val="000000"/>
                <w:sz w:val="18"/>
                <w:szCs w:val="18"/>
              </w:rPr>
              <w:t>1 test. (Item is subject to rule 25)</w:t>
            </w:r>
          </w:p>
        </w:tc>
        <w:tc>
          <w:tcPr>
            <w:tcW w:w="3438" w:type="dxa"/>
          </w:tcPr>
          <w:p w14:paraId="39C01853" w14:textId="77777777" w:rsidR="00543D47" w:rsidRPr="00BA5F0C" w:rsidRDefault="00543D47" w:rsidP="00D9610A">
            <w:pPr>
              <w:spacing w:before="40" w:after="40" w:line="240" w:lineRule="auto"/>
              <w:rPr>
                <w:color w:val="000000"/>
                <w:sz w:val="18"/>
                <w:szCs w:val="18"/>
              </w:rPr>
            </w:pPr>
            <w:r w:rsidRPr="00BA5F0C">
              <w:rPr>
                <w:color w:val="000000"/>
                <w:sz w:val="18"/>
                <w:szCs w:val="18"/>
              </w:rPr>
              <w:t>Consolidate 71077 into this item at fee for 71077</w:t>
            </w:r>
          </w:p>
        </w:tc>
        <w:tc>
          <w:tcPr>
            <w:tcW w:w="3437" w:type="dxa"/>
          </w:tcPr>
          <w:p w14:paraId="19720272" w14:textId="77777777" w:rsidR="00543D47" w:rsidRPr="00BA5F0C" w:rsidRDefault="00543D47" w:rsidP="00D9610A">
            <w:pPr>
              <w:spacing w:before="40" w:after="40" w:line="240" w:lineRule="auto"/>
              <w:ind w:left="57" w:right="57"/>
              <w:rPr>
                <w:sz w:val="18"/>
                <w:szCs w:val="18"/>
              </w:rPr>
            </w:pPr>
            <w:r w:rsidRPr="00BA5F0C">
              <w:rPr>
                <w:sz w:val="18"/>
                <w:szCs w:val="18"/>
              </w:rPr>
              <w:t>Only one item for the two items before</w:t>
            </w:r>
          </w:p>
        </w:tc>
        <w:tc>
          <w:tcPr>
            <w:tcW w:w="3438" w:type="dxa"/>
          </w:tcPr>
          <w:p w14:paraId="45D47E2B" w14:textId="77777777" w:rsidR="00543D47" w:rsidRPr="00BA5F0C" w:rsidRDefault="00543D47" w:rsidP="00D9610A">
            <w:pPr>
              <w:spacing w:before="40" w:after="40" w:line="240" w:lineRule="auto"/>
              <w:rPr>
                <w:rFonts w:cs="Arial"/>
                <w:sz w:val="18"/>
                <w:szCs w:val="18"/>
              </w:rPr>
            </w:pPr>
            <w:r w:rsidRPr="00BA5F0C">
              <w:rPr>
                <w:rFonts w:cs="Arial"/>
                <w:sz w:val="18"/>
                <w:szCs w:val="18"/>
              </w:rPr>
              <w:t>Simplification of the table</w:t>
            </w:r>
          </w:p>
        </w:tc>
      </w:tr>
      <w:tr w:rsidR="00543D47" w:rsidRPr="00BA5F0C" w14:paraId="4588E88D" w14:textId="77777777" w:rsidTr="00D9610A">
        <w:trPr>
          <w:cantSplit/>
        </w:trPr>
        <w:tc>
          <w:tcPr>
            <w:tcW w:w="851" w:type="dxa"/>
          </w:tcPr>
          <w:p w14:paraId="071996C8"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71076</w:t>
            </w:r>
          </w:p>
        </w:tc>
        <w:tc>
          <w:tcPr>
            <w:tcW w:w="3437" w:type="dxa"/>
          </w:tcPr>
          <w:p w14:paraId="7BBA2D47" w14:textId="77777777" w:rsidR="00543D47" w:rsidRPr="00BA5F0C" w:rsidRDefault="00543D47" w:rsidP="00D9610A">
            <w:pPr>
              <w:spacing w:before="40" w:after="40" w:line="240" w:lineRule="auto"/>
              <w:rPr>
                <w:color w:val="000000"/>
                <w:sz w:val="18"/>
                <w:szCs w:val="18"/>
              </w:rPr>
            </w:pPr>
            <w:r w:rsidRPr="00BA5F0C">
              <w:rPr>
                <w:color w:val="000000"/>
                <w:sz w:val="18"/>
                <w:szCs w:val="18"/>
              </w:rPr>
              <w:t xml:space="preserve">A test described in item 71073 if rendered by a receiving APP - 1 </w:t>
            </w:r>
            <w:proofErr w:type="gramStart"/>
            <w:r w:rsidRPr="00BA5F0C">
              <w:rPr>
                <w:color w:val="000000"/>
                <w:sz w:val="18"/>
                <w:szCs w:val="18"/>
              </w:rPr>
              <w:t>test(</w:t>
            </w:r>
            <w:proofErr w:type="gramEnd"/>
            <w:r w:rsidRPr="00BA5F0C">
              <w:rPr>
                <w:color w:val="000000"/>
                <w:sz w:val="18"/>
                <w:szCs w:val="18"/>
              </w:rPr>
              <w:t>Item is subject to rule 18)</w:t>
            </w:r>
          </w:p>
        </w:tc>
        <w:tc>
          <w:tcPr>
            <w:tcW w:w="3438" w:type="dxa"/>
          </w:tcPr>
          <w:p w14:paraId="3067E698"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1D061AFB" w14:textId="77777777" w:rsidR="00543D47" w:rsidRPr="00BA5F0C" w:rsidRDefault="00543D47" w:rsidP="00D9610A">
            <w:pPr>
              <w:spacing w:before="40" w:after="40" w:line="240" w:lineRule="auto"/>
              <w:rPr>
                <w:color w:val="000000"/>
                <w:sz w:val="18"/>
                <w:szCs w:val="18"/>
              </w:rPr>
            </w:pPr>
          </w:p>
        </w:tc>
        <w:tc>
          <w:tcPr>
            <w:tcW w:w="3437" w:type="dxa"/>
          </w:tcPr>
          <w:p w14:paraId="0E45C6C9" w14:textId="77777777" w:rsidR="00543D47" w:rsidRPr="00BA5F0C" w:rsidRDefault="00543D47" w:rsidP="00D9610A">
            <w:pPr>
              <w:spacing w:before="40" w:after="40" w:line="240" w:lineRule="auto"/>
              <w:ind w:left="57" w:right="57"/>
              <w:rPr>
                <w:sz w:val="18"/>
                <w:szCs w:val="18"/>
              </w:rPr>
            </w:pPr>
          </w:p>
        </w:tc>
        <w:tc>
          <w:tcPr>
            <w:tcW w:w="3438" w:type="dxa"/>
          </w:tcPr>
          <w:p w14:paraId="25E7B7F5" w14:textId="77777777" w:rsidR="00543D47" w:rsidRPr="00BA5F0C" w:rsidRDefault="00543D47" w:rsidP="00D9610A">
            <w:pPr>
              <w:spacing w:before="40" w:after="40" w:line="240" w:lineRule="auto"/>
              <w:rPr>
                <w:rFonts w:cs="Arial"/>
                <w:sz w:val="18"/>
                <w:szCs w:val="18"/>
              </w:rPr>
            </w:pPr>
          </w:p>
        </w:tc>
      </w:tr>
      <w:tr w:rsidR="00543D47" w:rsidRPr="00BA5F0C" w14:paraId="23DF27AB" w14:textId="77777777" w:rsidTr="00D9610A">
        <w:trPr>
          <w:cantSplit/>
        </w:trPr>
        <w:tc>
          <w:tcPr>
            <w:tcW w:w="851" w:type="dxa"/>
          </w:tcPr>
          <w:p w14:paraId="304E4C0E"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71077</w:t>
            </w:r>
          </w:p>
        </w:tc>
        <w:tc>
          <w:tcPr>
            <w:tcW w:w="3437" w:type="dxa"/>
          </w:tcPr>
          <w:p w14:paraId="46C87EF7" w14:textId="77777777" w:rsidR="00543D47" w:rsidRPr="00BA5F0C" w:rsidRDefault="00543D47" w:rsidP="00D9610A">
            <w:pPr>
              <w:spacing w:before="40" w:after="40" w:line="240" w:lineRule="auto"/>
              <w:rPr>
                <w:color w:val="000000"/>
                <w:sz w:val="18"/>
                <w:szCs w:val="18"/>
              </w:rPr>
            </w:pPr>
            <w:r w:rsidRPr="00BA5F0C">
              <w:rPr>
                <w:color w:val="000000"/>
                <w:sz w:val="18"/>
                <w:szCs w:val="18"/>
              </w:rPr>
              <w:t>Quantitation of immunoglobulin E (total) (Ig</w:t>
            </w:r>
            <w:r>
              <w:rPr>
                <w:color w:val="000000"/>
                <w:sz w:val="18"/>
                <w:szCs w:val="18"/>
              </w:rPr>
              <w:t xml:space="preserve"> </w:t>
            </w:r>
            <w:r w:rsidRPr="00BA5F0C">
              <w:rPr>
                <w:color w:val="000000"/>
                <w:sz w:val="18"/>
                <w:szCs w:val="18"/>
              </w:rPr>
              <w:t>E) in the follow up of a patient with proven immunoglobulin-E-secreting myeloma, proven congenital immunodeficiency or proven allergic bronchopulmonary aspergillosis, 1 test. (Item is subject to rule 25)</w:t>
            </w:r>
          </w:p>
        </w:tc>
        <w:tc>
          <w:tcPr>
            <w:tcW w:w="3438" w:type="dxa"/>
          </w:tcPr>
          <w:p w14:paraId="14BBA752" w14:textId="77777777" w:rsidR="00543D47" w:rsidRPr="00BA5F0C" w:rsidRDefault="00543D47" w:rsidP="00D9610A">
            <w:pPr>
              <w:spacing w:before="40" w:after="40" w:line="240" w:lineRule="auto"/>
              <w:rPr>
                <w:color w:val="000000"/>
                <w:sz w:val="18"/>
                <w:szCs w:val="18"/>
              </w:rPr>
            </w:pPr>
            <w:r w:rsidRPr="00BA5F0C">
              <w:rPr>
                <w:color w:val="000000"/>
                <w:sz w:val="18"/>
                <w:szCs w:val="18"/>
              </w:rPr>
              <w:t>Consolidate into item 71075 at same fee as 71077.</w:t>
            </w:r>
          </w:p>
        </w:tc>
        <w:tc>
          <w:tcPr>
            <w:tcW w:w="3437" w:type="dxa"/>
          </w:tcPr>
          <w:p w14:paraId="7E0EA33E" w14:textId="77777777" w:rsidR="00543D47" w:rsidRPr="00BA5F0C" w:rsidRDefault="00543D47" w:rsidP="00D9610A">
            <w:pPr>
              <w:spacing w:before="40" w:after="40" w:line="240" w:lineRule="auto"/>
              <w:ind w:left="57" w:right="57"/>
              <w:rPr>
                <w:sz w:val="18"/>
                <w:szCs w:val="18"/>
              </w:rPr>
            </w:pPr>
            <w:r w:rsidRPr="00BA5F0C">
              <w:rPr>
                <w:sz w:val="18"/>
                <w:szCs w:val="18"/>
              </w:rPr>
              <w:t>Only one item for the two items before</w:t>
            </w:r>
          </w:p>
        </w:tc>
        <w:tc>
          <w:tcPr>
            <w:tcW w:w="3438" w:type="dxa"/>
          </w:tcPr>
          <w:p w14:paraId="1299730B" w14:textId="77777777" w:rsidR="00543D47" w:rsidRPr="00BA5F0C" w:rsidRDefault="00543D47" w:rsidP="00D9610A">
            <w:pPr>
              <w:spacing w:before="40" w:after="40" w:line="240" w:lineRule="auto"/>
              <w:rPr>
                <w:rFonts w:cs="Arial"/>
                <w:sz w:val="18"/>
                <w:szCs w:val="18"/>
              </w:rPr>
            </w:pPr>
            <w:r w:rsidRPr="00BA5F0C">
              <w:rPr>
                <w:rFonts w:cs="Arial"/>
                <w:sz w:val="18"/>
                <w:szCs w:val="18"/>
              </w:rPr>
              <w:t>Simplification of the table</w:t>
            </w:r>
          </w:p>
        </w:tc>
      </w:tr>
      <w:tr w:rsidR="00543D47" w:rsidRPr="00BA5F0C" w14:paraId="69A492E3" w14:textId="77777777" w:rsidTr="00D9610A">
        <w:trPr>
          <w:cantSplit/>
        </w:trPr>
        <w:tc>
          <w:tcPr>
            <w:tcW w:w="851" w:type="dxa"/>
          </w:tcPr>
          <w:p w14:paraId="43018737"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lastRenderedPageBreak/>
              <w:t>71200</w:t>
            </w:r>
          </w:p>
        </w:tc>
        <w:tc>
          <w:tcPr>
            <w:tcW w:w="3437" w:type="dxa"/>
          </w:tcPr>
          <w:p w14:paraId="2CAD1662" w14:textId="77777777" w:rsidR="00543D47" w:rsidRPr="00BA5F0C" w:rsidRDefault="00543D47" w:rsidP="00D9610A">
            <w:pPr>
              <w:spacing w:before="40" w:after="40" w:line="240" w:lineRule="auto"/>
              <w:rPr>
                <w:color w:val="000000"/>
                <w:sz w:val="18"/>
                <w:szCs w:val="18"/>
              </w:rPr>
            </w:pPr>
            <w:r w:rsidRPr="00BA5F0C">
              <w:rPr>
                <w:color w:val="000000"/>
                <w:sz w:val="18"/>
                <w:szCs w:val="18"/>
              </w:rPr>
              <w:t>Detection and quantitation, if present, of free kappa and lambda light chains in serum for the diagnosis or monitoring of amyloidosis, myeloma or plasma cell dyscrasias.</w:t>
            </w:r>
          </w:p>
        </w:tc>
        <w:tc>
          <w:tcPr>
            <w:tcW w:w="3438" w:type="dxa"/>
          </w:tcPr>
          <w:p w14:paraId="0740796F" w14:textId="77777777" w:rsidR="00543D47" w:rsidRPr="00BA5F0C" w:rsidRDefault="00543D47" w:rsidP="00D9610A">
            <w:pPr>
              <w:spacing w:before="40" w:after="40" w:line="240" w:lineRule="auto"/>
              <w:rPr>
                <w:color w:val="000000"/>
                <w:sz w:val="18"/>
                <w:szCs w:val="18"/>
              </w:rPr>
            </w:pPr>
            <w:r w:rsidRPr="00BA5F0C">
              <w:rPr>
                <w:color w:val="000000"/>
                <w:sz w:val="18"/>
                <w:szCs w:val="18"/>
              </w:rPr>
              <w:t>Add including the wording: ‘this test is not to be used for the diagnosis or monitoring of lymphoma’.</w:t>
            </w:r>
          </w:p>
        </w:tc>
        <w:tc>
          <w:tcPr>
            <w:tcW w:w="3437" w:type="dxa"/>
          </w:tcPr>
          <w:p w14:paraId="4F7F43E8" w14:textId="77777777" w:rsidR="00543D47" w:rsidRPr="00BA5F0C" w:rsidRDefault="00543D47" w:rsidP="00D9610A">
            <w:pPr>
              <w:spacing w:before="40" w:after="40" w:line="240" w:lineRule="auto"/>
              <w:ind w:left="57" w:right="57"/>
              <w:rPr>
                <w:sz w:val="18"/>
                <w:szCs w:val="18"/>
              </w:rPr>
            </w:pPr>
            <w:r w:rsidRPr="00BA5F0C">
              <w:rPr>
                <w:sz w:val="18"/>
                <w:szCs w:val="18"/>
              </w:rPr>
              <w:t>Clarification of when the test is done.</w:t>
            </w:r>
          </w:p>
        </w:tc>
        <w:tc>
          <w:tcPr>
            <w:tcW w:w="3438" w:type="dxa"/>
          </w:tcPr>
          <w:p w14:paraId="605CF80A" w14:textId="77777777" w:rsidR="00543D47" w:rsidRPr="00BA5F0C" w:rsidRDefault="00543D47" w:rsidP="00D9610A">
            <w:pPr>
              <w:spacing w:before="40" w:after="40" w:line="240" w:lineRule="auto"/>
              <w:rPr>
                <w:rFonts w:cs="Arial"/>
                <w:sz w:val="18"/>
                <w:szCs w:val="18"/>
              </w:rPr>
            </w:pPr>
            <w:r w:rsidRPr="00BA5F0C">
              <w:rPr>
                <w:rFonts w:cs="Arial"/>
                <w:sz w:val="18"/>
                <w:szCs w:val="18"/>
              </w:rPr>
              <w:t>The test is not helpful in lymphoma but is occasionally requested.</w:t>
            </w:r>
          </w:p>
        </w:tc>
      </w:tr>
      <w:tr w:rsidR="00543D47" w:rsidRPr="00BA5F0C" w14:paraId="671831F3" w14:textId="77777777" w:rsidTr="00D9610A">
        <w:trPr>
          <w:cantSplit/>
        </w:trPr>
        <w:tc>
          <w:tcPr>
            <w:tcW w:w="851" w:type="dxa"/>
          </w:tcPr>
          <w:p w14:paraId="69A406F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 xml:space="preserve">New item </w:t>
            </w:r>
          </w:p>
        </w:tc>
        <w:tc>
          <w:tcPr>
            <w:tcW w:w="3437" w:type="dxa"/>
          </w:tcPr>
          <w:p w14:paraId="54AB751D" w14:textId="77777777" w:rsidR="00543D47" w:rsidRPr="00BA5F0C" w:rsidRDefault="00543D47" w:rsidP="00D9610A">
            <w:pPr>
              <w:spacing w:before="40" w:after="40" w:line="240" w:lineRule="auto"/>
              <w:rPr>
                <w:color w:val="000000"/>
                <w:sz w:val="18"/>
                <w:szCs w:val="18"/>
              </w:rPr>
            </w:pPr>
          </w:p>
        </w:tc>
        <w:tc>
          <w:tcPr>
            <w:tcW w:w="3438" w:type="dxa"/>
          </w:tcPr>
          <w:p w14:paraId="50B8B566" w14:textId="77777777" w:rsidR="00543D47" w:rsidRPr="00BA5F0C" w:rsidRDefault="00543D47" w:rsidP="00D9610A">
            <w:pPr>
              <w:spacing w:before="40" w:after="40" w:line="240" w:lineRule="auto"/>
              <w:rPr>
                <w:color w:val="000000"/>
                <w:sz w:val="18"/>
                <w:szCs w:val="18"/>
              </w:rPr>
            </w:pPr>
            <w:r w:rsidRPr="00BA5F0C">
              <w:rPr>
                <w:color w:val="000000"/>
                <w:sz w:val="18"/>
                <w:szCs w:val="18"/>
              </w:rPr>
              <w:t>Create a new item for cyclic citrullinated peptide antigens with the following wording: Investigation for rheumatoid arthritis: citrullinated peptide antibodies. This new item should be restricted to 4 tests within a 12-month period.</w:t>
            </w:r>
          </w:p>
        </w:tc>
        <w:tc>
          <w:tcPr>
            <w:tcW w:w="3437" w:type="dxa"/>
          </w:tcPr>
          <w:p w14:paraId="5913D80E" w14:textId="77777777" w:rsidR="00543D47" w:rsidRPr="00BA5F0C" w:rsidRDefault="00543D47" w:rsidP="00D9610A">
            <w:pPr>
              <w:spacing w:before="40" w:after="40" w:line="240" w:lineRule="auto"/>
              <w:ind w:left="57" w:right="57"/>
              <w:rPr>
                <w:sz w:val="18"/>
                <w:szCs w:val="18"/>
              </w:rPr>
            </w:pPr>
            <w:r w:rsidRPr="00BA5F0C">
              <w:rPr>
                <w:sz w:val="18"/>
                <w:szCs w:val="18"/>
              </w:rPr>
              <w:t xml:space="preserve">New </w:t>
            </w:r>
            <w:r>
              <w:rPr>
                <w:sz w:val="18"/>
                <w:szCs w:val="18"/>
              </w:rPr>
              <w:t>i</w:t>
            </w:r>
            <w:r w:rsidRPr="00BA5F0C">
              <w:rPr>
                <w:sz w:val="18"/>
                <w:szCs w:val="18"/>
              </w:rPr>
              <w:t>tem</w:t>
            </w:r>
          </w:p>
        </w:tc>
        <w:tc>
          <w:tcPr>
            <w:tcW w:w="3438" w:type="dxa"/>
          </w:tcPr>
          <w:p w14:paraId="69546E4B" w14:textId="77777777" w:rsidR="00543D47" w:rsidRPr="00BA5F0C" w:rsidRDefault="00543D47" w:rsidP="00D9610A">
            <w:pPr>
              <w:spacing w:before="40" w:after="40" w:line="240" w:lineRule="auto"/>
              <w:rPr>
                <w:rFonts w:cs="Arial"/>
                <w:sz w:val="18"/>
                <w:szCs w:val="18"/>
              </w:rPr>
            </w:pPr>
            <w:r w:rsidRPr="00BA5F0C">
              <w:rPr>
                <w:rFonts w:cs="Arial"/>
                <w:sz w:val="18"/>
                <w:szCs w:val="18"/>
              </w:rPr>
              <w:t>Recognition of a better new test in patients with rheumatoid arthritis.</w:t>
            </w:r>
          </w:p>
        </w:tc>
      </w:tr>
    </w:tbl>
    <w:p w14:paraId="2641170A" w14:textId="77777777" w:rsidR="00543D47" w:rsidRPr="00BA5F0C" w:rsidRDefault="00543D47" w:rsidP="00543D47">
      <w:pPr>
        <w:spacing w:before="40" w:after="40" w:line="240" w:lineRule="auto"/>
        <w:rPr>
          <w:b/>
          <w:sz w:val="18"/>
          <w:szCs w:val="18"/>
        </w:rPr>
      </w:pPr>
    </w:p>
    <w:p w14:paraId="2A1D935B" w14:textId="77777777" w:rsidR="00543D47" w:rsidRPr="00BA5F0C" w:rsidRDefault="00543D47" w:rsidP="00543D47">
      <w:pPr>
        <w:pStyle w:val="Caption"/>
        <w:rPr>
          <w:b/>
          <w:sz w:val="18"/>
          <w:szCs w:val="18"/>
        </w:rPr>
      </w:pPr>
      <w:bookmarkStart w:id="358" w:name="_Toc487753640"/>
      <w:bookmarkStart w:id="359" w:name="_Toc490651362"/>
      <w:bookmarkStart w:id="360" w:name="_Toc490756883"/>
      <w:bookmarkStart w:id="361" w:name="_Toc491341004"/>
      <w:bookmarkStart w:id="362" w:name="_Toc493598698"/>
      <w:bookmarkStart w:id="363" w:name="_Toc493599720"/>
      <w:bookmarkStart w:id="364" w:name="_Toc493599916"/>
      <w:bookmarkStart w:id="365" w:name="_Toc493687776"/>
      <w:bookmarkStart w:id="366" w:name="_Toc534374996"/>
      <w:r w:rsidRPr="00BA5F0C">
        <w:rPr>
          <w:b/>
          <w:i w:val="0"/>
          <w:sz w:val="18"/>
          <w:szCs w:val="18"/>
        </w:rPr>
        <w:t>Recommendation 1</w:t>
      </w:r>
      <w:r>
        <w:rPr>
          <w:b/>
          <w:i w:val="0"/>
          <w:sz w:val="18"/>
          <w:szCs w:val="18"/>
        </w:rPr>
        <w:t>8</w:t>
      </w:r>
      <w:r w:rsidRPr="00BA5F0C">
        <w:rPr>
          <w:b/>
          <w:i w:val="0"/>
          <w:sz w:val="18"/>
          <w:szCs w:val="18"/>
        </w:rPr>
        <w:t>: Thyroid antibodies</w:t>
      </w:r>
      <w:bookmarkEnd w:id="358"/>
      <w:bookmarkEnd w:id="359"/>
      <w:bookmarkEnd w:id="360"/>
      <w:bookmarkEnd w:id="361"/>
      <w:bookmarkEnd w:id="362"/>
      <w:bookmarkEnd w:id="363"/>
      <w:bookmarkEnd w:id="364"/>
      <w:bookmarkEnd w:id="365"/>
      <w:bookmarkEnd w:id="366"/>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37"/>
        <w:gridCol w:w="3438"/>
        <w:gridCol w:w="3437"/>
        <w:gridCol w:w="3438"/>
      </w:tblGrid>
      <w:tr w:rsidR="00543D47" w:rsidRPr="00BA5F0C" w14:paraId="74F20792" w14:textId="77777777" w:rsidTr="00D9610A">
        <w:trPr>
          <w:cantSplit/>
          <w:tblHeader/>
        </w:trPr>
        <w:tc>
          <w:tcPr>
            <w:tcW w:w="851" w:type="dxa"/>
          </w:tcPr>
          <w:p w14:paraId="4BAAD0C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7318C13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17B8D05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281D7B8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0E19201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39CB8149" w14:textId="77777777" w:rsidTr="00D9610A">
        <w:trPr>
          <w:cantSplit/>
          <w:tblHeader/>
        </w:trPr>
        <w:tc>
          <w:tcPr>
            <w:tcW w:w="851" w:type="dxa"/>
          </w:tcPr>
          <w:p w14:paraId="041962BB"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71165</w:t>
            </w:r>
          </w:p>
        </w:tc>
        <w:tc>
          <w:tcPr>
            <w:tcW w:w="3437" w:type="dxa"/>
          </w:tcPr>
          <w:p w14:paraId="5CED489E" w14:textId="77777777" w:rsidR="00543D47" w:rsidRPr="00BA5F0C" w:rsidRDefault="00543D47" w:rsidP="00D9610A">
            <w:pPr>
              <w:spacing w:before="40" w:after="40" w:line="240" w:lineRule="auto"/>
              <w:rPr>
                <w:rFonts w:cs="Arial"/>
                <w:sz w:val="18"/>
                <w:szCs w:val="18"/>
              </w:rPr>
            </w:pPr>
            <w:r w:rsidRPr="00BA5F0C">
              <w:rPr>
                <w:rFonts w:cs="Arial"/>
                <w:sz w:val="18"/>
                <w:szCs w:val="18"/>
              </w:rPr>
              <w:t>Measures 1 antibody to range of tissue antigens</w:t>
            </w:r>
          </w:p>
        </w:tc>
        <w:tc>
          <w:tcPr>
            <w:tcW w:w="3438" w:type="dxa"/>
          </w:tcPr>
          <w:p w14:paraId="1607C771" w14:textId="77777777" w:rsidR="00543D47" w:rsidRPr="00BA5F0C" w:rsidRDefault="00543D47" w:rsidP="00D9610A">
            <w:pPr>
              <w:spacing w:before="40" w:after="40" w:line="240" w:lineRule="auto"/>
              <w:rPr>
                <w:rFonts w:cs="Arial"/>
                <w:sz w:val="18"/>
                <w:szCs w:val="18"/>
              </w:rPr>
            </w:pPr>
            <w:r w:rsidRPr="00BA5F0C">
              <w:rPr>
                <w:rFonts w:cs="Arial"/>
                <w:sz w:val="18"/>
                <w:szCs w:val="18"/>
              </w:rPr>
              <w:t>Remove thyroid antibodies from this item</w:t>
            </w:r>
          </w:p>
        </w:tc>
        <w:tc>
          <w:tcPr>
            <w:tcW w:w="3437" w:type="dxa"/>
          </w:tcPr>
          <w:p w14:paraId="437AFF0F" w14:textId="77777777" w:rsidR="00543D47" w:rsidRPr="00BA5F0C" w:rsidRDefault="00543D47" w:rsidP="00D9610A">
            <w:pPr>
              <w:spacing w:before="40" w:after="40" w:line="240" w:lineRule="auto"/>
              <w:rPr>
                <w:rFonts w:cs="Arial"/>
                <w:sz w:val="18"/>
                <w:szCs w:val="18"/>
              </w:rPr>
            </w:pPr>
            <w:r w:rsidRPr="00BA5F0C">
              <w:rPr>
                <w:rFonts w:cs="Arial"/>
                <w:sz w:val="18"/>
                <w:szCs w:val="18"/>
              </w:rPr>
              <w:t>This item cannot be used for thyroid antibody testing</w:t>
            </w:r>
          </w:p>
        </w:tc>
        <w:tc>
          <w:tcPr>
            <w:tcW w:w="3438" w:type="dxa"/>
          </w:tcPr>
          <w:p w14:paraId="6097C773"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Separating thyroid from other tests allows for clearer data collection and billing</w:t>
            </w:r>
          </w:p>
        </w:tc>
      </w:tr>
      <w:tr w:rsidR="00543D47" w:rsidRPr="00BA5F0C" w14:paraId="489D3205" w14:textId="77777777" w:rsidTr="00D9610A">
        <w:trPr>
          <w:cantSplit/>
          <w:tblHeader/>
        </w:trPr>
        <w:tc>
          <w:tcPr>
            <w:tcW w:w="851" w:type="dxa"/>
          </w:tcPr>
          <w:p w14:paraId="4F2BA6AF"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71166</w:t>
            </w:r>
          </w:p>
        </w:tc>
        <w:tc>
          <w:tcPr>
            <w:tcW w:w="3437" w:type="dxa"/>
          </w:tcPr>
          <w:p w14:paraId="58A66742"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Measures 2 antibodies to range of tissue antigens</w:t>
            </w:r>
          </w:p>
        </w:tc>
        <w:tc>
          <w:tcPr>
            <w:tcW w:w="3438" w:type="dxa"/>
          </w:tcPr>
          <w:p w14:paraId="02D42719"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37" w:type="dxa"/>
          </w:tcPr>
          <w:p w14:paraId="1FEC8E93"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38" w:type="dxa"/>
          </w:tcPr>
          <w:p w14:paraId="5126627D"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Separating thyroid from other tests allows for clearer data collection and billing</w:t>
            </w:r>
          </w:p>
        </w:tc>
      </w:tr>
      <w:tr w:rsidR="00543D47" w:rsidRPr="00BA5F0C" w14:paraId="4FD06B36" w14:textId="77777777" w:rsidTr="00D9610A">
        <w:trPr>
          <w:cantSplit/>
          <w:tblHeader/>
        </w:trPr>
        <w:tc>
          <w:tcPr>
            <w:tcW w:w="851" w:type="dxa"/>
          </w:tcPr>
          <w:p w14:paraId="5194D72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71167</w:t>
            </w:r>
          </w:p>
        </w:tc>
        <w:tc>
          <w:tcPr>
            <w:tcW w:w="3437" w:type="dxa"/>
          </w:tcPr>
          <w:p w14:paraId="560E3414"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Measures 3 antibodies to range of tissue antigens</w:t>
            </w:r>
          </w:p>
        </w:tc>
        <w:tc>
          <w:tcPr>
            <w:tcW w:w="3438" w:type="dxa"/>
          </w:tcPr>
          <w:p w14:paraId="79F0BF59"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37" w:type="dxa"/>
          </w:tcPr>
          <w:p w14:paraId="23E9C29A"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38" w:type="dxa"/>
          </w:tcPr>
          <w:p w14:paraId="59DB5ECB"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Separating thyroid from other tests allows for clearer data collection and billing</w:t>
            </w:r>
          </w:p>
        </w:tc>
      </w:tr>
      <w:tr w:rsidR="00543D47" w:rsidRPr="00BA5F0C" w14:paraId="42641303" w14:textId="77777777" w:rsidTr="00D9610A">
        <w:trPr>
          <w:cantSplit/>
          <w:tblHeader/>
        </w:trPr>
        <w:tc>
          <w:tcPr>
            <w:tcW w:w="851" w:type="dxa"/>
          </w:tcPr>
          <w:p w14:paraId="09ADCBD0"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71168</w:t>
            </w:r>
          </w:p>
        </w:tc>
        <w:tc>
          <w:tcPr>
            <w:tcW w:w="3437" w:type="dxa"/>
          </w:tcPr>
          <w:p w14:paraId="6B70B231"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Measures 4 or more antibodies to range of tissue antigens</w:t>
            </w:r>
          </w:p>
        </w:tc>
        <w:tc>
          <w:tcPr>
            <w:tcW w:w="3438" w:type="dxa"/>
          </w:tcPr>
          <w:p w14:paraId="5D70F484"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37" w:type="dxa"/>
          </w:tcPr>
          <w:p w14:paraId="51614963" w14:textId="77777777" w:rsidR="00543D47" w:rsidRPr="00BA5F0C" w:rsidRDefault="00543D47" w:rsidP="00D9610A">
            <w:pPr>
              <w:spacing w:before="40" w:after="40" w:line="240" w:lineRule="auto"/>
              <w:rPr>
                <w:rFonts w:cs="Arial"/>
                <w:sz w:val="18"/>
                <w:szCs w:val="18"/>
              </w:rPr>
            </w:pPr>
            <w:r w:rsidRPr="00BA5F0C">
              <w:rPr>
                <w:rFonts w:cs="Arial"/>
                <w:sz w:val="18"/>
                <w:szCs w:val="18"/>
              </w:rPr>
              <w:t>As above</w:t>
            </w:r>
          </w:p>
        </w:tc>
        <w:tc>
          <w:tcPr>
            <w:tcW w:w="3438" w:type="dxa"/>
          </w:tcPr>
          <w:p w14:paraId="1C494836" w14:textId="77777777" w:rsidR="00543D47" w:rsidRPr="00BA5F0C" w:rsidRDefault="00543D47" w:rsidP="00D9610A">
            <w:pPr>
              <w:spacing w:before="40" w:after="40" w:line="240" w:lineRule="auto"/>
              <w:rPr>
                <w:rFonts w:cs="Arial"/>
                <w:b/>
                <w:sz w:val="18"/>
                <w:szCs w:val="18"/>
                <w:lang w:val="en-US" w:eastAsia="en-US"/>
              </w:rPr>
            </w:pPr>
            <w:r w:rsidRPr="00BA5F0C">
              <w:rPr>
                <w:rFonts w:cs="Arial"/>
                <w:sz w:val="18"/>
                <w:szCs w:val="18"/>
              </w:rPr>
              <w:t>Separating thyroid from other tests allows for clearer data collection and billing</w:t>
            </w:r>
          </w:p>
        </w:tc>
      </w:tr>
      <w:tr w:rsidR="00543D47" w:rsidRPr="00BA5F0C" w14:paraId="703D479D" w14:textId="77777777" w:rsidTr="00D9610A">
        <w:trPr>
          <w:cantSplit/>
        </w:trPr>
        <w:tc>
          <w:tcPr>
            <w:tcW w:w="851" w:type="dxa"/>
          </w:tcPr>
          <w:p w14:paraId="143A3A4D"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71171</w:t>
            </w:r>
          </w:p>
        </w:tc>
        <w:tc>
          <w:tcPr>
            <w:tcW w:w="3437" w:type="dxa"/>
          </w:tcPr>
          <w:p w14:paraId="18DB5825"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Measures </w:t>
            </w:r>
            <w:r>
              <w:rPr>
                <w:rFonts w:cs="Arial"/>
                <w:sz w:val="18"/>
                <w:szCs w:val="18"/>
              </w:rPr>
              <w:t>t</w:t>
            </w:r>
            <w:r w:rsidRPr="00BA5F0C">
              <w:rPr>
                <w:rFonts w:cs="Arial"/>
                <w:sz w:val="18"/>
                <w:szCs w:val="18"/>
              </w:rPr>
              <w:t>hyroid peroxidase antibody. To a maximum of 2 within in a 12-month period (Item is subject to rule 25)</w:t>
            </w:r>
          </w:p>
        </w:tc>
        <w:tc>
          <w:tcPr>
            <w:tcW w:w="3438" w:type="dxa"/>
          </w:tcPr>
          <w:p w14:paraId="31D13173"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Remove thyroid antibodies from tests covered under items </w:t>
            </w:r>
            <w:proofErr w:type="gramStart"/>
            <w:r w:rsidRPr="00BA5F0C">
              <w:rPr>
                <w:rFonts w:cs="Arial"/>
                <w:sz w:val="18"/>
                <w:szCs w:val="18"/>
              </w:rPr>
              <w:t>71165-68, and</w:t>
            </w:r>
            <w:proofErr w:type="gramEnd"/>
            <w:r w:rsidRPr="00BA5F0C">
              <w:rPr>
                <w:rFonts w:cs="Arial"/>
                <w:sz w:val="18"/>
                <w:szCs w:val="18"/>
              </w:rPr>
              <w:t xml:space="preserve"> create new thyroid antibodies items as follows (71171-74).</w:t>
            </w:r>
          </w:p>
          <w:p w14:paraId="4162D07C" w14:textId="77777777" w:rsidR="00543D47" w:rsidRPr="00BA5F0C" w:rsidRDefault="00543D47" w:rsidP="00D9610A">
            <w:pPr>
              <w:spacing w:before="40" w:after="40" w:line="240" w:lineRule="auto"/>
              <w:rPr>
                <w:rFonts w:cs="Arial"/>
                <w:sz w:val="18"/>
                <w:szCs w:val="18"/>
              </w:rPr>
            </w:pPr>
          </w:p>
        </w:tc>
        <w:tc>
          <w:tcPr>
            <w:tcW w:w="3437" w:type="dxa"/>
          </w:tcPr>
          <w:p w14:paraId="06E4F85F" w14:textId="77777777" w:rsidR="00543D47" w:rsidRPr="00BA5F0C" w:rsidRDefault="00543D47" w:rsidP="00D9610A">
            <w:pPr>
              <w:spacing w:before="40" w:after="40" w:line="240" w:lineRule="auto"/>
              <w:ind w:left="57" w:right="57"/>
              <w:rPr>
                <w:sz w:val="18"/>
                <w:szCs w:val="18"/>
              </w:rPr>
            </w:pPr>
            <w:r w:rsidRPr="00BA5F0C">
              <w:rPr>
                <w:sz w:val="18"/>
                <w:szCs w:val="18"/>
              </w:rPr>
              <w:t>Items made specific to thyroid antibodies and numbers of tests limited to what is clinically necessary</w:t>
            </w:r>
          </w:p>
        </w:tc>
        <w:tc>
          <w:tcPr>
            <w:tcW w:w="3438" w:type="dxa"/>
          </w:tcPr>
          <w:p w14:paraId="19190764"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Separating thyroid from other tests allows for clearer data collection and billing. </w:t>
            </w:r>
            <w:r>
              <w:rPr>
                <w:rFonts w:cs="Arial"/>
                <w:sz w:val="18"/>
                <w:szCs w:val="18"/>
              </w:rPr>
              <w:t>The</w:t>
            </w:r>
            <w:r w:rsidRPr="00BA5F0C">
              <w:rPr>
                <w:rFonts w:cs="Arial"/>
                <w:sz w:val="18"/>
                <w:szCs w:val="18"/>
              </w:rPr>
              <w:t xml:space="preserve"> largest number of autoantibody tests are done for thyroid disease.</w:t>
            </w:r>
            <w:r>
              <w:rPr>
                <w:rFonts w:cs="Arial"/>
                <w:sz w:val="18"/>
                <w:szCs w:val="18"/>
              </w:rPr>
              <w:t xml:space="preserve"> </w:t>
            </w:r>
            <w:r w:rsidRPr="00BA5F0C">
              <w:rPr>
                <w:rFonts w:cs="Arial"/>
                <w:sz w:val="18"/>
                <w:szCs w:val="18"/>
              </w:rPr>
              <w:t xml:space="preserve">There is no need to test more often as levels rarely change over 3 months. </w:t>
            </w:r>
          </w:p>
        </w:tc>
      </w:tr>
      <w:tr w:rsidR="00543D47" w:rsidRPr="00BA5F0C" w14:paraId="5764A858" w14:textId="77777777" w:rsidTr="00D9610A">
        <w:trPr>
          <w:cantSplit/>
        </w:trPr>
        <w:tc>
          <w:tcPr>
            <w:tcW w:w="851" w:type="dxa"/>
          </w:tcPr>
          <w:p w14:paraId="79F14C64"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lastRenderedPageBreak/>
              <w:t>71172</w:t>
            </w:r>
          </w:p>
        </w:tc>
        <w:tc>
          <w:tcPr>
            <w:tcW w:w="3437" w:type="dxa"/>
          </w:tcPr>
          <w:p w14:paraId="390C89FF" w14:textId="77777777" w:rsidR="00543D47" w:rsidRPr="00BA5F0C" w:rsidRDefault="00543D47" w:rsidP="00D9610A">
            <w:pPr>
              <w:spacing w:before="40" w:after="40" w:line="240" w:lineRule="auto"/>
              <w:rPr>
                <w:rFonts w:cs="Arial"/>
                <w:sz w:val="18"/>
                <w:szCs w:val="18"/>
              </w:rPr>
            </w:pPr>
            <w:r w:rsidRPr="00BA5F0C">
              <w:rPr>
                <w:rFonts w:cs="Arial"/>
                <w:sz w:val="18"/>
                <w:szCs w:val="18"/>
              </w:rPr>
              <w:t>Measures two antibodies: thyroid peroxidase antibody and thyroid receptor antibody (TRAB) or thyroid stimulating antibodies (TSI) for the differential diagnosis of hyperthyroidism. To a maximum of 1 in a 12</w:t>
            </w:r>
            <w:r>
              <w:rPr>
                <w:rFonts w:cs="Arial"/>
                <w:sz w:val="18"/>
                <w:szCs w:val="18"/>
              </w:rPr>
              <w:t>-</w:t>
            </w:r>
            <w:r w:rsidRPr="00BA5F0C">
              <w:rPr>
                <w:rFonts w:cs="Arial"/>
                <w:sz w:val="18"/>
                <w:szCs w:val="18"/>
              </w:rPr>
              <w:t>month period (Item is subject to rule 25)</w:t>
            </w:r>
          </w:p>
        </w:tc>
        <w:tc>
          <w:tcPr>
            <w:tcW w:w="3438" w:type="dxa"/>
          </w:tcPr>
          <w:p w14:paraId="3116C43E" w14:textId="77777777" w:rsidR="00543D47" w:rsidRPr="00BA5F0C" w:rsidRDefault="00543D47" w:rsidP="00D9610A">
            <w:pPr>
              <w:spacing w:before="40" w:after="40" w:line="240" w:lineRule="auto"/>
              <w:rPr>
                <w:rFonts w:cs="Arial"/>
                <w:sz w:val="18"/>
                <w:szCs w:val="18"/>
              </w:rPr>
            </w:pPr>
            <w:r w:rsidRPr="00BA5F0C">
              <w:rPr>
                <w:rFonts w:cs="Arial"/>
                <w:sz w:val="18"/>
                <w:szCs w:val="18"/>
              </w:rPr>
              <w:t>New item</w:t>
            </w:r>
          </w:p>
        </w:tc>
        <w:tc>
          <w:tcPr>
            <w:tcW w:w="3437" w:type="dxa"/>
          </w:tcPr>
          <w:p w14:paraId="517358BD" w14:textId="77777777" w:rsidR="00543D47" w:rsidRPr="00BA5F0C" w:rsidRDefault="00543D47" w:rsidP="00D9610A">
            <w:pPr>
              <w:spacing w:before="40" w:after="40" w:line="240" w:lineRule="auto"/>
              <w:ind w:left="57" w:right="57"/>
              <w:rPr>
                <w:sz w:val="18"/>
                <w:szCs w:val="18"/>
              </w:rPr>
            </w:pPr>
            <w:r w:rsidRPr="00BA5F0C">
              <w:rPr>
                <w:sz w:val="18"/>
                <w:szCs w:val="18"/>
              </w:rPr>
              <w:t>New item with use only in hyperthyroidism.</w:t>
            </w:r>
          </w:p>
        </w:tc>
        <w:tc>
          <w:tcPr>
            <w:tcW w:w="3438" w:type="dxa"/>
          </w:tcPr>
          <w:p w14:paraId="512018CF" w14:textId="77777777" w:rsidR="00543D47" w:rsidRPr="00BA5F0C" w:rsidRDefault="00543D47" w:rsidP="00D9610A">
            <w:pPr>
              <w:spacing w:before="40" w:after="40" w:line="240" w:lineRule="auto"/>
              <w:rPr>
                <w:rFonts w:cs="Arial"/>
                <w:sz w:val="18"/>
                <w:szCs w:val="18"/>
              </w:rPr>
            </w:pPr>
            <w:r w:rsidRPr="00BA5F0C">
              <w:rPr>
                <w:rFonts w:cs="Arial"/>
                <w:sz w:val="18"/>
                <w:szCs w:val="18"/>
              </w:rPr>
              <w:t>Allows differentiation of causes of hyperthyroidism, which affects therapy.</w:t>
            </w:r>
          </w:p>
        </w:tc>
      </w:tr>
      <w:tr w:rsidR="00543D47" w:rsidRPr="00BA5F0C" w14:paraId="6F494BE6" w14:textId="77777777" w:rsidTr="00D9610A">
        <w:trPr>
          <w:cantSplit/>
        </w:trPr>
        <w:tc>
          <w:tcPr>
            <w:tcW w:w="851" w:type="dxa"/>
          </w:tcPr>
          <w:p w14:paraId="4B9B2E6E"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71173</w:t>
            </w:r>
          </w:p>
        </w:tc>
        <w:tc>
          <w:tcPr>
            <w:tcW w:w="3437" w:type="dxa"/>
          </w:tcPr>
          <w:p w14:paraId="1B511279"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Measures </w:t>
            </w:r>
            <w:r>
              <w:rPr>
                <w:rFonts w:cs="Arial"/>
                <w:sz w:val="18"/>
                <w:szCs w:val="18"/>
              </w:rPr>
              <w:t>t</w:t>
            </w:r>
            <w:r w:rsidRPr="00BA5F0C">
              <w:rPr>
                <w:rFonts w:cs="Arial"/>
                <w:sz w:val="18"/>
                <w:szCs w:val="18"/>
              </w:rPr>
              <w:t xml:space="preserve">hyroid receptor antibody (TRAB) or thyroid stimulating antibodies (TSI) for diagnosis and monitoring of patients with previously diagnosed Graves’ disease. To a maximum of 4 tests in a </w:t>
            </w:r>
            <w:r>
              <w:rPr>
                <w:rFonts w:cs="Arial"/>
                <w:sz w:val="18"/>
                <w:szCs w:val="18"/>
              </w:rPr>
              <w:t>12-month period</w:t>
            </w:r>
            <w:r w:rsidRPr="00BA5F0C">
              <w:rPr>
                <w:rFonts w:cs="Arial"/>
                <w:sz w:val="18"/>
                <w:szCs w:val="18"/>
              </w:rPr>
              <w:t xml:space="preserve"> (Item is subject to rule 25)</w:t>
            </w:r>
          </w:p>
        </w:tc>
        <w:tc>
          <w:tcPr>
            <w:tcW w:w="3438" w:type="dxa"/>
          </w:tcPr>
          <w:p w14:paraId="103E5DA3" w14:textId="77777777" w:rsidR="00543D47" w:rsidRPr="00BA5F0C" w:rsidRDefault="00543D47" w:rsidP="00D9610A">
            <w:pPr>
              <w:spacing w:before="40" w:after="40" w:line="240" w:lineRule="auto"/>
              <w:rPr>
                <w:rFonts w:cs="Arial"/>
                <w:sz w:val="18"/>
                <w:szCs w:val="18"/>
              </w:rPr>
            </w:pPr>
            <w:r w:rsidRPr="00BA5F0C">
              <w:rPr>
                <w:rFonts w:cs="Arial"/>
                <w:sz w:val="18"/>
                <w:szCs w:val="18"/>
              </w:rPr>
              <w:t>New item</w:t>
            </w:r>
          </w:p>
        </w:tc>
        <w:tc>
          <w:tcPr>
            <w:tcW w:w="3437" w:type="dxa"/>
          </w:tcPr>
          <w:p w14:paraId="439AFA1A" w14:textId="77777777" w:rsidR="00543D47" w:rsidRPr="00BA5F0C" w:rsidRDefault="00543D47" w:rsidP="00D9610A">
            <w:pPr>
              <w:spacing w:before="40" w:after="40" w:line="240" w:lineRule="auto"/>
              <w:ind w:left="57" w:right="57"/>
              <w:rPr>
                <w:sz w:val="18"/>
                <w:szCs w:val="18"/>
              </w:rPr>
            </w:pPr>
            <w:r w:rsidRPr="00BA5F0C">
              <w:rPr>
                <w:sz w:val="18"/>
                <w:szCs w:val="18"/>
              </w:rPr>
              <w:t>Item for specific antibody testing in patients with Graves’ disease.</w:t>
            </w:r>
          </w:p>
        </w:tc>
        <w:tc>
          <w:tcPr>
            <w:tcW w:w="3438" w:type="dxa"/>
          </w:tcPr>
          <w:p w14:paraId="2B7980A7" w14:textId="77777777" w:rsidR="00543D47" w:rsidRPr="00BA5F0C" w:rsidRDefault="00543D47" w:rsidP="00D9610A">
            <w:pPr>
              <w:spacing w:before="40" w:after="40" w:line="240" w:lineRule="auto"/>
              <w:rPr>
                <w:rFonts w:cs="Arial"/>
                <w:sz w:val="18"/>
                <w:szCs w:val="18"/>
              </w:rPr>
            </w:pPr>
            <w:r w:rsidRPr="00BA5F0C">
              <w:rPr>
                <w:rFonts w:cs="Arial"/>
                <w:sz w:val="18"/>
                <w:szCs w:val="18"/>
              </w:rPr>
              <w:t>Allows early identification of patients at high risk of recurrent hyperthyroidism.</w:t>
            </w:r>
          </w:p>
        </w:tc>
      </w:tr>
      <w:tr w:rsidR="00543D47" w:rsidRPr="00BA5F0C" w14:paraId="0FD7357D" w14:textId="77777777" w:rsidTr="00D9610A">
        <w:trPr>
          <w:cantSplit/>
        </w:trPr>
        <w:tc>
          <w:tcPr>
            <w:tcW w:w="851" w:type="dxa"/>
          </w:tcPr>
          <w:p w14:paraId="69F1B076"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71174</w:t>
            </w:r>
          </w:p>
        </w:tc>
        <w:tc>
          <w:tcPr>
            <w:tcW w:w="3437" w:type="dxa"/>
          </w:tcPr>
          <w:p w14:paraId="780B8D15"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Tests for thyroglobulin as well as thyroglobulin antibody for monitoring of patients with thyroid cancer. To a maximum of 2 of this </w:t>
            </w:r>
            <w:proofErr w:type="gramStart"/>
            <w:r w:rsidRPr="00BA5F0C">
              <w:rPr>
                <w:rFonts w:cs="Arial"/>
                <w:sz w:val="18"/>
                <w:szCs w:val="18"/>
              </w:rPr>
              <w:t>item</w:t>
            </w:r>
            <w:proofErr w:type="gramEnd"/>
            <w:r w:rsidRPr="00BA5F0C">
              <w:rPr>
                <w:rFonts w:cs="Arial"/>
                <w:sz w:val="18"/>
                <w:szCs w:val="18"/>
              </w:rPr>
              <w:t xml:space="preserve"> in a 12</w:t>
            </w:r>
            <w:r>
              <w:rPr>
                <w:rFonts w:cs="Arial"/>
                <w:sz w:val="18"/>
                <w:szCs w:val="18"/>
              </w:rPr>
              <w:t>-</w:t>
            </w:r>
            <w:r w:rsidRPr="00BA5F0C">
              <w:rPr>
                <w:rFonts w:cs="Arial"/>
                <w:sz w:val="18"/>
                <w:szCs w:val="18"/>
              </w:rPr>
              <w:t>month period (Item is subject to rule 25).</w:t>
            </w:r>
          </w:p>
        </w:tc>
        <w:tc>
          <w:tcPr>
            <w:tcW w:w="3438" w:type="dxa"/>
          </w:tcPr>
          <w:p w14:paraId="6E30663F" w14:textId="77777777" w:rsidR="00543D47" w:rsidRPr="00BA5F0C" w:rsidRDefault="00543D47" w:rsidP="00D9610A">
            <w:pPr>
              <w:spacing w:before="40" w:after="40" w:line="240" w:lineRule="auto"/>
              <w:rPr>
                <w:rFonts w:cs="Arial"/>
                <w:sz w:val="18"/>
                <w:szCs w:val="18"/>
              </w:rPr>
            </w:pPr>
            <w:r w:rsidRPr="00BA5F0C">
              <w:rPr>
                <w:rFonts w:cs="Arial"/>
                <w:sz w:val="18"/>
                <w:szCs w:val="18"/>
              </w:rPr>
              <w:t>New item</w:t>
            </w:r>
          </w:p>
        </w:tc>
        <w:tc>
          <w:tcPr>
            <w:tcW w:w="3437" w:type="dxa"/>
          </w:tcPr>
          <w:p w14:paraId="51CF7666" w14:textId="77777777" w:rsidR="00543D47" w:rsidRPr="00BA5F0C" w:rsidRDefault="00543D47" w:rsidP="00D9610A">
            <w:pPr>
              <w:spacing w:before="40" w:after="40" w:line="240" w:lineRule="auto"/>
              <w:ind w:left="57" w:right="57"/>
              <w:rPr>
                <w:sz w:val="18"/>
                <w:szCs w:val="18"/>
              </w:rPr>
            </w:pPr>
            <w:r w:rsidRPr="00BA5F0C">
              <w:rPr>
                <w:sz w:val="18"/>
                <w:szCs w:val="18"/>
              </w:rPr>
              <w:t>New item to be used only in patients with thyroid cancer.</w:t>
            </w:r>
          </w:p>
        </w:tc>
        <w:tc>
          <w:tcPr>
            <w:tcW w:w="3438" w:type="dxa"/>
          </w:tcPr>
          <w:p w14:paraId="1EFDF61B"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Allows better follow up of patients with thyroid cancer. </w:t>
            </w:r>
            <w:r>
              <w:rPr>
                <w:rFonts w:cs="Arial"/>
                <w:sz w:val="18"/>
                <w:szCs w:val="18"/>
              </w:rPr>
              <w:t>Thyroglobulin should only be measured in patients after thyroid cancer has been removed as a follow up marker. The antibody to thyroglobulin gives additional information as i</w:t>
            </w:r>
            <w:r w:rsidRPr="00BA5F0C">
              <w:rPr>
                <w:rFonts w:cs="Arial"/>
                <w:sz w:val="18"/>
                <w:szCs w:val="18"/>
              </w:rPr>
              <w:t xml:space="preserve">n some people </w:t>
            </w:r>
            <w:r>
              <w:rPr>
                <w:rFonts w:cs="Arial"/>
                <w:sz w:val="18"/>
                <w:szCs w:val="18"/>
              </w:rPr>
              <w:t xml:space="preserve">it </w:t>
            </w:r>
            <w:r w:rsidRPr="00BA5F0C">
              <w:rPr>
                <w:rFonts w:cs="Arial"/>
                <w:sz w:val="18"/>
                <w:szCs w:val="18"/>
              </w:rPr>
              <w:t>is responsible for giving false results of the tumour follow</w:t>
            </w:r>
            <w:r>
              <w:rPr>
                <w:rFonts w:cs="Arial"/>
                <w:sz w:val="18"/>
                <w:szCs w:val="18"/>
              </w:rPr>
              <w:t>-</w:t>
            </w:r>
            <w:r w:rsidRPr="00BA5F0C">
              <w:rPr>
                <w:rFonts w:cs="Arial"/>
                <w:sz w:val="18"/>
                <w:szCs w:val="18"/>
              </w:rPr>
              <w:t>up marker thyroglobulin.</w:t>
            </w:r>
          </w:p>
        </w:tc>
      </w:tr>
    </w:tbl>
    <w:p w14:paraId="4E2BC16B" w14:textId="77777777" w:rsidR="00543D47" w:rsidRPr="00BA5F0C" w:rsidRDefault="00543D47" w:rsidP="00543D47">
      <w:pPr>
        <w:spacing w:before="40" w:after="40" w:line="240" w:lineRule="auto"/>
        <w:rPr>
          <w:b/>
          <w:sz w:val="18"/>
          <w:szCs w:val="18"/>
        </w:rPr>
      </w:pPr>
    </w:p>
    <w:p w14:paraId="7FA80ADF" w14:textId="77777777" w:rsidR="00543D47" w:rsidRPr="00BA5F0C" w:rsidRDefault="00543D47" w:rsidP="00543D47">
      <w:pPr>
        <w:pStyle w:val="Caption"/>
        <w:rPr>
          <w:b/>
          <w:sz w:val="18"/>
          <w:szCs w:val="18"/>
        </w:rPr>
      </w:pPr>
      <w:bookmarkStart w:id="367" w:name="_Toc487753641"/>
      <w:bookmarkStart w:id="368" w:name="_Toc490651363"/>
      <w:bookmarkStart w:id="369" w:name="_Toc490756884"/>
      <w:bookmarkStart w:id="370" w:name="_Toc491341005"/>
      <w:bookmarkStart w:id="371" w:name="_Toc493598699"/>
      <w:bookmarkStart w:id="372" w:name="_Toc493599721"/>
      <w:bookmarkStart w:id="373" w:name="_Toc493599917"/>
      <w:bookmarkStart w:id="374" w:name="_Toc493687777"/>
      <w:bookmarkStart w:id="375" w:name="_Toc534374997"/>
      <w:r w:rsidRPr="00BA5F0C">
        <w:rPr>
          <w:b/>
          <w:i w:val="0"/>
          <w:sz w:val="18"/>
          <w:szCs w:val="18"/>
        </w:rPr>
        <w:lastRenderedPageBreak/>
        <w:t xml:space="preserve">Recommendation </w:t>
      </w:r>
      <w:r>
        <w:rPr>
          <w:b/>
          <w:i w:val="0"/>
          <w:sz w:val="18"/>
          <w:szCs w:val="18"/>
        </w:rPr>
        <w:t>19</w:t>
      </w:r>
      <w:r w:rsidRPr="00BA5F0C">
        <w:rPr>
          <w:b/>
          <w:i w:val="0"/>
          <w:sz w:val="18"/>
          <w:szCs w:val="18"/>
        </w:rPr>
        <w:t>: Lead: items 66665, 66666</w:t>
      </w:r>
      <w:bookmarkEnd w:id="367"/>
      <w:bookmarkEnd w:id="368"/>
      <w:bookmarkEnd w:id="369"/>
      <w:bookmarkEnd w:id="370"/>
      <w:bookmarkEnd w:id="371"/>
      <w:bookmarkEnd w:id="372"/>
      <w:bookmarkEnd w:id="373"/>
      <w:bookmarkEnd w:id="374"/>
      <w:bookmarkEnd w:id="375"/>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37"/>
        <w:gridCol w:w="3438"/>
        <w:gridCol w:w="3437"/>
        <w:gridCol w:w="3438"/>
      </w:tblGrid>
      <w:tr w:rsidR="00543D47" w:rsidRPr="00BA5F0C" w14:paraId="318DDF9B" w14:textId="77777777" w:rsidTr="00D9610A">
        <w:trPr>
          <w:cantSplit/>
          <w:tblHeader/>
        </w:trPr>
        <w:tc>
          <w:tcPr>
            <w:tcW w:w="851" w:type="dxa"/>
          </w:tcPr>
          <w:p w14:paraId="6CB6078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1E4B528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4AAAF850"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1C04F007"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047903A7"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446E1E9A" w14:textId="77777777" w:rsidTr="00D9610A">
        <w:trPr>
          <w:cantSplit/>
        </w:trPr>
        <w:tc>
          <w:tcPr>
            <w:tcW w:w="851" w:type="dxa"/>
          </w:tcPr>
          <w:p w14:paraId="2AC81128"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66665</w:t>
            </w:r>
          </w:p>
        </w:tc>
        <w:tc>
          <w:tcPr>
            <w:tcW w:w="3437" w:type="dxa"/>
          </w:tcPr>
          <w:p w14:paraId="5846E8D2" w14:textId="77777777" w:rsidR="00543D47" w:rsidRPr="00BA5F0C" w:rsidRDefault="00543D47" w:rsidP="00D9610A">
            <w:pPr>
              <w:spacing w:before="40" w:after="40" w:line="240" w:lineRule="auto"/>
              <w:rPr>
                <w:rFonts w:cs="Arial"/>
                <w:sz w:val="18"/>
                <w:szCs w:val="18"/>
              </w:rPr>
            </w:pPr>
            <w:r w:rsidRPr="00BA5F0C">
              <w:rPr>
                <w:color w:val="000000"/>
                <w:sz w:val="18"/>
                <w:szCs w:val="18"/>
              </w:rPr>
              <w:t>Measures lead in blood or urine (other than for occupational health screening purposes) to a maximum of 3 tests in a 6</w:t>
            </w:r>
            <w:r>
              <w:rPr>
                <w:color w:val="000000"/>
                <w:sz w:val="18"/>
                <w:szCs w:val="18"/>
              </w:rPr>
              <w:t>-</w:t>
            </w:r>
            <w:r w:rsidRPr="00BA5F0C">
              <w:rPr>
                <w:color w:val="000000"/>
                <w:sz w:val="18"/>
                <w:szCs w:val="18"/>
              </w:rPr>
              <w:t>month period - each test</w:t>
            </w:r>
          </w:p>
        </w:tc>
        <w:tc>
          <w:tcPr>
            <w:tcW w:w="3438" w:type="dxa"/>
          </w:tcPr>
          <w:p w14:paraId="335EB075"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52A44F1F" w14:textId="77777777" w:rsidR="00543D47" w:rsidRPr="00BA5F0C" w:rsidRDefault="00543D47" w:rsidP="00D9610A">
            <w:pPr>
              <w:spacing w:before="40" w:after="40" w:line="240" w:lineRule="auto"/>
              <w:rPr>
                <w:rFonts w:cs="Arial"/>
                <w:sz w:val="18"/>
                <w:szCs w:val="18"/>
              </w:rPr>
            </w:pPr>
          </w:p>
        </w:tc>
        <w:tc>
          <w:tcPr>
            <w:tcW w:w="3437" w:type="dxa"/>
          </w:tcPr>
          <w:p w14:paraId="047C3135"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38" w:type="dxa"/>
          </w:tcPr>
          <w:p w14:paraId="2B7862AC" w14:textId="77777777" w:rsidR="00543D47" w:rsidRPr="00BA5F0C" w:rsidRDefault="00543D47" w:rsidP="00D9610A">
            <w:pPr>
              <w:spacing w:before="40" w:after="40" w:line="240" w:lineRule="auto"/>
              <w:rPr>
                <w:rFonts w:cs="Arial"/>
                <w:sz w:val="18"/>
                <w:szCs w:val="18"/>
              </w:rPr>
            </w:pPr>
          </w:p>
        </w:tc>
      </w:tr>
      <w:tr w:rsidR="00543D47" w:rsidRPr="00BA5F0C" w14:paraId="771E5125" w14:textId="77777777" w:rsidTr="00D9610A">
        <w:trPr>
          <w:cantSplit/>
        </w:trPr>
        <w:tc>
          <w:tcPr>
            <w:tcW w:w="851" w:type="dxa"/>
          </w:tcPr>
          <w:p w14:paraId="4F98C3AD"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66666</w:t>
            </w:r>
          </w:p>
        </w:tc>
        <w:tc>
          <w:tcPr>
            <w:tcW w:w="3437" w:type="dxa"/>
          </w:tcPr>
          <w:p w14:paraId="3297937F" w14:textId="77777777" w:rsidR="00543D47" w:rsidRPr="00BA5F0C" w:rsidRDefault="00543D47" w:rsidP="00D9610A">
            <w:pPr>
              <w:spacing w:before="40" w:after="40" w:line="240" w:lineRule="auto"/>
              <w:rPr>
                <w:rFonts w:cs="Arial"/>
                <w:sz w:val="18"/>
                <w:szCs w:val="18"/>
              </w:rPr>
            </w:pPr>
            <w:r w:rsidRPr="00BA5F0C">
              <w:rPr>
                <w:color w:val="000000"/>
                <w:sz w:val="18"/>
                <w:szCs w:val="18"/>
              </w:rPr>
              <w:t>A test described in item 66665 if rendered by a receiving APP - 1 or more tests (Item is subject to rule 18)</w:t>
            </w:r>
          </w:p>
        </w:tc>
        <w:tc>
          <w:tcPr>
            <w:tcW w:w="3438" w:type="dxa"/>
          </w:tcPr>
          <w:p w14:paraId="7C024C32"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7F320AED" w14:textId="77777777" w:rsidR="00543D47" w:rsidRPr="00BA5F0C" w:rsidRDefault="00543D47" w:rsidP="00D9610A">
            <w:pPr>
              <w:spacing w:before="40" w:after="40" w:line="240" w:lineRule="auto"/>
              <w:ind w:left="57" w:right="57"/>
              <w:rPr>
                <w:sz w:val="18"/>
                <w:szCs w:val="18"/>
              </w:rPr>
            </w:pPr>
          </w:p>
        </w:tc>
        <w:tc>
          <w:tcPr>
            <w:tcW w:w="3438" w:type="dxa"/>
          </w:tcPr>
          <w:p w14:paraId="3DDA3489" w14:textId="77777777" w:rsidR="00543D47" w:rsidRPr="00BA5F0C" w:rsidRDefault="00543D47" w:rsidP="00D9610A">
            <w:pPr>
              <w:spacing w:before="40" w:after="40" w:line="240" w:lineRule="auto"/>
              <w:rPr>
                <w:rFonts w:cs="Arial"/>
                <w:sz w:val="18"/>
                <w:szCs w:val="18"/>
              </w:rPr>
            </w:pPr>
          </w:p>
        </w:tc>
      </w:tr>
    </w:tbl>
    <w:p w14:paraId="611BEF6D" w14:textId="77777777" w:rsidR="00543D47" w:rsidRPr="00BA5F0C" w:rsidRDefault="00543D47" w:rsidP="00543D47">
      <w:pPr>
        <w:spacing w:before="40" w:after="40" w:line="240" w:lineRule="auto"/>
        <w:rPr>
          <w:b/>
          <w:sz w:val="18"/>
          <w:szCs w:val="18"/>
        </w:rPr>
      </w:pPr>
    </w:p>
    <w:p w14:paraId="07BD1386" w14:textId="77777777" w:rsidR="00543D47" w:rsidRPr="00BA5F0C" w:rsidRDefault="00543D47" w:rsidP="00543D47">
      <w:pPr>
        <w:pStyle w:val="Caption"/>
        <w:rPr>
          <w:b/>
          <w:sz w:val="18"/>
          <w:szCs w:val="18"/>
        </w:rPr>
      </w:pPr>
      <w:bookmarkStart w:id="376" w:name="_Toc487753642"/>
      <w:bookmarkStart w:id="377" w:name="_Toc490651364"/>
      <w:bookmarkStart w:id="378" w:name="_Toc490756885"/>
      <w:bookmarkStart w:id="379" w:name="_Toc491341006"/>
      <w:bookmarkStart w:id="380" w:name="_Toc493598700"/>
      <w:bookmarkStart w:id="381" w:name="_Toc493599722"/>
      <w:bookmarkStart w:id="382" w:name="_Toc493599918"/>
      <w:bookmarkStart w:id="383" w:name="_Toc493687778"/>
      <w:bookmarkStart w:id="384" w:name="_Toc534374998"/>
      <w:r w:rsidRPr="00BA5F0C">
        <w:rPr>
          <w:b/>
          <w:i w:val="0"/>
          <w:sz w:val="18"/>
          <w:szCs w:val="18"/>
        </w:rPr>
        <w:t>Recommendation 2</w:t>
      </w:r>
      <w:r>
        <w:rPr>
          <w:b/>
          <w:i w:val="0"/>
          <w:sz w:val="18"/>
          <w:szCs w:val="18"/>
        </w:rPr>
        <w:t>0</w:t>
      </w:r>
      <w:r w:rsidRPr="00BA5F0C">
        <w:rPr>
          <w:b/>
          <w:i w:val="0"/>
          <w:sz w:val="18"/>
          <w:szCs w:val="18"/>
        </w:rPr>
        <w:t>: Zinc, aluminium, arsenic, beryllium, cadmium, chromium, gold, mercury, nickel, strontium, copper and iron: items 66667, 66671, 66825, 66826, 66827, 66828, 66831, 66832</w:t>
      </w:r>
      <w:bookmarkEnd w:id="376"/>
      <w:bookmarkEnd w:id="377"/>
      <w:bookmarkEnd w:id="378"/>
      <w:bookmarkEnd w:id="379"/>
      <w:bookmarkEnd w:id="380"/>
      <w:bookmarkEnd w:id="381"/>
      <w:bookmarkEnd w:id="382"/>
      <w:bookmarkEnd w:id="383"/>
      <w:bookmarkEnd w:id="384"/>
    </w:p>
    <w:tbl>
      <w:tblPr>
        <w:tblStyle w:val="TableGrid"/>
        <w:tblW w:w="14601"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37"/>
        <w:gridCol w:w="3438"/>
        <w:gridCol w:w="3437"/>
        <w:gridCol w:w="3438"/>
      </w:tblGrid>
      <w:tr w:rsidR="00543D47" w:rsidRPr="00BA5F0C" w14:paraId="253AB8AE" w14:textId="77777777" w:rsidTr="00D9610A">
        <w:trPr>
          <w:cantSplit/>
          <w:tblHeader/>
        </w:trPr>
        <w:tc>
          <w:tcPr>
            <w:tcW w:w="851" w:type="dxa"/>
          </w:tcPr>
          <w:p w14:paraId="7BA2B6D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37" w:type="dxa"/>
          </w:tcPr>
          <w:p w14:paraId="2C4E75E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38" w:type="dxa"/>
          </w:tcPr>
          <w:p w14:paraId="590D361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37" w:type="dxa"/>
          </w:tcPr>
          <w:p w14:paraId="6AE10C2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38" w:type="dxa"/>
          </w:tcPr>
          <w:p w14:paraId="569B7740"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6DEB4943" w14:textId="77777777" w:rsidTr="00D9610A">
        <w:trPr>
          <w:cantSplit/>
        </w:trPr>
        <w:tc>
          <w:tcPr>
            <w:tcW w:w="851" w:type="dxa"/>
          </w:tcPr>
          <w:p w14:paraId="58CBAA4D"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66667</w:t>
            </w:r>
          </w:p>
        </w:tc>
        <w:tc>
          <w:tcPr>
            <w:tcW w:w="3437" w:type="dxa"/>
            <w:vAlign w:val="bottom"/>
          </w:tcPr>
          <w:p w14:paraId="18512391"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Measures serum zinc in a patient receiving intravenous alimentation - each test</w:t>
            </w:r>
          </w:p>
        </w:tc>
        <w:tc>
          <w:tcPr>
            <w:tcW w:w="3438" w:type="dxa"/>
          </w:tcPr>
          <w:p w14:paraId="7BCE321C"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30656478" w14:textId="77777777" w:rsidR="00543D47" w:rsidRPr="00BA5F0C" w:rsidRDefault="00543D47" w:rsidP="00D9610A">
            <w:pPr>
              <w:spacing w:before="40" w:after="40" w:line="240" w:lineRule="auto"/>
              <w:rPr>
                <w:rFonts w:cs="Arial"/>
                <w:sz w:val="18"/>
                <w:szCs w:val="18"/>
              </w:rPr>
            </w:pPr>
          </w:p>
        </w:tc>
        <w:tc>
          <w:tcPr>
            <w:tcW w:w="3437" w:type="dxa"/>
          </w:tcPr>
          <w:p w14:paraId="3CCC12A8"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38" w:type="dxa"/>
          </w:tcPr>
          <w:p w14:paraId="7BF4804F" w14:textId="77777777" w:rsidR="00543D47" w:rsidRPr="00BA5F0C" w:rsidRDefault="00543D47" w:rsidP="00D9610A">
            <w:pPr>
              <w:spacing w:before="40" w:after="40" w:line="240" w:lineRule="auto"/>
              <w:rPr>
                <w:rFonts w:cs="Arial"/>
                <w:sz w:val="18"/>
                <w:szCs w:val="18"/>
              </w:rPr>
            </w:pPr>
          </w:p>
        </w:tc>
      </w:tr>
      <w:tr w:rsidR="00543D47" w:rsidRPr="00BA5F0C" w14:paraId="2A00032C" w14:textId="77777777" w:rsidTr="00D9610A">
        <w:trPr>
          <w:cantSplit/>
        </w:trPr>
        <w:tc>
          <w:tcPr>
            <w:tcW w:w="851" w:type="dxa"/>
          </w:tcPr>
          <w:p w14:paraId="76668533"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66671</w:t>
            </w:r>
          </w:p>
        </w:tc>
        <w:tc>
          <w:tcPr>
            <w:tcW w:w="3437" w:type="dxa"/>
            <w:vAlign w:val="bottom"/>
          </w:tcPr>
          <w:p w14:paraId="5610EB17"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Measures serum aluminium in a patient in a renal dialysis program - each test</w:t>
            </w:r>
          </w:p>
        </w:tc>
        <w:tc>
          <w:tcPr>
            <w:tcW w:w="3438" w:type="dxa"/>
          </w:tcPr>
          <w:p w14:paraId="6217AB0B"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4109AF18" w14:textId="77777777" w:rsidR="00543D47" w:rsidRPr="00BA5F0C" w:rsidRDefault="00543D47" w:rsidP="00D9610A">
            <w:pPr>
              <w:spacing w:before="40" w:after="40" w:line="240" w:lineRule="auto"/>
              <w:ind w:left="57" w:right="57"/>
              <w:rPr>
                <w:sz w:val="18"/>
                <w:szCs w:val="18"/>
              </w:rPr>
            </w:pPr>
          </w:p>
        </w:tc>
        <w:tc>
          <w:tcPr>
            <w:tcW w:w="3438" w:type="dxa"/>
          </w:tcPr>
          <w:p w14:paraId="2B8F0D5A" w14:textId="77777777" w:rsidR="00543D47" w:rsidRPr="00BA5F0C" w:rsidRDefault="00543D47" w:rsidP="00D9610A">
            <w:pPr>
              <w:spacing w:before="40" w:after="40" w:line="240" w:lineRule="auto"/>
              <w:rPr>
                <w:rFonts w:cs="Arial"/>
                <w:sz w:val="18"/>
                <w:szCs w:val="18"/>
              </w:rPr>
            </w:pPr>
          </w:p>
        </w:tc>
      </w:tr>
      <w:tr w:rsidR="00543D47" w:rsidRPr="00BA5F0C" w14:paraId="25224656" w14:textId="77777777" w:rsidTr="00D9610A">
        <w:trPr>
          <w:cantSplit/>
        </w:trPr>
        <w:tc>
          <w:tcPr>
            <w:tcW w:w="851" w:type="dxa"/>
          </w:tcPr>
          <w:p w14:paraId="5D8681C7"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66825</w:t>
            </w:r>
          </w:p>
        </w:tc>
        <w:tc>
          <w:tcPr>
            <w:tcW w:w="3437" w:type="dxa"/>
          </w:tcPr>
          <w:p w14:paraId="0C2DA47C"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 xml:space="preserve">Measures aluminium (except if item 66671 applies), arsenic, beryllium, cadmium, chromium, gold, mercury, nickel, or strontium, in blood, urine or other body fluid or tissue - 1 test. To a maximum of 3 of this </w:t>
            </w:r>
            <w:proofErr w:type="gramStart"/>
            <w:r w:rsidRPr="00BA5F0C">
              <w:rPr>
                <w:rFonts w:ascii="Calibri" w:hAnsi="Calibri"/>
                <w:color w:val="000000"/>
                <w:sz w:val="18"/>
                <w:szCs w:val="18"/>
              </w:rPr>
              <w:t>item</w:t>
            </w:r>
            <w:proofErr w:type="gramEnd"/>
            <w:r w:rsidRPr="00BA5F0C">
              <w:rPr>
                <w:rFonts w:ascii="Calibri" w:hAnsi="Calibri"/>
                <w:color w:val="000000"/>
                <w:sz w:val="18"/>
                <w:szCs w:val="18"/>
              </w:rPr>
              <w:t xml:space="preserve"> in a </w:t>
            </w:r>
            <w:r>
              <w:rPr>
                <w:rFonts w:ascii="Calibri" w:hAnsi="Calibri"/>
                <w:color w:val="000000"/>
                <w:sz w:val="18"/>
                <w:szCs w:val="18"/>
              </w:rPr>
              <w:t>6-month period</w:t>
            </w:r>
            <w:r w:rsidRPr="00BA5F0C">
              <w:rPr>
                <w:rFonts w:ascii="Calibri" w:hAnsi="Calibri"/>
                <w:color w:val="000000"/>
                <w:sz w:val="18"/>
                <w:szCs w:val="18"/>
              </w:rPr>
              <w:t xml:space="preserve"> (Item is subject to rule</w:t>
            </w:r>
            <w:r>
              <w:rPr>
                <w:rFonts w:ascii="Calibri" w:hAnsi="Calibri"/>
                <w:color w:val="000000"/>
                <w:sz w:val="18"/>
                <w:szCs w:val="18"/>
              </w:rPr>
              <w:t>s</w:t>
            </w:r>
            <w:r w:rsidRPr="00BA5F0C">
              <w:rPr>
                <w:rFonts w:ascii="Calibri" w:hAnsi="Calibri"/>
                <w:color w:val="000000"/>
                <w:sz w:val="18"/>
                <w:szCs w:val="18"/>
              </w:rPr>
              <w:t xml:space="preserve"> 6, 22 and 25)</w:t>
            </w:r>
          </w:p>
        </w:tc>
        <w:tc>
          <w:tcPr>
            <w:tcW w:w="3438" w:type="dxa"/>
          </w:tcPr>
          <w:p w14:paraId="4E0BDFD2"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38964CA9" w14:textId="77777777" w:rsidR="00543D47" w:rsidRPr="00BA5F0C" w:rsidRDefault="00543D47" w:rsidP="00D9610A">
            <w:pPr>
              <w:spacing w:before="40" w:after="40" w:line="240" w:lineRule="auto"/>
              <w:rPr>
                <w:rFonts w:cs="Arial"/>
                <w:sz w:val="18"/>
                <w:szCs w:val="18"/>
              </w:rPr>
            </w:pPr>
          </w:p>
        </w:tc>
        <w:tc>
          <w:tcPr>
            <w:tcW w:w="3437" w:type="dxa"/>
          </w:tcPr>
          <w:p w14:paraId="7907D345" w14:textId="77777777" w:rsidR="00543D47" w:rsidRPr="00BA5F0C" w:rsidRDefault="00543D47" w:rsidP="00D9610A">
            <w:pPr>
              <w:spacing w:before="40" w:after="40" w:line="240" w:lineRule="auto"/>
              <w:ind w:left="57" w:right="57"/>
              <w:rPr>
                <w:sz w:val="18"/>
                <w:szCs w:val="18"/>
              </w:rPr>
            </w:pPr>
          </w:p>
        </w:tc>
        <w:tc>
          <w:tcPr>
            <w:tcW w:w="3438" w:type="dxa"/>
          </w:tcPr>
          <w:p w14:paraId="3C410324" w14:textId="77777777" w:rsidR="00543D47" w:rsidRPr="00BA5F0C" w:rsidRDefault="00543D47" w:rsidP="00D9610A">
            <w:pPr>
              <w:spacing w:before="40" w:after="40" w:line="240" w:lineRule="auto"/>
              <w:rPr>
                <w:rFonts w:cs="Arial"/>
                <w:sz w:val="18"/>
                <w:szCs w:val="18"/>
              </w:rPr>
            </w:pPr>
          </w:p>
        </w:tc>
      </w:tr>
      <w:tr w:rsidR="00543D47" w:rsidRPr="00BA5F0C" w14:paraId="18373C12" w14:textId="77777777" w:rsidTr="00D9610A">
        <w:trPr>
          <w:cantSplit/>
        </w:trPr>
        <w:tc>
          <w:tcPr>
            <w:tcW w:w="851" w:type="dxa"/>
          </w:tcPr>
          <w:p w14:paraId="2EF104F2"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66826</w:t>
            </w:r>
          </w:p>
        </w:tc>
        <w:tc>
          <w:tcPr>
            <w:tcW w:w="3437" w:type="dxa"/>
          </w:tcPr>
          <w:p w14:paraId="6F577820"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 xml:space="preserve">A test described in item 66825 if rendered by a receiving APP where no tests have been rendered by the referring APP - 1 </w:t>
            </w:r>
            <w:proofErr w:type="gramStart"/>
            <w:r w:rsidRPr="00BA5F0C">
              <w:rPr>
                <w:rFonts w:ascii="Calibri" w:hAnsi="Calibri"/>
                <w:color w:val="000000"/>
                <w:sz w:val="18"/>
                <w:szCs w:val="18"/>
              </w:rPr>
              <w:t>test(</w:t>
            </w:r>
            <w:proofErr w:type="gramEnd"/>
            <w:r w:rsidRPr="00BA5F0C">
              <w:rPr>
                <w:rFonts w:ascii="Calibri" w:hAnsi="Calibri"/>
                <w:color w:val="000000"/>
                <w:sz w:val="18"/>
                <w:szCs w:val="18"/>
              </w:rPr>
              <w:t>Item is subject to rules 6, 18, 22 and 25 )</w:t>
            </w:r>
          </w:p>
        </w:tc>
        <w:tc>
          <w:tcPr>
            <w:tcW w:w="3438" w:type="dxa"/>
          </w:tcPr>
          <w:p w14:paraId="09A85705"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1A1F03CE" w14:textId="77777777" w:rsidR="00543D47" w:rsidRPr="00BA5F0C" w:rsidRDefault="00543D47" w:rsidP="00D9610A">
            <w:pPr>
              <w:spacing w:before="40" w:after="40" w:line="240" w:lineRule="auto"/>
              <w:ind w:left="57" w:right="57"/>
              <w:rPr>
                <w:sz w:val="18"/>
                <w:szCs w:val="18"/>
              </w:rPr>
            </w:pPr>
          </w:p>
        </w:tc>
        <w:tc>
          <w:tcPr>
            <w:tcW w:w="3438" w:type="dxa"/>
          </w:tcPr>
          <w:p w14:paraId="32E1B706" w14:textId="77777777" w:rsidR="00543D47" w:rsidRPr="00BA5F0C" w:rsidRDefault="00543D47" w:rsidP="00D9610A">
            <w:pPr>
              <w:spacing w:before="40" w:after="40" w:line="240" w:lineRule="auto"/>
              <w:rPr>
                <w:rFonts w:cs="Arial"/>
                <w:sz w:val="18"/>
                <w:szCs w:val="18"/>
              </w:rPr>
            </w:pPr>
          </w:p>
        </w:tc>
      </w:tr>
      <w:tr w:rsidR="00543D47" w:rsidRPr="00BA5F0C" w14:paraId="4C0A04BD" w14:textId="77777777" w:rsidTr="00D9610A">
        <w:trPr>
          <w:cantSplit/>
        </w:trPr>
        <w:tc>
          <w:tcPr>
            <w:tcW w:w="851" w:type="dxa"/>
          </w:tcPr>
          <w:p w14:paraId="1A083EAE"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66827</w:t>
            </w:r>
          </w:p>
        </w:tc>
        <w:tc>
          <w:tcPr>
            <w:tcW w:w="3437" w:type="dxa"/>
          </w:tcPr>
          <w:p w14:paraId="49595F45"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A test described in item 66825, other than that described in 66826, if rendered by a receiving APP</w:t>
            </w:r>
            <w:r>
              <w:rPr>
                <w:rFonts w:ascii="Calibri" w:hAnsi="Calibri"/>
                <w:color w:val="000000"/>
                <w:sz w:val="18"/>
                <w:szCs w:val="18"/>
              </w:rPr>
              <w:t xml:space="preserve"> </w:t>
            </w:r>
            <w:r w:rsidRPr="00BA5F0C">
              <w:rPr>
                <w:rFonts w:ascii="Calibri" w:hAnsi="Calibri"/>
                <w:color w:val="000000"/>
                <w:sz w:val="18"/>
                <w:szCs w:val="18"/>
              </w:rPr>
              <w:t xml:space="preserve">to a maximum of 1 </w:t>
            </w:r>
            <w:proofErr w:type="gramStart"/>
            <w:r w:rsidRPr="00BA5F0C">
              <w:rPr>
                <w:rFonts w:ascii="Calibri" w:hAnsi="Calibri"/>
                <w:color w:val="000000"/>
                <w:sz w:val="18"/>
                <w:szCs w:val="18"/>
              </w:rPr>
              <w:t>test(</w:t>
            </w:r>
            <w:proofErr w:type="gramEnd"/>
            <w:r w:rsidRPr="00BA5F0C">
              <w:rPr>
                <w:rFonts w:ascii="Calibri" w:hAnsi="Calibri"/>
                <w:color w:val="000000"/>
                <w:sz w:val="18"/>
                <w:szCs w:val="18"/>
              </w:rPr>
              <w:t>Item is subject to rules 6, 18, 22 and 25)</w:t>
            </w:r>
          </w:p>
        </w:tc>
        <w:tc>
          <w:tcPr>
            <w:tcW w:w="3438" w:type="dxa"/>
          </w:tcPr>
          <w:p w14:paraId="04A8AD8A"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561647F2" w14:textId="77777777" w:rsidR="00543D47" w:rsidRPr="00BA5F0C" w:rsidRDefault="00543D47" w:rsidP="00D9610A">
            <w:pPr>
              <w:spacing w:before="40" w:after="40" w:line="240" w:lineRule="auto"/>
              <w:rPr>
                <w:rFonts w:cs="Arial"/>
                <w:sz w:val="18"/>
                <w:szCs w:val="18"/>
              </w:rPr>
            </w:pPr>
          </w:p>
        </w:tc>
        <w:tc>
          <w:tcPr>
            <w:tcW w:w="3437" w:type="dxa"/>
          </w:tcPr>
          <w:p w14:paraId="2FD2ED53" w14:textId="77777777" w:rsidR="00543D47" w:rsidRPr="00BA5F0C" w:rsidRDefault="00543D47" w:rsidP="00D9610A">
            <w:pPr>
              <w:spacing w:before="40" w:after="40" w:line="240" w:lineRule="auto"/>
              <w:ind w:left="57" w:right="57"/>
              <w:rPr>
                <w:sz w:val="18"/>
                <w:szCs w:val="18"/>
              </w:rPr>
            </w:pPr>
          </w:p>
        </w:tc>
        <w:tc>
          <w:tcPr>
            <w:tcW w:w="3438" w:type="dxa"/>
          </w:tcPr>
          <w:p w14:paraId="49E75DE5" w14:textId="77777777" w:rsidR="00543D47" w:rsidRPr="00BA5F0C" w:rsidRDefault="00543D47" w:rsidP="00D9610A">
            <w:pPr>
              <w:spacing w:before="40" w:after="40" w:line="240" w:lineRule="auto"/>
              <w:rPr>
                <w:rFonts w:cs="Arial"/>
                <w:sz w:val="18"/>
                <w:szCs w:val="18"/>
              </w:rPr>
            </w:pPr>
          </w:p>
        </w:tc>
      </w:tr>
      <w:tr w:rsidR="00543D47" w:rsidRPr="00BA5F0C" w14:paraId="0E537F37" w14:textId="77777777" w:rsidTr="00D9610A">
        <w:trPr>
          <w:cantSplit/>
        </w:trPr>
        <w:tc>
          <w:tcPr>
            <w:tcW w:w="851" w:type="dxa"/>
          </w:tcPr>
          <w:p w14:paraId="3764ABBD"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lastRenderedPageBreak/>
              <w:t>66828</w:t>
            </w:r>
          </w:p>
        </w:tc>
        <w:tc>
          <w:tcPr>
            <w:tcW w:w="3437" w:type="dxa"/>
          </w:tcPr>
          <w:p w14:paraId="2C1D4CC6"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 xml:space="preserve">Measures aluminium (except if item 66671 applies), arsenic, beryllium, cadmium, chromium, gold, mercury, nickel, or strontium, in blood, urine or other body fluid or tissue - 2 or more tests. to a maximum of 3 of this </w:t>
            </w:r>
            <w:proofErr w:type="gramStart"/>
            <w:r w:rsidRPr="00BA5F0C">
              <w:rPr>
                <w:rFonts w:ascii="Calibri" w:hAnsi="Calibri"/>
                <w:color w:val="000000"/>
                <w:sz w:val="18"/>
                <w:szCs w:val="18"/>
              </w:rPr>
              <w:t>item</w:t>
            </w:r>
            <w:proofErr w:type="gramEnd"/>
            <w:r w:rsidRPr="00BA5F0C">
              <w:rPr>
                <w:rFonts w:ascii="Calibri" w:hAnsi="Calibri"/>
                <w:color w:val="000000"/>
                <w:sz w:val="18"/>
                <w:szCs w:val="18"/>
              </w:rPr>
              <w:t xml:space="preserve"> in a </w:t>
            </w:r>
            <w:r>
              <w:rPr>
                <w:rFonts w:ascii="Calibri" w:hAnsi="Calibri"/>
                <w:color w:val="000000"/>
                <w:sz w:val="18"/>
                <w:szCs w:val="18"/>
              </w:rPr>
              <w:t>6-month period</w:t>
            </w:r>
            <w:r w:rsidRPr="00BA5F0C">
              <w:rPr>
                <w:rFonts w:ascii="Calibri" w:hAnsi="Calibri"/>
                <w:color w:val="000000"/>
                <w:sz w:val="18"/>
                <w:szCs w:val="18"/>
              </w:rPr>
              <w:t xml:space="preserve"> (Item is subject to rule</w:t>
            </w:r>
            <w:r>
              <w:rPr>
                <w:rFonts w:ascii="Calibri" w:hAnsi="Calibri"/>
                <w:color w:val="000000"/>
                <w:sz w:val="18"/>
                <w:szCs w:val="18"/>
              </w:rPr>
              <w:t>s</w:t>
            </w:r>
            <w:r w:rsidRPr="00BA5F0C">
              <w:rPr>
                <w:rFonts w:ascii="Calibri" w:hAnsi="Calibri"/>
                <w:color w:val="000000"/>
                <w:sz w:val="18"/>
                <w:szCs w:val="18"/>
              </w:rPr>
              <w:t xml:space="preserve"> 6, 22 and 25)</w:t>
            </w:r>
          </w:p>
        </w:tc>
        <w:tc>
          <w:tcPr>
            <w:tcW w:w="3438" w:type="dxa"/>
          </w:tcPr>
          <w:p w14:paraId="7B171CF8"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40BF5C84" w14:textId="77777777" w:rsidR="00543D47" w:rsidRPr="00BA5F0C" w:rsidRDefault="00543D47" w:rsidP="00D9610A">
            <w:pPr>
              <w:spacing w:before="40" w:after="40" w:line="240" w:lineRule="auto"/>
              <w:ind w:left="57" w:right="57"/>
              <w:rPr>
                <w:sz w:val="18"/>
                <w:szCs w:val="18"/>
              </w:rPr>
            </w:pPr>
          </w:p>
        </w:tc>
        <w:tc>
          <w:tcPr>
            <w:tcW w:w="3438" w:type="dxa"/>
          </w:tcPr>
          <w:p w14:paraId="084D08B3" w14:textId="77777777" w:rsidR="00543D47" w:rsidRPr="00BA5F0C" w:rsidRDefault="00543D47" w:rsidP="00D9610A">
            <w:pPr>
              <w:spacing w:before="40" w:after="40" w:line="240" w:lineRule="auto"/>
              <w:rPr>
                <w:rFonts w:cs="Arial"/>
                <w:sz w:val="18"/>
                <w:szCs w:val="18"/>
              </w:rPr>
            </w:pPr>
          </w:p>
        </w:tc>
      </w:tr>
      <w:tr w:rsidR="00543D47" w:rsidRPr="00BA5F0C" w14:paraId="1209AED8" w14:textId="77777777" w:rsidTr="00D9610A">
        <w:trPr>
          <w:cantSplit/>
        </w:trPr>
        <w:tc>
          <w:tcPr>
            <w:tcW w:w="851" w:type="dxa"/>
          </w:tcPr>
          <w:p w14:paraId="34441FB2"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66831</w:t>
            </w:r>
          </w:p>
        </w:tc>
        <w:tc>
          <w:tcPr>
            <w:tcW w:w="3437" w:type="dxa"/>
          </w:tcPr>
          <w:p w14:paraId="3480CAC7"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Measures copper or iron in liver tissue biopsy</w:t>
            </w:r>
          </w:p>
        </w:tc>
        <w:tc>
          <w:tcPr>
            <w:tcW w:w="3438" w:type="dxa"/>
          </w:tcPr>
          <w:p w14:paraId="4BF00956"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p w14:paraId="52A3084D" w14:textId="77777777" w:rsidR="00543D47" w:rsidRPr="00BA5F0C" w:rsidRDefault="00543D47" w:rsidP="00D9610A">
            <w:pPr>
              <w:spacing w:before="40" w:after="40" w:line="240" w:lineRule="auto"/>
              <w:rPr>
                <w:rFonts w:cs="Arial"/>
                <w:sz w:val="18"/>
                <w:szCs w:val="18"/>
              </w:rPr>
            </w:pPr>
          </w:p>
        </w:tc>
        <w:tc>
          <w:tcPr>
            <w:tcW w:w="3437" w:type="dxa"/>
          </w:tcPr>
          <w:p w14:paraId="53824691" w14:textId="77777777" w:rsidR="00543D47" w:rsidRPr="00BA5F0C" w:rsidRDefault="00543D47" w:rsidP="00D9610A">
            <w:pPr>
              <w:spacing w:before="40" w:after="40" w:line="240" w:lineRule="auto"/>
              <w:ind w:left="57" w:right="57"/>
              <w:rPr>
                <w:sz w:val="18"/>
                <w:szCs w:val="18"/>
              </w:rPr>
            </w:pPr>
          </w:p>
        </w:tc>
        <w:tc>
          <w:tcPr>
            <w:tcW w:w="3438" w:type="dxa"/>
          </w:tcPr>
          <w:p w14:paraId="47DA0549" w14:textId="77777777" w:rsidR="00543D47" w:rsidRPr="00BA5F0C" w:rsidRDefault="00543D47" w:rsidP="00D9610A">
            <w:pPr>
              <w:spacing w:before="40" w:after="40" w:line="240" w:lineRule="auto"/>
              <w:rPr>
                <w:rFonts w:cs="Arial"/>
                <w:sz w:val="18"/>
                <w:szCs w:val="18"/>
              </w:rPr>
            </w:pPr>
          </w:p>
        </w:tc>
      </w:tr>
      <w:tr w:rsidR="00543D47" w:rsidRPr="00BA5F0C" w14:paraId="44DD1C64" w14:textId="77777777" w:rsidTr="00D9610A">
        <w:trPr>
          <w:cantSplit/>
        </w:trPr>
        <w:tc>
          <w:tcPr>
            <w:tcW w:w="851" w:type="dxa"/>
          </w:tcPr>
          <w:p w14:paraId="18854879"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66832</w:t>
            </w:r>
          </w:p>
        </w:tc>
        <w:tc>
          <w:tcPr>
            <w:tcW w:w="3437" w:type="dxa"/>
          </w:tcPr>
          <w:p w14:paraId="4C39FFAE"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A test described in item 66831 if rendered by a receiving app (item is subject to rule 18a and 22)</w:t>
            </w:r>
          </w:p>
        </w:tc>
        <w:tc>
          <w:tcPr>
            <w:tcW w:w="3438" w:type="dxa"/>
          </w:tcPr>
          <w:p w14:paraId="6812991D" w14:textId="77777777" w:rsidR="00543D47" w:rsidRPr="00BA5F0C" w:rsidRDefault="00543D47" w:rsidP="00D9610A">
            <w:pPr>
              <w:spacing w:before="40" w:after="40" w:line="240" w:lineRule="auto"/>
              <w:rPr>
                <w:rFonts w:cs="Arial"/>
                <w:sz w:val="18"/>
                <w:szCs w:val="18"/>
              </w:rPr>
            </w:pPr>
            <w:r w:rsidRPr="00BA5F0C">
              <w:rPr>
                <w:rFonts w:cs="Arial"/>
                <w:sz w:val="18"/>
                <w:szCs w:val="18"/>
              </w:rPr>
              <w:t>No change</w:t>
            </w:r>
          </w:p>
        </w:tc>
        <w:tc>
          <w:tcPr>
            <w:tcW w:w="3437" w:type="dxa"/>
          </w:tcPr>
          <w:p w14:paraId="2C88E4BF" w14:textId="77777777" w:rsidR="00543D47" w:rsidRPr="00BA5F0C" w:rsidRDefault="00543D47" w:rsidP="00D9610A">
            <w:pPr>
              <w:spacing w:before="40" w:after="40" w:line="240" w:lineRule="auto"/>
              <w:ind w:left="57" w:right="57"/>
              <w:rPr>
                <w:sz w:val="18"/>
                <w:szCs w:val="18"/>
              </w:rPr>
            </w:pPr>
          </w:p>
        </w:tc>
        <w:tc>
          <w:tcPr>
            <w:tcW w:w="3438" w:type="dxa"/>
          </w:tcPr>
          <w:p w14:paraId="1ABC4CDB" w14:textId="77777777" w:rsidR="00543D47" w:rsidRPr="00BA5F0C" w:rsidRDefault="00543D47" w:rsidP="00D9610A">
            <w:pPr>
              <w:spacing w:before="40" w:after="40" w:line="240" w:lineRule="auto"/>
              <w:rPr>
                <w:rFonts w:cs="Arial"/>
                <w:sz w:val="18"/>
                <w:szCs w:val="18"/>
              </w:rPr>
            </w:pPr>
          </w:p>
        </w:tc>
      </w:tr>
    </w:tbl>
    <w:p w14:paraId="7196EFF5" w14:textId="77777777" w:rsidR="00543D47" w:rsidRPr="00BA5F0C" w:rsidRDefault="00543D47" w:rsidP="00543D47">
      <w:pPr>
        <w:spacing w:before="40" w:after="40" w:line="240" w:lineRule="auto"/>
        <w:rPr>
          <w:b/>
          <w:sz w:val="18"/>
          <w:szCs w:val="18"/>
        </w:rPr>
      </w:pPr>
    </w:p>
    <w:p w14:paraId="46807CB8" w14:textId="77777777" w:rsidR="00543D47" w:rsidRPr="00BA5F0C" w:rsidRDefault="00543D47" w:rsidP="00543D47">
      <w:pPr>
        <w:pStyle w:val="Caption"/>
        <w:rPr>
          <w:b/>
          <w:sz w:val="18"/>
          <w:szCs w:val="18"/>
        </w:rPr>
      </w:pPr>
      <w:bookmarkStart w:id="385" w:name="_Toc487753643"/>
      <w:bookmarkStart w:id="386" w:name="_Toc490651365"/>
      <w:bookmarkStart w:id="387" w:name="_Toc490756886"/>
      <w:bookmarkStart w:id="388" w:name="_Toc491341007"/>
      <w:bookmarkStart w:id="389" w:name="_Toc493598701"/>
      <w:bookmarkStart w:id="390" w:name="_Toc493599723"/>
      <w:bookmarkStart w:id="391" w:name="_Toc493599919"/>
      <w:bookmarkStart w:id="392" w:name="_Toc493687779"/>
      <w:bookmarkStart w:id="393" w:name="_Toc534374999"/>
      <w:r w:rsidRPr="00BA5F0C">
        <w:rPr>
          <w:b/>
          <w:i w:val="0"/>
          <w:sz w:val="18"/>
          <w:szCs w:val="18"/>
        </w:rPr>
        <w:t>Recommendation 2</w:t>
      </w:r>
      <w:r>
        <w:rPr>
          <w:b/>
          <w:i w:val="0"/>
          <w:sz w:val="18"/>
          <w:szCs w:val="18"/>
        </w:rPr>
        <w:t>1</w:t>
      </w:r>
      <w:r w:rsidRPr="00BA5F0C">
        <w:rPr>
          <w:b/>
          <w:i w:val="0"/>
          <w:sz w:val="18"/>
          <w:szCs w:val="18"/>
        </w:rPr>
        <w:t>: Copper, manganese, selenium or zinc: items 66819, 66820, 66821, 66822</w:t>
      </w:r>
      <w:bookmarkEnd w:id="385"/>
      <w:bookmarkEnd w:id="386"/>
      <w:bookmarkEnd w:id="387"/>
      <w:bookmarkEnd w:id="388"/>
      <w:bookmarkEnd w:id="389"/>
      <w:bookmarkEnd w:id="390"/>
      <w:bookmarkEnd w:id="391"/>
      <w:bookmarkEnd w:id="392"/>
      <w:bookmarkEnd w:id="393"/>
    </w:p>
    <w:tbl>
      <w:tblPr>
        <w:tblStyle w:val="TableGrid"/>
        <w:tblW w:w="1445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02"/>
        <w:gridCol w:w="3402"/>
        <w:gridCol w:w="3402"/>
        <w:gridCol w:w="3402"/>
      </w:tblGrid>
      <w:tr w:rsidR="00543D47" w:rsidRPr="00BA5F0C" w14:paraId="4603BE87" w14:textId="77777777" w:rsidTr="00D9610A">
        <w:trPr>
          <w:cantSplit/>
          <w:tblHeader/>
        </w:trPr>
        <w:tc>
          <w:tcPr>
            <w:tcW w:w="851" w:type="dxa"/>
          </w:tcPr>
          <w:p w14:paraId="4A3D7C47"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33D59D0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24F65C0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1A3558C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0B9AA049"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30C2A2F0" w14:textId="77777777" w:rsidTr="00D9610A">
        <w:trPr>
          <w:cantSplit/>
        </w:trPr>
        <w:tc>
          <w:tcPr>
            <w:tcW w:w="851" w:type="dxa"/>
          </w:tcPr>
          <w:p w14:paraId="18B108C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66819</w:t>
            </w:r>
          </w:p>
        </w:tc>
        <w:tc>
          <w:tcPr>
            <w:tcW w:w="3402" w:type="dxa"/>
          </w:tcPr>
          <w:p w14:paraId="5AA98112"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Measures copper, manganese, selenium, or zinc (except if item 66667 applies), in blood, urine or other body fluid - 1 test (Item is subject to rule</w:t>
            </w:r>
            <w:r>
              <w:rPr>
                <w:rFonts w:ascii="Calibri" w:hAnsi="Calibri"/>
                <w:color w:val="000000"/>
                <w:sz w:val="18"/>
                <w:szCs w:val="18"/>
              </w:rPr>
              <w:t>s</w:t>
            </w:r>
            <w:r w:rsidRPr="00BA5F0C">
              <w:rPr>
                <w:rFonts w:ascii="Calibri" w:hAnsi="Calibri"/>
                <w:color w:val="000000"/>
                <w:sz w:val="18"/>
                <w:szCs w:val="18"/>
              </w:rPr>
              <w:t xml:space="preserve"> 6, 22 and 25)</w:t>
            </w:r>
          </w:p>
        </w:tc>
        <w:tc>
          <w:tcPr>
            <w:tcW w:w="3402" w:type="dxa"/>
          </w:tcPr>
          <w:p w14:paraId="33C968C8" w14:textId="77777777" w:rsidR="00543D47" w:rsidRPr="00BA5F0C" w:rsidRDefault="00543D47" w:rsidP="00D9610A">
            <w:pPr>
              <w:spacing w:before="40" w:after="40" w:line="240" w:lineRule="auto"/>
              <w:rPr>
                <w:rFonts w:ascii="Calibri" w:hAnsi="Calibri"/>
                <w:color w:val="000000"/>
                <w:sz w:val="18"/>
                <w:szCs w:val="18"/>
              </w:rPr>
            </w:pPr>
            <w:r w:rsidRPr="00BA5F0C">
              <w:rPr>
                <w:rFonts w:ascii="Calibri" w:hAnsi="Calibri"/>
                <w:color w:val="000000"/>
                <w:sz w:val="18"/>
                <w:szCs w:val="18"/>
              </w:rPr>
              <w:t>Provide clinical guidance on when copper and zinc testing is useful</w:t>
            </w:r>
            <w:r>
              <w:rPr>
                <w:rFonts w:ascii="Calibri" w:hAnsi="Calibri"/>
                <w:color w:val="000000"/>
                <w:sz w:val="18"/>
                <w:szCs w:val="18"/>
              </w:rPr>
              <w:t>.</w:t>
            </w:r>
          </w:p>
          <w:p w14:paraId="50C580F2" w14:textId="77777777" w:rsidR="00543D47" w:rsidRPr="00BA5F0C" w:rsidRDefault="00543D47" w:rsidP="00D9610A">
            <w:pPr>
              <w:spacing w:before="40" w:after="40" w:line="240" w:lineRule="auto"/>
              <w:rPr>
                <w:rFonts w:cs="Arial"/>
                <w:sz w:val="18"/>
                <w:szCs w:val="18"/>
              </w:rPr>
            </w:pPr>
          </w:p>
        </w:tc>
        <w:tc>
          <w:tcPr>
            <w:tcW w:w="3402" w:type="dxa"/>
          </w:tcPr>
          <w:p w14:paraId="43F097E9" w14:textId="77777777" w:rsidR="00543D47" w:rsidRPr="00BA5F0C" w:rsidRDefault="00543D47" w:rsidP="00D9610A">
            <w:pPr>
              <w:spacing w:before="40" w:after="40" w:line="240" w:lineRule="auto"/>
              <w:ind w:left="57" w:right="57"/>
              <w:rPr>
                <w:sz w:val="18"/>
                <w:szCs w:val="18"/>
              </w:rPr>
            </w:pPr>
            <w:r w:rsidRPr="00BA5F0C">
              <w:rPr>
                <w:sz w:val="18"/>
                <w:szCs w:val="18"/>
              </w:rPr>
              <w:t>Extra information in the item descriptor will help guide doctors when to order this test</w:t>
            </w:r>
            <w:r>
              <w:rPr>
                <w:sz w:val="18"/>
                <w:szCs w:val="18"/>
              </w:rPr>
              <w:t>.</w:t>
            </w:r>
          </w:p>
        </w:tc>
        <w:tc>
          <w:tcPr>
            <w:tcW w:w="3402" w:type="dxa"/>
          </w:tcPr>
          <w:p w14:paraId="000090E0" w14:textId="77777777" w:rsidR="00543D47" w:rsidRPr="00BA5F0C" w:rsidRDefault="00543D47" w:rsidP="00D9610A">
            <w:pPr>
              <w:spacing w:before="40" w:after="40" w:line="240" w:lineRule="auto"/>
              <w:rPr>
                <w:rFonts w:cs="Arial"/>
                <w:sz w:val="18"/>
                <w:szCs w:val="18"/>
              </w:rPr>
            </w:pPr>
            <w:r w:rsidRPr="00BA5F0C">
              <w:rPr>
                <w:rFonts w:cs="Arial"/>
                <w:sz w:val="18"/>
                <w:szCs w:val="18"/>
              </w:rPr>
              <w:t>Will help doctors decide when this test is useful in patients</w:t>
            </w:r>
            <w:r>
              <w:rPr>
                <w:rFonts w:cs="Arial"/>
                <w:sz w:val="18"/>
                <w:szCs w:val="18"/>
              </w:rPr>
              <w:t>.</w:t>
            </w:r>
          </w:p>
        </w:tc>
      </w:tr>
      <w:tr w:rsidR="00543D47" w:rsidRPr="00BA5F0C" w14:paraId="3BDE9A78" w14:textId="77777777" w:rsidTr="00D9610A">
        <w:trPr>
          <w:cantSplit/>
        </w:trPr>
        <w:tc>
          <w:tcPr>
            <w:tcW w:w="851" w:type="dxa"/>
          </w:tcPr>
          <w:p w14:paraId="35F1A88E"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66820</w:t>
            </w:r>
          </w:p>
        </w:tc>
        <w:tc>
          <w:tcPr>
            <w:tcW w:w="3402" w:type="dxa"/>
          </w:tcPr>
          <w:p w14:paraId="12DC2F46"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A test described in item 66819 if rendered by a receiving APP, where no tests in the item have been rendered by the referring APP - 1 test</w:t>
            </w:r>
            <w:r>
              <w:rPr>
                <w:rFonts w:ascii="Calibri" w:hAnsi="Calibri"/>
                <w:color w:val="000000"/>
                <w:sz w:val="18"/>
                <w:szCs w:val="18"/>
              </w:rPr>
              <w:t xml:space="preserve"> </w:t>
            </w:r>
            <w:r w:rsidRPr="00BA5F0C">
              <w:rPr>
                <w:rFonts w:ascii="Calibri" w:hAnsi="Calibri"/>
                <w:color w:val="000000"/>
                <w:sz w:val="18"/>
                <w:szCs w:val="18"/>
              </w:rPr>
              <w:t>(Item is subject to rule</w:t>
            </w:r>
            <w:r>
              <w:rPr>
                <w:rFonts w:ascii="Calibri" w:hAnsi="Calibri"/>
                <w:color w:val="000000"/>
                <w:sz w:val="18"/>
                <w:szCs w:val="18"/>
              </w:rPr>
              <w:t>s</w:t>
            </w:r>
            <w:r w:rsidRPr="00BA5F0C">
              <w:rPr>
                <w:rFonts w:ascii="Calibri" w:hAnsi="Calibri"/>
                <w:color w:val="000000"/>
                <w:sz w:val="18"/>
                <w:szCs w:val="18"/>
              </w:rPr>
              <w:t xml:space="preserve"> 6, 18, 22 and 25)</w:t>
            </w:r>
          </w:p>
        </w:tc>
        <w:tc>
          <w:tcPr>
            <w:tcW w:w="3402" w:type="dxa"/>
          </w:tcPr>
          <w:p w14:paraId="240E422F" w14:textId="77777777" w:rsidR="00543D47" w:rsidRPr="00BA5F0C" w:rsidRDefault="00543D47" w:rsidP="00D9610A">
            <w:pPr>
              <w:spacing w:before="40" w:after="40" w:line="240" w:lineRule="auto"/>
              <w:rPr>
                <w:rFonts w:cs="Arial"/>
                <w:sz w:val="18"/>
                <w:szCs w:val="18"/>
              </w:rPr>
            </w:pPr>
          </w:p>
        </w:tc>
        <w:tc>
          <w:tcPr>
            <w:tcW w:w="3402" w:type="dxa"/>
          </w:tcPr>
          <w:p w14:paraId="520DCFED" w14:textId="77777777" w:rsidR="00543D47" w:rsidRPr="00BA5F0C" w:rsidRDefault="00543D47" w:rsidP="00D9610A">
            <w:pPr>
              <w:spacing w:before="40" w:after="40" w:line="240" w:lineRule="auto"/>
              <w:ind w:left="57" w:right="57"/>
              <w:rPr>
                <w:sz w:val="18"/>
                <w:szCs w:val="18"/>
              </w:rPr>
            </w:pPr>
          </w:p>
        </w:tc>
        <w:tc>
          <w:tcPr>
            <w:tcW w:w="3402" w:type="dxa"/>
          </w:tcPr>
          <w:p w14:paraId="76EEA28B" w14:textId="77777777" w:rsidR="00543D47" w:rsidRPr="00BA5F0C" w:rsidRDefault="00543D47" w:rsidP="00D9610A">
            <w:pPr>
              <w:spacing w:before="40" w:after="40" w:line="240" w:lineRule="auto"/>
              <w:rPr>
                <w:rFonts w:cs="Arial"/>
                <w:sz w:val="18"/>
                <w:szCs w:val="18"/>
              </w:rPr>
            </w:pPr>
          </w:p>
        </w:tc>
      </w:tr>
      <w:tr w:rsidR="00543D47" w:rsidRPr="00BA5F0C" w14:paraId="520620EE" w14:textId="77777777" w:rsidTr="00D9610A">
        <w:trPr>
          <w:cantSplit/>
        </w:trPr>
        <w:tc>
          <w:tcPr>
            <w:tcW w:w="851" w:type="dxa"/>
          </w:tcPr>
          <w:p w14:paraId="65D8BDB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66821</w:t>
            </w:r>
          </w:p>
        </w:tc>
        <w:tc>
          <w:tcPr>
            <w:tcW w:w="3402" w:type="dxa"/>
          </w:tcPr>
          <w:p w14:paraId="46F20FCF"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A test described in item 66819 other than that described in 66820 if rendered by a receiving APP</w:t>
            </w:r>
            <w:r>
              <w:rPr>
                <w:rFonts w:ascii="Calibri" w:hAnsi="Calibri"/>
                <w:color w:val="000000"/>
                <w:sz w:val="18"/>
                <w:szCs w:val="18"/>
              </w:rPr>
              <w:t xml:space="preserve"> </w:t>
            </w:r>
            <w:r w:rsidRPr="00BA5F0C">
              <w:rPr>
                <w:rFonts w:ascii="Calibri" w:hAnsi="Calibri"/>
                <w:color w:val="000000"/>
                <w:sz w:val="18"/>
                <w:szCs w:val="18"/>
              </w:rPr>
              <w:t>to a maximum of 1 test (Item is subject to rule</w:t>
            </w:r>
            <w:r>
              <w:rPr>
                <w:rFonts w:ascii="Calibri" w:hAnsi="Calibri"/>
                <w:color w:val="000000"/>
                <w:sz w:val="18"/>
                <w:szCs w:val="18"/>
              </w:rPr>
              <w:t>s</w:t>
            </w:r>
            <w:r w:rsidRPr="00BA5F0C">
              <w:rPr>
                <w:rFonts w:ascii="Calibri" w:hAnsi="Calibri"/>
                <w:color w:val="000000"/>
                <w:sz w:val="18"/>
                <w:szCs w:val="18"/>
              </w:rPr>
              <w:t xml:space="preserve"> 6, 18,</w:t>
            </w:r>
            <w:r>
              <w:rPr>
                <w:rFonts w:ascii="Calibri" w:hAnsi="Calibri"/>
                <w:color w:val="000000"/>
                <w:sz w:val="18"/>
                <w:szCs w:val="18"/>
              </w:rPr>
              <w:t xml:space="preserve"> </w:t>
            </w:r>
            <w:r w:rsidRPr="00BA5F0C">
              <w:rPr>
                <w:rFonts w:ascii="Calibri" w:hAnsi="Calibri"/>
                <w:color w:val="000000"/>
                <w:sz w:val="18"/>
                <w:szCs w:val="18"/>
              </w:rPr>
              <w:t>22 and 25)</w:t>
            </w:r>
          </w:p>
        </w:tc>
        <w:tc>
          <w:tcPr>
            <w:tcW w:w="3402" w:type="dxa"/>
          </w:tcPr>
          <w:p w14:paraId="4F55503D" w14:textId="77777777" w:rsidR="00543D47" w:rsidRPr="00BA5F0C" w:rsidRDefault="00543D47" w:rsidP="00D9610A">
            <w:pPr>
              <w:spacing w:before="40" w:after="40" w:line="240" w:lineRule="auto"/>
              <w:rPr>
                <w:rFonts w:cs="Arial"/>
                <w:sz w:val="18"/>
                <w:szCs w:val="18"/>
              </w:rPr>
            </w:pPr>
          </w:p>
        </w:tc>
        <w:tc>
          <w:tcPr>
            <w:tcW w:w="3402" w:type="dxa"/>
          </w:tcPr>
          <w:p w14:paraId="16F41E69" w14:textId="77777777" w:rsidR="00543D47" w:rsidRPr="00BA5F0C" w:rsidRDefault="00543D47" w:rsidP="00D9610A">
            <w:pPr>
              <w:spacing w:before="40" w:after="40" w:line="240" w:lineRule="auto"/>
              <w:ind w:left="57" w:right="57"/>
              <w:rPr>
                <w:sz w:val="18"/>
                <w:szCs w:val="18"/>
              </w:rPr>
            </w:pPr>
          </w:p>
        </w:tc>
        <w:tc>
          <w:tcPr>
            <w:tcW w:w="3402" w:type="dxa"/>
          </w:tcPr>
          <w:p w14:paraId="2E3F6B5A" w14:textId="77777777" w:rsidR="00543D47" w:rsidRPr="00BA5F0C" w:rsidRDefault="00543D47" w:rsidP="00D9610A">
            <w:pPr>
              <w:spacing w:before="40" w:after="40" w:line="240" w:lineRule="auto"/>
              <w:rPr>
                <w:rFonts w:cs="Arial"/>
                <w:sz w:val="18"/>
                <w:szCs w:val="18"/>
              </w:rPr>
            </w:pPr>
          </w:p>
        </w:tc>
      </w:tr>
      <w:tr w:rsidR="00543D47" w:rsidRPr="00BA5F0C" w14:paraId="6D169209" w14:textId="77777777" w:rsidTr="00D9610A">
        <w:trPr>
          <w:cantSplit/>
        </w:trPr>
        <w:tc>
          <w:tcPr>
            <w:tcW w:w="851" w:type="dxa"/>
          </w:tcPr>
          <w:p w14:paraId="502A1E0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66822</w:t>
            </w:r>
          </w:p>
        </w:tc>
        <w:tc>
          <w:tcPr>
            <w:tcW w:w="3402" w:type="dxa"/>
          </w:tcPr>
          <w:p w14:paraId="7ACDFA81"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Measures copper, manganese, selenium, or zinc (except if item 66667 applies), in blood, urine or other body fluid - 2 or more tests. (Item is subject to rule</w:t>
            </w:r>
            <w:r>
              <w:rPr>
                <w:rFonts w:ascii="Calibri" w:hAnsi="Calibri"/>
                <w:color w:val="000000"/>
                <w:sz w:val="18"/>
                <w:szCs w:val="18"/>
              </w:rPr>
              <w:t>s</w:t>
            </w:r>
            <w:r w:rsidRPr="00BA5F0C">
              <w:rPr>
                <w:rFonts w:ascii="Calibri" w:hAnsi="Calibri"/>
                <w:color w:val="000000"/>
                <w:sz w:val="18"/>
                <w:szCs w:val="18"/>
              </w:rPr>
              <w:t xml:space="preserve"> 6, 22 and 25)</w:t>
            </w:r>
          </w:p>
        </w:tc>
        <w:tc>
          <w:tcPr>
            <w:tcW w:w="3402" w:type="dxa"/>
          </w:tcPr>
          <w:p w14:paraId="4B102784" w14:textId="77777777" w:rsidR="00543D47" w:rsidRPr="00BA5F0C" w:rsidRDefault="00543D47" w:rsidP="00D9610A">
            <w:pPr>
              <w:spacing w:before="40" w:after="40" w:line="240" w:lineRule="auto"/>
              <w:rPr>
                <w:rFonts w:cs="Arial"/>
                <w:sz w:val="18"/>
                <w:szCs w:val="18"/>
              </w:rPr>
            </w:pPr>
            <w:r w:rsidRPr="00BA5F0C">
              <w:rPr>
                <w:rFonts w:ascii="Calibri" w:hAnsi="Calibri"/>
                <w:color w:val="000000"/>
                <w:sz w:val="18"/>
                <w:szCs w:val="18"/>
              </w:rPr>
              <w:t>Provide clinical guidance on when copper and zinc testing is useful</w:t>
            </w:r>
            <w:r>
              <w:rPr>
                <w:rFonts w:ascii="Calibri" w:hAnsi="Calibri"/>
                <w:color w:val="000000"/>
                <w:sz w:val="18"/>
                <w:szCs w:val="18"/>
              </w:rPr>
              <w:t>.</w:t>
            </w:r>
          </w:p>
        </w:tc>
        <w:tc>
          <w:tcPr>
            <w:tcW w:w="3402" w:type="dxa"/>
          </w:tcPr>
          <w:p w14:paraId="45C8C826" w14:textId="77777777" w:rsidR="00543D47" w:rsidRPr="00BA5F0C" w:rsidRDefault="00543D47" w:rsidP="00D9610A">
            <w:pPr>
              <w:spacing w:before="40" w:after="40" w:line="240" w:lineRule="auto"/>
              <w:ind w:left="57" w:right="57"/>
              <w:rPr>
                <w:sz w:val="18"/>
                <w:szCs w:val="18"/>
              </w:rPr>
            </w:pPr>
          </w:p>
        </w:tc>
        <w:tc>
          <w:tcPr>
            <w:tcW w:w="3402" w:type="dxa"/>
          </w:tcPr>
          <w:p w14:paraId="42B32170" w14:textId="77777777" w:rsidR="00543D47" w:rsidRPr="00BA5F0C" w:rsidRDefault="00543D47" w:rsidP="00D9610A">
            <w:pPr>
              <w:spacing w:before="40" w:after="40" w:line="240" w:lineRule="auto"/>
              <w:rPr>
                <w:rFonts w:cs="Arial"/>
                <w:sz w:val="18"/>
                <w:szCs w:val="18"/>
              </w:rPr>
            </w:pPr>
          </w:p>
        </w:tc>
      </w:tr>
    </w:tbl>
    <w:p w14:paraId="15ED66FF" w14:textId="77777777" w:rsidR="00543D47" w:rsidRPr="00BA5F0C" w:rsidRDefault="00543D47" w:rsidP="00543D47">
      <w:pPr>
        <w:spacing w:before="40" w:after="40" w:line="240" w:lineRule="auto"/>
        <w:rPr>
          <w:b/>
          <w:sz w:val="18"/>
          <w:szCs w:val="18"/>
        </w:rPr>
      </w:pPr>
    </w:p>
    <w:p w14:paraId="4F9504B3" w14:textId="77777777" w:rsidR="00543D47" w:rsidRPr="00BA5F0C" w:rsidRDefault="00543D47" w:rsidP="00543D47">
      <w:pPr>
        <w:spacing w:before="40" w:after="40" w:line="240" w:lineRule="auto"/>
        <w:rPr>
          <w:b/>
          <w:sz w:val="18"/>
          <w:szCs w:val="18"/>
        </w:rPr>
      </w:pPr>
    </w:p>
    <w:p w14:paraId="22E22C7B" w14:textId="77777777" w:rsidR="00543D47" w:rsidRPr="00BA5F0C" w:rsidRDefault="00543D47" w:rsidP="00543D47">
      <w:pPr>
        <w:pStyle w:val="Caption"/>
        <w:rPr>
          <w:b/>
          <w:sz w:val="18"/>
          <w:szCs w:val="18"/>
        </w:rPr>
      </w:pPr>
      <w:bookmarkStart w:id="394" w:name="_Toc487753645"/>
      <w:bookmarkStart w:id="395" w:name="_Toc490651367"/>
      <w:bookmarkStart w:id="396" w:name="_Toc490756888"/>
      <w:bookmarkStart w:id="397" w:name="_Toc491341009"/>
      <w:bookmarkStart w:id="398" w:name="_Toc493598703"/>
      <w:bookmarkStart w:id="399" w:name="_Toc493599725"/>
      <w:bookmarkStart w:id="400" w:name="_Toc493599921"/>
      <w:bookmarkStart w:id="401" w:name="_Toc493687780"/>
      <w:bookmarkStart w:id="402" w:name="_Toc534375000"/>
      <w:r w:rsidRPr="00BA5F0C">
        <w:rPr>
          <w:b/>
          <w:i w:val="0"/>
          <w:sz w:val="18"/>
          <w:szCs w:val="18"/>
        </w:rPr>
        <w:t>Recommendation 2</w:t>
      </w:r>
      <w:r>
        <w:rPr>
          <w:b/>
          <w:i w:val="0"/>
          <w:sz w:val="18"/>
          <w:szCs w:val="18"/>
        </w:rPr>
        <w:t>2</w:t>
      </w:r>
      <w:r w:rsidRPr="00BA5F0C">
        <w:rPr>
          <w:b/>
          <w:i w:val="0"/>
          <w:sz w:val="18"/>
          <w:szCs w:val="18"/>
        </w:rPr>
        <w:t>: Salivary hormones: items 66711, 66712, 66714, 66715</w:t>
      </w:r>
      <w:bookmarkEnd w:id="394"/>
      <w:bookmarkEnd w:id="395"/>
      <w:bookmarkEnd w:id="396"/>
      <w:bookmarkEnd w:id="397"/>
      <w:bookmarkEnd w:id="398"/>
      <w:bookmarkEnd w:id="399"/>
      <w:bookmarkEnd w:id="400"/>
      <w:bookmarkEnd w:id="401"/>
      <w:bookmarkEnd w:id="402"/>
    </w:p>
    <w:tbl>
      <w:tblPr>
        <w:tblStyle w:val="TableGrid"/>
        <w:tblW w:w="1445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02"/>
        <w:gridCol w:w="3402"/>
        <w:gridCol w:w="3402"/>
        <w:gridCol w:w="3402"/>
      </w:tblGrid>
      <w:tr w:rsidR="00543D47" w:rsidRPr="00BA5F0C" w14:paraId="4F82F5F1" w14:textId="77777777" w:rsidTr="00D9610A">
        <w:trPr>
          <w:cantSplit/>
          <w:tblHeader/>
        </w:trPr>
        <w:tc>
          <w:tcPr>
            <w:tcW w:w="851" w:type="dxa"/>
          </w:tcPr>
          <w:p w14:paraId="59D1424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4BE85E3B"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2C73DF5E"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744CDC2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43A5ED07"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44681981" w14:textId="77777777" w:rsidTr="00D9610A">
        <w:trPr>
          <w:cantSplit/>
        </w:trPr>
        <w:tc>
          <w:tcPr>
            <w:tcW w:w="851" w:type="dxa"/>
          </w:tcPr>
          <w:p w14:paraId="6E21F49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66711</w:t>
            </w:r>
          </w:p>
        </w:tc>
        <w:tc>
          <w:tcPr>
            <w:tcW w:w="3402" w:type="dxa"/>
          </w:tcPr>
          <w:p w14:paraId="27B04C99" w14:textId="77777777" w:rsidR="00543D47" w:rsidRPr="00BA5F0C" w:rsidRDefault="00543D47" w:rsidP="00D9610A">
            <w:pPr>
              <w:spacing w:before="40" w:after="40" w:line="240" w:lineRule="auto"/>
              <w:rPr>
                <w:rFonts w:cs="Arial"/>
                <w:sz w:val="18"/>
                <w:szCs w:val="18"/>
              </w:rPr>
            </w:pPr>
            <w:r w:rsidRPr="00BA5F0C">
              <w:rPr>
                <w:color w:val="000000"/>
                <w:sz w:val="18"/>
                <w:szCs w:val="18"/>
              </w:rPr>
              <w:t>Measures cortisol in saliva for: (a) the investigation of Cushing's syndrome; or (b) the management of children with congenital adrenal hyperplasia (Item is subject to rule 6)</w:t>
            </w:r>
          </w:p>
        </w:tc>
        <w:tc>
          <w:tcPr>
            <w:tcW w:w="3402" w:type="dxa"/>
          </w:tcPr>
          <w:p w14:paraId="31774F0B"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p w14:paraId="49201B15" w14:textId="77777777" w:rsidR="00543D47" w:rsidRPr="00BA5F0C" w:rsidRDefault="00543D47" w:rsidP="00D9610A">
            <w:pPr>
              <w:spacing w:before="40" w:after="40" w:line="240" w:lineRule="auto"/>
              <w:rPr>
                <w:color w:val="000000"/>
                <w:sz w:val="18"/>
                <w:szCs w:val="18"/>
              </w:rPr>
            </w:pPr>
          </w:p>
        </w:tc>
        <w:tc>
          <w:tcPr>
            <w:tcW w:w="3402" w:type="dxa"/>
          </w:tcPr>
          <w:p w14:paraId="6FBBD668" w14:textId="77777777" w:rsidR="00543D47" w:rsidRPr="00BA5F0C" w:rsidRDefault="00543D47" w:rsidP="00D9610A">
            <w:pPr>
              <w:spacing w:before="40" w:after="40" w:line="240" w:lineRule="auto"/>
              <w:ind w:left="57" w:right="57"/>
              <w:rPr>
                <w:sz w:val="18"/>
                <w:szCs w:val="18"/>
              </w:rPr>
            </w:pPr>
          </w:p>
        </w:tc>
        <w:tc>
          <w:tcPr>
            <w:tcW w:w="3402" w:type="dxa"/>
          </w:tcPr>
          <w:p w14:paraId="141D558F" w14:textId="77777777" w:rsidR="00543D47" w:rsidRPr="00BA5F0C" w:rsidRDefault="00543D47" w:rsidP="00D9610A">
            <w:pPr>
              <w:spacing w:before="40" w:after="40" w:line="240" w:lineRule="auto"/>
              <w:rPr>
                <w:rFonts w:cs="Arial"/>
                <w:sz w:val="18"/>
                <w:szCs w:val="18"/>
              </w:rPr>
            </w:pPr>
          </w:p>
        </w:tc>
      </w:tr>
      <w:tr w:rsidR="00543D47" w:rsidRPr="00BA5F0C" w14:paraId="0F8C1B76" w14:textId="77777777" w:rsidTr="00D9610A">
        <w:trPr>
          <w:cantSplit/>
        </w:trPr>
        <w:tc>
          <w:tcPr>
            <w:tcW w:w="851" w:type="dxa"/>
          </w:tcPr>
          <w:p w14:paraId="68A7396F"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66712</w:t>
            </w:r>
          </w:p>
        </w:tc>
        <w:tc>
          <w:tcPr>
            <w:tcW w:w="3402" w:type="dxa"/>
          </w:tcPr>
          <w:p w14:paraId="725353C7" w14:textId="77777777" w:rsidR="00543D47" w:rsidRPr="00BA5F0C" w:rsidRDefault="00543D47" w:rsidP="00D9610A">
            <w:pPr>
              <w:spacing w:before="40" w:after="40" w:line="240" w:lineRule="auto"/>
              <w:rPr>
                <w:rFonts w:cs="Arial"/>
                <w:sz w:val="18"/>
                <w:szCs w:val="18"/>
              </w:rPr>
            </w:pPr>
            <w:r w:rsidRPr="00BA5F0C">
              <w:rPr>
                <w:color w:val="000000"/>
                <w:sz w:val="18"/>
                <w:szCs w:val="18"/>
              </w:rPr>
              <w:t>Two tests described in item 66711 (Item is subject to rule 6)</w:t>
            </w:r>
          </w:p>
        </w:tc>
        <w:tc>
          <w:tcPr>
            <w:tcW w:w="3402" w:type="dxa"/>
          </w:tcPr>
          <w:p w14:paraId="01C1EE2F"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tc>
        <w:tc>
          <w:tcPr>
            <w:tcW w:w="3402" w:type="dxa"/>
          </w:tcPr>
          <w:p w14:paraId="07DB4257" w14:textId="77777777" w:rsidR="00543D47" w:rsidRPr="00BA5F0C" w:rsidRDefault="00543D47" w:rsidP="00D9610A">
            <w:pPr>
              <w:spacing w:before="40" w:after="40" w:line="240" w:lineRule="auto"/>
              <w:ind w:left="57" w:right="57"/>
              <w:rPr>
                <w:sz w:val="18"/>
                <w:szCs w:val="18"/>
              </w:rPr>
            </w:pPr>
          </w:p>
        </w:tc>
        <w:tc>
          <w:tcPr>
            <w:tcW w:w="3402" w:type="dxa"/>
          </w:tcPr>
          <w:p w14:paraId="018CBF1B" w14:textId="77777777" w:rsidR="00543D47" w:rsidRPr="00BA5F0C" w:rsidRDefault="00543D47" w:rsidP="00D9610A">
            <w:pPr>
              <w:spacing w:before="40" w:after="40" w:line="240" w:lineRule="auto"/>
              <w:rPr>
                <w:rFonts w:cs="Arial"/>
                <w:sz w:val="18"/>
                <w:szCs w:val="18"/>
              </w:rPr>
            </w:pPr>
          </w:p>
        </w:tc>
      </w:tr>
      <w:tr w:rsidR="00543D47" w:rsidRPr="00BA5F0C" w14:paraId="7593390B" w14:textId="77777777" w:rsidTr="00D9610A">
        <w:trPr>
          <w:cantSplit/>
        </w:trPr>
        <w:tc>
          <w:tcPr>
            <w:tcW w:w="851" w:type="dxa"/>
          </w:tcPr>
          <w:p w14:paraId="0D062BFB"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66714</w:t>
            </w:r>
          </w:p>
        </w:tc>
        <w:tc>
          <w:tcPr>
            <w:tcW w:w="3402" w:type="dxa"/>
          </w:tcPr>
          <w:p w14:paraId="40D1F765" w14:textId="77777777" w:rsidR="00543D47" w:rsidRPr="00BA5F0C" w:rsidRDefault="00543D47" w:rsidP="00D9610A">
            <w:pPr>
              <w:spacing w:before="40" w:after="40" w:line="240" w:lineRule="auto"/>
              <w:rPr>
                <w:rFonts w:cs="Arial"/>
                <w:sz w:val="18"/>
                <w:szCs w:val="18"/>
              </w:rPr>
            </w:pPr>
            <w:r w:rsidRPr="00BA5F0C">
              <w:rPr>
                <w:color w:val="000000"/>
                <w:sz w:val="18"/>
                <w:szCs w:val="18"/>
              </w:rPr>
              <w:t>A test described in item 66711, if rendered by a receiving APP, where no tests in the item have been rendered by the referring APP</w:t>
            </w:r>
            <w:r>
              <w:rPr>
                <w:color w:val="000000"/>
                <w:sz w:val="18"/>
                <w:szCs w:val="18"/>
              </w:rPr>
              <w:t xml:space="preserve"> </w:t>
            </w:r>
            <w:r w:rsidRPr="00BA5F0C">
              <w:rPr>
                <w:color w:val="000000"/>
                <w:sz w:val="18"/>
                <w:szCs w:val="18"/>
              </w:rPr>
              <w:t>(Item is subject to rule</w:t>
            </w:r>
            <w:r>
              <w:rPr>
                <w:color w:val="000000"/>
                <w:sz w:val="18"/>
                <w:szCs w:val="18"/>
              </w:rPr>
              <w:t>s</w:t>
            </w:r>
            <w:r w:rsidRPr="00BA5F0C">
              <w:rPr>
                <w:color w:val="000000"/>
                <w:sz w:val="18"/>
                <w:szCs w:val="18"/>
              </w:rPr>
              <w:t xml:space="preserve"> 6 and 18)</w:t>
            </w:r>
          </w:p>
        </w:tc>
        <w:tc>
          <w:tcPr>
            <w:tcW w:w="3402" w:type="dxa"/>
          </w:tcPr>
          <w:p w14:paraId="520CC2B6" w14:textId="77777777" w:rsidR="00543D47" w:rsidRPr="00BA5F0C" w:rsidRDefault="00543D47" w:rsidP="00D9610A">
            <w:pPr>
              <w:spacing w:before="40" w:after="40" w:line="240" w:lineRule="auto"/>
              <w:rPr>
                <w:color w:val="000000"/>
                <w:sz w:val="18"/>
                <w:szCs w:val="18"/>
              </w:rPr>
            </w:pPr>
            <w:r w:rsidRPr="00BA5F0C">
              <w:rPr>
                <w:color w:val="000000"/>
                <w:sz w:val="18"/>
                <w:szCs w:val="18"/>
              </w:rPr>
              <w:t>No change</w:t>
            </w:r>
          </w:p>
        </w:tc>
        <w:tc>
          <w:tcPr>
            <w:tcW w:w="3402" w:type="dxa"/>
          </w:tcPr>
          <w:p w14:paraId="4E96B2C2" w14:textId="77777777" w:rsidR="00543D47" w:rsidRPr="00BA5F0C" w:rsidRDefault="00543D47" w:rsidP="00D9610A">
            <w:pPr>
              <w:spacing w:before="40" w:after="40" w:line="240" w:lineRule="auto"/>
              <w:ind w:left="57" w:right="57"/>
              <w:rPr>
                <w:sz w:val="18"/>
                <w:szCs w:val="18"/>
              </w:rPr>
            </w:pPr>
          </w:p>
        </w:tc>
        <w:tc>
          <w:tcPr>
            <w:tcW w:w="3402" w:type="dxa"/>
          </w:tcPr>
          <w:p w14:paraId="065492DF" w14:textId="77777777" w:rsidR="00543D47" w:rsidRPr="00BA5F0C" w:rsidRDefault="00543D47" w:rsidP="00D9610A">
            <w:pPr>
              <w:spacing w:before="40" w:after="40" w:line="240" w:lineRule="auto"/>
              <w:rPr>
                <w:rFonts w:cs="Arial"/>
                <w:sz w:val="18"/>
                <w:szCs w:val="18"/>
              </w:rPr>
            </w:pPr>
          </w:p>
        </w:tc>
      </w:tr>
      <w:tr w:rsidR="00543D47" w:rsidRPr="00BA5F0C" w14:paraId="249345F6" w14:textId="77777777" w:rsidTr="00D9610A">
        <w:trPr>
          <w:cantSplit/>
        </w:trPr>
        <w:tc>
          <w:tcPr>
            <w:tcW w:w="851" w:type="dxa"/>
          </w:tcPr>
          <w:p w14:paraId="2C005881"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66715</w:t>
            </w:r>
          </w:p>
        </w:tc>
        <w:tc>
          <w:tcPr>
            <w:tcW w:w="3402" w:type="dxa"/>
          </w:tcPr>
          <w:p w14:paraId="245009EF" w14:textId="77777777" w:rsidR="00543D47" w:rsidRPr="00BA5F0C" w:rsidRDefault="00543D47" w:rsidP="00D9610A">
            <w:pPr>
              <w:spacing w:before="40" w:after="40" w:line="240" w:lineRule="auto"/>
              <w:rPr>
                <w:rFonts w:cs="Arial"/>
                <w:sz w:val="18"/>
                <w:szCs w:val="18"/>
              </w:rPr>
            </w:pPr>
            <w:r w:rsidRPr="00BA5F0C">
              <w:rPr>
                <w:color w:val="000000"/>
                <w:sz w:val="18"/>
                <w:szCs w:val="18"/>
              </w:rPr>
              <w:t>Tests described in item 66711, other than that described in 66714, if rendered by a receiving APP, each test to a maximum of 1 test (Item is subject to rule</w:t>
            </w:r>
            <w:r>
              <w:rPr>
                <w:color w:val="000000"/>
                <w:sz w:val="18"/>
                <w:szCs w:val="18"/>
              </w:rPr>
              <w:t>s</w:t>
            </w:r>
            <w:r w:rsidRPr="00BA5F0C">
              <w:rPr>
                <w:color w:val="000000"/>
                <w:sz w:val="18"/>
                <w:szCs w:val="18"/>
              </w:rPr>
              <w:t xml:space="preserve"> 6 and 18)</w:t>
            </w:r>
          </w:p>
        </w:tc>
        <w:tc>
          <w:tcPr>
            <w:tcW w:w="3402" w:type="dxa"/>
          </w:tcPr>
          <w:p w14:paraId="2D99CABA" w14:textId="77777777" w:rsidR="00543D47" w:rsidRPr="00BA5F0C" w:rsidRDefault="00543D47" w:rsidP="00D9610A">
            <w:pPr>
              <w:spacing w:before="40" w:after="40" w:line="240" w:lineRule="auto"/>
              <w:rPr>
                <w:color w:val="000000"/>
                <w:sz w:val="18"/>
                <w:szCs w:val="18"/>
              </w:rPr>
            </w:pPr>
            <w:r w:rsidRPr="00BA5F0C">
              <w:rPr>
                <w:color w:val="000000"/>
                <w:sz w:val="18"/>
                <w:szCs w:val="18"/>
              </w:rPr>
              <w:t>Delete this item</w:t>
            </w:r>
          </w:p>
        </w:tc>
        <w:tc>
          <w:tcPr>
            <w:tcW w:w="3402" w:type="dxa"/>
          </w:tcPr>
          <w:p w14:paraId="0002FE31" w14:textId="77777777" w:rsidR="00543D47" w:rsidRPr="00BA5F0C" w:rsidRDefault="00543D47" w:rsidP="00D9610A">
            <w:pPr>
              <w:spacing w:before="40" w:after="40" w:line="240" w:lineRule="auto"/>
              <w:ind w:left="57" w:right="57"/>
              <w:rPr>
                <w:sz w:val="18"/>
                <w:szCs w:val="18"/>
              </w:rPr>
            </w:pPr>
          </w:p>
        </w:tc>
        <w:tc>
          <w:tcPr>
            <w:tcW w:w="3402" w:type="dxa"/>
          </w:tcPr>
          <w:p w14:paraId="0DDE4F42" w14:textId="77777777" w:rsidR="00543D47" w:rsidRPr="00BA5F0C" w:rsidRDefault="00543D47" w:rsidP="00D9610A">
            <w:pPr>
              <w:spacing w:before="40" w:after="40" w:line="240" w:lineRule="auto"/>
              <w:rPr>
                <w:color w:val="000000"/>
                <w:sz w:val="18"/>
                <w:szCs w:val="18"/>
              </w:rPr>
            </w:pPr>
            <w:r w:rsidRPr="00BA5F0C">
              <w:rPr>
                <w:color w:val="000000"/>
                <w:sz w:val="18"/>
                <w:szCs w:val="18"/>
              </w:rPr>
              <w:t>Rarely used</w:t>
            </w:r>
          </w:p>
        </w:tc>
      </w:tr>
    </w:tbl>
    <w:p w14:paraId="40EFAB66" w14:textId="77777777" w:rsidR="00543D47" w:rsidRPr="00BA5F0C" w:rsidRDefault="00543D47" w:rsidP="00543D47">
      <w:pPr>
        <w:spacing w:before="40" w:after="40" w:line="240" w:lineRule="auto"/>
        <w:rPr>
          <w:b/>
          <w:sz w:val="18"/>
          <w:szCs w:val="18"/>
        </w:rPr>
      </w:pPr>
    </w:p>
    <w:p w14:paraId="458F2CA7" w14:textId="77777777" w:rsidR="00543D47" w:rsidRPr="00BA5F0C" w:rsidRDefault="00543D47" w:rsidP="00543D47">
      <w:pPr>
        <w:pStyle w:val="Caption"/>
        <w:rPr>
          <w:b/>
          <w:sz w:val="18"/>
          <w:szCs w:val="18"/>
        </w:rPr>
      </w:pPr>
      <w:bookmarkStart w:id="403" w:name="_Toc487753646"/>
      <w:bookmarkStart w:id="404" w:name="_Toc490651368"/>
      <w:bookmarkStart w:id="405" w:name="_Toc490756889"/>
      <w:bookmarkStart w:id="406" w:name="_Toc491341010"/>
      <w:bookmarkStart w:id="407" w:name="_Toc493598704"/>
      <w:bookmarkStart w:id="408" w:name="_Toc493599726"/>
      <w:bookmarkStart w:id="409" w:name="_Toc493599922"/>
      <w:bookmarkStart w:id="410" w:name="_Toc493687781"/>
      <w:bookmarkStart w:id="411" w:name="_Toc534375001"/>
      <w:r w:rsidRPr="00BA5F0C">
        <w:rPr>
          <w:b/>
          <w:i w:val="0"/>
          <w:sz w:val="18"/>
          <w:szCs w:val="18"/>
        </w:rPr>
        <w:t>Recommendation 2</w:t>
      </w:r>
      <w:r>
        <w:rPr>
          <w:b/>
          <w:i w:val="0"/>
          <w:sz w:val="18"/>
          <w:szCs w:val="18"/>
        </w:rPr>
        <w:t>3</w:t>
      </w:r>
      <w:r w:rsidRPr="00BA5F0C">
        <w:rPr>
          <w:b/>
          <w:i w:val="0"/>
          <w:sz w:val="18"/>
          <w:szCs w:val="18"/>
        </w:rPr>
        <w:t>: Porphyrin testing: items 66782–66792</w:t>
      </w:r>
      <w:bookmarkEnd w:id="403"/>
      <w:bookmarkEnd w:id="404"/>
      <w:bookmarkEnd w:id="405"/>
      <w:bookmarkEnd w:id="406"/>
      <w:bookmarkEnd w:id="407"/>
      <w:bookmarkEnd w:id="408"/>
      <w:bookmarkEnd w:id="409"/>
      <w:bookmarkEnd w:id="410"/>
      <w:bookmarkEnd w:id="411"/>
    </w:p>
    <w:tbl>
      <w:tblPr>
        <w:tblStyle w:val="TableGrid"/>
        <w:tblW w:w="1445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02"/>
        <w:gridCol w:w="3402"/>
        <w:gridCol w:w="3402"/>
        <w:gridCol w:w="3402"/>
      </w:tblGrid>
      <w:tr w:rsidR="00543D47" w:rsidRPr="00BA5F0C" w14:paraId="22A59A5F" w14:textId="77777777" w:rsidTr="00D9610A">
        <w:trPr>
          <w:cantSplit/>
          <w:tblHeader/>
        </w:trPr>
        <w:tc>
          <w:tcPr>
            <w:tcW w:w="851" w:type="dxa"/>
          </w:tcPr>
          <w:p w14:paraId="20B0D47E"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3AD4A6BD"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0B0D66A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1C27947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35769E59"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46943078" w14:textId="77777777" w:rsidTr="00D9610A">
        <w:trPr>
          <w:cantSplit/>
        </w:trPr>
        <w:tc>
          <w:tcPr>
            <w:tcW w:w="851" w:type="dxa"/>
          </w:tcPr>
          <w:p w14:paraId="461FE06A"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66782</w:t>
            </w:r>
          </w:p>
        </w:tc>
        <w:tc>
          <w:tcPr>
            <w:tcW w:w="3402" w:type="dxa"/>
          </w:tcPr>
          <w:p w14:paraId="4FF11B4C" w14:textId="77777777" w:rsidR="00543D47" w:rsidRPr="00BA5F0C" w:rsidRDefault="00543D47" w:rsidP="00D9610A">
            <w:pPr>
              <w:spacing w:before="40" w:after="40" w:line="240" w:lineRule="auto"/>
              <w:rPr>
                <w:rFonts w:cs="Arial"/>
                <w:sz w:val="18"/>
                <w:szCs w:val="18"/>
              </w:rPr>
            </w:pPr>
            <w:r w:rsidRPr="00BA5F0C">
              <w:rPr>
                <w:sz w:val="18"/>
                <w:szCs w:val="18"/>
              </w:rPr>
              <w:t>Porphyrins or porphyrins precursors - detection in plasma, red cells, urine or faeces - 1 or more tests</w:t>
            </w:r>
          </w:p>
        </w:tc>
        <w:tc>
          <w:tcPr>
            <w:tcW w:w="3402" w:type="dxa"/>
          </w:tcPr>
          <w:p w14:paraId="6FB115D0" w14:textId="77777777" w:rsidR="00543D47" w:rsidRPr="00BA5F0C" w:rsidRDefault="00543D47" w:rsidP="00D9610A">
            <w:pPr>
              <w:spacing w:before="40" w:after="40" w:line="240" w:lineRule="auto"/>
              <w:rPr>
                <w:rFonts w:cs="Arial"/>
                <w:sz w:val="18"/>
                <w:szCs w:val="18"/>
              </w:rPr>
            </w:pPr>
            <w:r w:rsidRPr="00BA5F0C">
              <w:rPr>
                <w:color w:val="000000"/>
                <w:sz w:val="18"/>
                <w:szCs w:val="18"/>
              </w:rPr>
              <w:t>No change</w:t>
            </w:r>
          </w:p>
          <w:p w14:paraId="779EB948" w14:textId="77777777" w:rsidR="00543D47" w:rsidRPr="00BA5F0C" w:rsidRDefault="00543D47" w:rsidP="00D9610A">
            <w:pPr>
              <w:spacing w:before="40" w:after="40" w:line="240" w:lineRule="auto"/>
              <w:rPr>
                <w:rFonts w:cs="Arial"/>
                <w:sz w:val="18"/>
                <w:szCs w:val="18"/>
              </w:rPr>
            </w:pPr>
          </w:p>
        </w:tc>
        <w:tc>
          <w:tcPr>
            <w:tcW w:w="3402" w:type="dxa"/>
          </w:tcPr>
          <w:p w14:paraId="1F36EE94" w14:textId="77777777" w:rsidR="00543D47" w:rsidRPr="00BA5F0C" w:rsidRDefault="00543D47" w:rsidP="00D9610A">
            <w:pPr>
              <w:spacing w:before="40" w:after="40" w:line="240" w:lineRule="auto"/>
              <w:ind w:left="57" w:right="57"/>
              <w:rPr>
                <w:sz w:val="18"/>
                <w:szCs w:val="18"/>
              </w:rPr>
            </w:pPr>
            <w:r w:rsidRPr="00BA5F0C">
              <w:rPr>
                <w:sz w:val="18"/>
                <w:szCs w:val="18"/>
              </w:rPr>
              <w:t>.</w:t>
            </w:r>
          </w:p>
        </w:tc>
        <w:tc>
          <w:tcPr>
            <w:tcW w:w="3402" w:type="dxa"/>
          </w:tcPr>
          <w:p w14:paraId="196B5B24" w14:textId="77777777" w:rsidR="00543D47" w:rsidRPr="00BA5F0C" w:rsidRDefault="00543D47" w:rsidP="00D9610A">
            <w:pPr>
              <w:spacing w:before="40" w:after="40" w:line="240" w:lineRule="auto"/>
              <w:rPr>
                <w:rFonts w:cs="Arial"/>
                <w:sz w:val="18"/>
                <w:szCs w:val="18"/>
              </w:rPr>
            </w:pPr>
          </w:p>
        </w:tc>
      </w:tr>
      <w:tr w:rsidR="00543D47" w:rsidRPr="00BA5F0C" w14:paraId="5BD99791" w14:textId="77777777" w:rsidTr="00D9610A">
        <w:trPr>
          <w:cantSplit/>
        </w:trPr>
        <w:tc>
          <w:tcPr>
            <w:tcW w:w="851" w:type="dxa"/>
          </w:tcPr>
          <w:p w14:paraId="3E1454DE"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66783</w:t>
            </w:r>
          </w:p>
        </w:tc>
        <w:tc>
          <w:tcPr>
            <w:tcW w:w="3402" w:type="dxa"/>
          </w:tcPr>
          <w:p w14:paraId="2D08AA5B" w14:textId="77777777" w:rsidR="00543D47" w:rsidRPr="00BA5F0C" w:rsidRDefault="00543D47" w:rsidP="00D9610A">
            <w:pPr>
              <w:spacing w:before="40" w:after="40" w:line="240" w:lineRule="auto"/>
              <w:rPr>
                <w:rFonts w:cs="Arial"/>
                <w:sz w:val="18"/>
                <w:szCs w:val="18"/>
              </w:rPr>
            </w:pPr>
            <w:r w:rsidRPr="00BA5F0C">
              <w:rPr>
                <w:sz w:val="18"/>
                <w:szCs w:val="18"/>
              </w:rPr>
              <w:t xml:space="preserve">A test described in item 66782 if rendered by a receiving APP - 1 or more </w:t>
            </w:r>
            <w:proofErr w:type="gramStart"/>
            <w:r w:rsidRPr="00BA5F0C">
              <w:rPr>
                <w:sz w:val="18"/>
                <w:szCs w:val="18"/>
              </w:rPr>
              <w:t>tests(</w:t>
            </w:r>
            <w:proofErr w:type="gramEnd"/>
            <w:r w:rsidRPr="00BA5F0C">
              <w:rPr>
                <w:sz w:val="18"/>
                <w:szCs w:val="18"/>
              </w:rPr>
              <w:t>Item is subject to rule 18)</w:t>
            </w:r>
          </w:p>
        </w:tc>
        <w:tc>
          <w:tcPr>
            <w:tcW w:w="3402" w:type="dxa"/>
          </w:tcPr>
          <w:p w14:paraId="407C3981" w14:textId="77777777" w:rsidR="00543D47" w:rsidRPr="00BA5F0C" w:rsidRDefault="00543D47" w:rsidP="00D9610A">
            <w:pPr>
              <w:spacing w:before="40" w:after="40" w:line="240" w:lineRule="auto"/>
              <w:rPr>
                <w:rFonts w:cs="Arial"/>
                <w:sz w:val="18"/>
                <w:szCs w:val="18"/>
              </w:rPr>
            </w:pPr>
            <w:r w:rsidRPr="00BA5F0C">
              <w:rPr>
                <w:color w:val="000000"/>
                <w:sz w:val="18"/>
                <w:szCs w:val="18"/>
              </w:rPr>
              <w:t>Delete this item</w:t>
            </w:r>
          </w:p>
        </w:tc>
        <w:tc>
          <w:tcPr>
            <w:tcW w:w="3402" w:type="dxa"/>
          </w:tcPr>
          <w:p w14:paraId="78B6D889" w14:textId="77777777" w:rsidR="00543D47" w:rsidRPr="00BA5F0C" w:rsidRDefault="00543D47" w:rsidP="00D9610A">
            <w:pPr>
              <w:spacing w:before="40" w:after="40" w:line="240" w:lineRule="auto"/>
              <w:ind w:left="57" w:right="57"/>
              <w:rPr>
                <w:sz w:val="18"/>
                <w:szCs w:val="18"/>
              </w:rPr>
            </w:pPr>
            <w:r w:rsidRPr="00BA5F0C">
              <w:rPr>
                <w:sz w:val="18"/>
                <w:szCs w:val="18"/>
              </w:rPr>
              <w:t>Item removed</w:t>
            </w:r>
          </w:p>
        </w:tc>
        <w:tc>
          <w:tcPr>
            <w:tcW w:w="3402" w:type="dxa"/>
          </w:tcPr>
          <w:p w14:paraId="199DF556" w14:textId="77777777" w:rsidR="00543D47" w:rsidRPr="00BA5F0C" w:rsidRDefault="00543D47" w:rsidP="00D9610A">
            <w:pPr>
              <w:spacing w:before="40" w:after="40" w:line="240" w:lineRule="auto"/>
              <w:rPr>
                <w:rFonts w:cs="Arial"/>
                <w:sz w:val="18"/>
                <w:szCs w:val="18"/>
              </w:rPr>
            </w:pPr>
            <w:r w:rsidRPr="00BA5F0C">
              <w:rPr>
                <w:rFonts w:cs="Arial"/>
                <w:sz w:val="18"/>
                <w:szCs w:val="18"/>
              </w:rPr>
              <w:t>The screening test should not be referred, but the proper test with quantitation should be done.</w:t>
            </w:r>
          </w:p>
        </w:tc>
      </w:tr>
      <w:tr w:rsidR="00543D47" w:rsidRPr="00BA5F0C" w14:paraId="6BC6D8E7" w14:textId="77777777" w:rsidTr="00D9610A">
        <w:trPr>
          <w:cantSplit/>
        </w:trPr>
        <w:tc>
          <w:tcPr>
            <w:tcW w:w="851" w:type="dxa"/>
          </w:tcPr>
          <w:p w14:paraId="45987FC6"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66785</w:t>
            </w:r>
          </w:p>
        </w:tc>
        <w:tc>
          <w:tcPr>
            <w:tcW w:w="3402" w:type="dxa"/>
          </w:tcPr>
          <w:p w14:paraId="066AB091" w14:textId="77777777" w:rsidR="00543D47" w:rsidRPr="00BA5F0C" w:rsidRDefault="00543D47" w:rsidP="00D9610A">
            <w:pPr>
              <w:spacing w:before="40" w:after="40" w:line="240" w:lineRule="auto"/>
              <w:rPr>
                <w:rFonts w:cs="Arial"/>
                <w:sz w:val="18"/>
                <w:szCs w:val="18"/>
              </w:rPr>
            </w:pPr>
            <w:r w:rsidRPr="00BA5F0C">
              <w:rPr>
                <w:color w:val="000000"/>
                <w:sz w:val="18"/>
                <w:szCs w:val="18"/>
              </w:rPr>
              <w:t>Porphyrins or porphyrins precursors - quantitation in plasma, red cells, urine or faeces - 1 test (Item is subject to rule 6)</w:t>
            </w:r>
          </w:p>
        </w:tc>
        <w:tc>
          <w:tcPr>
            <w:tcW w:w="3402" w:type="dxa"/>
          </w:tcPr>
          <w:p w14:paraId="460451CA" w14:textId="77777777" w:rsidR="00543D47" w:rsidRPr="00BA5F0C" w:rsidRDefault="00543D47" w:rsidP="00D9610A">
            <w:pPr>
              <w:spacing w:before="40" w:after="40" w:line="240" w:lineRule="auto"/>
              <w:rPr>
                <w:rFonts w:cs="Arial"/>
                <w:sz w:val="18"/>
                <w:szCs w:val="18"/>
              </w:rPr>
            </w:pPr>
            <w:r w:rsidRPr="00BA5F0C">
              <w:rPr>
                <w:color w:val="000000"/>
                <w:sz w:val="18"/>
                <w:szCs w:val="18"/>
              </w:rPr>
              <w:t>No change</w:t>
            </w:r>
          </w:p>
        </w:tc>
        <w:tc>
          <w:tcPr>
            <w:tcW w:w="3402" w:type="dxa"/>
          </w:tcPr>
          <w:p w14:paraId="2EC2852E" w14:textId="77777777" w:rsidR="00543D47" w:rsidRPr="00BA5F0C" w:rsidRDefault="00543D47" w:rsidP="00D9610A">
            <w:pPr>
              <w:spacing w:before="40" w:after="40" w:line="240" w:lineRule="auto"/>
              <w:ind w:left="57" w:right="57"/>
              <w:rPr>
                <w:sz w:val="18"/>
                <w:szCs w:val="18"/>
              </w:rPr>
            </w:pPr>
          </w:p>
        </w:tc>
        <w:tc>
          <w:tcPr>
            <w:tcW w:w="3402" w:type="dxa"/>
          </w:tcPr>
          <w:p w14:paraId="777C0488" w14:textId="77777777" w:rsidR="00543D47" w:rsidRPr="00BA5F0C" w:rsidRDefault="00543D47" w:rsidP="00D9610A">
            <w:pPr>
              <w:spacing w:before="40" w:after="40" w:line="240" w:lineRule="auto"/>
              <w:rPr>
                <w:rFonts w:cs="Arial"/>
                <w:sz w:val="18"/>
                <w:szCs w:val="18"/>
              </w:rPr>
            </w:pPr>
          </w:p>
        </w:tc>
      </w:tr>
      <w:tr w:rsidR="00543D47" w:rsidRPr="00BA5F0C" w14:paraId="0070C58E" w14:textId="77777777" w:rsidTr="00D9610A">
        <w:trPr>
          <w:cantSplit/>
        </w:trPr>
        <w:tc>
          <w:tcPr>
            <w:tcW w:w="851" w:type="dxa"/>
          </w:tcPr>
          <w:p w14:paraId="467C0DBA"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66788</w:t>
            </w:r>
          </w:p>
        </w:tc>
        <w:tc>
          <w:tcPr>
            <w:tcW w:w="3402" w:type="dxa"/>
          </w:tcPr>
          <w:p w14:paraId="2027837F" w14:textId="77777777" w:rsidR="00543D47" w:rsidRPr="00BA5F0C" w:rsidRDefault="00543D47" w:rsidP="00D9610A">
            <w:pPr>
              <w:spacing w:before="40" w:after="40" w:line="240" w:lineRule="auto"/>
              <w:rPr>
                <w:rFonts w:cs="Arial"/>
                <w:sz w:val="18"/>
                <w:szCs w:val="18"/>
              </w:rPr>
            </w:pPr>
            <w:r w:rsidRPr="00BA5F0C">
              <w:rPr>
                <w:color w:val="000000"/>
                <w:sz w:val="18"/>
                <w:szCs w:val="18"/>
              </w:rPr>
              <w:t>Porphyrins or porphyrins precursors - quantitation in plasma, red cells, urine or faeces - 2 or more tests (Item is subject to rule 6)</w:t>
            </w:r>
          </w:p>
        </w:tc>
        <w:tc>
          <w:tcPr>
            <w:tcW w:w="3402" w:type="dxa"/>
          </w:tcPr>
          <w:p w14:paraId="26EC5A55" w14:textId="77777777" w:rsidR="00543D47" w:rsidRPr="00BA5F0C" w:rsidRDefault="00543D47" w:rsidP="00D9610A">
            <w:pPr>
              <w:spacing w:before="40" w:after="40" w:line="240" w:lineRule="auto"/>
              <w:rPr>
                <w:rFonts w:cs="Arial"/>
                <w:sz w:val="18"/>
                <w:szCs w:val="18"/>
              </w:rPr>
            </w:pPr>
            <w:r w:rsidRPr="00BA5F0C">
              <w:rPr>
                <w:color w:val="000000"/>
                <w:sz w:val="18"/>
                <w:szCs w:val="18"/>
              </w:rPr>
              <w:t>No change</w:t>
            </w:r>
          </w:p>
        </w:tc>
        <w:tc>
          <w:tcPr>
            <w:tcW w:w="3402" w:type="dxa"/>
          </w:tcPr>
          <w:p w14:paraId="54523563" w14:textId="77777777" w:rsidR="00543D47" w:rsidRPr="00BA5F0C" w:rsidRDefault="00543D47" w:rsidP="00D9610A">
            <w:pPr>
              <w:spacing w:before="40" w:after="40" w:line="240" w:lineRule="auto"/>
              <w:ind w:left="57" w:right="57"/>
              <w:rPr>
                <w:sz w:val="18"/>
                <w:szCs w:val="18"/>
              </w:rPr>
            </w:pPr>
          </w:p>
        </w:tc>
        <w:tc>
          <w:tcPr>
            <w:tcW w:w="3402" w:type="dxa"/>
          </w:tcPr>
          <w:p w14:paraId="70D6EDE1" w14:textId="77777777" w:rsidR="00543D47" w:rsidRPr="00BA5F0C" w:rsidRDefault="00543D47" w:rsidP="00D9610A">
            <w:pPr>
              <w:spacing w:before="40" w:after="40" w:line="240" w:lineRule="auto"/>
              <w:rPr>
                <w:rFonts w:cs="Arial"/>
                <w:sz w:val="18"/>
                <w:szCs w:val="18"/>
              </w:rPr>
            </w:pPr>
          </w:p>
        </w:tc>
      </w:tr>
      <w:tr w:rsidR="00543D47" w:rsidRPr="00BA5F0C" w14:paraId="29B9D5B5" w14:textId="77777777" w:rsidTr="00D9610A">
        <w:trPr>
          <w:cantSplit/>
        </w:trPr>
        <w:tc>
          <w:tcPr>
            <w:tcW w:w="851" w:type="dxa"/>
          </w:tcPr>
          <w:p w14:paraId="015792F6"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lastRenderedPageBreak/>
              <w:t>66789</w:t>
            </w:r>
          </w:p>
        </w:tc>
        <w:tc>
          <w:tcPr>
            <w:tcW w:w="3402" w:type="dxa"/>
          </w:tcPr>
          <w:p w14:paraId="17AD8797" w14:textId="77777777" w:rsidR="00543D47" w:rsidRPr="00BA5F0C" w:rsidRDefault="00543D47" w:rsidP="00D9610A">
            <w:pPr>
              <w:spacing w:before="40" w:after="40" w:line="240" w:lineRule="auto"/>
              <w:rPr>
                <w:rFonts w:cs="Arial"/>
                <w:sz w:val="18"/>
                <w:szCs w:val="18"/>
              </w:rPr>
            </w:pPr>
            <w:r w:rsidRPr="00BA5F0C">
              <w:rPr>
                <w:color w:val="000000"/>
                <w:sz w:val="18"/>
                <w:szCs w:val="18"/>
              </w:rPr>
              <w:t xml:space="preserve">A test described in item 66785 if rendered by a receiving APP, where no tests in the item have been rendered by the referring APP - 1 </w:t>
            </w:r>
            <w:proofErr w:type="gramStart"/>
            <w:r w:rsidRPr="00BA5F0C">
              <w:rPr>
                <w:color w:val="000000"/>
                <w:sz w:val="18"/>
                <w:szCs w:val="18"/>
              </w:rPr>
              <w:t>test(</w:t>
            </w:r>
            <w:proofErr w:type="gramEnd"/>
            <w:r w:rsidRPr="00BA5F0C">
              <w:rPr>
                <w:color w:val="000000"/>
                <w:sz w:val="18"/>
                <w:szCs w:val="18"/>
              </w:rPr>
              <w:t>Item is subject to rule 6 and 18)</w:t>
            </w:r>
          </w:p>
        </w:tc>
        <w:tc>
          <w:tcPr>
            <w:tcW w:w="3402" w:type="dxa"/>
          </w:tcPr>
          <w:p w14:paraId="77376EE0" w14:textId="77777777" w:rsidR="00543D47" w:rsidRPr="00BA5F0C" w:rsidRDefault="00543D47" w:rsidP="00D9610A">
            <w:pPr>
              <w:spacing w:before="40" w:after="40" w:line="240" w:lineRule="auto"/>
              <w:rPr>
                <w:rFonts w:cs="Arial"/>
                <w:sz w:val="18"/>
                <w:szCs w:val="18"/>
              </w:rPr>
            </w:pPr>
            <w:r w:rsidRPr="00BA5F0C">
              <w:rPr>
                <w:color w:val="000000"/>
                <w:sz w:val="18"/>
                <w:szCs w:val="18"/>
              </w:rPr>
              <w:t>No change</w:t>
            </w:r>
          </w:p>
        </w:tc>
        <w:tc>
          <w:tcPr>
            <w:tcW w:w="3402" w:type="dxa"/>
          </w:tcPr>
          <w:p w14:paraId="24A56FB7" w14:textId="77777777" w:rsidR="00543D47" w:rsidRPr="00BA5F0C" w:rsidRDefault="00543D47" w:rsidP="00D9610A">
            <w:pPr>
              <w:spacing w:before="40" w:after="40" w:line="240" w:lineRule="auto"/>
              <w:ind w:left="57" w:right="57"/>
              <w:rPr>
                <w:sz w:val="18"/>
                <w:szCs w:val="18"/>
              </w:rPr>
            </w:pPr>
          </w:p>
        </w:tc>
        <w:tc>
          <w:tcPr>
            <w:tcW w:w="3402" w:type="dxa"/>
          </w:tcPr>
          <w:p w14:paraId="79BB83BD" w14:textId="77777777" w:rsidR="00543D47" w:rsidRPr="00BA5F0C" w:rsidRDefault="00543D47" w:rsidP="00D9610A">
            <w:pPr>
              <w:spacing w:before="40" w:after="40" w:line="240" w:lineRule="auto"/>
              <w:rPr>
                <w:rFonts w:cs="Arial"/>
                <w:sz w:val="18"/>
                <w:szCs w:val="18"/>
              </w:rPr>
            </w:pPr>
          </w:p>
        </w:tc>
      </w:tr>
      <w:tr w:rsidR="00543D47" w:rsidRPr="00BA5F0C" w14:paraId="24CE0B2B" w14:textId="77777777" w:rsidTr="00D9610A">
        <w:trPr>
          <w:cantSplit/>
        </w:trPr>
        <w:tc>
          <w:tcPr>
            <w:tcW w:w="851" w:type="dxa"/>
          </w:tcPr>
          <w:p w14:paraId="594857E5"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66790</w:t>
            </w:r>
          </w:p>
        </w:tc>
        <w:tc>
          <w:tcPr>
            <w:tcW w:w="3402" w:type="dxa"/>
          </w:tcPr>
          <w:p w14:paraId="4760CF8C" w14:textId="77777777" w:rsidR="00543D47" w:rsidRPr="00BA5F0C" w:rsidRDefault="00543D47" w:rsidP="00D9610A">
            <w:pPr>
              <w:spacing w:before="40" w:after="40" w:line="240" w:lineRule="auto"/>
              <w:rPr>
                <w:rFonts w:cs="Arial"/>
                <w:sz w:val="18"/>
                <w:szCs w:val="18"/>
              </w:rPr>
            </w:pPr>
            <w:r w:rsidRPr="00BA5F0C">
              <w:rPr>
                <w:color w:val="000000"/>
                <w:sz w:val="18"/>
                <w:szCs w:val="18"/>
              </w:rPr>
              <w:t xml:space="preserve">A test described in item 66785 other than that described in 66789, if rendered by a receiving APP - to a maximum of 1 </w:t>
            </w:r>
            <w:proofErr w:type="gramStart"/>
            <w:r w:rsidRPr="00BA5F0C">
              <w:rPr>
                <w:color w:val="000000"/>
                <w:sz w:val="18"/>
                <w:szCs w:val="18"/>
              </w:rPr>
              <w:t>test(</w:t>
            </w:r>
            <w:proofErr w:type="gramEnd"/>
            <w:r w:rsidRPr="00BA5F0C">
              <w:rPr>
                <w:color w:val="000000"/>
                <w:sz w:val="18"/>
                <w:szCs w:val="18"/>
              </w:rPr>
              <w:t>Item is subject to rule 6 and 18)</w:t>
            </w:r>
          </w:p>
        </w:tc>
        <w:tc>
          <w:tcPr>
            <w:tcW w:w="3402" w:type="dxa"/>
          </w:tcPr>
          <w:p w14:paraId="68070227" w14:textId="77777777" w:rsidR="00543D47" w:rsidRPr="00BA5F0C" w:rsidRDefault="00543D47" w:rsidP="00D9610A">
            <w:pPr>
              <w:spacing w:before="40" w:after="40" w:line="240" w:lineRule="auto"/>
              <w:rPr>
                <w:rFonts w:cs="Arial"/>
                <w:sz w:val="18"/>
                <w:szCs w:val="18"/>
              </w:rPr>
            </w:pPr>
            <w:r w:rsidRPr="00BA5F0C">
              <w:rPr>
                <w:color w:val="000000"/>
                <w:sz w:val="18"/>
                <w:szCs w:val="18"/>
              </w:rPr>
              <w:t>Increase schedule fee to the fee for 66789</w:t>
            </w:r>
          </w:p>
        </w:tc>
        <w:tc>
          <w:tcPr>
            <w:tcW w:w="3402" w:type="dxa"/>
          </w:tcPr>
          <w:p w14:paraId="6FEA7944" w14:textId="77777777" w:rsidR="00543D47" w:rsidRPr="00BA5F0C" w:rsidRDefault="00543D47" w:rsidP="00D9610A">
            <w:pPr>
              <w:spacing w:before="40" w:after="40" w:line="240" w:lineRule="auto"/>
              <w:ind w:left="57" w:right="57"/>
              <w:rPr>
                <w:sz w:val="18"/>
                <w:szCs w:val="18"/>
              </w:rPr>
            </w:pPr>
          </w:p>
        </w:tc>
        <w:tc>
          <w:tcPr>
            <w:tcW w:w="3402" w:type="dxa"/>
          </w:tcPr>
          <w:p w14:paraId="113B2383" w14:textId="77777777" w:rsidR="00543D47" w:rsidRPr="00BA5F0C" w:rsidRDefault="00543D47" w:rsidP="00D9610A">
            <w:pPr>
              <w:spacing w:before="40" w:after="40" w:line="240" w:lineRule="auto"/>
              <w:rPr>
                <w:rFonts w:cs="Arial"/>
                <w:sz w:val="18"/>
                <w:szCs w:val="18"/>
              </w:rPr>
            </w:pPr>
          </w:p>
        </w:tc>
      </w:tr>
      <w:tr w:rsidR="00543D47" w:rsidRPr="00BA5F0C" w14:paraId="399C040E" w14:textId="77777777" w:rsidTr="00D9610A">
        <w:trPr>
          <w:cantSplit/>
        </w:trPr>
        <w:tc>
          <w:tcPr>
            <w:tcW w:w="851" w:type="dxa"/>
          </w:tcPr>
          <w:p w14:paraId="0F8F3B67"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66791</w:t>
            </w:r>
          </w:p>
        </w:tc>
        <w:tc>
          <w:tcPr>
            <w:tcW w:w="3402" w:type="dxa"/>
          </w:tcPr>
          <w:p w14:paraId="04E69C8A" w14:textId="77777777" w:rsidR="00543D47" w:rsidRPr="00BA5F0C" w:rsidRDefault="00543D47" w:rsidP="00D9610A">
            <w:pPr>
              <w:spacing w:before="40" w:after="40" w:line="240" w:lineRule="auto"/>
              <w:rPr>
                <w:rFonts w:cs="Arial"/>
                <w:sz w:val="18"/>
                <w:szCs w:val="18"/>
              </w:rPr>
            </w:pPr>
            <w:r w:rsidRPr="00BA5F0C">
              <w:rPr>
                <w:color w:val="000000"/>
                <w:sz w:val="18"/>
                <w:szCs w:val="18"/>
              </w:rPr>
              <w:t>Porphyrin biosynthetic enzymes - measurement of activity in blood cells or other tissues - 1 or more tests</w:t>
            </w:r>
          </w:p>
        </w:tc>
        <w:tc>
          <w:tcPr>
            <w:tcW w:w="3402" w:type="dxa"/>
          </w:tcPr>
          <w:p w14:paraId="1E0FFD80" w14:textId="77777777" w:rsidR="00543D47" w:rsidRPr="00BA5F0C" w:rsidRDefault="00543D47" w:rsidP="00D9610A">
            <w:pPr>
              <w:spacing w:before="40" w:after="40" w:line="240" w:lineRule="auto"/>
              <w:rPr>
                <w:rFonts w:cs="Arial"/>
                <w:sz w:val="18"/>
                <w:szCs w:val="18"/>
              </w:rPr>
            </w:pPr>
            <w:r w:rsidRPr="00BA5F0C">
              <w:rPr>
                <w:color w:val="000000"/>
                <w:sz w:val="18"/>
                <w:szCs w:val="18"/>
              </w:rPr>
              <w:t>Delete this item</w:t>
            </w:r>
          </w:p>
        </w:tc>
        <w:tc>
          <w:tcPr>
            <w:tcW w:w="3402" w:type="dxa"/>
          </w:tcPr>
          <w:p w14:paraId="667CE726" w14:textId="77777777" w:rsidR="00543D47" w:rsidRPr="00BA5F0C" w:rsidRDefault="00543D47" w:rsidP="00D9610A">
            <w:pPr>
              <w:spacing w:before="40" w:after="40" w:line="240" w:lineRule="auto"/>
              <w:ind w:left="57" w:right="57"/>
              <w:rPr>
                <w:sz w:val="18"/>
                <w:szCs w:val="18"/>
              </w:rPr>
            </w:pPr>
          </w:p>
        </w:tc>
        <w:tc>
          <w:tcPr>
            <w:tcW w:w="3402" w:type="dxa"/>
          </w:tcPr>
          <w:p w14:paraId="60BC79DD" w14:textId="77777777" w:rsidR="00543D47" w:rsidRPr="00BA5F0C" w:rsidRDefault="00543D47" w:rsidP="00D9610A">
            <w:pPr>
              <w:spacing w:before="40" w:after="40" w:line="240" w:lineRule="auto"/>
              <w:rPr>
                <w:rFonts w:cs="Arial"/>
                <w:sz w:val="18"/>
                <w:szCs w:val="18"/>
              </w:rPr>
            </w:pPr>
          </w:p>
        </w:tc>
      </w:tr>
      <w:tr w:rsidR="00543D47" w:rsidRPr="00BA5F0C" w14:paraId="4D24DFA2" w14:textId="77777777" w:rsidTr="00D9610A">
        <w:trPr>
          <w:cantSplit/>
        </w:trPr>
        <w:tc>
          <w:tcPr>
            <w:tcW w:w="851" w:type="dxa"/>
          </w:tcPr>
          <w:p w14:paraId="31544EB9"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66792</w:t>
            </w:r>
          </w:p>
        </w:tc>
        <w:tc>
          <w:tcPr>
            <w:tcW w:w="3402" w:type="dxa"/>
          </w:tcPr>
          <w:p w14:paraId="0A5CED8C" w14:textId="77777777" w:rsidR="00543D47" w:rsidRPr="00BA5F0C" w:rsidRDefault="00543D47" w:rsidP="00D9610A">
            <w:pPr>
              <w:spacing w:before="40" w:after="40" w:line="240" w:lineRule="auto"/>
              <w:rPr>
                <w:rFonts w:cs="Arial"/>
                <w:sz w:val="18"/>
                <w:szCs w:val="18"/>
              </w:rPr>
            </w:pPr>
            <w:r w:rsidRPr="00BA5F0C">
              <w:rPr>
                <w:color w:val="000000"/>
                <w:sz w:val="18"/>
                <w:szCs w:val="18"/>
              </w:rPr>
              <w:t xml:space="preserve">A test described in item 66791 if rendered by a receiving APP - 1 or more </w:t>
            </w:r>
            <w:proofErr w:type="gramStart"/>
            <w:r w:rsidRPr="00BA5F0C">
              <w:rPr>
                <w:color w:val="000000"/>
                <w:sz w:val="18"/>
                <w:szCs w:val="18"/>
              </w:rPr>
              <w:t>tests(</w:t>
            </w:r>
            <w:proofErr w:type="gramEnd"/>
            <w:r w:rsidRPr="00BA5F0C">
              <w:rPr>
                <w:color w:val="000000"/>
                <w:sz w:val="18"/>
                <w:szCs w:val="18"/>
              </w:rPr>
              <w:t>Item is subject to rule 18)</w:t>
            </w:r>
          </w:p>
        </w:tc>
        <w:tc>
          <w:tcPr>
            <w:tcW w:w="3402" w:type="dxa"/>
          </w:tcPr>
          <w:p w14:paraId="2A11BB46" w14:textId="77777777" w:rsidR="00543D47" w:rsidRPr="00BA5F0C" w:rsidRDefault="00543D47" w:rsidP="00D9610A">
            <w:pPr>
              <w:spacing w:before="40" w:after="40" w:line="240" w:lineRule="auto"/>
              <w:rPr>
                <w:rFonts w:cs="Arial"/>
                <w:sz w:val="18"/>
                <w:szCs w:val="18"/>
              </w:rPr>
            </w:pPr>
            <w:r w:rsidRPr="00BA5F0C">
              <w:rPr>
                <w:color w:val="000000"/>
                <w:sz w:val="18"/>
                <w:szCs w:val="18"/>
              </w:rPr>
              <w:t>Delete this item</w:t>
            </w:r>
          </w:p>
        </w:tc>
        <w:tc>
          <w:tcPr>
            <w:tcW w:w="3402" w:type="dxa"/>
          </w:tcPr>
          <w:p w14:paraId="054A34BD" w14:textId="77777777" w:rsidR="00543D47" w:rsidRPr="00BA5F0C" w:rsidRDefault="00543D47" w:rsidP="00D9610A">
            <w:pPr>
              <w:spacing w:before="40" w:after="40" w:line="240" w:lineRule="auto"/>
              <w:ind w:left="57" w:right="57"/>
              <w:rPr>
                <w:sz w:val="18"/>
                <w:szCs w:val="18"/>
              </w:rPr>
            </w:pPr>
          </w:p>
        </w:tc>
        <w:tc>
          <w:tcPr>
            <w:tcW w:w="3402" w:type="dxa"/>
          </w:tcPr>
          <w:p w14:paraId="0AD5F501" w14:textId="77777777" w:rsidR="00543D47" w:rsidRPr="00BA5F0C" w:rsidRDefault="00543D47" w:rsidP="00D9610A">
            <w:pPr>
              <w:spacing w:before="40" w:after="40" w:line="240" w:lineRule="auto"/>
              <w:rPr>
                <w:rFonts w:cs="Arial"/>
                <w:sz w:val="18"/>
                <w:szCs w:val="18"/>
              </w:rPr>
            </w:pPr>
          </w:p>
        </w:tc>
      </w:tr>
    </w:tbl>
    <w:p w14:paraId="1AA43381" w14:textId="77777777" w:rsidR="00543D47" w:rsidRPr="00BA5F0C" w:rsidRDefault="00543D47" w:rsidP="00543D47">
      <w:pPr>
        <w:spacing w:before="40" w:after="40" w:line="240" w:lineRule="auto"/>
        <w:rPr>
          <w:b/>
          <w:sz w:val="18"/>
          <w:szCs w:val="18"/>
        </w:rPr>
      </w:pPr>
    </w:p>
    <w:p w14:paraId="285893B0" w14:textId="77777777" w:rsidR="00543D47" w:rsidRPr="00BA5F0C" w:rsidRDefault="00543D47" w:rsidP="00543D47">
      <w:pPr>
        <w:pStyle w:val="Caption"/>
        <w:rPr>
          <w:b/>
          <w:sz w:val="18"/>
          <w:szCs w:val="18"/>
        </w:rPr>
      </w:pPr>
      <w:bookmarkStart w:id="412" w:name="_Toc487753647"/>
      <w:bookmarkStart w:id="413" w:name="_Toc490651369"/>
      <w:bookmarkStart w:id="414" w:name="_Toc490756890"/>
      <w:bookmarkStart w:id="415" w:name="_Toc491341011"/>
      <w:bookmarkStart w:id="416" w:name="_Toc493598705"/>
      <w:bookmarkStart w:id="417" w:name="_Toc493599727"/>
      <w:bookmarkStart w:id="418" w:name="_Toc493599923"/>
      <w:bookmarkStart w:id="419" w:name="_Toc493687782"/>
      <w:bookmarkStart w:id="420" w:name="_Toc534375002"/>
      <w:r w:rsidRPr="00BA5F0C">
        <w:rPr>
          <w:b/>
          <w:i w:val="0"/>
          <w:sz w:val="18"/>
          <w:szCs w:val="18"/>
        </w:rPr>
        <w:t>Recommendation 2</w:t>
      </w:r>
      <w:r>
        <w:rPr>
          <w:b/>
          <w:i w:val="0"/>
          <w:sz w:val="18"/>
          <w:szCs w:val="18"/>
        </w:rPr>
        <w:t>4</w:t>
      </w:r>
      <w:r w:rsidRPr="00BA5F0C">
        <w:rPr>
          <w:b/>
          <w:i w:val="0"/>
          <w:sz w:val="18"/>
          <w:szCs w:val="18"/>
        </w:rPr>
        <w:t>: Amino acid quantitation: items 66756, 66757</w:t>
      </w:r>
      <w:bookmarkEnd w:id="412"/>
      <w:bookmarkEnd w:id="413"/>
      <w:bookmarkEnd w:id="414"/>
      <w:bookmarkEnd w:id="415"/>
      <w:bookmarkEnd w:id="416"/>
      <w:bookmarkEnd w:id="417"/>
      <w:bookmarkEnd w:id="418"/>
      <w:bookmarkEnd w:id="419"/>
      <w:bookmarkEnd w:id="420"/>
    </w:p>
    <w:tbl>
      <w:tblPr>
        <w:tblStyle w:val="TableGrid"/>
        <w:tblW w:w="1445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02"/>
        <w:gridCol w:w="3402"/>
        <w:gridCol w:w="3402"/>
        <w:gridCol w:w="3402"/>
      </w:tblGrid>
      <w:tr w:rsidR="00543D47" w:rsidRPr="00BA5F0C" w14:paraId="3FD640B3" w14:textId="77777777" w:rsidTr="00D9610A">
        <w:trPr>
          <w:cantSplit/>
          <w:tblHeader/>
        </w:trPr>
        <w:tc>
          <w:tcPr>
            <w:tcW w:w="851" w:type="dxa"/>
          </w:tcPr>
          <w:p w14:paraId="692686C6"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060D50D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47E32C0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711E2120"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2BE9B51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43C8DCEC" w14:textId="77777777" w:rsidTr="00D9610A">
        <w:trPr>
          <w:cantSplit/>
        </w:trPr>
        <w:tc>
          <w:tcPr>
            <w:tcW w:w="851" w:type="dxa"/>
          </w:tcPr>
          <w:p w14:paraId="197CF616"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66756</w:t>
            </w:r>
          </w:p>
        </w:tc>
        <w:tc>
          <w:tcPr>
            <w:tcW w:w="3402" w:type="dxa"/>
          </w:tcPr>
          <w:p w14:paraId="69F96269" w14:textId="77777777" w:rsidR="00543D47" w:rsidRPr="00BA5F0C" w:rsidRDefault="00543D47" w:rsidP="00D9610A">
            <w:pPr>
              <w:spacing w:before="40" w:after="40" w:line="240" w:lineRule="auto"/>
              <w:rPr>
                <w:color w:val="000000"/>
                <w:sz w:val="18"/>
                <w:szCs w:val="18"/>
              </w:rPr>
            </w:pPr>
            <w:r w:rsidRPr="00BA5F0C">
              <w:rPr>
                <w:color w:val="000000"/>
                <w:sz w:val="18"/>
                <w:szCs w:val="18"/>
              </w:rPr>
              <w:t xml:space="preserve">Quantitation of 10 or more amino acids for the diagnosis of inborn errors of metabolism - up to 4 tests in a </w:t>
            </w:r>
            <w:r>
              <w:rPr>
                <w:color w:val="000000"/>
                <w:sz w:val="18"/>
                <w:szCs w:val="18"/>
              </w:rPr>
              <w:t>12-month period</w:t>
            </w:r>
            <w:r w:rsidRPr="00BA5F0C">
              <w:rPr>
                <w:color w:val="000000"/>
                <w:sz w:val="18"/>
                <w:szCs w:val="18"/>
              </w:rPr>
              <w:t xml:space="preserve"> on specimens of plasma, CSF and urine.</w:t>
            </w:r>
          </w:p>
        </w:tc>
        <w:tc>
          <w:tcPr>
            <w:tcW w:w="3402" w:type="dxa"/>
          </w:tcPr>
          <w:p w14:paraId="1F414DBB" w14:textId="77777777" w:rsidR="00543D47" w:rsidRPr="00BA5F0C" w:rsidRDefault="00543D47" w:rsidP="00D9610A">
            <w:pPr>
              <w:spacing w:before="40" w:after="40" w:line="240" w:lineRule="auto"/>
              <w:rPr>
                <w:color w:val="000000"/>
                <w:sz w:val="18"/>
                <w:szCs w:val="18"/>
              </w:rPr>
            </w:pPr>
            <w:r w:rsidRPr="00BA5F0C">
              <w:rPr>
                <w:color w:val="000000"/>
                <w:sz w:val="18"/>
                <w:szCs w:val="18"/>
              </w:rPr>
              <w:t>Consolidate items 66756 and 66757 into a single item, with reworded item descriptor</w:t>
            </w:r>
            <w:r>
              <w:rPr>
                <w:color w:val="000000"/>
                <w:sz w:val="18"/>
                <w:szCs w:val="18"/>
              </w:rPr>
              <w:t>.</w:t>
            </w:r>
          </w:p>
          <w:p w14:paraId="274FD4E1" w14:textId="77777777" w:rsidR="00543D47" w:rsidRPr="00BA5F0C" w:rsidRDefault="00543D47" w:rsidP="00D9610A">
            <w:pPr>
              <w:spacing w:before="40" w:after="40" w:line="240" w:lineRule="auto"/>
              <w:rPr>
                <w:color w:val="000000"/>
                <w:sz w:val="18"/>
                <w:szCs w:val="18"/>
              </w:rPr>
            </w:pPr>
          </w:p>
        </w:tc>
        <w:tc>
          <w:tcPr>
            <w:tcW w:w="3402" w:type="dxa"/>
          </w:tcPr>
          <w:p w14:paraId="3CA67C54" w14:textId="77777777" w:rsidR="00543D47" w:rsidRPr="00BA5F0C" w:rsidRDefault="00543D47" w:rsidP="00D9610A">
            <w:pPr>
              <w:spacing w:before="40" w:after="40" w:line="240" w:lineRule="auto"/>
              <w:rPr>
                <w:color w:val="000000"/>
                <w:sz w:val="18"/>
                <w:szCs w:val="18"/>
              </w:rPr>
            </w:pPr>
            <w:r w:rsidRPr="00BA5F0C">
              <w:rPr>
                <w:color w:val="000000"/>
                <w:sz w:val="18"/>
                <w:szCs w:val="18"/>
              </w:rPr>
              <w:t>Combine the 2 items</w:t>
            </w:r>
            <w:r>
              <w:rPr>
                <w:color w:val="000000"/>
                <w:sz w:val="18"/>
                <w:szCs w:val="18"/>
              </w:rPr>
              <w:t>.</w:t>
            </w:r>
          </w:p>
        </w:tc>
        <w:tc>
          <w:tcPr>
            <w:tcW w:w="3402" w:type="dxa"/>
          </w:tcPr>
          <w:p w14:paraId="59FC6C05" w14:textId="77777777" w:rsidR="00543D47" w:rsidRPr="00BA5F0C" w:rsidRDefault="00543D47" w:rsidP="00D9610A">
            <w:pPr>
              <w:spacing w:before="40" w:after="40" w:line="240" w:lineRule="auto"/>
              <w:rPr>
                <w:color w:val="000000"/>
                <w:sz w:val="18"/>
                <w:szCs w:val="18"/>
              </w:rPr>
            </w:pPr>
            <w:r w:rsidRPr="00BA5F0C">
              <w:rPr>
                <w:color w:val="000000"/>
                <w:sz w:val="18"/>
                <w:szCs w:val="18"/>
              </w:rPr>
              <w:t>Simplify the schedule</w:t>
            </w:r>
            <w:r>
              <w:rPr>
                <w:color w:val="000000"/>
                <w:sz w:val="18"/>
                <w:szCs w:val="18"/>
              </w:rPr>
              <w:t>.</w:t>
            </w:r>
          </w:p>
        </w:tc>
      </w:tr>
      <w:tr w:rsidR="00543D47" w:rsidRPr="00BA5F0C" w14:paraId="7B2D34A2" w14:textId="77777777" w:rsidTr="00D9610A">
        <w:trPr>
          <w:cantSplit/>
        </w:trPr>
        <w:tc>
          <w:tcPr>
            <w:tcW w:w="851" w:type="dxa"/>
          </w:tcPr>
          <w:p w14:paraId="0BD03329"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66757</w:t>
            </w:r>
          </w:p>
        </w:tc>
        <w:tc>
          <w:tcPr>
            <w:tcW w:w="3402" w:type="dxa"/>
          </w:tcPr>
          <w:p w14:paraId="4D47752D" w14:textId="77777777" w:rsidR="00543D47" w:rsidRPr="00BA5F0C" w:rsidRDefault="00543D47" w:rsidP="00D9610A">
            <w:pPr>
              <w:spacing w:before="40" w:after="40" w:line="240" w:lineRule="auto"/>
              <w:rPr>
                <w:color w:val="000000"/>
                <w:sz w:val="18"/>
                <w:szCs w:val="18"/>
              </w:rPr>
            </w:pPr>
            <w:r w:rsidRPr="00BA5F0C">
              <w:rPr>
                <w:color w:val="000000"/>
                <w:sz w:val="18"/>
                <w:szCs w:val="18"/>
              </w:rPr>
              <w:t>Quantitation of 10 or more amino acids for monitoring of previously diagnosed inborn errors of metabolism in 1 tissue type.</w:t>
            </w:r>
          </w:p>
        </w:tc>
        <w:tc>
          <w:tcPr>
            <w:tcW w:w="3402" w:type="dxa"/>
          </w:tcPr>
          <w:p w14:paraId="49670B8D" w14:textId="77777777" w:rsidR="00543D47" w:rsidRPr="00BA5F0C" w:rsidRDefault="00543D47" w:rsidP="00D9610A">
            <w:pPr>
              <w:spacing w:before="40" w:after="40" w:line="240" w:lineRule="auto"/>
              <w:rPr>
                <w:color w:val="000000"/>
                <w:sz w:val="18"/>
                <w:szCs w:val="18"/>
              </w:rPr>
            </w:pPr>
            <w:r w:rsidRPr="00BA5F0C">
              <w:rPr>
                <w:color w:val="000000"/>
                <w:sz w:val="18"/>
                <w:szCs w:val="18"/>
              </w:rPr>
              <w:t>As above</w:t>
            </w:r>
            <w:r>
              <w:rPr>
                <w:color w:val="000000"/>
                <w:sz w:val="18"/>
                <w:szCs w:val="18"/>
              </w:rPr>
              <w:t>.</w:t>
            </w:r>
          </w:p>
        </w:tc>
        <w:tc>
          <w:tcPr>
            <w:tcW w:w="3402" w:type="dxa"/>
          </w:tcPr>
          <w:p w14:paraId="1132EFA6" w14:textId="77777777" w:rsidR="00543D47" w:rsidRPr="00BA5F0C" w:rsidRDefault="00543D47" w:rsidP="00D9610A">
            <w:pPr>
              <w:spacing w:before="40" w:after="40" w:line="240" w:lineRule="auto"/>
              <w:rPr>
                <w:color w:val="000000"/>
                <w:sz w:val="18"/>
                <w:szCs w:val="18"/>
              </w:rPr>
            </w:pPr>
          </w:p>
        </w:tc>
        <w:tc>
          <w:tcPr>
            <w:tcW w:w="3402" w:type="dxa"/>
          </w:tcPr>
          <w:p w14:paraId="6A207B75" w14:textId="77777777" w:rsidR="00543D47" w:rsidRPr="00BA5F0C" w:rsidRDefault="00543D47" w:rsidP="00D9610A">
            <w:pPr>
              <w:spacing w:before="40" w:after="40" w:line="240" w:lineRule="auto"/>
              <w:rPr>
                <w:color w:val="000000"/>
                <w:sz w:val="18"/>
                <w:szCs w:val="18"/>
              </w:rPr>
            </w:pPr>
          </w:p>
        </w:tc>
      </w:tr>
    </w:tbl>
    <w:p w14:paraId="104911BB" w14:textId="77777777" w:rsidR="00543D47" w:rsidRPr="00BA5F0C" w:rsidRDefault="00543D47" w:rsidP="00543D47">
      <w:pPr>
        <w:spacing w:before="40" w:after="40" w:line="240" w:lineRule="auto"/>
        <w:rPr>
          <w:b/>
          <w:sz w:val="18"/>
          <w:szCs w:val="18"/>
        </w:rPr>
      </w:pPr>
    </w:p>
    <w:p w14:paraId="5E39F58B" w14:textId="77777777" w:rsidR="00543D47" w:rsidRPr="00BA5F0C" w:rsidRDefault="00543D47" w:rsidP="00543D47">
      <w:pPr>
        <w:pStyle w:val="Caption"/>
        <w:rPr>
          <w:b/>
          <w:sz w:val="18"/>
          <w:szCs w:val="18"/>
        </w:rPr>
      </w:pPr>
      <w:bookmarkStart w:id="421" w:name="_Toc487753648"/>
      <w:bookmarkStart w:id="422" w:name="_Toc490651370"/>
      <w:bookmarkStart w:id="423" w:name="_Toc490756891"/>
      <w:bookmarkStart w:id="424" w:name="_Toc491341012"/>
      <w:bookmarkStart w:id="425" w:name="_Toc493598706"/>
      <w:bookmarkStart w:id="426" w:name="_Toc493599728"/>
      <w:bookmarkStart w:id="427" w:name="_Toc493599924"/>
      <w:bookmarkStart w:id="428" w:name="_Toc493687783"/>
      <w:bookmarkStart w:id="429" w:name="_Toc534375003"/>
      <w:r w:rsidRPr="00BA5F0C">
        <w:rPr>
          <w:b/>
          <w:i w:val="0"/>
          <w:sz w:val="18"/>
          <w:szCs w:val="18"/>
        </w:rPr>
        <w:lastRenderedPageBreak/>
        <w:t>Recommendation 2</w:t>
      </w:r>
      <w:r>
        <w:rPr>
          <w:b/>
          <w:i w:val="0"/>
          <w:sz w:val="18"/>
          <w:szCs w:val="18"/>
        </w:rPr>
        <w:t>5</w:t>
      </w:r>
      <w:r w:rsidRPr="00BA5F0C">
        <w:rPr>
          <w:b/>
          <w:i w:val="0"/>
          <w:sz w:val="18"/>
          <w:szCs w:val="18"/>
        </w:rPr>
        <w:t>: Collagen breakdown products: items 66773, 66776</w:t>
      </w:r>
      <w:bookmarkEnd w:id="421"/>
      <w:bookmarkEnd w:id="422"/>
      <w:bookmarkEnd w:id="423"/>
      <w:bookmarkEnd w:id="424"/>
      <w:bookmarkEnd w:id="425"/>
      <w:bookmarkEnd w:id="426"/>
      <w:bookmarkEnd w:id="427"/>
      <w:bookmarkEnd w:id="428"/>
      <w:bookmarkEnd w:id="429"/>
    </w:p>
    <w:tbl>
      <w:tblPr>
        <w:tblStyle w:val="TableGrid"/>
        <w:tblW w:w="1445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02"/>
        <w:gridCol w:w="3402"/>
        <w:gridCol w:w="3402"/>
        <w:gridCol w:w="3402"/>
      </w:tblGrid>
      <w:tr w:rsidR="00543D47" w:rsidRPr="00BA5F0C" w14:paraId="6CE8C7FA" w14:textId="77777777" w:rsidTr="00D9610A">
        <w:trPr>
          <w:cantSplit/>
          <w:tblHeader/>
        </w:trPr>
        <w:tc>
          <w:tcPr>
            <w:tcW w:w="851" w:type="dxa"/>
          </w:tcPr>
          <w:p w14:paraId="708DC1B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094C883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58130CAF"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6DDA79D3"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71809533"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7DDE617F" w14:textId="77777777" w:rsidTr="00D9610A">
        <w:trPr>
          <w:cantSplit/>
        </w:trPr>
        <w:tc>
          <w:tcPr>
            <w:tcW w:w="851" w:type="dxa"/>
          </w:tcPr>
          <w:p w14:paraId="394CA4CD"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66773</w:t>
            </w:r>
          </w:p>
        </w:tc>
        <w:tc>
          <w:tcPr>
            <w:tcW w:w="3402" w:type="dxa"/>
          </w:tcPr>
          <w:p w14:paraId="4C5B245D" w14:textId="77777777" w:rsidR="00543D47" w:rsidRPr="00BA5F0C" w:rsidRDefault="00543D47" w:rsidP="00D9610A">
            <w:pPr>
              <w:spacing w:before="40" w:after="40" w:line="240" w:lineRule="auto"/>
              <w:rPr>
                <w:rFonts w:cs="Arial"/>
                <w:sz w:val="18"/>
                <w:szCs w:val="18"/>
              </w:rPr>
            </w:pPr>
            <w:r w:rsidRPr="00BA5F0C">
              <w:rPr>
                <w:color w:val="000000"/>
                <w:sz w:val="18"/>
                <w:szCs w:val="18"/>
              </w:rPr>
              <w:t xml:space="preserve">Measures products of collagen breakdown or formation for the monitoring of patients with proven low bone mineral density, and if performed, a service described in item 66752 - 1 or more tests </w:t>
            </w:r>
          </w:p>
        </w:tc>
        <w:tc>
          <w:tcPr>
            <w:tcW w:w="3402" w:type="dxa"/>
          </w:tcPr>
          <w:p w14:paraId="5F8EE018"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Limit testing to 2 tests within a </w:t>
            </w:r>
            <w:r>
              <w:rPr>
                <w:rFonts w:cs="Arial"/>
                <w:sz w:val="18"/>
                <w:szCs w:val="18"/>
              </w:rPr>
              <w:t>12-month period.</w:t>
            </w:r>
          </w:p>
          <w:p w14:paraId="0737F088" w14:textId="77777777" w:rsidR="00543D47" w:rsidRPr="00BA5F0C" w:rsidRDefault="00543D47" w:rsidP="00D9610A">
            <w:pPr>
              <w:spacing w:before="40" w:after="40" w:line="240" w:lineRule="auto"/>
              <w:rPr>
                <w:rFonts w:cs="Arial"/>
                <w:sz w:val="18"/>
                <w:szCs w:val="18"/>
              </w:rPr>
            </w:pPr>
          </w:p>
        </w:tc>
        <w:tc>
          <w:tcPr>
            <w:tcW w:w="3402" w:type="dxa"/>
          </w:tcPr>
          <w:p w14:paraId="081355E5" w14:textId="77777777" w:rsidR="00543D47" w:rsidRPr="00BA5F0C" w:rsidRDefault="00543D47" w:rsidP="00D9610A">
            <w:pPr>
              <w:spacing w:before="40" w:after="40" w:line="240" w:lineRule="auto"/>
              <w:ind w:left="57" w:right="57"/>
              <w:rPr>
                <w:sz w:val="18"/>
                <w:szCs w:val="18"/>
              </w:rPr>
            </w:pPr>
          </w:p>
        </w:tc>
        <w:tc>
          <w:tcPr>
            <w:tcW w:w="3402" w:type="dxa"/>
          </w:tcPr>
          <w:p w14:paraId="68D2E66A" w14:textId="77777777" w:rsidR="00543D47" w:rsidRPr="00BA5F0C" w:rsidRDefault="00543D47" w:rsidP="00D9610A">
            <w:pPr>
              <w:spacing w:before="40" w:after="40" w:line="240" w:lineRule="auto"/>
              <w:rPr>
                <w:rFonts w:cs="Arial"/>
                <w:sz w:val="18"/>
                <w:szCs w:val="18"/>
              </w:rPr>
            </w:pPr>
            <w:r w:rsidRPr="00BA5F0C">
              <w:rPr>
                <w:rFonts w:cs="Arial"/>
                <w:sz w:val="18"/>
                <w:szCs w:val="18"/>
              </w:rPr>
              <w:t>No clinical need to test more often</w:t>
            </w:r>
            <w:r>
              <w:rPr>
                <w:rFonts w:cs="Arial"/>
                <w:sz w:val="18"/>
                <w:szCs w:val="18"/>
              </w:rPr>
              <w:t>.</w:t>
            </w:r>
          </w:p>
        </w:tc>
      </w:tr>
      <w:tr w:rsidR="00543D47" w:rsidRPr="00BA5F0C" w14:paraId="15EFB9DB" w14:textId="77777777" w:rsidTr="00D9610A">
        <w:trPr>
          <w:cantSplit/>
        </w:trPr>
        <w:tc>
          <w:tcPr>
            <w:tcW w:w="851" w:type="dxa"/>
          </w:tcPr>
          <w:p w14:paraId="574F420B"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66776</w:t>
            </w:r>
          </w:p>
        </w:tc>
        <w:tc>
          <w:tcPr>
            <w:tcW w:w="3402" w:type="dxa"/>
          </w:tcPr>
          <w:p w14:paraId="16A5720C" w14:textId="77777777" w:rsidR="00543D47" w:rsidRPr="00BA5F0C" w:rsidRDefault="00543D47" w:rsidP="00D9610A">
            <w:pPr>
              <w:spacing w:before="40" w:after="40" w:line="240" w:lineRule="auto"/>
              <w:rPr>
                <w:rFonts w:cs="Arial"/>
                <w:sz w:val="18"/>
                <w:szCs w:val="18"/>
              </w:rPr>
            </w:pPr>
            <w:r w:rsidRPr="00BA5F0C">
              <w:rPr>
                <w:color w:val="000000"/>
                <w:sz w:val="18"/>
                <w:szCs w:val="18"/>
              </w:rPr>
              <w:t>Measures products of collagen breakdown or formation for the monitoring of patients with metabolic bone disease or Paget's disease of bone, and if performed, a service described in item 66752 - 1 or more tests</w:t>
            </w:r>
          </w:p>
        </w:tc>
        <w:tc>
          <w:tcPr>
            <w:tcW w:w="3402" w:type="dxa"/>
          </w:tcPr>
          <w:p w14:paraId="6414E5DD"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Limit testing to 2 tests within a </w:t>
            </w:r>
            <w:r>
              <w:rPr>
                <w:rFonts w:cs="Arial"/>
                <w:sz w:val="18"/>
                <w:szCs w:val="18"/>
              </w:rPr>
              <w:t>12-month period.</w:t>
            </w:r>
          </w:p>
          <w:p w14:paraId="10C32F46" w14:textId="77777777" w:rsidR="00543D47" w:rsidRPr="00BA5F0C" w:rsidRDefault="00543D47" w:rsidP="00D9610A">
            <w:pPr>
              <w:spacing w:before="40" w:after="40" w:line="240" w:lineRule="auto"/>
              <w:rPr>
                <w:rFonts w:cs="Arial"/>
                <w:sz w:val="18"/>
                <w:szCs w:val="18"/>
              </w:rPr>
            </w:pPr>
          </w:p>
        </w:tc>
        <w:tc>
          <w:tcPr>
            <w:tcW w:w="3402" w:type="dxa"/>
          </w:tcPr>
          <w:p w14:paraId="2AF937B2" w14:textId="77777777" w:rsidR="00543D47" w:rsidRPr="00BA5F0C" w:rsidRDefault="00543D47" w:rsidP="00D9610A">
            <w:pPr>
              <w:spacing w:before="40" w:after="40" w:line="240" w:lineRule="auto"/>
              <w:ind w:left="57" w:right="57"/>
              <w:rPr>
                <w:sz w:val="18"/>
                <w:szCs w:val="18"/>
              </w:rPr>
            </w:pPr>
          </w:p>
        </w:tc>
        <w:tc>
          <w:tcPr>
            <w:tcW w:w="3402" w:type="dxa"/>
          </w:tcPr>
          <w:p w14:paraId="35DA6209" w14:textId="77777777" w:rsidR="00543D47" w:rsidRPr="00BA5F0C" w:rsidRDefault="00543D47" w:rsidP="00D9610A">
            <w:pPr>
              <w:spacing w:before="40" w:after="40" w:line="240" w:lineRule="auto"/>
              <w:rPr>
                <w:rFonts w:cs="Arial"/>
                <w:sz w:val="18"/>
                <w:szCs w:val="18"/>
              </w:rPr>
            </w:pPr>
            <w:r w:rsidRPr="00BA5F0C">
              <w:rPr>
                <w:rFonts w:cs="Arial"/>
                <w:sz w:val="18"/>
                <w:szCs w:val="18"/>
              </w:rPr>
              <w:t>No clinical need to test more often</w:t>
            </w:r>
            <w:r>
              <w:rPr>
                <w:rFonts w:cs="Arial"/>
                <w:sz w:val="18"/>
                <w:szCs w:val="18"/>
              </w:rPr>
              <w:t>.</w:t>
            </w:r>
          </w:p>
        </w:tc>
      </w:tr>
    </w:tbl>
    <w:p w14:paraId="28B9BE15" w14:textId="77777777" w:rsidR="00543D47" w:rsidRPr="00BA5F0C" w:rsidRDefault="00543D47" w:rsidP="00543D47">
      <w:pPr>
        <w:spacing w:before="40" w:after="40" w:line="240" w:lineRule="auto"/>
        <w:rPr>
          <w:b/>
          <w:sz w:val="18"/>
          <w:szCs w:val="18"/>
        </w:rPr>
      </w:pPr>
    </w:p>
    <w:p w14:paraId="78BDF5F4" w14:textId="77777777" w:rsidR="00543D47" w:rsidRPr="00BA5F0C" w:rsidRDefault="00543D47" w:rsidP="00543D47">
      <w:pPr>
        <w:pStyle w:val="Caption"/>
        <w:rPr>
          <w:b/>
          <w:sz w:val="18"/>
          <w:szCs w:val="18"/>
        </w:rPr>
      </w:pPr>
      <w:bookmarkStart w:id="430" w:name="_Toc487753649"/>
      <w:bookmarkStart w:id="431" w:name="_Toc490651371"/>
      <w:bookmarkStart w:id="432" w:name="_Toc490756892"/>
      <w:bookmarkStart w:id="433" w:name="_Toc491341013"/>
      <w:bookmarkStart w:id="434" w:name="_Toc493598707"/>
      <w:bookmarkStart w:id="435" w:name="_Toc493599729"/>
      <w:bookmarkStart w:id="436" w:name="_Toc493599925"/>
      <w:bookmarkStart w:id="437" w:name="_Toc493687784"/>
      <w:bookmarkStart w:id="438" w:name="_Toc534375004"/>
      <w:r w:rsidRPr="00BA5F0C">
        <w:rPr>
          <w:b/>
          <w:i w:val="0"/>
          <w:sz w:val="18"/>
          <w:szCs w:val="18"/>
        </w:rPr>
        <w:t>Recommendation 2</w:t>
      </w:r>
      <w:r>
        <w:rPr>
          <w:b/>
          <w:i w:val="0"/>
          <w:sz w:val="18"/>
          <w:szCs w:val="18"/>
        </w:rPr>
        <w:t>6</w:t>
      </w:r>
      <w:r w:rsidRPr="00BA5F0C">
        <w:rPr>
          <w:b/>
          <w:i w:val="0"/>
          <w:sz w:val="18"/>
          <w:szCs w:val="18"/>
        </w:rPr>
        <w:t xml:space="preserve">: Adrenaline, 5HIAA, </w:t>
      </w:r>
      <w:proofErr w:type="spellStart"/>
      <w:r w:rsidRPr="00BA5F0C">
        <w:rPr>
          <w:b/>
          <w:i w:val="0"/>
          <w:sz w:val="18"/>
          <w:szCs w:val="18"/>
        </w:rPr>
        <w:t>metanephrins</w:t>
      </w:r>
      <w:proofErr w:type="spellEnd"/>
      <w:r w:rsidRPr="00BA5F0C">
        <w:rPr>
          <w:b/>
          <w:i w:val="0"/>
          <w:sz w:val="18"/>
          <w:szCs w:val="18"/>
        </w:rPr>
        <w:t>: items 66779, 66780</w:t>
      </w:r>
      <w:bookmarkEnd w:id="430"/>
      <w:bookmarkEnd w:id="431"/>
      <w:bookmarkEnd w:id="432"/>
      <w:bookmarkEnd w:id="433"/>
      <w:bookmarkEnd w:id="434"/>
      <w:bookmarkEnd w:id="435"/>
      <w:bookmarkEnd w:id="436"/>
      <w:bookmarkEnd w:id="437"/>
      <w:bookmarkEnd w:id="438"/>
    </w:p>
    <w:tbl>
      <w:tblPr>
        <w:tblStyle w:val="TableGrid"/>
        <w:tblW w:w="1445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02"/>
        <w:gridCol w:w="3402"/>
        <w:gridCol w:w="3402"/>
        <w:gridCol w:w="3402"/>
      </w:tblGrid>
      <w:tr w:rsidR="00543D47" w:rsidRPr="00BA5F0C" w14:paraId="5304885C" w14:textId="77777777" w:rsidTr="00D9610A">
        <w:trPr>
          <w:cantSplit/>
          <w:tblHeader/>
        </w:trPr>
        <w:tc>
          <w:tcPr>
            <w:tcW w:w="851" w:type="dxa"/>
          </w:tcPr>
          <w:p w14:paraId="2A91990A"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2EA8D0CD"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1D5F1CD8"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64E2522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59775BAB"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7D39DC29" w14:textId="77777777" w:rsidTr="00D9610A">
        <w:trPr>
          <w:cantSplit/>
        </w:trPr>
        <w:tc>
          <w:tcPr>
            <w:tcW w:w="851" w:type="dxa"/>
          </w:tcPr>
          <w:p w14:paraId="6FF01812"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66779</w:t>
            </w:r>
          </w:p>
        </w:tc>
        <w:tc>
          <w:tcPr>
            <w:tcW w:w="3402" w:type="dxa"/>
          </w:tcPr>
          <w:p w14:paraId="68D864E5" w14:textId="77777777" w:rsidR="00543D47" w:rsidRPr="00BA5F0C" w:rsidRDefault="00543D47" w:rsidP="00D9610A">
            <w:pPr>
              <w:spacing w:before="40" w:after="40" w:line="240" w:lineRule="auto"/>
              <w:rPr>
                <w:rFonts w:cs="Arial"/>
                <w:sz w:val="18"/>
                <w:szCs w:val="18"/>
              </w:rPr>
            </w:pPr>
            <w:r w:rsidRPr="00BA5F0C">
              <w:rPr>
                <w:color w:val="000000"/>
                <w:sz w:val="18"/>
                <w:szCs w:val="18"/>
              </w:rPr>
              <w:t xml:space="preserve">Adrenaline, noradrenaline, dopamine, histamine, </w:t>
            </w:r>
            <w:proofErr w:type="spellStart"/>
            <w:r w:rsidRPr="00BA5F0C">
              <w:rPr>
                <w:color w:val="000000"/>
                <w:sz w:val="18"/>
                <w:szCs w:val="18"/>
              </w:rPr>
              <w:t>hydroxyindoleacetic</w:t>
            </w:r>
            <w:proofErr w:type="spellEnd"/>
            <w:r w:rsidRPr="00BA5F0C">
              <w:rPr>
                <w:color w:val="000000"/>
                <w:sz w:val="18"/>
                <w:szCs w:val="18"/>
              </w:rPr>
              <w:t xml:space="preserve"> acid (5HIAA), </w:t>
            </w:r>
            <w:proofErr w:type="spellStart"/>
            <w:r w:rsidRPr="00BA5F0C">
              <w:rPr>
                <w:color w:val="000000"/>
                <w:sz w:val="18"/>
                <w:szCs w:val="18"/>
              </w:rPr>
              <w:t>hydroxymethoxymandelic</w:t>
            </w:r>
            <w:proofErr w:type="spellEnd"/>
            <w:r w:rsidRPr="00BA5F0C">
              <w:rPr>
                <w:color w:val="000000"/>
                <w:sz w:val="18"/>
                <w:szCs w:val="18"/>
              </w:rPr>
              <w:t xml:space="preserve"> acid (HMMA), </w:t>
            </w:r>
            <w:proofErr w:type="spellStart"/>
            <w:r w:rsidRPr="00BA5F0C">
              <w:rPr>
                <w:color w:val="000000"/>
                <w:sz w:val="18"/>
                <w:szCs w:val="18"/>
              </w:rPr>
              <w:t>homovanillic</w:t>
            </w:r>
            <w:proofErr w:type="spellEnd"/>
            <w:r w:rsidRPr="00BA5F0C">
              <w:rPr>
                <w:color w:val="000000"/>
                <w:sz w:val="18"/>
                <w:szCs w:val="18"/>
              </w:rPr>
              <w:t xml:space="preserve"> acid (HVA), </w:t>
            </w:r>
            <w:proofErr w:type="spellStart"/>
            <w:r w:rsidRPr="00BA5F0C">
              <w:rPr>
                <w:color w:val="000000"/>
                <w:sz w:val="18"/>
                <w:szCs w:val="18"/>
              </w:rPr>
              <w:t>metanephrines</w:t>
            </w:r>
            <w:proofErr w:type="spellEnd"/>
            <w:r w:rsidRPr="00BA5F0C">
              <w:rPr>
                <w:color w:val="000000"/>
                <w:sz w:val="18"/>
                <w:szCs w:val="18"/>
              </w:rPr>
              <w:t xml:space="preserve">, </w:t>
            </w:r>
            <w:proofErr w:type="spellStart"/>
            <w:r w:rsidRPr="00BA5F0C">
              <w:rPr>
                <w:color w:val="000000"/>
                <w:sz w:val="18"/>
                <w:szCs w:val="18"/>
              </w:rPr>
              <w:t>methoxyhydroxyphenylethylene</w:t>
            </w:r>
            <w:proofErr w:type="spellEnd"/>
            <w:r w:rsidRPr="00BA5F0C">
              <w:rPr>
                <w:color w:val="000000"/>
                <w:sz w:val="18"/>
                <w:szCs w:val="18"/>
              </w:rPr>
              <w:t xml:space="preserve"> glycol (MHPG), phenylacetic acid (PAA)or</w:t>
            </w:r>
            <w:r>
              <w:rPr>
                <w:color w:val="000000"/>
                <w:sz w:val="18"/>
                <w:szCs w:val="18"/>
              </w:rPr>
              <w:t xml:space="preserve"> </w:t>
            </w:r>
            <w:r w:rsidRPr="00BA5F0C">
              <w:rPr>
                <w:color w:val="000000"/>
                <w:sz w:val="18"/>
                <w:szCs w:val="18"/>
              </w:rPr>
              <w:t>serotonin</w:t>
            </w:r>
            <w:r>
              <w:rPr>
                <w:color w:val="000000"/>
                <w:sz w:val="18"/>
                <w:szCs w:val="18"/>
              </w:rPr>
              <w:t xml:space="preserve"> </w:t>
            </w:r>
            <w:r w:rsidRPr="00BA5F0C">
              <w:rPr>
                <w:color w:val="000000"/>
                <w:sz w:val="18"/>
                <w:szCs w:val="18"/>
              </w:rPr>
              <w:t>quantitation - 1 or more tests</w:t>
            </w:r>
          </w:p>
        </w:tc>
        <w:tc>
          <w:tcPr>
            <w:tcW w:w="3402" w:type="dxa"/>
          </w:tcPr>
          <w:p w14:paraId="50A396DB" w14:textId="77777777" w:rsidR="00543D47" w:rsidRPr="00BA5F0C" w:rsidRDefault="00543D47" w:rsidP="00D9610A">
            <w:pPr>
              <w:spacing w:before="40" w:after="40" w:line="240" w:lineRule="auto"/>
              <w:rPr>
                <w:rFonts w:cs="Arial"/>
                <w:sz w:val="18"/>
                <w:szCs w:val="18"/>
              </w:rPr>
            </w:pPr>
            <w:r w:rsidRPr="00BA5F0C">
              <w:rPr>
                <w:rFonts w:cs="Arial"/>
                <w:sz w:val="18"/>
                <w:szCs w:val="18"/>
              </w:rPr>
              <w:t>Remove HMMA, MHPG and phenylacetic acid.</w:t>
            </w:r>
          </w:p>
          <w:p w14:paraId="2EDF3E74" w14:textId="77777777" w:rsidR="00543D47" w:rsidRPr="00BA5F0C" w:rsidRDefault="00543D47" w:rsidP="00D9610A">
            <w:pPr>
              <w:spacing w:before="40" w:after="40" w:line="240" w:lineRule="auto"/>
              <w:rPr>
                <w:rFonts w:cs="Arial"/>
                <w:sz w:val="18"/>
                <w:szCs w:val="18"/>
              </w:rPr>
            </w:pPr>
            <w:r w:rsidRPr="00BA5F0C">
              <w:rPr>
                <w:rFonts w:cs="Arial"/>
                <w:sz w:val="18"/>
                <w:szCs w:val="18"/>
              </w:rPr>
              <w:t>Split item 66779 into two items, based on clinical differences:</w:t>
            </w:r>
          </w:p>
          <w:p w14:paraId="456BBB63"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first item: catecholamines and </w:t>
            </w:r>
            <w:proofErr w:type="spellStart"/>
            <w:r w:rsidRPr="00BA5F0C">
              <w:rPr>
                <w:rFonts w:cs="Arial"/>
                <w:sz w:val="18"/>
                <w:szCs w:val="18"/>
              </w:rPr>
              <w:t>metanephrines</w:t>
            </w:r>
            <w:proofErr w:type="spellEnd"/>
            <w:r w:rsidRPr="00BA5F0C">
              <w:rPr>
                <w:rFonts w:cs="Arial"/>
                <w:sz w:val="18"/>
                <w:szCs w:val="18"/>
              </w:rPr>
              <w:t xml:space="preserve"> in 24-hour urine samples or as plasma free </w:t>
            </w:r>
            <w:proofErr w:type="spellStart"/>
            <w:r w:rsidRPr="00BA5F0C">
              <w:rPr>
                <w:rFonts w:cs="Arial"/>
                <w:sz w:val="18"/>
                <w:szCs w:val="18"/>
              </w:rPr>
              <w:t>metanephrines</w:t>
            </w:r>
            <w:proofErr w:type="spellEnd"/>
          </w:p>
          <w:p w14:paraId="5100973C" w14:textId="77777777" w:rsidR="00543D47" w:rsidRPr="00BA5F0C" w:rsidRDefault="00543D47" w:rsidP="00D9610A">
            <w:pPr>
              <w:spacing w:before="40" w:after="40" w:line="240" w:lineRule="auto"/>
              <w:rPr>
                <w:rFonts w:cs="Arial"/>
                <w:sz w:val="18"/>
                <w:szCs w:val="18"/>
              </w:rPr>
            </w:pPr>
            <w:r w:rsidRPr="00BA5F0C">
              <w:rPr>
                <w:rFonts w:cs="Arial"/>
                <w:sz w:val="18"/>
                <w:szCs w:val="18"/>
              </w:rPr>
              <w:t>second item: 5HIAA and serotonin tests (which are important in the diagnosis of carcinoid tumours). See below.</w:t>
            </w:r>
          </w:p>
          <w:p w14:paraId="1EB6C392" w14:textId="77777777" w:rsidR="00543D47" w:rsidRPr="00BA5F0C" w:rsidRDefault="00543D47" w:rsidP="00D9610A">
            <w:pPr>
              <w:spacing w:before="40" w:after="40" w:line="240" w:lineRule="auto"/>
              <w:rPr>
                <w:rFonts w:cs="Arial"/>
                <w:sz w:val="18"/>
                <w:szCs w:val="18"/>
              </w:rPr>
            </w:pPr>
            <w:r w:rsidRPr="00BA5F0C">
              <w:rPr>
                <w:rFonts w:cs="Arial"/>
                <w:sz w:val="18"/>
                <w:szCs w:val="18"/>
              </w:rPr>
              <w:t>Add explanatory note re dopamine measurement.</w:t>
            </w:r>
          </w:p>
        </w:tc>
        <w:tc>
          <w:tcPr>
            <w:tcW w:w="3402" w:type="dxa"/>
          </w:tcPr>
          <w:p w14:paraId="64798BA8" w14:textId="77777777" w:rsidR="00543D47" w:rsidRPr="00BA5F0C" w:rsidRDefault="00543D47" w:rsidP="00D9610A">
            <w:pPr>
              <w:spacing w:before="40" w:after="40" w:line="240" w:lineRule="auto"/>
              <w:ind w:left="57" w:right="57"/>
              <w:rPr>
                <w:sz w:val="18"/>
                <w:szCs w:val="18"/>
              </w:rPr>
            </w:pPr>
            <w:r w:rsidRPr="00BA5F0C">
              <w:rPr>
                <w:sz w:val="18"/>
                <w:szCs w:val="18"/>
              </w:rPr>
              <w:t xml:space="preserve"> This Item will be tests for catecholamines and </w:t>
            </w:r>
            <w:proofErr w:type="spellStart"/>
            <w:r w:rsidRPr="00BA5F0C">
              <w:rPr>
                <w:sz w:val="18"/>
                <w:szCs w:val="18"/>
              </w:rPr>
              <w:t>metanephrines</w:t>
            </w:r>
            <w:proofErr w:type="spellEnd"/>
            <w:r w:rsidRPr="00BA5F0C">
              <w:rPr>
                <w:sz w:val="18"/>
                <w:szCs w:val="18"/>
              </w:rPr>
              <w:t xml:space="preserve"> to help diagnose or monitor certain types of tumours.</w:t>
            </w:r>
          </w:p>
        </w:tc>
        <w:tc>
          <w:tcPr>
            <w:tcW w:w="3402" w:type="dxa"/>
          </w:tcPr>
          <w:p w14:paraId="25EFA125" w14:textId="77777777" w:rsidR="00543D47" w:rsidRPr="00BA5F0C" w:rsidRDefault="00543D47" w:rsidP="00D9610A">
            <w:pPr>
              <w:spacing w:before="40" w:after="40" w:line="240" w:lineRule="auto"/>
              <w:rPr>
                <w:rFonts w:cs="Arial"/>
                <w:sz w:val="18"/>
                <w:szCs w:val="18"/>
              </w:rPr>
            </w:pPr>
            <w:r w:rsidRPr="00BA5F0C">
              <w:rPr>
                <w:rFonts w:cs="Arial"/>
                <w:sz w:val="18"/>
                <w:szCs w:val="18"/>
              </w:rPr>
              <w:t>Modernisation of the test descriptor to recognise changes in technology and clarify the descriptor.</w:t>
            </w:r>
          </w:p>
          <w:p w14:paraId="7505DE9B" w14:textId="77777777" w:rsidR="00543D47" w:rsidRPr="00BA5F0C" w:rsidRDefault="00543D47" w:rsidP="00D9610A">
            <w:pPr>
              <w:spacing w:before="40" w:after="40" w:line="240" w:lineRule="auto"/>
              <w:rPr>
                <w:rFonts w:cs="Arial"/>
                <w:sz w:val="18"/>
                <w:szCs w:val="18"/>
              </w:rPr>
            </w:pPr>
          </w:p>
        </w:tc>
      </w:tr>
      <w:tr w:rsidR="00543D47" w:rsidRPr="00BA5F0C" w14:paraId="6146F65B" w14:textId="77777777" w:rsidTr="00D9610A">
        <w:trPr>
          <w:cantSplit/>
        </w:trPr>
        <w:tc>
          <w:tcPr>
            <w:tcW w:w="851" w:type="dxa"/>
          </w:tcPr>
          <w:p w14:paraId="2FC01AD7"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66780</w:t>
            </w:r>
          </w:p>
        </w:tc>
        <w:tc>
          <w:tcPr>
            <w:tcW w:w="3402" w:type="dxa"/>
          </w:tcPr>
          <w:p w14:paraId="77D26D03" w14:textId="77777777" w:rsidR="00543D47" w:rsidRPr="00BA5F0C" w:rsidRDefault="00543D47" w:rsidP="00D9610A">
            <w:pPr>
              <w:spacing w:before="40" w:after="40" w:line="240" w:lineRule="auto"/>
              <w:rPr>
                <w:rFonts w:cs="Arial"/>
                <w:sz w:val="18"/>
                <w:szCs w:val="18"/>
              </w:rPr>
            </w:pPr>
            <w:r w:rsidRPr="00BA5F0C">
              <w:rPr>
                <w:color w:val="000000"/>
                <w:sz w:val="18"/>
                <w:szCs w:val="18"/>
              </w:rPr>
              <w:t xml:space="preserve">A test described in item 66779 if rendered by a receiving APP – 1 or more </w:t>
            </w:r>
            <w:proofErr w:type="gramStart"/>
            <w:r w:rsidRPr="00BA5F0C">
              <w:rPr>
                <w:color w:val="000000"/>
                <w:sz w:val="18"/>
                <w:szCs w:val="18"/>
              </w:rPr>
              <w:t>tests(</w:t>
            </w:r>
            <w:proofErr w:type="gramEnd"/>
            <w:r w:rsidRPr="00BA5F0C">
              <w:rPr>
                <w:color w:val="000000"/>
                <w:sz w:val="18"/>
                <w:szCs w:val="18"/>
              </w:rPr>
              <w:t>Item is subject to rule 18)</w:t>
            </w:r>
          </w:p>
        </w:tc>
        <w:tc>
          <w:tcPr>
            <w:tcW w:w="3402" w:type="dxa"/>
          </w:tcPr>
          <w:p w14:paraId="5EAD1428" w14:textId="77777777" w:rsidR="00543D47" w:rsidRPr="00BA5F0C" w:rsidRDefault="00543D47" w:rsidP="00D9610A">
            <w:pPr>
              <w:spacing w:before="40" w:after="40" w:line="240" w:lineRule="auto"/>
              <w:rPr>
                <w:rFonts w:cs="Arial"/>
                <w:sz w:val="18"/>
                <w:szCs w:val="18"/>
              </w:rPr>
            </w:pPr>
            <w:r w:rsidRPr="00BA5F0C">
              <w:rPr>
                <w:color w:val="000000"/>
                <w:sz w:val="18"/>
                <w:szCs w:val="18"/>
              </w:rPr>
              <w:t>As above</w:t>
            </w:r>
          </w:p>
        </w:tc>
        <w:tc>
          <w:tcPr>
            <w:tcW w:w="3402" w:type="dxa"/>
          </w:tcPr>
          <w:p w14:paraId="30EB3D57" w14:textId="77777777" w:rsidR="00543D47" w:rsidRPr="00BA5F0C" w:rsidRDefault="00543D47" w:rsidP="00D9610A">
            <w:pPr>
              <w:spacing w:before="40" w:after="40" w:line="240" w:lineRule="auto"/>
              <w:ind w:left="57" w:right="57"/>
              <w:rPr>
                <w:sz w:val="18"/>
                <w:szCs w:val="18"/>
              </w:rPr>
            </w:pPr>
          </w:p>
        </w:tc>
        <w:tc>
          <w:tcPr>
            <w:tcW w:w="3402" w:type="dxa"/>
          </w:tcPr>
          <w:p w14:paraId="4B9D0148" w14:textId="77777777" w:rsidR="00543D47" w:rsidRPr="00BA5F0C" w:rsidRDefault="00543D47" w:rsidP="00D9610A">
            <w:pPr>
              <w:spacing w:before="40" w:after="40" w:line="240" w:lineRule="auto"/>
              <w:rPr>
                <w:rFonts w:cs="Arial"/>
                <w:sz w:val="18"/>
                <w:szCs w:val="18"/>
              </w:rPr>
            </w:pPr>
          </w:p>
        </w:tc>
      </w:tr>
      <w:tr w:rsidR="00543D47" w:rsidRPr="00BA5F0C" w14:paraId="52D60B7E" w14:textId="77777777" w:rsidTr="00D9610A">
        <w:trPr>
          <w:cantSplit/>
        </w:trPr>
        <w:tc>
          <w:tcPr>
            <w:tcW w:w="851" w:type="dxa"/>
          </w:tcPr>
          <w:p w14:paraId="7A65DAAB"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New item</w:t>
            </w:r>
          </w:p>
        </w:tc>
        <w:tc>
          <w:tcPr>
            <w:tcW w:w="3402" w:type="dxa"/>
          </w:tcPr>
          <w:p w14:paraId="3082DB9E" w14:textId="77777777" w:rsidR="00543D47" w:rsidRPr="00BA5F0C" w:rsidRDefault="00543D47" w:rsidP="00D9610A">
            <w:pPr>
              <w:spacing w:before="40" w:after="40" w:line="240" w:lineRule="auto"/>
              <w:rPr>
                <w:color w:val="000000"/>
                <w:sz w:val="18"/>
                <w:szCs w:val="18"/>
              </w:rPr>
            </w:pPr>
            <w:r w:rsidRPr="00BA5F0C">
              <w:rPr>
                <w:color w:val="000000"/>
                <w:sz w:val="18"/>
                <w:szCs w:val="18"/>
              </w:rPr>
              <w:t>5HIAA or serotonin quantitation in 24</w:t>
            </w:r>
            <w:r>
              <w:rPr>
                <w:color w:val="000000"/>
                <w:sz w:val="18"/>
                <w:szCs w:val="18"/>
              </w:rPr>
              <w:t>-</w:t>
            </w:r>
            <w:r w:rsidRPr="00BA5F0C">
              <w:rPr>
                <w:color w:val="000000"/>
                <w:sz w:val="18"/>
                <w:szCs w:val="18"/>
              </w:rPr>
              <w:t>hour urine</w:t>
            </w:r>
          </w:p>
        </w:tc>
        <w:tc>
          <w:tcPr>
            <w:tcW w:w="3402" w:type="dxa"/>
          </w:tcPr>
          <w:p w14:paraId="272FFBDD" w14:textId="77777777" w:rsidR="00543D47" w:rsidRPr="00BA5F0C" w:rsidRDefault="00543D47" w:rsidP="00D9610A">
            <w:pPr>
              <w:spacing w:before="40" w:after="40" w:line="240" w:lineRule="auto"/>
              <w:rPr>
                <w:color w:val="000000"/>
                <w:sz w:val="18"/>
                <w:szCs w:val="18"/>
              </w:rPr>
            </w:pPr>
            <w:r w:rsidRPr="00BA5F0C">
              <w:rPr>
                <w:color w:val="000000"/>
                <w:sz w:val="18"/>
                <w:szCs w:val="18"/>
              </w:rPr>
              <w:t>Create new item as described in item 66779</w:t>
            </w:r>
          </w:p>
        </w:tc>
        <w:tc>
          <w:tcPr>
            <w:tcW w:w="3402" w:type="dxa"/>
          </w:tcPr>
          <w:p w14:paraId="76DE215A" w14:textId="77777777" w:rsidR="00543D47" w:rsidRPr="00BA5F0C" w:rsidRDefault="00543D47" w:rsidP="00D9610A">
            <w:pPr>
              <w:spacing w:before="40" w:after="40" w:line="240" w:lineRule="auto"/>
              <w:ind w:left="57" w:right="57"/>
              <w:rPr>
                <w:sz w:val="18"/>
                <w:szCs w:val="18"/>
              </w:rPr>
            </w:pPr>
            <w:r w:rsidRPr="00BA5F0C">
              <w:rPr>
                <w:sz w:val="18"/>
                <w:szCs w:val="18"/>
              </w:rPr>
              <w:t>This item will contain tests for serotonin and its metabolites to help diagnose or monitor certain types of tumours.</w:t>
            </w:r>
          </w:p>
        </w:tc>
        <w:tc>
          <w:tcPr>
            <w:tcW w:w="3402" w:type="dxa"/>
          </w:tcPr>
          <w:p w14:paraId="42B27241" w14:textId="77777777" w:rsidR="00543D47" w:rsidRPr="00BA5F0C" w:rsidRDefault="00543D47" w:rsidP="00D9610A">
            <w:pPr>
              <w:spacing w:before="40" w:after="40" w:line="240" w:lineRule="auto"/>
              <w:rPr>
                <w:rFonts w:cs="Arial"/>
                <w:sz w:val="18"/>
                <w:szCs w:val="18"/>
              </w:rPr>
            </w:pPr>
          </w:p>
        </w:tc>
      </w:tr>
    </w:tbl>
    <w:p w14:paraId="7883BF7B" w14:textId="77777777" w:rsidR="00543D47" w:rsidRPr="00BA5F0C" w:rsidRDefault="00543D47" w:rsidP="00543D47">
      <w:pPr>
        <w:spacing w:before="40" w:after="40" w:line="240" w:lineRule="auto"/>
        <w:rPr>
          <w:b/>
          <w:sz w:val="18"/>
          <w:szCs w:val="18"/>
        </w:rPr>
      </w:pPr>
    </w:p>
    <w:p w14:paraId="7155C24C" w14:textId="77777777" w:rsidR="00543D47" w:rsidRPr="00BA5F0C" w:rsidRDefault="00543D47" w:rsidP="00543D47">
      <w:pPr>
        <w:pStyle w:val="Caption"/>
        <w:rPr>
          <w:b/>
          <w:sz w:val="18"/>
          <w:szCs w:val="18"/>
        </w:rPr>
      </w:pPr>
      <w:bookmarkStart w:id="439" w:name="_Toc487753650"/>
      <w:bookmarkStart w:id="440" w:name="_Toc490651372"/>
      <w:bookmarkStart w:id="441" w:name="_Toc490756893"/>
      <w:bookmarkStart w:id="442" w:name="_Toc491341014"/>
      <w:bookmarkStart w:id="443" w:name="_Toc493598708"/>
      <w:bookmarkStart w:id="444" w:name="_Toc493599730"/>
      <w:bookmarkStart w:id="445" w:name="_Toc493599926"/>
      <w:bookmarkStart w:id="446" w:name="_Toc493687785"/>
      <w:bookmarkStart w:id="447" w:name="_Toc534375005"/>
      <w:r w:rsidRPr="00BA5F0C">
        <w:rPr>
          <w:b/>
          <w:i w:val="0"/>
          <w:sz w:val="18"/>
          <w:szCs w:val="18"/>
        </w:rPr>
        <w:lastRenderedPageBreak/>
        <w:t>Recommendation 2</w:t>
      </w:r>
      <w:r>
        <w:rPr>
          <w:b/>
          <w:i w:val="0"/>
          <w:sz w:val="18"/>
          <w:szCs w:val="18"/>
        </w:rPr>
        <w:t>7</w:t>
      </w:r>
      <w:r w:rsidRPr="00BA5F0C">
        <w:rPr>
          <w:b/>
          <w:i w:val="0"/>
          <w:sz w:val="18"/>
          <w:szCs w:val="18"/>
        </w:rPr>
        <w:t>: Enzymes in solid tissue: item 66683</w:t>
      </w:r>
      <w:bookmarkEnd w:id="439"/>
      <w:bookmarkEnd w:id="440"/>
      <w:bookmarkEnd w:id="441"/>
      <w:bookmarkEnd w:id="442"/>
      <w:bookmarkEnd w:id="443"/>
      <w:bookmarkEnd w:id="444"/>
      <w:bookmarkEnd w:id="445"/>
      <w:bookmarkEnd w:id="446"/>
      <w:bookmarkEnd w:id="447"/>
    </w:p>
    <w:tbl>
      <w:tblPr>
        <w:tblStyle w:val="TableGrid"/>
        <w:tblW w:w="1445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02"/>
        <w:gridCol w:w="3402"/>
        <w:gridCol w:w="3402"/>
        <w:gridCol w:w="3402"/>
      </w:tblGrid>
      <w:tr w:rsidR="00543D47" w:rsidRPr="00BA5F0C" w14:paraId="7347EDFE" w14:textId="77777777" w:rsidTr="00D9610A">
        <w:trPr>
          <w:cantSplit/>
          <w:tblHeader/>
        </w:trPr>
        <w:tc>
          <w:tcPr>
            <w:tcW w:w="851" w:type="dxa"/>
          </w:tcPr>
          <w:p w14:paraId="020BDE1E"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1C54C5CB"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7B34CC9E"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339AD25E"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55853B7C"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3A97699E" w14:textId="77777777" w:rsidTr="00D9610A">
        <w:trPr>
          <w:cantSplit/>
        </w:trPr>
        <w:tc>
          <w:tcPr>
            <w:tcW w:w="851" w:type="dxa"/>
          </w:tcPr>
          <w:p w14:paraId="29822355"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66683</w:t>
            </w:r>
          </w:p>
        </w:tc>
        <w:tc>
          <w:tcPr>
            <w:tcW w:w="3402" w:type="dxa"/>
          </w:tcPr>
          <w:p w14:paraId="009249AD"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Measures enzymes in solid tissue. </w:t>
            </w:r>
          </w:p>
        </w:tc>
        <w:tc>
          <w:tcPr>
            <w:tcW w:w="3402" w:type="dxa"/>
          </w:tcPr>
          <w:p w14:paraId="07212481" w14:textId="77777777" w:rsidR="00543D47" w:rsidRPr="00BA5F0C" w:rsidRDefault="00543D47" w:rsidP="00D9610A">
            <w:pPr>
              <w:spacing w:before="40" w:after="40" w:line="240" w:lineRule="auto"/>
              <w:rPr>
                <w:rFonts w:cs="Arial"/>
                <w:sz w:val="18"/>
                <w:szCs w:val="18"/>
              </w:rPr>
            </w:pPr>
            <w:r w:rsidRPr="00BA5F0C">
              <w:rPr>
                <w:rFonts w:cs="Arial"/>
                <w:sz w:val="18"/>
                <w:szCs w:val="18"/>
              </w:rPr>
              <w:t>Delete this item</w:t>
            </w:r>
          </w:p>
          <w:p w14:paraId="1D821440" w14:textId="77777777" w:rsidR="00543D47" w:rsidRPr="00BA5F0C" w:rsidRDefault="00543D47" w:rsidP="00D9610A">
            <w:pPr>
              <w:spacing w:before="40" w:after="40" w:line="240" w:lineRule="auto"/>
              <w:rPr>
                <w:rFonts w:cs="Arial"/>
                <w:sz w:val="18"/>
                <w:szCs w:val="18"/>
              </w:rPr>
            </w:pPr>
          </w:p>
        </w:tc>
        <w:tc>
          <w:tcPr>
            <w:tcW w:w="3402" w:type="dxa"/>
          </w:tcPr>
          <w:p w14:paraId="224FA0C0" w14:textId="77777777" w:rsidR="00543D47" w:rsidRPr="00BA5F0C" w:rsidRDefault="00543D47" w:rsidP="00D9610A">
            <w:pPr>
              <w:spacing w:before="40" w:after="40" w:line="240" w:lineRule="auto"/>
              <w:ind w:left="57" w:right="57"/>
              <w:rPr>
                <w:sz w:val="18"/>
                <w:szCs w:val="18"/>
              </w:rPr>
            </w:pPr>
            <w:r w:rsidRPr="00BA5F0C">
              <w:rPr>
                <w:sz w:val="18"/>
                <w:szCs w:val="18"/>
              </w:rPr>
              <w:t>This item will no longer be available on the MBS.</w:t>
            </w:r>
          </w:p>
        </w:tc>
        <w:tc>
          <w:tcPr>
            <w:tcW w:w="3402" w:type="dxa"/>
          </w:tcPr>
          <w:p w14:paraId="63D69823" w14:textId="77777777" w:rsidR="00543D47" w:rsidRPr="00BA5F0C" w:rsidRDefault="00543D47" w:rsidP="00D9610A">
            <w:pPr>
              <w:spacing w:before="40" w:after="40" w:line="240" w:lineRule="auto"/>
              <w:rPr>
                <w:rFonts w:cs="Arial"/>
                <w:sz w:val="18"/>
                <w:szCs w:val="18"/>
              </w:rPr>
            </w:pPr>
            <w:r w:rsidRPr="00BA5F0C">
              <w:rPr>
                <w:rFonts w:cs="Arial"/>
                <w:sz w:val="18"/>
                <w:szCs w:val="18"/>
              </w:rPr>
              <w:t xml:space="preserve">It is very rarely used. </w:t>
            </w:r>
          </w:p>
        </w:tc>
      </w:tr>
    </w:tbl>
    <w:p w14:paraId="5DBBADF6" w14:textId="77777777" w:rsidR="00543D47" w:rsidRPr="00BA5F0C" w:rsidRDefault="00543D47" w:rsidP="00543D47">
      <w:pPr>
        <w:spacing w:before="40" w:after="40" w:line="240" w:lineRule="auto"/>
        <w:rPr>
          <w:b/>
          <w:sz w:val="18"/>
          <w:szCs w:val="18"/>
        </w:rPr>
      </w:pPr>
    </w:p>
    <w:p w14:paraId="040D8EDD" w14:textId="77777777" w:rsidR="00543D47" w:rsidRPr="00BA5F0C" w:rsidRDefault="00543D47" w:rsidP="00543D47">
      <w:pPr>
        <w:pStyle w:val="Caption"/>
        <w:rPr>
          <w:b/>
          <w:sz w:val="18"/>
          <w:szCs w:val="18"/>
        </w:rPr>
      </w:pPr>
      <w:bookmarkStart w:id="448" w:name="_Toc487753651"/>
      <w:bookmarkStart w:id="449" w:name="_Toc490651373"/>
      <w:bookmarkStart w:id="450" w:name="_Toc490756894"/>
      <w:bookmarkStart w:id="451" w:name="_Toc491341015"/>
      <w:bookmarkStart w:id="452" w:name="_Toc493598709"/>
      <w:bookmarkStart w:id="453" w:name="_Toc493599731"/>
      <w:bookmarkStart w:id="454" w:name="_Toc493599927"/>
      <w:bookmarkStart w:id="455" w:name="_Toc493687786"/>
      <w:bookmarkStart w:id="456" w:name="_Toc534375006"/>
      <w:r w:rsidRPr="00BA5F0C">
        <w:rPr>
          <w:b/>
          <w:i w:val="0"/>
          <w:sz w:val="18"/>
          <w:szCs w:val="18"/>
        </w:rPr>
        <w:t xml:space="preserve">Recommendation </w:t>
      </w:r>
      <w:r>
        <w:rPr>
          <w:b/>
          <w:i w:val="0"/>
          <w:sz w:val="18"/>
          <w:szCs w:val="18"/>
        </w:rPr>
        <w:t>28</w:t>
      </w:r>
      <w:r w:rsidRPr="00BA5F0C">
        <w:rPr>
          <w:b/>
          <w:i w:val="0"/>
          <w:sz w:val="18"/>
          <w:szCs w:val="18"/>
        </w:rPr>
        <w:t>: Tumour marker items: item 66650,</w:t>
      </w:r>
      <w:r>
        <w:rPr>
          <w:b/>
          <w:i w:val="0"/>
          <w:sz w:val="18"/>
          <w:szCs w:val="18"/>
        </w:rPr>
        <w:t xml:space="preserve"> </w:t>
      </w:r>
      <w:r w:rsidRPr="00BA5F0C">
        <w:rPr>
          <w:b/>
          <w:i w:val="0"/>
          <w:sz w:val="18"/>
          <w:szCs w:val="18"/>
        </w:rPr>
        <w:t>66651, 66652, 66653, 66629</w:t>
      </w:r>
      <w:bookmarkEnd w:id="448"/>
      <w:bookmarkEnd w:id="449"/>
      <w:bookmarkEnd w:id="450"/>
      <w:bookmarkEnd w:id="451"/>
      <w:bookmarkEnd w:id="452"/>
      <w:bookmarkEnd w:id="453"/>
      <w:bookmarkEnd w:id="454"/>
      <w:bookmarkEnd w:id="455"/>
      <w:bookmarkEnd w:id="456"/>
    </w:p>
    <w:tbl>
      <w:tblPr>
        <w:tblStyle w:val="TableGrid"/>
        <w:tblW w:w="14459" w:type="dxa"/>
        <w:tblBorders>
          <w:top w:val="single" w:sz="4" w:space="0" w:color="B56011"/>
          <w:left w:val="none" w:sz="0" w:space="0" w:color="auto"/>
          <w:bottom w:val="single" w:sz="4" w:space="0" w:color="B56011"/>
          <w:right w:val="none" w:sz="0" w:space="0" w:color="auto"/>
          <w:insideH w:val="single" w:sz="4" w:space="0" w:color="B56011"/>
        </w:tblBorders>
        <w:tblLook w:val="04A0" w:firstRow="1" w:lastRow="0" w:firstColumn="1" w:lastColumn="0" w:noHBand="0" w:noVBand="1"/>
        <w:tblDescription w:val="This table is a summary of the Pathology Clinical Committee recommendations written for consumers. It lists the pathology MBS items considered by the Committee, and includes item number, what each test does, the Committee's recommendation, what would be different if the recommendation was implemented, and why."/>
      </w:tblPr>
      <w:tblGrid>
        <w:gridCol w:w="851"/>
        <w:gridCol w:w="3402"/>
        <w:gridCol w:w="3402"/>
        <w:gridCol w:w="3402"/>
        <w:gridCol w:w="3402"/>
      </w:tblGrid>
      <w:tr w:rsidR="00543D47" w:rsidRPr="00BA5F0C" w14:paraId="1664AAA5" w14:textId="77777777" w:rsidTr="00D9610A">
        <w:trPr>
          <w:cantSplit/>
          <w:tblHeader/>
        </w:trPr>
        <w:tc>
          <w:tcPr>
            <w:tcW w:w="851" w:type="dxa"/>
          </w:tcPr>
          <w:p w14:paraId="172E5542"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Item</w:t>
            </w:r>
          </w:p>
        </w:tc>
        <w:tc>
          <w:tcPr>
            <w:tcW w:w="3402" w:type="dxa"/>
          </w:tcPr>
          <w:p w14:paraId="6789757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it does</w:t>
            </w:r>
          </w:p>
        </w:tc>
        <w:tc>
          <w:tcPr>
            <w:tcW w:w="3402" w:type="dxa"/>
          </w:tcPr>
          <w:p w14:paraId="1F6BD0FD"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Committee recommendation</w:t>
            </w:r>
          </w:p>
        </w:tc>
        <w:tc>
          <w:tcPr>
            <w:tcW w:w="3402" w:type="dxa"/>
          </w:tcPr>
          <w:p w14:paraId="063D3854"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What would be different</w:t>
            </w:r>
          </w:p>
        </w:tc>
        <w:tc>
          <w:tcPr>
            <w:tcW w:w="3402" w:type="dxa"/>
          </w:tcPr>
          <w:p w14:paraId="75A6ADC1" w14:textId="77777777" w:rsidR="00543D47" w:rsidRPr="00BA5F0C" w:rsidRDefault="00543D47" w:rsidP="00D9610A">
            <w:pPr>
              <w:spacing w:before="40" w:after="40" w:line="240" w:lineRule="auto"/>
              <w:rPr>
                <w:rFonts w:cs="Arial"/>
                <w:b/>
                <w:sz w:val="18"/>
                <w:szCs w:val="18"/>
                <w:lang w:val="en-US" w:eastAsia="en-US"/>
              </w:rPr>
            </w:pPr>
            <w:r w:rsidRPr="00BA5F0C">
              <w:rPr>
                <w:rFonts w:cs="Arial"/>
                <w:b/>
                <w:sz w:val="18"/>
                <w:szCs w:val="18"/>
                <w:lang w:val="en-US" w:eastAsia="en-US"/>
              </w:rPr>
              <w:t>Why</w:t>
            </w:r>
          </w:p>
        </w:tc>
      </w:tr>
      <w:tr w:rsidR="00543D47" w:rsidRPr="00BA5F0C" w14:paraId="6A9C2913" w14:textId="77777777" w:rsidTr="00D9610A">
        <w:trPr>
          <w:cantSplit/>
        </w:trPr>
        <w:tc>
          <w:tcPr>
            <w:tcW w:w="851" w:type="dxa"/>
          </w:tcPr>
          <w:p w14:paraId="2EF33437"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66650</w:t>
            </w:r>
          </w:p>
        </w:tc>
        <w:tc>
          <w:tcPr>
            <w:tcW w:w="3402" w:type="dxa"/>
          </w:tcPr>
          <w:p w14:paraId="4326E544" w14:textId="77777777" w:rsidR="00543D47" w:rsidRPr="00BA5F0C" w:rsidRDefault="00543D47" w:rsidP="00D9610A">
            <w:pPr>
              <w:spacing w:before="40" w:after="40" w:line="240" w:lineRule="auto"/>
              <w:rPr>
                <w:color w:val="000000"/>
                <w:sz w:val="18"/>
                <w:szCs w:val="18"/>
              </w:rPr>
            </w:pPr>
            <w:r w:rsidRPr="00BA5F0C">
              <w:rPr>
                <w:color w:val="000000"/>
                <w:sz w:val="18"/>
                <w:szCs w:val="18"/>
              </w:rPr>
              <w:t>Alpha-fetoprotein, CA-15.3 antigen (CA15.3), CA-125 antigen (CA125), CA-19.9 antigen (CA19.9), cancer</w:t>
            </w:r>
            <w:r>
              <w:rPr>
                <w:color w:val="000000"/>
                <w:sz w:val="18"/>
                <w:szCs w:val="18"/>
              </w:rPr>
              <w:t>-</w:t>
            </w:r>
            <w:r w:rsidRPr="00BA5F0C">
              <w:rPr>
                <w:color w:val="000000"/>
                <w:sz w:val="18"/>
                <w:szCs w:val="18"/>
              </w:rPr>
              <w:t>associated serum antigen (CASA), carcinoembryonic antigen (CEA), human chorionic gonadotrophin (HCG), neuron specific enolase (NSE), thyroglobulin in serum or other body fluid, in the monitoring of malignancy or in the detection or monitoring of hepatic tumours, gestational trophoblastic disease or germ cell tumour - quantitation - 1 test</w:t>
            </w:r>
          </w:p>
        </w:tc>
        <w:tc>
          <w:tcPr>
            <w:tcW w:w="3402" w:type="dxa"/>
          </w:tcPr>
          <w:p w14:paraId="46363FE3" w14:textId="77777777" w:rsidR="00543D47" w:rsidRPr="00BA5F0C" w:rsidRDefault="00543D47" w:rsidP="00D9610A">
            <w:pPr>
              <w:spacing w:before="40" w:after="40" w:line="240" w:lineRule="auto"/>
              <w:rPr>
                <w:rFonts w:cs="Arial"/>
                <w:sz w:val="18"/>
                <w:szCs w:val="18"/>
              </w:rPr>
            </w:pPr>
            <w:r w:rsidRPr="00BA5F0C">
              <w:rPr>
                <w:rFonts w:cs="Arial"/>
                <w:sz w:val="18"/>
                <w:szCs w:val="18"/>
              </w:rPr>
              <w:t>Change the item descriptors to be specific for different tumour markers</w:t>
            </w:r>
          </w:p>
        </w:tc>
        <w:tc>
          <w:tcPr>
            <w:tcW w:w="3402" w:type="dxa"/>
          </w:tcPr>
          <w:p w14:paraId="2A3DCDAB" w14:textId="77777777" w:rsidR="00543D47" w:rsidRPr="00BA5F0C" w:rsidRDefault="00543D47" w:rsidP="00D9610A">
            <w:pPr>
              <w:spacing w:before="40" w:after="40" w:line="240" w:lineRule="auto"/>
              <w:ind w:left="57" w:right="57"/>
              <w:rPr>
                <w:sz w:val="18"/>
                <w:szCs w:val="18"/>
              </w:rPr>
            </w:pPr>
            <w:r w:rsidRPr="00BA5F0C">
              <w:rPr>
                <w:sz w:val="18"/>
                <w:szCs w:val="18"/>
              </w:rPr>
              <w:t>Very clearly defined descriptors for individual tumour markers</w:t>
            </w:r>
          </w:p>
        </w:tc>
        <w:tc>
          <w:tcPr>
            <w:tcW w:w="3402" w:type="dxa"/>
          </w:tcPr>
          <w:p w14:paraId="2007E9AC" w14:textId="77777777" w:rsidR="00543D47" w:rsidRPr="00BA5F0C" w:rsidRDefault="00543D47" w:rsidP="00D9610A">
            <w:pPr>
              <w:spacing w:before="40" w:after="40" w:line="240" w:lineRule="auto"/>
              <w:rPr>
                <w:rFonts w:cs="Arial"/>
                <w:sz w:val="18"/>
                <w:szCs w:val="18"/>
              </w:rPr>
            </w:pPr>
            <w:r w:rsidRPr="00BA5F0C">
              <w:rPr>
                <w:rFonts w:cs="Arial"/>
                <w:sz w:val="18"/>
                <w:szCs w:val="18"/>
              </w:rPr>
              <w:t>To optimise the use of these items as a follow</w:t>
            </w:r>
            <w:r>
              <w:rPr>
                <w:rFonts w:cs="Arial"/>
                <w:sz w:val="18"/>
                <w:szCs w:val="18"/>
              </w:rPr>
              <w:t>-</w:t>
            </w:r>
            <w:r w:rsidRPr="00BA5F0C">
              <w:rPr>
                <w:rFonts w:cs="Arial"/>
                <w:sz w:val="18"/>
                <w:szCs w:val="18"/>
              </w:rPr>
              <w:t xml:space="preserve">up tool in patients with tumours. There is evidence that they are used </w:t>
            </w:r>
            <w:proofErr w:type="gramStart"/>
            <w:r w:rsidRPr="00BA5F0C">
              <w:rPr>
                <w:rFonts w:cs="Arial"/>
                <w:sz w:val="18"/>
                <w:szCs w:val="18"/>
              </w:rPr>
              <w:t>inappropriately</w:t>
            </w:r>
            <w:proofErr w:type="gramEnd"/>
            <w:r w:rsidRPr="00BA5F0C">
              <w:rPr>
                <w:rFonts w:cs="Arial"/>
                <w:sz w:val="18"/>
                <w:szCs w:val="18"/>
              </w:rPr>
              <w:t xml:space="preserve"> and this can be detrimental to patients.</w:t>
            </w:r>
          </w:p>
        </w:tc>
      </w:tr>
      <w:tr w:rsidR="00543D47" w:rsidRPr="00BA5F0C" w14:paraId="73F9431E" w14:textId="77777777" w:rsidTr="00D9610A">
        <w:trPr>
          <w:cantSplit/>
        </w:trPr>
        <w:tc>
          <w:tcPr>
            <w:tcW w:w="851" w:type="dxa"/>
          </w:tcPr>
          <w:p w14:paraId="03E0A396"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66651</w:t>
            </w:r>
          </w:p>
        </w:tc>
        <w:tc>
          <w:tcPr>
            <w:tcW w:w="3402" w:type="dxa"/>
          </w:tcPr>
          <w:p w14:paraId="5BF05143" w14:textId="77777777" w:rsidR="00543D47" w:rsidRPr="00BA5F0C" w:rsidRDefault="00543D47" w:rsidP="00D9610A">
            <w:pPr>
              <w:spacing w:before="40" w:after="40" w:line="240" w:lineRule="auto"/>
              <w:rPr>
                <w:color w:val="000000"/>
                <w:sz w:val="18"/>
                <w:szCs w:val="18"/>
              </w:rPr>
            </w:pPr>
            <w:r w:rsidRPr="00BA5F0C">
              <w:rPr>
                <w:color w:val="000000"/>
                <w:sz w:val="18"/>
                <w:szCs w:val="18"/>
              </w:rPr>
              <w:t>A test described in item 66650 if rendered by a receiving APP, where no tests in the item have been rendered by the referring APP - 1 test</w:t>
            </w:r>
          </w:p>
        </w:tc>
        <w:tc>
          <w:tcPr>
            <w:tcW w:w="3402" w:type="dxa"/>
          </w:tcPr>
          <w:p w14:paraId="2D6A51C8" w14:textId="77777777" w:rsidR="00543D47" w:rsidRPr="00BA5F0C" w:rsidRDefault="00543D47" w:rsidP="00D9610A">
            <w:pPr>
              <w:spacing w:before="40" w:after="40" w:line="240" w:lineRule="auto"/>
              <w:rPr>
                <w:rFonts w:cs="Arial"/>
                <w:sz w:val="18"/>
                <w:szCs w:val="18"/>
              </w:rPr>
            </w:pPr>
          </w:p>
        </w:tc>
        <w:tc>
          <w:tcPr>
            <w:tcW w:w="3402" w:type="dxa"/>
          </w:tcPr>
          <w:p w14:paraId="62D02259" w14:textId="77777777" w:rsidR="00543D47" w:rsidRPr="00BA5F0C" w:rsidRDefault="00543D47" w:rsidP="00D9610A">
            <w:pPr>
              <w:spacing w:before="40" w:after="40" w:line="240" w:lineRule="auto"/>
              <w:ind w:left="57" w:right="57"/>
              <w:rPr>
                <w:sz w:val="18"/>
                <w:szCs w:val="18"/>
              </w:rPr>
            </w:pPr>
          </w:p>
        </w:tc>
        <w:tc>
          <w:tcPr>
            <w:tcW w:w="3402" w:type="dxa"/>
          </w:tcPr>
          <w:p w14:paraId="65C28F1D" w14:textId="77777777" w:rsidR="00543D47" w:rsidRPr="00BA5F0C" w:rsidRDefault="00543D47" w:rsidP="00D9610A">
            <w:pPr>
              <w:spacing w:before="40" w:after="40" w:line="240" w:lineRule="auto"/>
              <w:rPr>
                <w:rFonts w:cs="Arial"/>
                <w:sz w:val="18"/>
                <w:szCs w:val="18"/>
              </w:rPr>
            </w:pPr>
          </w:p>
        </w:tc>
      </w:tr>
      <w:tr w:rsidR="00543D47" w:rsidRPr="00BA5F0C" w14:paraId="3E34834F" w14:textId="77777777" w:rsidTr="00D9610A">
        <w:trPr>
          <w:cantSplit/>
        </w:trPr>
        <w:tc>
          <w:tcPr>
            <w:tcW w:w="851" w:type="dxa"/>
          </w:tcPr>
          <w:p w14:paraId="3C90D234"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66652</w:t>
            </w:r>
          </w:p>
        </w:tc>
        <w:tc>
          <w:tcPr>
            <w:tcW w:w="3402" w:type="dxa"/>
          </w:tcPr>
          <w:p w14:paraId="1ADCFBEB" w14:textId="77777777" w:rsidR="00543D47" w:rsidRPr="00BA5F0C" w:rsidRDefault="00543D47" w:rsidP="00D9610A">
            <w:pPr>
              <w:spacing w:before="40" w:after="40" w:line="240" w:lineRule="auto"/>
              <w:rPr>
                <w:color w:val="000000"/>
                <w:sz w:val="18"/>
                <w:szCs w:val="18"/>
              </w:rPr>
            </w:pPr>
            <w:r w:rsidRPr="00BA5F0C">
              <w:rPr>
                <w:color w:val="000000"/>
                <w:sz w:val="18"/>
                <w:szCs w:val="18"/>
              </w:rPr>
              <w:t>A test described in item 66650 if rendered by a receiving APP - other than that described in 66651, if rendered by a receiving APP, 1 test</w:t>
            </w:r>
          </w:p>
        </w:tc>
        <w:tc>
          <w:tcPr>
            <w:tcW w:w="3402" w:type="dxa"/>
          </w:tcPr>
          <w:p w14:paraId="2AB936D9" w14:textId="77777777" w:rsidR="00543D47" w:rsidRPr="00BA5F0C" w:rsidRDefault="00543D47" w:rsidP="00D9610A">
            <w:pPr>
              <w:spacing w:before="40" w:after="40" w:line="240" w:lineRule="auto"/>
              <w:rPr>
                <w:rFonts w:cs="Arial"/>
                <w:sz w:val="18"/>
                <w:szCs w:val="18"/>
              </w:rPr>
            </w:pPr>
          </w:p>
        </w:tc>
        <w:tc>
          <w:tcPr>
            <w:tcW w:w="3402" w:type="dxa"/>
          </w:tcPr>
          <w:p w14:paraId="1E79D975" w14:textId="77777777" w:rsidR="00543D47" w:rsidRPr="00BA5F0C" w:rsidRDefault="00543D47" w:rsidP="00D9610A">
            <w:pPr>
              <w:spacing w:before="40" w:after="40" w:line="240" w:lineRule="auto"/>
              <w:ind w:left="57" w:right="57"/>
              <w:rPr>
                <w:sz w:val="18"/>
                <w:szCs w:val="18"/>
              </w:rPr>
            </w:pPr>
          </w:p>
        </w:tc>
        <w:tc>
          <w:tcPr>
            <w:tcW w:w="3402" w:type="dxa"/>
          </w:tcPr>
          <w:p w14:paraId="439820F1" w14:textId="77777777" w:rsidR="00543D47" w:rsidRPr="00BA5F0C" w:rsidRDefault="00543D47" w:rsidP="00D9610A">
            <w:pPr>
              <w:spacing w:before="40" w:after="40" w:line="240" w:lineRule="auto"/>
              <w:rPr>
                <w:rFonts w:cs="Arial"/>
                <w:sz w:val="18"/>
                <w:szCs w:val="18"/>
              </w:rPr>
            </w:pPr>
          </w:p>
        </w:tc>
      </w:tr>
      <w:tr w:rsidR="00543D47" w:rsidRPr="00BA5F0C" w14:paraId="68C4A1B5" w14:textId="77777777" w:rsidTr="00D9610A">
        <w:trPr>
          <w:cantSplit/>
        </w:trPr>
        <w:tc>
          <w:tcPr>
            <w:tcW w:w="851" w:type="dxa"/>
          </w:tcPr>
          <w:p w14:paraId="7F9E4BA8"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66653</w:t>
            </w:r>
          </w:p>
        </w:tc>
        <w:tc>
          <w:tcPr>
            <w:tcW w:w="3402" w:type="dxa"/>
          </w:tcPr>
          <w:p w14:paraId="76C963B0" w14:textId="77777777" w:rsidR="00543D47" w:rsidRPr="00BA5F0C" w:rsidRDefault="00543D47" w:rsidP="00D9610A">
            <w:pPr>
              <w:spacing w:before="40" w:after="40" w:line="240" w:lineRule="auto"/>
              <w:rPr>
                <w:color w:val="000000"/>
                <w:sz w:val="18"/>
                <w:szCs w:val="18"/>
              </w:rPr>
            </w:pPr>
            <w:r w:rsidRPr="00BA5F0C">
              <w:rPr>
                <w:color w:val="000000"/>
                <w:sz w:val="18"/>
                <w:szCs w:val="18"/>
              </w:rPr>
              <w:t>2 or more tests described in item 66650</w:t>
            </w:r>
          </w:p>
        </w:tc>
        <w:tc>
          <w:tcPr>
            <w:tcW w:w="3402" w:type="dxa"/>
          </w:tcPr>
          <w:p w14:paraId="27025A4A" w14:textId="77777777" w:rsidR="00543D47" w:rsidRPr="00BA5F0C" w:rsidRDefault="00543D47" w:rsidP="00D9610A">
            <w:pPr>
              <w:spacing w:before="40" w:after="40" w:line="240" w:lineRule="auto"/>
              <w:rPr>
                <w:rFonts w:cs="Arial"/>
                <w:sz w:val="18"/>
                <w:szCs w:val="18"/>
              </w:rPr>
            </w:pPr>
          </w:p>
        </w:tc>
        <w:tc>
          <w:tcPr>
            <w:tcW w:w="3402" w:type="dxa"/>
          </w:tcPr>
          <w:p w14:paraId="204E8C65" w14:textId="77777777" w:rsidR="00543D47" w:rsidRPr="00BA5F0C" w:rsidRDefault="00543D47" w:rsidP="00D9610A">
            <w:pPr>
              <w:spacing w:before="40" w:after="40" w:line="240" w:lineRule="auto"/>
              <w:ind w:left="57" w:right="57"/>
              <w:rPr>
                <w:sz w:val="18"/>
                <w:szCs w:val="18"/>
              </w:rPr>
            </w:pPr>
          </w:p>
        </w:tc>
        <w:tc>
          <w:tcPr>
            <w:tcW w:w="3402" w:type="dxa"/>
          </w:tcPr>
          <w:p w14:paraId="006CCB6C" w14:textId="77777777" w:rsidR="00543D47" w:rsidRPr="00BA5F0C" w:rsidRDefault="00543D47" w:rsidP="00D9610A">
            <w:pPr>
              <w:spacing w:before="40" w:after="40" w:line="240" w:lineRule="auto"/>
              <w:rPr>
                <w:rFonts w:cs="Arial"/>
                <w:sz w:val="18"/>
                <w:szCs w:val="18"/>
              </w:rPr>
            </w:pPr>
          </w:p>
        </w:tc>
      </w:tr>
      <w:tr w:rsidR="00543D47" w:rsidRPr="00BA5F0C" w14:paraId="6962E839" w14:textId="77777777" w:rsidTr="00D9610A">
        <w:trPr>
          <w:cantSplit/>
        </w:trPr>
        <w:tc>
          <w:tcPr>
            <w:tcW w:w="851" w:type="dxa"/>
          </w:tcPr>
          <w:p w14:paraId="5A7C94CA" w14:textId="77777777" w:rsidR="00543D47" w:rsidRPr="00BA5F0C" w:rsidRDefault="00543D47" w:rsidP="00D9610A">
            <w:pPr>
              <w:spacing w:before="40" w:after="40" w:line="240" w:lineRule="auto"/>
              <w:rPr>
                <w:rFonts w:cs="Arial"/>
                <w:b/>
                <w:color w:val="222222"/>
                <w:sz w:val="18"/>
                <w:szCs w:val="18"/>
              </w:rPr>
            </w:pPr>
            <w:r w:rsidRPr="00BA5F0C">
              <w:rPr>
                <w:rFonts w:cs="Arial"/>
                <w:b/>
                <w:color w:val="222222"/>
                <w:sz w:val="18"/>
                <w:szCs w:val="18"/>
              </w:rPr>
              <w:t>66629</w:t>
            </w:r>
          </w:p>
          <w:p w14:paraId="7864EE3C" w14:textId="77777777" w:rsidR="00543D47" w:rsidRPr="00BA5F0C" w:rsidRDefault="00543D47" w:rsidP="00D9610A">
            <w:pPr>
              <w:spacing w:before="40" w:after="40" w:line="240" w:lineRule="auto"/>
              <w:rPr>
                <w:rFonts w:cs="Arial"/>
                <w:b/>
                <w:color w:val="222222"/>
                <w:sz w:val="18"/>
                <w:szCs w:val="18"/>
              </w:rPr>
            </w:pPr>
          </w:p>
        </w:tc>
        <w:tc>
          <w:tcPr>
            <w:tcW w:w="3402" w:type="dxa"/>
          </w:tcPr>
          <w:p w14:paraId="5314605E" w14:textId="77777777" w:rsidR="00543D47" w:rsidRPr="00BA5F0C" w:rsidRDefault="00543D47" w:rsidP="00D9610A">
            <w:pPr>
              <w:spacing w:before="40" w:after="40" w:line="240" w:lineRule="auto"/>
              <w:rPr>
                <w:color w:val="000000"/>
                <w:sz w:val="18"/>
                <w:szCs w:val="18"/>
              </w:rPr>
            </w:pPr>
            <w:r w:rsidRPr="00BA5F0C">
              <w:rPr>
                <w:color w:val="000000"/>
                <w:sz w:val="18"/>
                <w:szCs w:val="18"/>
              </w:rPr>
              <w:t>Beta-2-microglobulin - quantitation in serum, urine or other body fluids - 1 or more tests</w:t>
            </w:r>
          </w:p>
        </w:tc>
        <w:tc>
          <w:tcPr>
            <w:tcW w:w="3402" w:type="dxa"/>
          </w:tcPr>
          <w:p w14:paraId="4FC1D7A1" w14:textId="77777777" w:rsidR="00543D47" w:rsidRPr="00BA5F0C" w:rsidRDefault="00543D47" w:rsidP="00D9610A">
            <w:pPr>
              <w:spacing w:before="40" w:after="40" w:line="240" w:lineRule="auto"/>
              <w:rPr>
                <w:rFonts w:cs="Arial"/>
                <w:sz w:val="18"/>
                <w:szCs w:val="18"/>
              </w:rPr>
            </w:pPr>
          </w:p>
        </w:tc>
        <w:tc>
          <w:tcPr>
            <w:tcW w:w="3402" w:type="dxa"/>
          </w:tcPr>
          <w:p w14:paraId="5A7A2164" w14:textId="77777777" w:rsidR="00543D47" w:rsidRPr="00BA5F0C" w:rsidRDefault="00543D47" w:rsidP="00D9610A">
            <w:pPr>
              <w:spacing w:before="40" w:after="40" w:line="240" w:lineRule="auto"/>
              <w:ind w:left="57" w:right="57"/>
              <w:rPr>
                <w:sz w:val="18"/>
                <w:szCs w:val="18"/>
              </w:rPr>
            </w:pPr>
          </w:p>
        </w:tc>
        <w:tc>
          <w:tcPr>
            <w:tcW w:w="3402" w:type="dxa"/>
          </w:tcPr>
          <w:p w14:paraId="1A5FD45E" w14:textId="77777777" w:rsidR="00543D47" w:rsidRPr="00BA5F0C" w:rsidRDefault="00543D47" w:rsidP="00D9610A">
            <w:pPr>
              <w:spacing w:before="40" w:after="40" w:line="240" w:lineRule="auto"/>
              <w:rPr>
                <w:rFonts w:cs="Arial"/>
                <w:sz w:val="18"/>
                <w:szCs w:val="18"/>
              </w:rPr>
            </w:pPr>
          </w:p>
        </w:tc>
      </w:tr>
    </w:tbl>
    <w:p w14:paraId="1273B6E4" w14:textId="77777777" w:rsidR="00543D47" w:rsidRPr="00370DFD" w:rsidRDefault="00543D47" w:rsidP="00543D47">
      <w:pPr>
        <w:spacing w:before="40" w:after="40" w:line="240" w:lineRule="auto"/>
      </w:pPr>
    </w:p>
    <w:p w14:paraId="7C3BF6AE" w14:textId="77777777" w:rsidR="00543D47" w:rsidRPr="00370DFD" w:rsidRDefault="00543D47" w:rsidP="00543D47">
      <w:pPr>
        <w:sectPr w:rsidR="00543D47" w:rsidRPr="00370DFD" w:rsidSect="00964AEF">
          <w:footerReference w:type="default" r:id="rId52"/>
          <w:pgSz w:w="16838" w:h="11906" w:orient="landscape" w:code="9"/>
          <w:pgMar w:top="1440" w:right="1440" w:bottom="1440" w:left="1276" w:header="720" w:footer="720" w:gutter="0"/>
          <w:paperSrc w:first="2" w:other="2"/>
          <w:cols w:space="720"/>
          <w:docGrid w:linePitch="326"/>
        </w:sectPr>
      </w:pPr>
    </w:p>
    <w:p w14:paraId="237377B6" w14:textId="77777777" w:rsidR="00543D47" w:rsidRPr="00370DFD" w:rsidRDefault="00543D47" w:rsidP="00543D47">
      <w:pPr>
        <w:spacing w:before="120"/>
        <w:rPr>
          <w:sz w:val="20"/>
          <w:szCs w:val="20"/>
        </w:rPr>
      </w:pPr>
    </w:p>
    <w:p w14:paraId="1FC43665" w14:textId="77777777" w:rsidR="005B4FEA" w:rsidRPr="00543D47" w:rsidRDefault="005B4FEA" w:rsidP="00543D47"/>
    <w:sectPr w:rsidR="005B4FEA" w:rsidRPr="00543D47" w:rsidSect="00964AEF">
      <w:footerReference w:type="default" r:id="rId53"/>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6B7CF" w14:textId="77777777" w:rsidR="00727FDB" w:rsidRDefault="00727FDB" w:rsidP="000D1CF6">
      <w:r>
        <w:separator/>
      </w:r>
    </w:p>
    <w:p w14:paraId="0826339B" w14:textId="77777777" w:rsidR="00727FDB" w:rsidRDefault="00727FDB" w:rsidP="000D1CF6"/>
    <w:p w14:paraId="3C9665A6" w14:textId="77777777" w:rsidR="00727FDB" w:rsidRDefault="00727FDB"/>
  </w:endnote>
  <w:endnote w:type="continuationSeparator" w:id="0">
    <w:p w14:paraId="079615C8" w14:textId="77777777" w:rsidR="00727FDB" w:rsidRDefault="00727FDB" w:rsidP="000D1CF6">
      <w:r>
        <w:continuationSeparator/>
      </w:r>
    </w:p>
    <w:p w14:paraId="23CE42A5" w14:textId="77777777" w:rsidR="00727FDB" w:rsidRDefault="00727FDB" w:rsidP="000D1CF6"/>
    <w:p w14:paraId="3ADF7521" w14:textId="77777777" w:rsidR="00727FDB" w:rsidRDefault="00727FDB"/>
  </w:endnote>
  <w:endnote w:type="continuationNotice" w:id="1">
    <w:p w14:paraId="12C170E1" w14:textId="77777777" w:rsidR="00727FDB" w:rsidRDefault="00727FD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Bold">
    <w:panose1 w:val="020B0704020202020204"/>
    <w:charset w:val="00"/>
    <w:family w:val="auto"/>
    <w:pitch w:val="variable"/>
    <w:sig w:usb0="E0002AFF" w:usb1="C0007843" w:usb2="00000009" w:usb3="00000000" w:csb0="000001FF" w:csb1="00000000"/>
  </w:font>
  <w:font w:name="Times-Bol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886350"/>
      <w:docPartObj>
        <w:docPartGallery w:val="Page Numbers (Bottom of Page)"/>
        <w:docPartUnique/>
      </w:docPartObj>
    </w:sdtPr>
    <w:sdtEndPr>
      <w:rPr>
        <w:noProof/>
      </w:rPr>
    </w:sdtEndPr>
    <w:sdtContent>
      <w:p w14:paraId="7B2DBE94" w14:textId="77777777" w:rsidR="00543D47" w:rsidRDefault="00543D47" w:rsidP="002111EC">
        <w:pPr>
          <w:pStyle w:val="Footer"/>
          <w:jc w:val="right"/>
        </w:pPr>
        <w:r>
          <w:fldChar w:fldCharType="begin"/>
        </w:r>
        <w:r>
          <w:instrText xml:space="preserve"> PAGE   \* MERGEFORMAT </w:instrText>
        </w:r>
        <w:r>
          <w:fldChar w:fldCharType="separate"/>
        </w:r>
        <w:r>
          <w:rPr>
            <w:noProof/>
          </w:rPr>
          <w:t>103</w:t>
        </w:r>
        <w:r>
          <w:rPr>
            <w:noProof/>
          </w:rPr>
          <w:fldChar w:fldCharType="end"/>
        </w:r>
      </w:p>
    </w:sdtContent>
  </w:sdt>
  <w:p w14:paraId="24F51AF2" w14:textId="77777777" w:rsidR="00543D47" w:rsidRDefault="00543D47" w:rsidP="002111EC">
    <w:pPr>
      <w:pStyle w:val="Footer"/>
    </w:pPr>
    <w:r>
      <w:t>Report from the Pathology Clinical Committee- Chemistry September 2017</w:t>
    </w:r>
  </w:p>
  <w:p w14:paraId="6A176E08" w14:textId="77777777" w:rsidR="00543D47" w:rsidRPr="00164E27" w:rsidRDefault="00543D47" w:rsidP="0031433E">
    <w:pPr>
      <w:pStyle w:val="Footer"/>
      <w:tabs>
        <w:tab w:val="clear" w:pos="4513"/>
        <w:tab w:val="clear" w:pos="9026"/>
        <w:tab w:val="left" w:pos="19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EC59D" w14:textId="77777777" w:rsidR="00543D47" w:rsidRPr="003B1222" w:rsidRDefault="00543D47" w:rsidP="00381125">
    <w:pPr>
      <w:pStyle w:val="Footer"/>
      <w:pBdr>
        <w:top w:val="single" w:sz="4" w:space="1" w:color="B56012"/>
      </w:pBdr>
      <w:tabs>
        <w:tab w:val="clear" w:pos="4513"/>
      </w:tabs>
      <w:jc w:val="center"/>
      <w:rPr>
        <w:color w:val="01653F"/>
        <w:sz w:val="16"/>
      </w:rPr>
    </w:pPr>
    <w:r w:rsidRPr="003B1222">
      <w:rPr>
        <w:color w:val="01653F"/>
        <w:sz w:val="16"/>
      </w:rPr>
      <w:t xml:space="preserve"> </w:t>
    </w:r>
    <w:r w:rsidRPr="000869E6">
      <w:rPr>
        <w:color w:val="01653F"/>
        <w:sz w:val="16"/>
      </w:rPr>
      <w:t xml:space="preserve">Report from the </w:t>
    </w:r>
    <w:r>
      <w:rPr>
        <w:color w:val="01653F"/>
        <w:sz w:val="16"/>
      </w:rPr>
      <w:t>Pathology Chemical</w:t>
    </w:r>
    <w:r w:rsidRPr="000869E6">
      <w:rPr>
        <w:color w:val="01653F"/>
        <w:sz w:val="16"/>
      </w:rPr>
      <w:t xml:space="preserve"> Clinical Committee – </w:t>
    </w:r>
    <w:r>
      <w:rPr>
        <w:color w:val="01653F"/>
        <w:sz w:val="16"/>
      </w:rPr>
      <w:t>September 2017</w:t>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Pr="00543D47">
      <w:rPr>
        <w:rFonts w:eastAsiaTheme="majorEastAsia"/>
        <w:noProof/>
        <w:color w:val="01653F"/>
        <w:sz w:val="16"/>
      </w:rPr>
      <w:t>106</w:t>
    </w:r>
    <w:r w:rsidRPr="003B1222">
      <w:rPr>
        <w:rFonts w:eastAsiaTheme="majorEastAsia"/>
        <w:noProof/>
        <w:color w:val="01653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BE38" w14:textId="77777777" w:rsidR="00B479B2" w:rsidRPr="003B1222" w:rsidRDefault="00B479B2" w:rsidP="00381125">
    <w:pPr>
      <w:pStyle w:val="Footer"/>
      <w:pBdr>
        <w:top w:val="single" w:sz="4" w:space="1" w:color="B56012"/>
      </w:pBdr>
      <w:tabs>
        <w:tab w:val="clear" w:pos="4513"/>
      </w:tabs>
      <w:jc w:val="center"/>
      <w:rPr>
        <w:color w:val="01653F"/>
        <w:sz w:val="16"/>
      </w:rPr>
    </w:pPr>
    <w:r w:rsidRPr="003B1222">
      <w:rPr>
        <w:color w:val="01653F"/>
        <w:sz w:val="16"/>
      </w:rPr>
      <w:t xml:space="preserve"> </w:t>
    </w:r>
    <w:r w:rsidRPr="000869E6">
      <w:rPr>
        <w:color w:val="01653F"/>
        <w:sz w:val="16"/>
      </w:rPr>
      <w:t xml:space="preserve">Report from the </w:t>
    </w:r>
    <w:r>
      <w:rPr>
        <w:color w:val="01653F"/>
        <w:sz w:val="16"/>
      </w:rPr>
      <w:t>Pathology Chemical</w:t>
    </w:r>
    <w:r w:rsidRPr="000869E6">
      <w:rPr>
        <w:color w:val="01653F"/>
        <w:sz w:val="16"/>
      </w:rPr>
      <w:t xml:space="preserve"> Clinical Committee – </w:t>
    </w:r>
    <w:r>
      <w:rPr>
        <w:color w:val="01653F"/>
        <w:sz w:val="16"/>
      </w:rPr>
      <w:t>September 2017</w:t>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543D47" w:rsidRPr="00543D47">
      <w:rPr>
        <w:rFonts w:eastAsiaTheme="majorEastAsia"/>
        <w:noProof/>
        <w:color w:val="01653F"/>
        <w:sz w:val="16"/>
      </w:rPr>
      <w:t>124</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E731D" w14:textId="77777777" w:rsidR="00727FDB" w:rsidRDefault="00727FDB" w:rsidP="000D1CF6">
      <w:r>
        <w:separator/>
      </w:r>
    </w:p>
  </w:footnote>
  <w:footnote w:type="continuationSeparator" w:id="0">
    <w:p w14:paraId="62901110" w14:textId="77777777" w:rsidR="00727FDB" w:rsidRDefault="00727FDB" w:rsidP="000D1CF6">
      <w:r>
        <w:continuationSeparator/>
      </w:r>
    </w:p>
    <w:p w14:paraId="4BEB7BB6" w14:textId="77777777" w:rsidR="00727FDB" w:rsidRDefault="00727FDB" w:rsidP="000D1CF6"/>
    <w:p w14:paraId="23F5DA59" w14:textId="77777777" w:rsidR="00727FDB" w:rsidRDefault="00727FDB"/>
  </w:footnote>
  <w:footnote w:type="continuationNotice" w:id="1">
    <w:p w14:paraId="3738CB9E" w14:textId="77777777" w:rsidR="00727FDB" w:rsidRDefault="00727FDB">
      <w:pPr>
        <w:spacing w:before="0" w:after="0" w:line="240" w:lineRule="auto"/>
      </w:pPr>
    </w:p>
  </w:footnote>
  <w:footnote w:id="2">
    <w:p w14:paraId="2B2DA6D9" w14:textId="77777777" w:rsidR="00543D47" w:rsidRPr="00E571BB" w:rsidRDefault="00543D47" w:rsidP="00543D47">
      <w:pPr>
        <w:pStyle w:val="FootnoteText"/>
        <w:rPr>
          <w:lang w:val="en-US"/>
        </w:rPr>
      </w:pPr>
      <w:r>
        <w:rPr>
          <w:rStyle w:val="FootnoteReference"/>
        </w:rPr>
        <w:footnoteRef/>
      </w:r>
      <w:r>
        <w:t xml:space="preserve"> </w:t>
      </w:r>
      <w:r w:rsidRPr="00D938CC">
        <w:rPr>
          <w:lang w:val="en-US"/>
        </w:rPr>
        <w:t>NPS MedicineInsight 2017</w:t>
      </w:r>
    </w:p>
  </w:footnote>
  <w:footnote w:id="3">
    <w:p w14:paraId="11668C15" w14:textId="77777777" w:rsidR="00543D47" w:rsidRPr="006B4F46" w:rsidRDefault="00543D47" w:rsidP="00543D47">
      <w:pPr>
        <w:pStyle w:val="FootnoteText"/>
      </w:pPr>
      <w:r>
        <w:rPr>
          <w:rStyle w:val="FootnoteReference"/>
        </w:rPr>
        <w:footnoteRef/>
      </w:r>
      <w:r>
        <w:t xml:space="preserve"> </w:t>
      </w:r>
      <w:r w:rsidRPr="009D123F">
        <w:t xml:space="preserve">MBS </w:t>
      </w:r>
      <w:r>
        <w:t>d</w:t>
      </w:r>
      <w:r w:rsidRPr="009D123F">
        <w:t>ata FY2015</w:t>
      </w:r>
      <w:r>
        <w:t>–</w:t>
      </w:r>
      <w:r w:rsidRPr="009D123F">
        <w:t xml:space="preserve">16, </w:t>
      </w:r>
      <w:r>
        <w:t>d</w:t>
      </w:r>
      <w:r w:rsidRPr="009D123F">
        <w:t>ate of servicing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3E9A"/>
    <w:multiLevelType w:val="hybridMultilevel"/>
    <w:tmpl w:val="DB26F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B778F"/>
    <w:multiLevelType w:val="hybridMultilevel"/>
    <w:tmpl w:val="CD28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75821"/>
    <w:multiLevelType w:val="hybridMultilevel"/>
    <w:tmpl w:val="49DCC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7937B0"/>
    <w:multiLevelType w:val="multilevel"/>
    <w:tmpl w:val="17683D7A"/>
    <w:lvl w:ilvl="0">
      <w:start w:val="1"/>
      <w:numFmt w:val="decimal"/>
      <w:pStyle w:val="Tabletitle"/>
      <w:lvlText w:val="Table %1: "/>
      <w:lvlJc w:val="left"/>
      <w:pPr>
        <w:ind w:left="360" w:hanging="360"/>
      </w:pPr>
      <w:rPr>
        <w:rFonts w:ascii="Arial Narrow" w:hAnsi="Arial Narrow" w:hint="default"/>
        <w:b/>
        <w:bCs w:val="0"/>
        <w:i w:val="0"/>
        <w:iCs w:val="0"/>
        <w:caps/>
        <w:smallCaps w:val="0"/>
        <w:strike w:val="0"/>
        <w:dstrike w:val="0"/>
        <w:noProof w:val="0"/>
        <w:vanish w:val="0"/>
        <w:color w:val="4B306A"/>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9315930"/>
    <w:multiLevelType w:val="hybridMultilevel"/>
    <w:tmpl w:val="329287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327549"/>
    <w:multiLevelType w:val="hybridMultilevel"/>
    <w:tmpl w:val="0C5A4E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23834"/>
    <w:multiLevelType w:val="hybridMultilevel"/>
    <w:tmpl w:val="AF8AEEAA"/>
    <w:lvl w:ilvl="0" w:tplc="6B88DACE">
      <w:start w:val="1"/>
      <w:numFmt w:val="upperLetter"/>
      <w:pStyle w:val="AppendixStyle1"/>
      <w:lvlText w:val="Appendix %1"/>
      <w:lvlJc w:val="left"/>
      <w:pPr>
        <w:ind w:left="4613"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F07D59"/>
    <w:multiLevelType w:val="hybridMultilevel"/>
    <w:tmpl w:val="1D56B560"/>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1E177D8E"/>
    <w:multiLevelType w:val="hybridMultilevel"/>
    <w:tmpl w:val="EFB814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2"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428"/>
        </w:tabs>
        <w:ind w:left="426"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4"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902AFD"/>
    <w:multiLevelType w:val="hybridMultilevel"/>
    <w:tmpl w:val="C32CF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2D0835"/>
    <w:multiLevelType w:val="hybridMultilevel"/>
    <w:tmpl w:val="13980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58412D"/>
    <w:multiLevelType w:val="hybridMultilevel"/>
    <w:tmpl w:val="0DA26C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73B5E6C"/>
    <w:multiLevelType w:val="hybridMultilevel"/>
    <w:tmpl w:val="51C8D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8C85A01"/>
    <w:multiLevelType w:val="hybridMultilevel"/>
    <w:tmpl w:val="1E1A0EF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C41280F"/>
    <w:multiLevelType w:val="hybridMultilevel"/>
    <w:tmpl w:val="38E05F18"/>
    <w:lvl w:ilvl="0" w:tplc="9B00D68C">
      <w:start w:val="1"/>
      <w:numFmt w:val="bullet"/>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BC7B7F"/>
    <w:multiLevelType w:val="hybridMultilevel"/>
    <w:tmpl w:val="FDAEB89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6" w15:restartNumberingAfterBreak="0">
    <w:nsid w:val="55061E7E"/>
    <w:multiLevelType w:val="hybridMultilevel"/>
    <w:tmpl w:val="F744B6C6"/>
    <w:lvl w:ilvl="0" w:tplc="0C09000F">
      <w:start w:val="1"/>
      <w:numFmt w:val="decimal"/>
      <w:lvlText w:val="%1."/>
      <w:lvlJc w:val="left"/>
      <w:pPr>
        <w:ind w:left="431" w:hanging="431"/>
      </w:pPr>
      <w:rPr>
        <w:rFonts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03D4D"/>
    <w:multiLevelType w:val="hybridMultilevel"/>
    <w:tmpl w:val="CC52EC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C574A11"/>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428"/>
        </w:tabs>
        <w:ind w:left="426"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9"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0" w15:restartNumberingAfterBreak="0">
    <w:nsid w:val="67E9153F"/>
    <w:multiLevelType w:val="hybridMultilevel"/>
    <w:tmpl w:val="09963204"/>
    <w:lvl w:ilvl="0" w:tplc="40C654E4">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32" w15:restartNumberingAfterBreak="0">
    <w:nsid w:val="6BB25B60"/>
    <w:multiLevelType w:val="hybridMultilevel"/>
    <w:tmpl w:val="88FEF8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4147253"/>
    <w:multiLevelType w:val="multilevel"/>
    <w:tmpl w:val="157ED95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D0575B2"/>
    <w:multiLevelType w:val="multilevel"/>
    <w:tmpl w:val="F7A88B84"/>
    <w:lvl w:ilvl="0">
      <w:start w:val="1"/>
      <w:numFmt w:val="decimal"/>
      <w:pStyle w:val="Heading1"/>
      <w:lvlText w:val="%1."/>
      <w:lvlJc w:val="left"/>
      <w:pPr>
        <w:ind w:left="7094" w:hanging="432"/>
      </w:pPr>
      <w:rPr>
        <w:rFonts w:hint="default"/>
      </w:rPr>
    </w:lvl>
    <w:lvl w:ilvl="1">
      <w:start w:val="1"/>
      <w:numFmt w:val="decimal"/>
      <w:pStyle w:val="Heading2"/>
      <w:lvlText w:val="%1.%2"/>
      <w:lvlJc w:val="left"/>
      <w:pPr>
        <w:ind w:left="8514" w:hanging="576"/>
      </w:pPr>
      <w:rPr>
        <w:rFonts w:hint="default"/>
      </w:rPr>
    </w:lvl>
    <w:lvl w:ilvl="2">
      <w:start w:val="1"/>
      <w:numFmt w:val="decimal"/>
      <w:pStyle w:val="Heading3Numbered"/>
      <w:lvlText w:val="%1.%2.%3"/>
      <w:lvlJc w:val="left"/>
      <w:pPr>
        <w:ind w:left="8658" w:hanging="720"/>
      </w:pPr>
      <w:rPr>
        <w:rFonts w:hint="default"/>
        <w:b/>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7ED74B3C"/>
    <w:multiLevelType w:val="hybridMultilevel"/>
    <w:tmpl w:val="51C8D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DB59BA"/>
    <w:multiLevelType w:val="multilevel"/>
    <w:tmpl w:val="0B02B37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428"/>
        </w:tabs>
        <w:ind w:left="426"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12"/>
  </w:num>
  <w:num w:numId="2">
    <w:abstractNumId w:val="14"/>
  </w:num>
  <w:num w:numId="3">
    <w:abstractNumId w:val="11"/>
  </w:num>
  <w:num w:numId="4">
    <w:abstractNumId w:val="8"/>
  </w:num>
  <w:num w:numId="5">
    <w:abstractNumId w:val="19"/>
  </w:num>
  <w:num w:numId="6">
    <w:abstractNumId w:val="35"/>
  </w:num>
  <w:num w:numId="7">
    <w:abstractNumId w:val="30"/>
  </w:num>
  <w:num w:numId="8">
    <w:abstractNumId w:val="25"/>
  </w:num>
  <w:num w:numId="9">
    <w:abstractNumId w:val="33"/>
  </w:num>
  <w:num w:numId="10">
    <w:abstractNumId w:val="7"/>
  </w:num>
  <w:num w:numId="11">
    <w:abstractNumId w:val="6"/>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31"/>
  </w:num>
  <w:num w:numId="16">
    <w:abstractNumId w:val="20"/>
  </w:num>
  <w:num w:numId="17">
    <w:abstractNumId w:val="5"/>
  </w:num>
  <w:num w:numId="18">
    <w:abstractNumId w:val="28"/>
  </w:num>
  <w:num w:numId="19">
    <w:abstractNumId w:val="13"/>
  </w:num>
  <w:num w:numId="20">
    <w:abstractNumId w:val="28"/>
    <w:lvlOverride w:ilvl="1">
      <w:lvl w:ilvl="1">
        <w:start w:val="1"/>
        <w:numFmt w:val="bullet"/>
        <w:lvlText w:val="–"/>
        <w:lvlJc w:val="left"/>
        <w:pPr>
          <w:tabs>
            <w:tab w:val="num" w:pos="1421"/>
          </w:tabs>
          <w:ind w:left="1419" w:hanging="284"/>
        </w:pPr>
        <w:rPr>
          <w:rFonts w:ascii="Arial" w:hAnsi="Arial" w:hint="default"/>
          <w:color w:val="auto"/>
          <w:sz w:val="24"/>
        </w:rPr>
      </w:lvl>
    </w:lvlOverride>
  </w:num>
  <w:num w:numId="21">
    <w:abstractNumId w:val="34"/>
  </w:num>
  <w:num w:numId="22">
    <w:abstractNumId w:val="29"/>
  </w:num>
  <w:num w:numId="23">
    <w:abstractNumId w:val="4"/>
  </w:num>
  <w:num w:numId="24">
    <w:abstractNumId w:val="18"/>
  </w:num>
  <w:num w:numId="25">
    <w:abstractNumId w:val="24"/>
  </w:num>
  <w:num w:numId="26">
    <w:abstractNumId w:val="30"/>
  </w:num>
  <w:num w:numId="27">
    <w:abstractNumId w:val="30"/>
  </w:num>
  <w:num w:numId="28">
    <w:abstractNumId w:val="30"/>
  </w:num>
  <w:num w:numId="29">
    <w:abstractNumId w:val="1"/>
  </w:num>
  <w:num w:numId="30">
    <w:abstractNumId w:val="27"/>
  </w:num>
  <w:num w:numId="31">
    <w:abstractNumId w:val="32"/>
  </w:num>
  <w:num w:numId="32">
    <w:abstractNumId w:val="15"/>
  </w:num>
  <w:num w:numId="33">
    <w:abstractNumId w:val="0"/>
  </w:num>
  <w:num w:numId="34">
    <w:abstractNumId w:val="23"/>
  </w:num>
  <w:num w:numId="35">
    <w:abstractNumId w:val="37"/>
    <w:lvlOverride w:ilvl="0">
      <w:lvl w:ilvl="0">
        <w:start w:val="1"/>
        <w:numFmt w:val="bullet"/>
        <w:lvlText w:val="Δ"/>
        <w:lvlJc w:val="left"/>
        <w:pPr>
          <w:ind w:left="720" w:hanging="360"/>
        </w:pPr>
        <w:rPr>
          <w:rFonts w:ascii="Calibri" w:hAnsi="Calibri" w:cs="Times New Roman" w:hint="default"/>
          <w:color w:val="B66113"/>
          <w:sz w:val="24"/>
        </w:rPr>
      </w:lvl>
    </w:lvlOverride>
  </w:num>
  <w:num w:numId="36">
    <w:abstractNumId w:val="28"/>
    <w:lvlOverride w:ilvl="1">
      <w:lvl w:ilvl="1">
        <w:start w:val="1"/>
        <w:numFmt w:val="bullet"/>
        <w:lvlText w:val="–"/>
        <w:lvlJc w:val="left"/>
        <w:pPr>
          <w:tabs>
            <w:tab w:val="num" w:pos="646"/>
          </w:tabs>
          <w:ind w:left="644" w:hanging="284"/>
        </w:pPr>
        <w:rPr>
          <w:rFonts w:ascii="Arial" w:hAnsi="Arial" w:hint="default"/>
          <w:color w:val="auto"/>
          <w:sz w:val="24"/>
        </w:rPr>
      </w:lvl>
    </w:lvlOverride>
    <w:lvlOverride w:ilvl="2">
      <w:lvl w:ilvl="2">
        <w:start w:val="1"/>
        <w:numFmt w:val="bullet"/>
        <w:lvlText w:val="□"/>
        <w:lvlJc w:val="left"/>
        <w:pPr>
          <w:tabs>
            <w:tab w:val="num" w:pos="924"/>
          </w:tabs>
          <w:ind w:left="927" w:hanging="283"/>
        </w:pPr>
        <w:rPr>
          <w:rFonts w:ascii="Times New Roman" w:hAnsi="Times New Roman" w:cs="Times New Roman" w:hint="default"/>
          <w:color w:val="auto"/>
          <w:sz w:val="20"/>
        </w:rPr>
      </w:lvl>
    </w:lvlOverride>
  </w:num>
  <w:num w:numId="37">
    <w:abstractNumId w:val="21"/>
  </w:num>
  <w:num w:numId="38">
    <w:abstractNumId w:val="17"/>
  </w:num>
  <w:num w:numId="39">
    <w:abstractNumId w:val="9"/>
  </w:num>
  <w:num w:numId="40">
    <w:abstractNumId w:val="10"/>
  </w:num>
  <w:num w:numId="41">
    <w:abstractNumId w:val="22"/>
  </w:num>
  <w:num w:numId="42">
    <w:abstractNumId w:val="2"/>
  </w:num>
  <w:num w:numId="43">
    <w:abstractNumId w:val="36"/>
  </w:num>
  <w:num w:numId="44">
    <w:abstractNumId w:val="30"/>
  </w:num>
  <w:num w:numId="45">
    <w:abstractNumId w:val="30"/>
  </w:num>
  <w:num w:numId="46">
    <w:abstractNumId w:val="30"/>
  </w:num>
  <w:num w:numId="47">
    <w:abstractNumId w:val="30"/>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16"/>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30"/>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26"/>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1228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PS full style PubMed superscript cit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ta02z59p0tzoext0jprf27f2a5pp2era22&quot;&gt;CWG Final report&lt;record-ids&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record-ids&gt;&lt;/item&gt;&lt;/Libraries&gt;"/>
    <w:docVar w:name="IsNewDoc" w:val="No"/>
  </w:docVars>
  <w:rsids>
    <w:rsidRoot w:val="00CB5537"/>
    <w:rsid w:val="000006E3"/>
    <w:rsid w:val="0000150F"/>
    <w:rsid w:val="00001F7B"/>
    <w:rsid w:val="00002477"/>
    <w:rsid w:val="00002678"/>
    <w:rsid w:val="00002A0C"/>
    <w:rsid w:val="000036E5"/>
    <w:rsid w:val="000044E9"/>
    <w:rsid w:val="00004920"/>
    <w:rsid w:val="00004CCA"/>
    <w:rsid w:val="0000566B"/>
    <w:rsid w:val="000058F6"/>
    <w:rsid w:val="00005E2E"/>
    <w:rsid w:val="00006915"/>
    <w:rsid w:val="0000693D"/>
    <w:rsid w:val="00006AE9"/>
    <w:rsid w:val="000077EB"/>
    <w:rsid w:val="00007CFB"/>
    <w:rsid w:val="000107B3"/>
    <w:rsid w:val="000107F4"/>
    <w:rsid w:val="0001084A"/>
    <w:rsid w:val="00011512"/>
    <w:rsid w:val="00013881"/>
    <w:rsid w:val="0001393A"/>
    <w:rsid w:val="000140C8"/>
    <w:rsid w:val="00014712"/>
    <w:rsid w:val="0001545C"/>
    <w:rsid w:val="00015973"/>
    <w:rsid w:val="000165A1"/>
    <w:rsid w:val="00017563"/>
    <w:rsid w:val="00020196"/>
    <w:rsid w:val="00020431"/>
    <w:rsid w:val="0002054D"/>
    <w:rsid w:val="00020587"/>
    <w:rsid w:val="000206BB"/>
    <w:rsid w:val="00020E0E"/>
    <w:rsid w:val="00021A9A"/>
    <w:rsid w:val="00022743"/>
    <w:rsid w:val="00022E87"/>
    <w:rsid w:val="0002353D"/>
    <w:rsid w:val="00023C89"/>
    <w:rsid w:val="00024FE0"/>
    <w:rsid w:val="000253EC"/>
    <w:rsid w:val="0002594E"/>
    <w:rsid w:val="00026E79"/>
    <w:rsid w:val="00027148"/>
    <w:rsid w:val="000276DD"/>
    <w:rsid w:val="000278CF"/>
    <w:rsid w:val="00027C07"/>
    <w:rsid w:val="0003055F"/>
    <w:rsid w:val="000309CE"/>
    <w:rsid w:val="00031018"/>
    <w:rsid w:val="00031095"/>
    <w:rsid w:val="00031ADE"/>
    <w:rsid w:val="00031F0C"/>
    <w:rsid w:val="00032108"/>
    <w:rsid w:val="000337EF"/>
    <w:rsid w:val="00033DA4"/>
    <w:rsid w:val="0003544F"/>
    <w:rsid w:val="00035958"/>
    <w:rsid w:val="00035A74"/>
    <w:rsid w:val="00035F6E"/>
    <w:rsid w:val="00036849"/>
    <w:rsid w:val="00036C0E"/>
    <w:rsid w:val="00040EAC"/>
    <w:rsid w:val="00040F54"/>
    <w:rsid w:val="00042A17"/>
    <w:rsid w:val="00043742"/>
    <w:rsid w:val="000440C2"/>
    <w:rsid w:val="000441B6"/>
    <w:rsid w:val="00045495"/>
    <w:rsid w:val="000459AD"/>
    <w:rsid w:val="00045F1B"/>
    <w:rsid w:val="00045F6B"/>
    <w:rsid w:val="00046A4C"/>
    <w:rsid w:val="00046AF0"/>
    <w:rsid w:val="00046C9C"/>
    <w:rsid w:val="00047145"/>
    <w:rsid w:val="00047FB5"/>
    <w:rsid w:val="000501C9"/>
    <w:rsid w:val="00050ED2"/>
    <w:rsid w:val="00050EF0"/>
    <w:rsid w:val="000515DE"/>
    <w:rsid w:val="000517D0"/>
    <w:rsid w:val="000537C0"/>
    <w:rsid w:val="00054036"/>
    <w:rsid w:val="000544D2"/>
    <w:rsid w:val="00054D62"/>
    <w:rsid w:val="0005522D"/>
    <w:rsid w:val="0005557F"/>
    <w:rsid w:val="000558E5"/>
    <w:rsid w:val="000559B6"/>
    <w:rsid w:val="00056CF7"/>
    <w:rsid w:val="00057AB0"/>
    <w:rsid w:val="00057F0D"/>
    <w:rsid w:val="000604F1"/>
    <w:rsid w:val="00060C76"/>
    <w:rsid w:val="00061127"/>
    <w:rsid w:val="000612DC"/>
    <w:rsid w:val="0006140B"/>
    <w:rsid w:val="0006177C"/>
    <w:rsid w:val="00062B74"/>
    <w:rsid w:val="0006309D"/>
    <w:rsid w:val="00064465"/>
    <w:rsid w:val="000645B6"/>
    <w:rsid w:val="0006464C"/>
    <w:rsid w:val="00064A52"/>
    <w:rsid w:val="0006504A"/>
    <w:rsid w:val="000653C1"/>
    <w:rsid w:val="000655C1"/>
    <w:rsid w:val="00065ADB"/>
    <w:rsid w:val="00065F84"/>
    <w:rsid w:val="00066AF2"/>
    <w:rsid w:val="00067BEC"/>
    <w:rsid w:val="00070239"/>
    <w:rsid w:val="000703EC"/>
    <w:rsid w:val="000707D3"/>
    <w:rsid w:val="00070CD8"/>
    <w:rsid w:val="0007194A"/>
    <w:rsid w:val="000721C1"/>
    <w:rsid w:val="0007261D"/>
    <w:rsid w:val="00072D68"/>
    <w:rsid w:val="00073660"/>
    <w:rsid w:val="000737C9"/>
    <w:rsid w:val="00074357"/>
    <w:rsid w:val="000744E0"/>
    <w:rsid w:val="00074986"/>
    <w:rsid w:val="000749AF"/>
    <w:rsid w:val="0007506F"/>
    <w:rsid w:val="0007623D"/>
    <w:rsid w:val="000765ED"/>
    <w:rsid w:val="00076AB6"/>
    <w:rsid w:val="00081875"/>
    <w:rsid w:val="00081F8E"/>
    <w:rsid w:val="000821D7"/>
    <w:rsid w:val="000831DB"/>
    <w:rsid w:val="000838B7"/>
    <w:rsid w:val="00083CF7"/>
    <w:rsid w:val="00083DA0"/>
    <w:rsid w:val="00083E2A"/>
    <w:rsid w:val="0008448B"/>
    <w:rsid w:val="00084B53"/>
    <w:rsid w:val="00084F7A"/>
    <w:rsid w:val="00085042"/>
    <w:rsid w:val="0008648C"/>
    <w:rsid w:val="000869E6"/>
    <w:rsid w:val="00086AFF"/>
    <w:rsid w:val="00086C40"/>
    <w:rsid w:val="00086FD0"/>
    <w:rsid w:val="0008778F"/>
    <w:rsid w:val="00087975"/>
    <w:rsid w:val="000902C4"/>
    <w:rsid w:val="00091008"/>
    <w:rsid w:val="00091AC3"/>
    <w:rsid w:val="000923EA"/>
    <w:rsid w:val="00092463"/>
    <w:rsid w:val="0009284F"/>
    <w:rsid w:val="00092AB5"/>
    <w:rsid w:val="00093404"/>
    <w:rsid w:val="00094411"/>
    <w:rsid w:val="000959B5"/>
    <w:rsid w:val="00096F10"/>
    <w:rsid w:val="00097A82"/>
    <w:rsid w:val="000A0871"/>
    <w:rsid w:val="000A0939"/>
    <w:rsid w:val="000A0C01"/>
    <w:rsid w:val="000A126D"/>
    <w:rsid w:val="000A27AD"/>
    <w:rsid w:val="000A2C3B"/>
    <w:rsid w:val="000A385E"/>
    <w:rsid w:val="000A38E3"/>
    <w:rsid w:val="000A3C55"/>
    <w:rsid w:val="000A3FBE"/>
    <w:rsid w:val="000A4D23"/>
    <w:rsid w:val="000A4EF9"/>
    <w:rsid w:val="000A5376"/>
    <w:rsid w:val="000A6661"/>
    <w:rsid w:val="000A705B"/>
    <w:rsid w:val="000A7C1B"/>
    <w:rsid w:val="000B0FB3"/>
    <w:rsid w:val="000B167F"/>
    <w:rsid w:val="000B18FD"/>
    <w:rsid w:val="000B197F"/>
    <w:rsid w:val="000B24D3"/>
    <w:rsid w:val="000B2534"/>
    <w:rsid w:val="000B2AAD"/>
    <w:rsid w:val="000B30AF"/>
    <w:rsid w:val="000B3532"/>
    <w:rsid w:val="000B3DCA"/>
    <w:rsid w:val="000B48DB"/>
    <w:rsid w:val="000B4B1F"/>
    <w:rsid w:val="000B4CE8"/>
    <w:rsid w:val="000B4D61"/>
    <w:rsid w:val="000B4EB8"/>
    <w:rsid w:val="000B5054"/>
    <w:rsid w:val="000B52C9"/>
    <w:rsid w:val="000B544F"/>
    <w:rsid w:val="000B645D"/>
    <w:rsid w:val="000B7021"/>
    <w:rsid w:val="000B710A"/>
    <w:rsid w:val="000B7216"/>
    <w:rsid w:val="000B76F2"/>
    <w:rsid w:val="000B7F3F"/>
    <w:rsid w:val="000C0CE4"/>
    <w:rsid w:val="000C10BE"/>
    <w:rsid w:val="000C17D6"/>
    <w:rsid w:val="000C2086"/>
    <w:rsid w:val="000C2699"/>
    <w:rsid w:val="000C2768"/>
    <w:rsid w:val="000C366C"/>
    <w:rsid w:val="000C3B30"/>
    <w:rsid w:val="000C4035"/>
    <w:rsid w:val="000C41CB"/>
    <w:rsid w:val="000C421B"/>
    <w:rsid w:val="000C4756"/>
    <w:rsid w:val="000C498A"/>
    <w:rsid w:val="000C4ABC"/>
    <w:rsid w:val="000C548F"/>
    <w:rsid w:val="000C54E8"/>
    <w:rsid w:val="000C565E"/>
    <w:rsid w:val="000C5F18"/>
    <w:rsid w:val="000C68B6"/>
    <w:rsid w:val="000C70F5"/>
    <w:rsid w:val="000C7A37"/>
    <w:rsid w:val="000C7B86"/>
    <w:rsid w:val="000C7FB5"/>
    <w:rsid w:val="000D1176"/>
    <w:rsid w:val="000D14E3"/>
    <w:rsid w:val="000D17D0"/>
    <w:rsid w:val="000D1905"/>
    <w:rsid w:val="000D1CF6"/>
    <w:rsid w:val="000D25AD"/>
    <w:rsid w:val="000D2D08"/>
    <w:rsid w:val="000D2E96"/>
    <w:rsid w:val="000D3691"/>
    <w:rsid w:val="000D4345"/>
    <w:rsid w:val="000D4490"/>
    <w:rsid w:val="000D4726"/>
    <w:rsid w:val="000D493E"/>
    <w:rsid w:val="000D5132"/>
    <w:rsid w:val="000D532B"/>
    <w:rsid w:val="000D5751"/>
    <w:rsid w:val="000D5C22"/>
    <w:rsid w:val="000D5E90"/>
    <w:rsid w:val="000D677B"/>
    <w:rsid w:val="000D6849"/>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1BE2"/>
    <w:rsid w:val="000E1DD5"/>
    <w:rsid w:val="000E28DA"/>
    <w:rsid w:val="000E2AE3"/>
    <w:rsid w:val="000E2F64"/>
    <w:rsid w:val="000E4A79"/>
    <w:rsid w:val="000E5530"/>
    <w:rsid w:val="000E5C6F"/>
    <w:rsid w:val="000E5C94"/>
    <w:rsid w:val="000E5E69"/>
    <w:rsid w:val="000E6B0A"/>
    <w:rsid w:val="000E6C56"/>
    <w:rsid w:val="000E70E3"/>
    <w:rsid w:val="000E74D7"/>
    <w:rsid w:val="000E7727"/>
    <w:rsid w:val="000F0B7D"/>
    <w:rsid w:val="000F0D2A"/>
    <w:rsid w:val="000F0F68"/>
    <w:rsid w:val="000F0F7F"/>
    <w:rsid w:val="000F166F"/>
    <w:rsid w:val="000F2CDA"/>
    <w:rsid w:val="000F2E2B"/>
    <w:rsid w:val="000F2E9B"/>
    <w:rsid w:val="000F3C1E"/>
    <w:rsid w:val="000F3F4F"/>
    <w:rsid w:val="000F4DB6"/>
    <w:rsid w:val="000F5115"/>
    <w:rsid w:val="000F705F"/>
    <w:rsid w:val="000F72BF"/>
    <w:rsid w:val="000F7608"/>
    <w:rsid w:val="000F799C"/>
    <w:rsid w:val="000F7D1F"/>
    <w:rsid w:val="0010003C"/>
    <w:rsid w:val="0010008F"/>
    <w:rsid w:val="001002A1"/>
    <w:rsid w:val="00100566"/>
    <w:rsid w:val="00101268"/>
    <w:rsid w:val="00101410"/>
    <w:rsid w:val="00101DE4"/>
    <w:rsid w:val="00101E86"/>
    <w:rsid w:val="00103DA5"/>
    <w:rsid w:val="00104311"/>
    <w:rsid w:val="00105555"/>
    <w:rsid w:val="001056B9"/>
    <w:rsid w:val="00105EB2"/>
    <w:rsid w:val="00106078"/>
    <w:rsid w:val="0010664E"/>
    <w:rsid w:val="00106987"/>
    <w:rsid w:val="00107B15"/>
    <w:rsid w:val="001104FA"/>
    <w:rsid w:val="0011099B"/>
    <w:rsid w:val="0011158E"/>
    <w:rsid w:val="0011166D"/>
    <w:rsid w:val="00111A0E"/>
    <w:rsid w:val="001121E7"/>
    <w:rsid w:val="001122B9"/>
    <w:rsid w:val="00112C49"/>
    <w:rsid w:val="00113907"/>
    <w:rsid w:val="001141BB"/>
    <w:rsid w:val="001143E8"/>
    <w:rsid w:val="00114E0F"/>
    <w:rsid w:val="001156AF"/>
    <w:rsid w:val="00115F6A"/>
    <w:rsid w:val="00116136"/>
    <w:rsid w:val="00116BB6"/>
    <w:rsid w:val="0011706D"/>
    <w:rsid w:val="0011770F"/>
    <w:rsid w:val="00117B89"/>
    <w:rsid w:val="001201D4"/>
    <w:rsid w:val="00120E25"/>
    <w:rsid w:val="001221CC"/>
    <w:rsid w:val="00122E25"/>
    <w:rsid w:val="00123147"/>
    <w:rsid w:val="00123D3B"/>
    <w:rsid w:val="00124A29"/>
    <w:rsid w:val="00125EF6"/>
    <w:rsid w:val="00125F82"/>
    <w:rsid w:val="00126B5C"/>
    <w:rsid w:val="00126E67"/>
    <w:rsid w:val="00127BD9"/>
    <w:rsid w:val="00131578"/>
    <w:rsid w:val="00131E01"/>
    <w:rsid w:val="001321D2"/>
    <w:rsid w:val="00132336"/>
    <w:rsid w:val="001329BB"/>
    <w:rsid w:val="00132F58"/>
    <w:rsid w:val="00134B43"/>
    <w:rsid w:val="001352B5"/>
    <w:rsid w:val="00135AC0"/>
    <w:rsid w:val="00135D05"/>
    <w:rsid w:val="0013638A"/>
    <w:rsid w:val="00136C3E"/>
    <w:rsid w:val="001400A5"/>
    <w:rsid w:val="00142C57"/>
    <w:rsid w:val="0014315F"/>
    <w:rsid w:val="00143948"/>
    <w:rsid w:val="00145358"/>
    <w:rsid w:val="001453BB"/>
    <w:rsid w:val="001461F3"/>
    <w:rsid w:val="0014694A"/>
    <w:rsid w:val="001472FA"/>
    <w:rsid w:val="00147F87"/>
    <w:rsid w:val="00150C38"/>
    <w:rsid w:val="001512DD"/>
    <w:rsid w:val="0015141E"/>
    <w:rsid w:val="001514D7"/>
    <w:rsid w:val="001518DA"/>
    <w:rsid w:val="00151AAE"/>
    <w:rsid w:val="00151F01"/>
    <w:rsid w:val="00152849"/>
    <w:rsid w:val="00152C99"/>
    <w:rsid w:val="00153816"/>
    <w:rsid w:val="00153B7E"/>
    <w:rsid w:val="001545AB"/>
    <w:rsid w:val="001548FB"/>
    <w:rsid w:val="0015505E"/>
    <w:rsid w:val="00155278"/>
    <w:rsid w:val="001553A5"/>
    <w:rsid w:val="00155BCF"/>
    <w:rsid w:val="00156013"/>
    <w:rsid w:val="001560F9"/>
    <w:rsid w:val="00156119"/>
    <w:rsid w:val="00157102"/>
    <w:rsid w:val="00157337"/>
    <w:rsid w:val="001575DC"/>
    <w:rsid w:val="0015789A"/>
    <w:rsid w:val="00157F85"/>
    <w:rsid w:val="0016016F"/>
    <w:rsid w:val="00160601"/>
    <w:rsid w:val="001614A0"/>
    <w:rsid w:val="001631CB"/>
    <w:rsid w:val="0016344E"/>
    <w:rsid w:val="00163874"/>
    <w:rsid w:val="00163AA0"/>
    <w:rsid w:val="001643F5"/>
    <w:rsid w:val="00164423"/>
    <w:rsid w:val="00164E27"/>
    <w:rsid w:val="00165CDB"/>
    <w:rsid w:val="0016604A"/>
    <w:rsid w:val="0016694A"/>
    <w:rsid w:val="00166CAF"/>
    <w:rsid w:val="00166D14"/>
    <w:rsid w:val="00167150"/>
    <w:rsid w:val="001672F2"/>
    <w:rsid w:val="001700F4"/>
    <w:rsid w:val="001701C0"/>
    <w:rsid w:val="001704D2"/>
    <w:rsid w:val="0017069B"/>
    <w:rsid w:val="00170846"/>
    <w:rsid w:val="0017098E"/>
    <w:rsid w:val="00171193"/>
    <w:rsid w:val="001717C6"/>
    <w:rsid w:val="00171BA8"/>
    <w:rsid w:val="001722C6"/>
    <w:rsid w:val="0017270D"/>
    <w:rsid w:val="001727E3"/>
    <w:rsid w:val="00172A0E"/>
    <w:rsid w:val="00174822"/>
    <w:rsid w:val="00174940"/>
    <w:rsid w:val="00174BD7"/>
    <w:rsid w:val="00174FB1"/>
    <w:rsid w:val="0017567F"/>
    <w:rsid w:val="00176080"/>
    <w:rsid w:val="00176F32"/>
    <w:rsid w:val="00177E5A"/>
    <w:rsid w:val="00177E9F"/>
    <w:rsid w:val="00180491"/>
    <w:rsid w:val="0018075E"/>
    <w:rsid w:val="001807AC"/>
    <w:rsid w:val="001807ED"/>
    <w:rsid w:val="00181298"/>
    <w:rsid w:val="00181C5E"/>
    <w:rsid w:val="001825EC"/>
    <w:rsid w:val="00182890"/>
    <w:rsid w:val="00182A9B"/>
    <w:rsid w:val="00182CAC"/>
    <w:rsid w:val="00183251"/>
    <w:rsid w:val="0018384D"/>
    <w:rsid w:val="0018389D"/>
    <w:rsid w:val="00183EFA"/>
    <w:rsid w:val="00184199"/>
    <w:rsid w:val="001842C4"/>
    <w:rsid w:val="001849D5"/>
    <w:rsid w:val="00186CD0"/>
    <w:rsid w:val="00187050"/>
    <w:rsid w:val="001871A8"/>
    <w:rsid w:val="00187333"/>
    <w:rsid w:val="00187F36"/>
    <w:rsid w:val="00190347"/>
    <w:rsid w:val="001906B0"/>
    <w:rsid w:val="00191078"/>
    <w:rsid w:val="0019117E"/>
    <w:rsid w:val="00192413"/>
    <w:rsid w:val="001925E8"/>
    <w:rsid w:val="00192B0B"/>
    <w:rsid w:val="00192F97"/>
    <w:rsid w:val="001937BB"/>
    <w:rsid w:val="001938F8"/>
    <w:rsid w:val="001944D2"/>
    <w:rsid w:val="001951F7"/>
    <w:rsid w:val="00195AA5"/>
    <w:rsid w:val="00195D92"/>
    <w:rsid w:val="00196085"/>
    <w:rsid w:val="00196AA8"/>
    <w:rsid w:val="00196F67"/>
    <w:rsid w:val="00197283"/>
    <w:rsid w:val="0019747D"/>
    <w:rsid w:val="0019781D"/>
    <w:rsid w:val="00197F7F"/>
    <w:rsid w:val="001A10D5"/>
    <w:rsid w:val="001A12E4"/>
    <w:rsid w:val="001A1B51"/>
    <w:rsid w:val="001A2772"/>
    <w:rsid w:val="001A2F4C"/>
    <w:rsid w:val="001A3164"/>
    <w:rsid w:val="001A3D86"/>
    <w:rsid w:val="001A5017"/>
    <w:rsid w:val="001A5AD9"/>
    <w:rsid w:val="001A6F1C"/>
    <w:rsid w:val="001A71AB"/>
    <w:rsid w:val="001A7644"/>
    <w:rsid w:val="001B003D"/>
    <w:rsid w:val="001B0195"/>
    <w:rsid w:val="001B05C2"/>
    <w:rsid w:val="001B0AEA"/>
    <w:rsid w:val="001B0EFC"/>
    <w:rsid w:val="001B1416"/>
    <w:rsid w:val="001B21CA"/>
    <w:rsid w:val="001B3443"/>
    <w:rsid w:val="001B41FB"/>
    <w:rsid w:val="001B44C3"/>
    <w:rsid w:val="001B4762"/>
    <w:rsid w:val="001B523B"/>
    <w:rsid w:val="001B5B16"/>
    <w:rsid w:val="001B7A86"/>
    <w:rsid w:val="001B7D4C"/>
    <w:rsid w:val="001B7DCA"/>
    <w:rsid w:val="001C032F"/>
    <w:rsid w:val="001C1292"/>
    <w:rsid w:val="001C1428"/>
    <w:rsid w:val="001C152C"/>
    <w:rsid w:val="001C1650"/>
    <w:rsid w:val="001C172A"/>
    <w:rsid w:val="001C1BDF"/>
    <w:rsid w:val="001C2780"/>
    <w:rsid w:val="001C2AA1"/>
    <w:rsid w:val="001C2CAA"/>
    <w:rsid w:val="001C2D99"/>
    <w:rsid w:val="001C2FE0"/>
    <w:rsid w:val="001C37C5"/>
    <w:rsid w:val="001C4D6B"/>
    <w:rsid w:val="001C5151"/>
    <w:rsid w:val="001C5E1D"/>
    <w:rsid w:val="001C5E2F"/>
    <w:rsid w:val="001C610D"/>
    <w:rsid w:val="001C79A8"/>
    <w:rsid w:val="001C79E0"/>
    <w:rsid w:val="001D0854"/>
    <w:rsid w:val="001D0D1A"/>
    <w:rsid w:val="001D0D81"/>
    <w:rsid w:val="001D0F3F"/>
    <w:rsid w:val="001D1098"/>
    <w:rsid w:val="001D226A"/>
    <w:rsid w:val="001D2AF1"/>
    <w:rsid w:val="001D306D"/>
    <w:rsid w:val="001D4C7C"/>
    <w:rsid w:val="001D507E"/>
    <w:rsid w:val="001D658B"/>
    <w:rsid w:val="001D7199"/>
    <w:rsid w:val="001D73E5"/>
    <w:rsid w:val="001D7C3C"/>
    <w:rsid w:val="001D7C4E"/>
    <w:rsid w:val="001D7F51"/>
    <w:rsid w:val="001E0A42"/>
    <w:rsid w:val="001E0B5F"/>
    <w:rsid w:val="001E146E"/>
    <w:rsid w:val="001E1B30"/>
    <w:rsid w:val="001E2467"/>
    <w:rsid w:val="001E26B2"/>
    <w:rsid w:val="001E2778"/>
    <w:rsid w:val="001E2E7D"/>
    <w:rsid w:val="001E2FA6"/>
    <w:rsid w:val="001E3134"/>
    <w:rsid w:val="001E3E01"/>
    <w:rsid w:val="001E3E7E"/>
    <w:rsid w:val="001E59A7"/>
    <w:rsid w:val="001E5F82"/>
    <w:rsid w:val="001E68C9"/>
    <w:rsid w:val="001E7BD7"/>
    <w:rsid w:val="001F051E"/>
    <w:rsid w:val="001F0F85"/>
    <w:rsid w:val="001F1135"/>
    <w:rsid w:val="001F134F"/>
    <w:rsid w:val="001F1810"/>
    <w:rsid w:val="001F297A"/>
    <w:rsid w:val="001F40E5"/>
    <w:rsid w:val="001F45A9"/>
    <w:rsid w:val="001F50C1"/>
    <w:rsid w:val="001F7873"/>
    <w:rsid w:val="001F78B2"/>
    <w:rsid w:val="001F7CC4"/>
    <w:rsid w:val="002001BA"/>
    <w:rsid w:val="002009CD"/>
    <w:rsid w:val="00200F16"/>
    <w:rsid w:val="00201125"/>
    <w:rsid w:val="0020199E"/>
    <w:rsid w:val="00202BC7"/>
    <w:rsid w:val="00202DB4"/>
    <w:rsid w:val="00204534"/>
    <w:rsid w:val="002047C7"/>
    <w:rsid w:val="00204BEE"/>
    <w:rsid w:val="0020555B"/>
    <w:rsid w:val="00205BC3"/>
    <w:rsid w:val="00205C46"/>
    <w:rsid w:val="00206C1B"/>
    <w:rsid w:val="00206F6E"/>
    <w:rsid w:val="00206FF1"/>
    <w:rsid w:val="002074CE"/>
    <w:rsid w:val="0020796B"/>
    <w:rsid w:val="002105F7"/>
    <w:rsid w:val="0021097C"/>
    <w:rsid w:val="00210A7C"/>
    <w:rsid w:val="002111EC"/>
    <w:rsid w:val="00211A73"/>
    <w:rsid w:val="00211FE7"/>
    <w:rsid w:val="002129AE"/>
    <w:rsid w:val="00212AF8"/>
    <w:rsid w:val="00212BB5"/>
    <w:rsid w:val="002132C5"/>
    <w:rsid w:val="00213592"/>
    <w:rsid w:val="002147B7"/>
    <w:rsid w:val="00214AF6"/>
    <w:rsid w:val="00214CC0"/>
    <w:rsid w:val="00215607"/>
    <w:rsid w:val="00215CDD"/>
    <w:rsid w:val="00216196"/>
    <w:rsid w:val="002161AE"/>
    <w:rsid w:val="00216340"/>
    <w:rsid w:val="00216DD6"/>
    <w:rsid w:val="002173D9"/>
    <w:rsid w:val="002175F5"/>
    <w:rsid w:val="0021772A"/>
    <w:rsid w:val="00217835"/>
    <w:rsid w:val="00217A08"/>
    <w:rsid w:val="0022022D"/>
    <w:rsid w:val="00221664"/>
    <w:rsid w:val="0022219C"/>
    <w:rsid w:val="002227B6"/>
    <w:rsid w:val="002229DB"/>
    <w:rsid w:val="00222E2F"/>
    <w:rsid w:val="002231AD"/>
    <w:rsid w:val="0022331C"/>
    <w:rsid w:val="00224135"/>
    <w:rsid w:val="00224154"/>
    <w:rsid w:val="00224AC8"/>
    <w:rsid w:val="00224E32"/>
    <w:rsid w:val="00225887"/>
    <w:rsid w:val="00226157"/>
    <w:rsid w:val="002262DB"/>
    <w:rsid w:val="002269B5"/>
    <w:rsid w:val="00226CA6"/>
    <w:rsid w:val="0022729C"/>
    <w:rsid w:val="00227512"/>
    <w:rsid w:val="002279F4"/>
    <w:rsid w:val="00230619"/>
    <w:rsid w:val="00230E28"/>
    <w:rsid w:val="0023138C"/>
    <w:rsid w:val="00232B63"/>
    <w:rsid w:val="00233CC6"/>
    <w:rsid w:val="002345FA"/>
    <w:rsid w:val="002355B4"/>
    <w:rsid w:val="00235840"/>
    <w:rsid w:val="00235D8F"/>
    <w:rsid w:val="00235DD0"/>
    <w:rsid w:val="00236BB7"/>
    <w:rsid w:val="00236FB1"/>
    <w:rsid w:val="00237403"/>
    <w:rsid w:val="002378DB"/>
    <w:rsid w:val="00237BA5"/>
    <w:rsid w:val="002400C9"/>
    <w:rsid w:val="002407CB"/>
    <w:rsid w:val="00240A81"/>
    <w:rsid w:val="00240CAF"/>
    <w:rsid w:val="002413B8"/>
    <w:rsid w:val="00241429"/>
    <w:rsid w:val="0024184C"/>
    <w:rsid w:val="00241BAA"/>
    <w:rsid w:val="00241D60"/>
    <w:rsid w:val="00241E3C"/>
    <w:rsid w:val="00241F5F"/>
    <w:rsid w:val="002429D9"/>
    <w:rsid w:val="00243A06"/>
    <w:rsid w:val="00243BE2"/>
    <w:rsid w:val="00244CFB"/>
    <w:rsid w:val="002454FD"/>
    <w:rsid w:val="002460F1"/>
    <w:rsid w:val="0024720B"/>
    <w:rsid w:val="002477A3"/>
    <w:rsid w:val="002478C9"/>
    <w:rsid w:val="00250377"/>
    <w:rsid w:val="00250831"/>
    <w:rsid w:val="002508D0"/>
    <w:rsid w:val="0025096F"/>
    <w:rsid w:val="002513F9"/>
    <w:rsid w:val="00251B9C"/>
    <w:rsid w:val="00251EEE"/>
    <w:rsid w:val="00251FF0"/>
    <w:rsid w:val="00252AC9"/>
    <w:rsid w:val="002530DF"/>
    <w:rsid w:val="0025322B"/>
    <w:rsid w:val="00253414"/>
    <w:rsid w:val="00253780"/>
    <w:rsid w:val="00253F2C"/>
    <w:rsid w:val="002540D5"/>
    <w:rsid w:val="00254BE8"/>
    <w:rsid w:val="002552B6"/>
    <w:rsid w:val="00255AD3"/>
    <w:rsid w:val="00255E89"/>
    <w:rsid w:val="00255EDA"/>
    <w:rsid w:val="00256FEA"/>
    <w:rsid w:val="0025740C"/>
    <w:rsid w:val="002575B0"/>
    <w:rsid w:val="00257CB6"/>
    <w:rsid w:val="0026010C"/>
    <w:rsid w:val="00262127"/>
    <w:rsid w:val="00264364"/>
    <w:rsid w:val="002647E1"/>
    <w:rsid w:val="00264A6B"/>
    <w:rsid w:val="00265446"/>
    <w:rsid w:val="00265DC7"/>
    <w:rsid w:val="00266013"/>
    <w:rsid w:val="00266262"/>
    <w:rsid w:val="00266516"/>
    <w:rsid w:val="0026678E"/>
    <w:rsid w:val="00266968"/>
    <w:rsid w:val="00267E18"/>
    <w:rsid w:val="0027084B"/>
    <w:rsid w:val="00270866"/>
    <w:rsid w:val="00270DA4"/>
    <w:rsid w:val="00270E97"/>
    <w:rsid w:val="00270F66"/>
    <w:rsid w:val="00272695"/>
    <w:rsid w:val="00273B42"/>
    <w:rsid w:val="002741EF"/>
    <w:rsid w:val="00274499"/>
    <w:rsid w:val="0027474C"/>
    <w:rsid w:val="00275189"/>
    <w:rsid w:val="002755AF"/>
    <w:rsid w:val="0027655C"/>
    <w:rsid w:val="00276A36"/>
    <w:rsid w:val="00277043"/>
    <w:rsid w:val="002770A2"/>
    <w:rsid w:val="00277BC0"/>
    <w:rsid w:val="0028172C"/>
    <w:rsid w:val="00281A36"/>
    <w:rsid w:val="0028345C"/>
    <w:rsid w:val="0028353D"/>
    <w:rsid w:val="00283702"/>
    <w:rsid w:val="002843C6"/>
    <w:rsid w:val="00284E84"/>
    <w:rsid w:val="00285E03"/>
    <w:rsid w:val="002866D5"/>
    <w:rsid w:val="002869DA"/>
    <w:rsid w:val="00286AE6"/>
    <w:rsid w:val="00286DBC"/>
    <w:rsid w:val="002873B4"/>
    <w:rsid w:val="00287FA4"/>
    <w:rsid w:val="00290D04"/>
    <w:rsid w:val="00291A31"/>
    <w:rsid w:val="00291BF6"/>
    <w:rsid w:val="002926F0"/>
    <w:rsid w:val="00292C7A"/>
    <w:rsid w:val="0029368F"/>
    <w:rsid w:val="00293AD6"/>
    <w:rsid w:val="00293C64"/>
    <w:rsid w:val="002945B4"/>
    <w:rsid w:val="00294895"/>
    <w:rsid w:val="00294DA3"/>
    <w:rsid w:val="00295167"/>
    <w:rsid w:val="00295954"/>
    <w:rsid w:val="00295AF0"/>
    <w:rsid w:val="00296439"/>
    <w:rsid w:val="00296C96"/>
    <w:rsid w:val="00297277"/>
    <w:rsid w:val="00297CD3"/>
    <w:rsid w:val="002A050C"/>
    <w:rsid w:val="002A082A"/>
    <w:rsid w:val="002A0BF1"/>
    <w:rsid w:val="002A1546"/>
    <w:rsid w:val="002A1756"/>
    <w:rsid w:val="002A293E"/>
    <w:rsid w:val="002A3863"/>
    <w:rsid w:val="002A389E"/>
    <w:rsid w:val="002A53CD"/>
    <w:rsid w:val="002A5C75"/>
    <w:rsid w:val="002A5C79"/>
    <w:rsid w:val="002A5E16"/>
    <w:rsid w:val="002A614A"/>
    <w:rsid w:val="002A62B0"/>
    <w:rsid w:val="002A7816"/>
    <w:rsid w:val="002B03B0"/>
    <w:rsid w:val="002B11A3"/>
    <w:rsid w:val="002B137D"/>
    <w:rsid w:val="002B1C2A"/>
    <w:rsid w:val="002B1D8A"/>
    <w:rsid w:val="002B1E3B"/>
    <w:rsid w:val="002B1F64"/>
    <w:rsid w:val="002B2866"/>
    <w:rsid w:val="002B2D5B"/>
    <w:rsid w:val="002B2D9F"/>
    <w:rsid w:val="002B2E9C"/>
    <w:rsid w:val="002B3B09"/>
    <w:rsid w:val="002B462B"/>
    <w:rsid w:val="002B51FB"/>
    <w:rsid w:val="002B65D4"/>
    <w:rsid w:val="002B6764"/>
    <w:rsid w:val="002B6978"/>
    <w:rsid w:val="002B7C6B"/>
    <w:rsid w:val="002C104A"/>
    <w:rsid w:val="002C27B1"/>
    <w:rsid w:val="002C289D"/>
    <w:rsid w:val="002C2A74"/>
    <w:rsid w:val="002C3AA9"/>
    <w:rsid w:val="002C450D"/>
    <w:rsid w:val="002C4900"/>
    <w:rsid w:val="002C4BDA"/>
    <w:rsid w:val="002C5616"/>
    <w:rsid w:val="002C5885"/>
    <w:rsid w:val="002C5905"/>
    <w:rsid w:val="002C5916"/>
    <w:rsid w:val="002C635C"/>
    <w:rsid w:val="002C6E9F"/>
    <w:rsid w:val="002C750B"/>
    <w:rsid w:val="002C7C8F"/>
    <w:rsid w:val="002D05F7"/>
    <w:rsid w:val="002D19FB"/>
    <w:rsid w:val="002D2021"/>
    <w:rsid w:val="002D2F76"/>
    <w:rsid w:val="002D2FD2"/>
    <w:rsid w:val="002D3019"/>
    <w:rsid w:val="002D3642"/>
    <w:rsid w:val="002D5273"/>
    <w:rsid w:val="002D60CE"/>
    <w:rsid w:val="002D63AE"/>
    <w:rsid w:val="002D6FCA"/>
    <w:rsid w:val="002E0FC2"/>
    <w:rsid w:val="002E11DA"/>
    <w:rsid w:val="002E1BB1"/>
    <w:rsid w:val="002E1FE9"/>
    <w:rsid w:val="002E28FD"/>
    <w:rsid w:val="002E2F45"/>
    <w:rsid w:val="002E372E"/>
    <w:rsid w:val="002E3CF7"/>
    <w:rsid w:val="002E4168"/>
    <w:rsid w:val="002E4513"/>
    <w:rsid w:val="002E4723"/>
    <w:rsid w:val="002E531B"/>
    <w:rsid w:val="002E5508"/>
    <w:rsid w:val="002E5CDA"/>
    <w:rsid w:val="002E7F34"/>
    <w:rsid w:val="002F08F3"/>
    <w:rsid w:val="002F0CCD"/>
    <w:rsid w:val="002F17BA"/>
    <w:rsid w:val="002F24B5"/>
    <w:rsid w:val="002F300D"/>
    <w:rsid w:val="002F4265"/>
    <w:rsid w:val="002F4BDB"/>
    <w:rsid w:val="002F5A7A"/>
    <w:rsid w:val="002F5F27"/>
    <w:rsid w:val="00301524"/>
    <w:rsid w:val="00301CAE"/>
    <w:rsid w:val="00301CD8"/>
    <w:rsid w:val="00302F55"/>
    <w:rsid w:val="00303917"/>
    <w:rsid w:val="00303AE1"/>
    <w:rsid w:val="003041A1"/>
    <w:rsid w:val="00304586"/>
    <w:rsid w:val="00304630"/>
    <w:rsid w:val="00304A10"/>
    <w:rsid w:val="00305745"/>
    <w:rsid w:val="00305D5C"/>
    <w:rsid w:val="003067E4"/>
    <w:rsid w:val="00306AC2"/>
    <w:rsid w:val="00306D5B"/>
    <w:rsid w:val="00306EF2"/>
    <w:rsid w:val="003072CD"/>
    <w:rsid w:val="0030786C"/>
    <w:rsid w:val="0030796F"/>
    <w:rsid w:val="00307B0B"/>
    <w:rsid w:val="0031002A"/>
    <w:rsid w:val="00310DC6"/>
    <w:rsid w:val="003126DB"/>
    <w:rsid w:val="0031317F"/>
    <w:rsid w:val="003136F2"/>
    <w:rsid w:val="0031433E"/>
    <w:rsid w:val="00314F69"/>
    <w:rsid w:val="0031621A"/>
    <w:rsid w:val="00316D32"/>
    <w:rsid w:val="003174CF"/>
    <w:rsid w:val="0031799A"/>
    <w:rsid w:val="0032052A"/>
    <w:rsid w:val="0032076A"/>
    <w:rsid w:val="00320ABF"/>
    <w:rsid w:val="003215D3"/>
    <w:rsid w:val="003216B7"/>
    <w:rsid w:val="00322482"/>
    <w:rsid w:val="003230DD"/>
    <w:rsid w:val="0032320C"/>
    <w:rsid w:val="00323267"/>
    <w:rsid w:val="00323AE8"/>
    <w:rsid w:val="00323B09"/>
    <w:rsid w:val="00324415"/>
    <w:rsid w:val="003246CB"/>
    <w:rsid w:val="00324818"/>
    <w:rsid w:val="0032559C"/>
    <w:rsid w:val="00326D7D"/>
    <w:rsid w:val="0032742C"/>
    <w:rsid w:val="00327946"/>
    <w:rsid w:val="00327C01"/>
    <w:rsid w:val="00330084"/>
    <w:rsid w:val="003304D6"/>
    <w:rsid w:val="00331ED5"/>
    <w:rsid w:val="0033219A"/>
    <w:rsid w:val="00332A99"/>
    <w:rsid w:val="00332B7E"/>
    <w:rsid w:val="00332C4D"/>
    <w:rsid w:val="00334A38"/>
    <w:rsid w:val="00334DB3"/>
    <w:rsid w:val="00334FFC"/>
    <w:rsid w:val="003362F6"/>
    <w:rsid w:val="003367CA"/>
    <w:rsid w:val="00336BD9"/>
    <w:rsid w:val="003379EB"/>
    <w:rsid w:val="00337CA8"/>
    <w:rsid w:val="00341948"/>
    <w:rsid w:val="00341D4F"/>
    <w:rsid w:val="003420BD"/>
    <w:rsid w:val="0034229D"/>
    <w:rsid w:val="00342E98"/>
    <w:rsid w:val="00342F35"/>
    <w:rsid w:val="003444D2"/>
    <w:rsid w:val="00344975"/>
    <w:rsid w:val="00344A70"/>
    <w:rsid w:val="0034647C"/>
    <w:rsid w:val="0034674B"/>
    <w:rsid w:val="00346F24"/>
    <w:rsid w:val="00346FA4"/>
    <w:rsid w:val="003470C5"/>
    <w:rsid w:val="00347B62"/>
    <w:rsid w:val="00347BF0"/>
    <w:rsid w:val="003500C8"/>
    <w:rsid w:val="0035043F"/>
    <w:rsid w:val="00350453"/>
    <w:rsid w:val="00350813"/>
    <w:rsid w:val="00350D59"/>
    <w:rsid w:val="0035187A"/>
    <w:rsid w:val="00353206"/>
    <w:rsid w:val="003549AB"/>
    <w:rsid w:val="00354AC7"/>
    <w:rsid w:val="00355E4D"/>
    <w:rsid w:val="003562BD"/>
    <w:rsid w:val="00357D29"/>
    <w:rsid w:val="0036052D"/>
    <w:rsid w:val="0036070A"/>
    <w:rsid w:val="00360B7A"/>
    <w:rsid w:val="00360C17"/>
    <w:rsid w:val="0036177A"/>
    <w:rsid w:val="00361E69"/>
    <w:rsid w:val="003627A4"/>
    <w:rsid w:val="00362D8A"/>
    <w:rsid w:val="00363E14"/>
    <w:rsid w:val="00364BB7"/>
    <w:rsid w:val="00365C46"/>
    <w:rsid w:val="003664D8"/>
    <w:rsid w:val="00366D0C"/>
    <w:rsid w:val="0037072A"/>
    <w:rsid w:val="00370DEF"/>
    <w:rsid w:val="00370DFD"/>
    <w:rsid w:val="0037183B"/>
    <w:rsid w:val="00372460"/>
    <w:rsid w:val="00372A48"/>
    <w:rsid w:val="00372BF0"/>
    <w:rsid w:val="00372E34"/>
    <w:rsid w:val="003744D6"/>
    <w:rsid w:val="00374D9F"/>
    <w:rsid w:val="003767F0"/>
    <w:rsid w:val="00381125"/>
    <w:rsid w:val="00381526"/>
    <w:rsid w:val="00382C96"/>
    <w:rsid w:val="00382CC5"/>
    <w:rsid w:val="003837AF"/>
    <w:rsid w:val="003842D0"/>
    <w:rsid w:val="00384A6E"/>
    <w:rsid w:val="00386D66"/>
    <w:rsid w:val="00387321"/>
    <w:rsid w:val="0039008B"/>
    <w:rsid w:val="00390BD4"/>
    <w:rsid w:val="00390F34"/>
    <w:rsid w:val="003917C7"/>
    <w:rsid w:val="00391B78"/>
    <w:rsid w:val="00391B9B"/>
    <w:rsid w:val="003922A8"/>
    <w:rsid w:val="00392464"/>
    <w:rsid w:val="00392A02"/>
    <w:rsid w:val="00393A1C"/>
    <w:rsid w:val="00394EAE"/>
    <w:rsid w:val="0039568A"/>
    <w:rsid w:val="00395AE3"/>
    <w:rsid w:val="00396B69"/>
    <w:rsid w:val="003970A7"/>
    <w:rsid w:val="003A0046"/>
    <w:rsid w:val="003A1AEE"/>
    <w:rsid w:val="003A2586"/>
    <w:rsid w:val="003A27EA"/>
    <w:rsid w:val="003A2B5B"/>
    <w:rsid w:val="003A2DAF"/>
    <w:rsid w:val="003A33AC"/>
    <w:rsid w:val="003A36C3"/>
    <w:rsid w:val="003A418B"/>
    <w:rsid w:val="003A41DA"/>
    <w:rsid w:val="003A46D2"/>
    <w:rsid w:val="003A527D"/>
    <w:rsid w:val="003A5728"/>
    <w:rsid w:val="003A605D"/>
    <w:rsid w:val="003A6B42"/>
    <w:rsid w:val="003B00FD"/>
    <w:rsid w:val="003B04C3"/>
    <w:rsid w:val="003B0AAD"/>
    <w:rsid w:val="003B0B47"/>
    <w:rsid w:val="003B1222"/>
    <w:rsid w:val="003B23E5"/>
    <w:rsid w:val="003B2657"/>
    <w:rsid w:val="003B2972"/>
    <w:rsid w:val="003B2BC2"/>
    <w:rsid w:val="003B2C42"/>
    <w:rsid w:val="003B2E54"/>
    <w:rsid w:val="003B2E5C"/>
    <w:rsid w:val="003B3C7F"/>
    <w:rsid w:val="003B44E3"/>
    <w:rsid w:val="003B4C9E"/>
    <w:rsid w:val="003B54BC"/>
    <w:rsid w:val="003B59C4"/>
    <w:rsid w:val="003B5AC1"/>
    <w:rsid w:val="003B5D6D"/>
    <w:rsid w:val="003B6012"/>
    <w:rsid w:val="003B60A7"/>
    <w:rsid w:val="003B66BA"/>
    <w:rsid w:val="003B7766"/>
    <w:rsid w:val="003B797C"/>
    <w:rsid w:val="003C0856"/>
    <w:rsid w:val="003C0886"/>
    <w:rsid w:val="003C0974"/>
    <w:rsid w:val="003C1DD5"/>
    <w:rsid w:val="003C1F67"/>
    <w:rsid w:val="003C24AB"/>
    <w:rsid w:val="003C29E8"/>
    <w:rsid w:val="003C2F8E"/>
    <w:rsid w:val="003C36FF"/>
    <w:rsid w:val="003C3E0E"/>
    <w:rsid w:val="003C3E2A"/>
    <w:rsid w:val="003C4EC8"/>
    <w:rsid w:val="003C502B"/>
    <w:rsid w:val="003C51B9"/>
    <w:rsid w:val="003C6180"/>
    <w:rsid w:val="003C729B"/>
    <w:rsid w:val="003C736D"/>
    <w:rsid w:val="003C7879"/>
    <w:rsid w:val="003D0188"/>
    <w:rsid w:val="003D08FF"/>
    <w:rsid w:val="003D0BA7"/>
    <w:rsid w:val="003D0D1C"/>
    <w:rsid w:val="003D1857"/>
    <w:rsid w:val="003D282A"/>
    <w:rsid w:val="003D2E0F"/>
    <w:rsid w:val="003D2F8F"/>
    <w:rsid w:val="003D3218"/>
    <w:rsid w:val="003D3E15"/>
    <w:rsid w:val="003D5E45"/>
    <w:rsid w:val="003D64D2"/>
    <w:rsid w:val="003D6BC1"/>
    <w:rsid w:val="003E058B"/>
    <w:rsid w:val="003E0903"/>
    <w:rsid w:val="003E1403"/>
    <w:rsid w:val="003E1D5C"/>
    <w:rsid w:val="003E36C5"/>
    <w:rsid w:val="003E39C7"/>
    <w:rsid w:val="003E3BEF"/>
    <w:rsid w:val="003E4622"/>
    <w:rsid w:val="003E4EDB"/>
    <w:rsid w:val="003E577A"/>
    <w:rsid w:val="003E63E6"/>
    <w:rsid w:val="003E6A26"/>
    <w:rsid w:val="003E6B4C"/>
    <w:rsid w:val="003E6C65"/>
    <w:rsid w:val="003E7AB4"/>
    <w:rsid w:val="003E7ADD"/>
    <w:rsid w:val="003F03D0"/>
    <w:rsid w:val="003F06B0"/>
    <w:rsid w:val="003F09FF"/>
    <w:rsid w:val="003F19D4"/>
    <w:rsid w:val="003F1DC7"/>
    <w:rsid w:val="003F2947"/>
    <w:rsid w:val="003F2A8D"/>
    <w:rsid w:val="003F35FA"/>
    <w:rsid w:val="003F485A"/>
    <w:rsid w:val="003F4CF2"/>
    <w:rsid w:val="003F4E26"/>
    <w:rsid w:val="003F4FE2"/>
    <w:rsid w:val="003F6163"/>
    <w:rsid w:val="003F64B4"/>
    <w:rsid w:val="003F777B"/>
    <w:rsid w:val="003F7882"/>
    <w:rsid w:val="003F788A"/>
    <w:rsid w:val="003F7A83"/>
    <w:rsid w:val="004004C3"/>
    <w:rsid w:val="00401414"/>
    <w:rsid w:val="0040164D"/>
    <w:rsid w:val="00401DCE"/>
    <w:rsid w:val="00401E59"/>
    <w:rsid w:val="00402D30"/>
    <w:rsid w:val="00403E1A"/>
    <w:rsid w:val="00404475"/>
    <w:rsid w:val="0040676A"/>
    <w:rsid w:val="0040678A"/>
    <w:rsid w:val="00406845"/>
    <w:rsid w:val="00406ED1"/>
    <w:rsid w:val="004072A8"/>
    <w:rsid w:val="00407409"/>
    <w:rsid w:val="004074E1"/>
    <w:rsid w:val="004115AD"/>
    <w:rsid w:val="00411892"/>
    <w:rsid w:val="00412122"/>
    <w:rsid w:val="00412607"/>
    <w:rsid w:val="00413087"/>
    <w:rsid w:val="00414954"/>
    <w:rsid w:val="00416622"/>
    <w:rsid w:val="00417FDF"/>
    <w:rsid w:val="0042033B"/>
    <w:rsid w:val="00420391"/>
    <w:rsid w:val="0042071B"/>
    <w:rsid w:val="00420A01"/>
    <w:rsid w:val="00422829"/>
    <w:rsid w:val="00422C30"/>
    <w:rsid w:val="004237B2"/>
    <w:rsid w:val="00423928"/>
    <w:rsid w:val="00424864"/>
    <w:rsid w:val="00424DB2"/>
    <w:rsid w:val="00424E31"/>
    <w:rsid w:val="0042534C"/>
    <w:rsid w:val="00425D06"/>
    <w:rsid w:val="0042614A"/>
    <w:rsid w:val="0042696C"/>
    <w:rsid w:val="0042753C"/>
    <w:rsid w:val="00427907"/>
    <w:rsid w:val="004307C5"/>
    <w:rsid w:val="00430D5B"/>
    <w:rsid w:val="00430EC1"/>
    <w:rsid w:val="0043134E"/>
    <w:rsid w:val="00431453"/>
    <w:rsid w:val="00432023"/>
    <w:rsid w:val="0043303C"/>
    <w:rsid w:val="0043359F"/>
    <w:rsid w:val="00433B3B"/>
    <w:rsid w:val="00434D9D"/>
    <w:rsid w:val="0043504A"/>
    <w:rsid w:val="00435810"/>
    <w:rsid w:val="00435A5F"/>
    <w:rsid w:val="0043636D"/>
    <w:rsid w:val="00436C63"/>
    <w:rsid w:val="00437620"/>
    <w:rsid w:val="004378E1"/>
    <w:rsid w:val="00437F91"/>
    <w:rsid w:val="004405D1"/>
    <w:rsid w:val="0044076B"/>
    <w:rsid w:val="00440815"/>
    <w:rsid w:val="00440A21"/>
    <w:rsid w:val="00441295"/>
    <w:rsid w:val="00441FC2"/>
    <w:rsid w:val="0044224F"/>
    <w:rsid w:val="0044292D"/>
    <w:rsid w:val="00443623"/>
    <w:rsid w:val="00444173"/>
    <w:rsid w:val="004444EF"/>
    <w:rsid w:val="00445169"/>
    <w:rsid w:val="004452FD"/>
    <w:rsid w:val="00445CC7"/>
    <w:rsid w:val="004465C8"/>
    <w:rsid w:val="00446A28"/>
    <w:rsid w:val="00446CE4"/>
    <w:rsid w:val="004477BE"/>
    <w:rsid w:val="00450311"/>
    <w:rsid w:val="00451065"/>
    <w:rsid w:val="00451CA2"/>
    <w:rsid w:val="004520E6"/>
    <w:rsid w:val="00452C36"/>
    <w:rsid w:val="00454334"/>
    <w:rsid w:val="00454FE1"/>
    <w:rsid w:val="004553DE"/>
    <w:rsid w:val="00456DB0"/>
    <w:rsid w:val="00456EEC"/>
    <w:rsid w:val="00457661"/>
    <w:rsid w:val="00457693"/>
    <w:rsid w:val="00457A12"/>
    <w:rsid w:val="00457CEA"/>
    <w:rsid w:val="00460A32"/>
    <w:rsid w:val="00461644"/>
    <w:rsid w:val="00462623"/>
    <w:rsid w:val="00462C69"/>
    <w:rsid w:val="00462CB1"/>
    <w:rsid w:val="00463319"/>
    <w:rsid w:val="00463683"/>
    <w:rsid w:val="00463B1C"/>
    <w:rsid w:val="00463BA7"/>
    <w:rsid w:val="00463CE2"/>
    <w:rsid w:val="004644A3"/>
    <w:rsid w:val="004644F9"/>
    <w:rsid w:val="0046512B"/>
    <w:rsid w:val="00465232"/>
    <w:rsid w:val="004660CC"/>
    <w:rsid w:val="004667AD"/>
    <w:rsid w:val="00466953"/>
    <w:rsid w:val="00466A0E"/>
    <w:rsid w:val="0046737D"/>
    <w:rsid w:val="00467BFE"/>
    <w:rsid w:val="004702F6"/>
    <w:rsid w:val="00470B37"/>
    <w:rsid w:val="00470CDE"/>
    <w:rsid w:val="00471B83"/>
    <w:rsid w:val="004723EB"/>
    <w:rsid w:val="00472534"/>
    <w:rsid w:val="0047256D"/>
    <w:rsid w:val="00472743"/>
    <w:rsid w:val="00472BEA"/>
    <w:rsid w:val="00472C91"/>
    <w:rsid w:val="00474686"/>
    <w:rsid w:val="004749E9"/>
    <w:rsid w:val="00474ADC"/>
    <w:rsid w:val="00474DAD"/>
    <w:rsid w:val="00475785"/>
    <w:rsid w:val="00475E69"/>
    <w:rsid w:val="00476090"/>
    <w:rsid w:val="0047654A"/>
    <w:rsid w:val="00476C07"/>
    <w:rsid w:val="00477345"/>
    <w:rsid w:val="0048125A"/>
    <w:rsid w:val="0048144C"/>
    <w:rsid w:val="00481FDB"/>
    <w:rsid w:val="00482932"/>
    <w:rsid w:val="0048386A"/>
    <w:rsid w:val="00484218"/>
    <w:rsid w:val="004851A7"/>
    <w:rsid w:val="004859A5"/>
    <w:rsid w:val="004859DF"/>
    <w:rsid w:val="00485C10"/>
    <w:rsid w:val="00485D21"/>
    <w:rsid w:val="004862D3"/>
    <w:rsid w:val="004867E2"/>
    <w:rsid w:val="00486A7D"/>
    <w:rsid w:val="004871E3"/>
    <w:rsid w:val="00490571"/>
    <w:rsid w:val="00490F36"/>
    <w:rsid w:val="004916F6"/>
    <w:rsid w:val="00491F70"/>
    <w:rsid w:val="0049247B"/>
    <w:rsid w:val="004927B3"/>
    <w:rsid w:val="00494B98"/>
    <w:rsid w:val="004963B8"/>
    <w:rsid w:val="00496CD3"/>
    <w:rsid w:val="00497603"/>
    <w:rsid w:val="00497B87"/>
    <w:rsid w:val="004A1D0D"/>
    <w:rsid w:val="004A232B"/>
    <w:rsid w:val="004A253B"/>
    <w:rsid w:val="004A29C3"/>
    <w:rsid w:val="004A2F14"/>
    <w:rsid w:val="004A40A5"/>
    <w:rsid w:val="004A411E"/>
    <w:rsid w:val="004A43F3"/>
    <w:rsid w:val="004A50BE"/>
    <w:rsid w:val="004A6E95"/>
    <w:rsid w:val="004A72FA"/>
    <w:rsid w:val="004B02AC"/>
    <w:rsid w:val="004B0928"/>
    <w:rsid w:val="004B2987"/>
    <w:rsid w:val="004B2F46"/>
    <w:rsid w:val="004B4440"/>
    <w:rsid w:val="004B4D10"/>
    <w:rsid w:val="004B54EA"/>
    <w:rsid w:val="004B6187"/>
    <w:rsid w:val="004B6382"/>
    <w:rsid w:val="004B6F11"/>
    <w:rsid w:val="004B7242"/>
    <w:rsid w:val="004C0614"/>
    <w:rsid w:val="004C13B1"/>
    <w:rsid w:val="004C2904"/>
    <w:rsid w:val="004C29CE"/>
    <w:rsid w:val="004C4891"/>
    <w:rsid w:val="004C4951"/>
    <w:rsid w:val="004C4CAD"/>
    <w:rsid w:val="004C5DAC"/>
    <w:rsid w:val="004C5E9C"/>
    <w:rsid w:val="004C64BC"/>
    <w:rsid w:val="004C6985"/>
    <w:rsid w:val="004C724D"/>
    <w:rsid w:val="004D082B"/>
    <w:rsid w:val="004D095A"/>
    <w:rsid w:val="004D0A22"/>
    <w:rsid w:val="004D2181"/>
    <w:rsid w:val="004D2469"/>
    <w:rsid w:val="004D2602"/>
    <w:rsid w:val="004D2685"/>
    <w:rsid w:val="004D2C42"/>
    <w:rsid w:val="004D4525"/>
    <w:rsid w:val="004D482B"/>
    <w:rsid w:val="004D4C62"/>
    <w:rsid w:val="004D5156"/>
    <w:rsid w:val="004D57AE"/>
    <w:rsid w:val="004D584F"/>
    <w:rsid w:val="004D5E22"/>
    <w:rsid w:val="004D6453"/>
    <w:rsid w:val="004D67AF"/>
    <w:rsid w:val="004D69BB"/>
    <w:rsid w:val="004D6FB9"/>
    <w:rsid w:val="004D72E6"/>
    <w:rsid w:val="004D781D"/>
    <w:rsid w:val="004D7CBA"/>
    <w:rsid w:val="004E0161"/>
    <w:rsid w:val="004E14A4"/>
    <w:rsid w:val="004E1F3F"/>
    <w:rsid w:val="004E21F8"/>
    <w:rsid w:val="004E2395"/>
    <w:rsid w:val="004E4471"/>
    <w:rsid w:val="004E49EA"/>
    <w:rsid w:val="004E4FB2"/>
    <w:rsid w:val="004E5899"/>
    <w:rsid w:val="004E5C08"/>
    <w:rsid w:val="004E64C7"/>
    <w:rsid w:val="004E705F"/>
    <w:rsid w:val="004E72CB"/>
    <w:rsid w:val="004E72CC"/>
    <w:rsid w:val="004E734A"/>
    <w:rsid w:val="004E7548"/>
    <w:rsid w:val="004F0267"/>
    <w:rsid w:val="004F038C"/>
    <w:rsid w:val="004F0CC7"/>
    <w:rsid w:val="004F12D4"/>
    <w:rsid w:val="004F26B0"/>
    <w:rsid w:val="004F3775"/>
    <w:rsid w:val="004F3E6C"/>
    <w:rsid w:val="004F49DE"/>
    <w:rsid w:val="004F4E39"/>
    <w:rsid w:val="004F50BA"/>
    <w:rsid w:val="004F56EF"/>
    <w:rsid w:val="004F5D46"/>
    <w:rsid w:val="004F6D63"/>
    <w:rsid w:val="00500DA9"/>
    <w:rsid w:val="00501A51"/>
    <w:rsid w:val="00502A2A"/>
    <w:rsid w:val="00502F35"/>
    <w:rsid w:val="00503861"/>
    <w:rsid w:val="00503EF9"/>
    <w:rsid w:val="005040B7"/>
    <w:rsid w:val="0050490E"/>
    <w:rsid w:val="005049DD"/>
    <w:rsid w:val="005051FD"/>
    <w:rsid w:val="005057EB"/>
    <w:rsid w:val="00505D08"/>
    <w:rsid w:val="00505E9D"/>
    <w:rsid w:val="00507402"/>
    <w:rsid w:val="00507F8F"/>
    <w:rsid w:val="00510445"/>
    <w:rsid w:val="00510D4D"/>
    <w:rsid w:val="00511214"/>
    <w:rsid w:val="00512065"/>
    <w:rsid w:val="0051250F"/>
    <w:rsid w:val="00512D33"/>
    <w:rsid w:val="00512DE7"/>
    <w:rsid w:val="005130A6"/>
    <w:rsid w:val="005149E5"/>
    <w:rsid w:val="00514BA9"/>
    <w:rsid w:val="00515C8C"/>
    <w:rsid w:val="00515FDE"/>
    <w:rsid w:val="00516298"/>
    <w:rsid w:val="0051650E"/>
    <w:rsid w:val="0051667E"/>
    <w:rsid w:val="00516F16"/>
    <w:rsid w:val="005171F6"/>
    <w:rsid w:val="00517383"/>
    <w:rsid w:val="005173EC"/>
    <w:rsid w:val="00517D3C"/>
    <w:rsid w:val="0052091B"/>
    <w:rsid w:val="00520C58"/>
    <w:rsid w:val="005211BA"/>
    <w:rsid w:val="0052142D"/>
    <w:rsid w:val="0052251D"/>
    <w:rsid w:val="005225CD"/>
    <w:rsid w:val="00522B51"/>
    <w:rsid w:val="00523499"/>
    <w:rsid w:val="00523BE9"/>
    <w:rsid w:val="0052510B"/>
    <w:rsid w:val="00525A47"/>
    <w:rsid w:val="0052621D"/>
    <w:rsid w:val="005262C3"/>
    <w:rsid w:val="00526832"/>
    <w:rsid w:val="005269F1"/>
    <w:rsid w:val="00526F69"/>
    <w:rsid w:val="00527034"/>
    <w:rsid w:val="0053053F"/>
    <w:rsid w:val="005307BB"/>
    <w:rsid w:val="00530ED3"/>
    <w:rsid w:val="00532271"/>
    <w:rsid w:val="00532D8C"/>
    <w:rsid w:val="005332A5"/>
    <w:rsid w:val="00533CFE"/>
    <w:rsid w:val="00534766"/>
    <w:rsid w:val="00534C4A"/>
    <w:rsid w:val="00535441"/>
    <w:rsid w:val="00535E22"/>
    <w:rsid w:val="005364D9"/>
    <w:rsid w:val="005366A2"/>
    <w:rsid w:val="0053694B"/>
    <w:rsid w:val="00536C27"/>
    <w:rsid w:val="00536EB8"/>
    <w:rsid w:val="0053791D"/>
    <w:rsid w:val="00540534"/>
    <w:rsid w:val="00541E6E"/>
    <w:rsid w:val="0054223A"/>
    <w:rsid w:val="00542990"/>
    <w:rsid w:val="00543D47"/>
    <w:rsid w:val="0054443F"/>
    <w:rsid w:val="00544C04"/>
    <w:rsid w:val="0054559B"/>
    <w:rsid w:val="0054627D"/>
    <w:rsid w:val="00546C4D"/>
    <w:rsid w:val="00546C8D"/>
    <w:rsid w:val="00547427"/>
    <w:rsid w:val="00550458"/>
    <w:rsid w:val="00550612"/>
    <w:rsid w:val="005508A4"/>
    <w:rsid w:val="00550D28"/>
    <w:rsid w:val="00551519"/>
    <w:rsid w:val="005521F7"/>
    <w:rsid w:val="0055285B"/>
    <w:rsid w:val="00552935"/>
    <w:rsid w:val="00552F9E"/>
    <w:rsid w:val="0055338F"/>
    <w:rsid w:val="00553A16"/>
    <w:rsid w:val="0055458C"/>
    <w:rsid w:val="00555BA9"/>
    <w:rsid w:val="0055643B"/>
    <w:rsid w:val="00556AEC"/>
    <w:rsid w:val="005577C4"/>
    <w:rsid w:val="00557E9E"/>
    <w:rsid w:val="00557E9F"/>
    <w:rsid w:val="00561614"/>
    <w:rsid w:val="0056191C"/>
    <w:rsid w:val="00562F23"/>
    <w:rsid w:val="00563171"/>
    <w:rsid w:val="00563284"/>
    <w:rsid w:val="005632B5"/>
    <w:rsid w:val="00563CCC"/>
    <w:rsid w:val="00564DA4"/>
    <w:rsid w:val="00565224"/>
    <w:rsid w:val="0056522B"/>
    <w:rsid w:val="0056626E"/>
    <w:rsid w:val="00566467"/>
    <w:rsid w:val="00566CE0"/>
    <w:rsid w:val="005673D8"/>
    <w:rsid w:val="00567A33"/>
    <w:rsid w:val="005703A3"/>
    <w:rsid w:val="00570845"/>
    <w:rsid w:val="00570A1E"/>
    <w:rsid w:val="005717BB"/>
    <w:rsid w:val="0057193B"/>
    <w:rsid w:val="005719DA"/>
    <w:rsid w:val="005727D3"/>
    <w:rsid w:val="00572B5D"/>
    <w:rsid w:val="00573D95"/>
    <w:rsid w:val="005749DC"/>
    <w:rsid w:val="00575447"/>
    <w:rsid w:val="005755AF"/>
    <w:rsid w:val="005758AA"/>
    <w:rsid w:val="00575C2E"/>
    <w:rsid w:val="00575F16"/>
    <w:rsid w:val="0057605A"/>
    <w:rsid w:val="00576CF9"/>
    <w:rsid w:val="00576D6E"/>
    <w:rsid w:val="005801CC"/>
    <w:rsid w:val="00580207"/>
    <w:rsid w:val="00580263"/>
    <w:rsid w:val="0058196D"/>
    <w:rsid w:val="00581CB6"/>
    <w:rsid w:val="005825D0"/>
    <w:rsid w:val="00583ACA"/>
    <w:rsid w:val="00583C98"/>
    <w:rsid w:val="00584387"/>
    <w:rsid w:val="005847E2"/>
    <w:rsid w:val="00584AFC"/>
    <w:rsid w:val="00584C97"/>
    <w:rsid w:val="00585118"/>
    <w:rsid w:val="00585A1A"/>
    <w:rsid w:val="00585C90"/>
    <w:rsid w:val="00585F54"/>
    <w:rsid w:val="00586688"/>
    <w:rsid w:val="00587227"/>
    <w:rsid w:val="005901F2"/>
    <w:rsid w:val="005913C5"/>
    <w:rsid w:val="00591EB8"/>
    <w:rsid w:val="005921B6"/>
    <w:rsid w:val="0059223F"/>
    <w:rsid w:val="00593BB7"/>
    <w:rsid w:val="00593ED0"/>
    <w:rsid w:val="0059489D"/>
    <w:rsid w:val="005953AE"/>
    <w:rsid w:val="005955C5"/>
    <w:rsid w:val="00595811"/>
    <w:rsid w:val="00595B9E"/>
    <w:rsid w:val="00595F78"/>
    <w:rsid w:val="0059628F"/>
    <w:rsid w:val="005962BE"/>
    <w:rsid w:val="00596777"/>
    <w:rsid w:val="00597C04"/>
    <w:rsid w:val="005A1A12"/>
    <w:rsid w:val="005A25E8"/>
    <w:rsid w:val="005A302F"/>
    <w:rsid w:val="005A4485"/>
    <w:rsid w:val="005A45A3"/>
    <w:rsid w:val="005A462A"/>
    <w:rsid w:val="005A47E9"/>
    <w:rsid w:val="005A519B"/>
    <w:rsid w:val="005A52F2"/>
    <w:rsid w:val="005A5416"/>
    <w:rsid w:val="005A58DE"/>
    <w:rsid w:val="005A5A92"/>
    <w:rsid w:val="005A6179"/>
    <w:rsid w:val="005A623E"/>
    <w:rsid w:val="005A6272"/>
    <w:rsid w:val="005A6B6A"/>
    <w:rsid w:val="005A6D6D"/>
    <w:rsid w:val="005A6EAF"/>
    <w:rsid w:val="005A73EF"/>
    <w:rsid w:val="005B006C"/>
    <w:rsid w:val="005B019A"/>
    <w:rsid w:val="005B107D"/>
    <w:rsid w:val="005B1549"/>
    <w:rsid w:val="005B2E79"/>
    <w:rsid w:val="005B2EB9"/>
    <w:rsid w:val="005B2F78"/>
    <w:rsid w:val="005B2FE2"/>
    <w:rsid w:val="005B30E9"/>
    <w:rsid w:val="005B32B2"/>
    <w:rsid w:val="005B3495"/>
    <w:rsid w:val="005B34AF"/>
    <w:rsid w:val="005B3BB7"/>
    <w:rsid w:val="005B3D3B"/>
    <w:rsid w:val="005B4FEA"/>
    <w:rsid w:val="005B6778"/>
    <w:rsid w:val="005B7582"/>
    <w:rsid w:val="005B7D85"/>
    <w:rsid w:val="005C0054"/>
    <w:rsid w:val="005C1005"/>
    <w:rsid w:val="005C11B4"/>
    <w:rsid w:val="005C15D6"/>
    <w:rsid w:val="005C1B8E"/>
    <w:rsid w:val="005C3A1E"/>
    <w:rsid w:val="005C3A98"/>
    <w:rsid w:val="005C3D54"/>
    <w:rsid w:val="005C43A3"/>
    <w:rsid w:val="005C4DFD"/>
    <w:rsid w:val="005C5C4A"/>
    <w:rsid w:val="005C5C96"/>
    <w:rsid w:val="005C6FFC"/>
    <w:rsid w:val="005D0181"/>
    <w:rsid w:val="005D0441"/>
    <w:rsid w:val="005D0C65"/>
    <w:rsid w:val="005D1190"/>
    <w:rsid w:val="005D1B05"/>
    <w:rsid w:val="005D1E0D"/>
    <w:rsid w:val="005D24EC"/>
    <w:rsid w:val="005D2C6E"/>
    <w:rsid w:val="005D2E12"/>
    <w:rsid w:val="005D3B21"/>
    <w:rsid w:val="005D4CF7"/>
    <w:rsid w:val="005D5393"/>
    <w:rsid w:val="005D656F"/>
    <w:rsid w:val="005D7699"/>
    <w:rsid w:val="005E06D0"/>
    <w:rsid w:val="005E1695"/>
    <w:rsid w:val="005E18FB"/>
    <w:rsid w:val="005E2CF2"/>
    <w:rsid w:val="005E2D5A"/>
    <w:rsid w:val="005E3627"/>
    <w:rsid w:val="005E3726"/>
    <w:rsid w:val="005E379F"/>
    <w:rsid w:val="005E4E94"/>
    <w:rsid w:val="005E5468"/>
    <w:rsid w:val="005E55C2"/>
    <w:rsid w:val="005E6F21"/>
    <w:rsid w:val="005E78AE"/>
    <w:rsid w:val="005F0181"/>
    <w:rsid w:val="005F03DD"/>
    <w:rsid w:val="005F10D7"/>
    <w:rsid w:val="005F16AA"/>
    <w:rsid w:val="005F1818"/>
    <w:rsid w:val="005F234D"/>
    <w:rsid w:val="005F2885"/>
    <w:rsid w:val="005F2D6B"/>
    <w:rsid w:val="005F2DD9"/>
    <w:rsid w:val="005F3C7E"/>
    <w:rsid w:val="005F40D3"/>
    <w:rsid w:val="005F5744"/>
    <w:rsid w:val="005F6683"/>
    <w:rsid w:val="005F7C4B"/>
    <w:rsid w:val="005F7CC0"/>
    <w:rsid w:val="0060075E"/>
    <w:rsid w:val="006010BC"/>
    <w:rsid w:val="006013F1"/>
    <w:rsid w:val="00601415"/>
    <w:rsid w:val="00601C45"/>
    <w:rsid w:val="00601D2A"/>
    <w:rsid w:val="00601DA4"/>
    <w:rsid w:val="0060242C"/>
    <w:rsid w:val="00602566"/>
    <w:rsid w:val="00602753"/>
    <w:rsid w:val="00602D00"/>
    <w:rsid w:val="00604CA3"/>
    <w:rsid w:val="006051CC"/>
    <w:rsid w:val="00605812"/>
    <w:rsid w:val="00605A06"/>
    <w:rsid w:val="00605B07"/>
    <w:rsid w:val="00605DF3"/>
    <w:rsid w:val="0060697D"/>
    <w:rsid w:val="0061043D"/>
    <w:rsid w:val="0061065D"/>
    <w:rsid w:val="006111F0"/>
    <w:rsid w:val="00611EC0"/>
    <w:rsid w:val="0061248A"/>
    <w:rsid w:val="00613143"/>
    <w:rsid w:val="00613533"/>
    <w:rsid w:val="00614121"/>
    <w:rsid w:val="00614A82"/>
    <w:rsid w:val="00615102"/>
    <w:rsid w:val="00615891"/>
    <w:rsid w:val="006161C7"/>
    <w:rsid w:val="006163D8"/>
    <w:rsid w:val="00616D3D"/>
    <w:rsid w:val="00620F24"/>
    <w:rsid w:val="00621E53"/>
    <w:rsid w:val="00621E9B"/>
    <w:rsid w:val="00622642"/>
    <w:rsid w:val="00622F69"/>
    <w:rsid w:val="006234D9"/>
    <w:rsid w:val="006237E2"/>
    <w:rsid w:val="00623C5D"/>
    <w:rsid w:val="00624120"/>
    <w:rsid w:val="00625801"/>
    <w:rsid w:val="006259C0"/>
    <w:rsid w:val="00625D11"/>
    <w:rsid w:val="0062643F"/>
    <w:rsid w:val="00626680"/>
    <w:rsid w:val="00630391"/>
    <w:rsid w:val="0063279E"/>
    <w:rsid w:val="00633420"/>
    <w:rsid w:val="00633424"/>
    <w:rsid w:val="0063478C"/>
    <w:rsid w:val="00634B44"/>
    <w:rsid w:val="00634E32"/>
    <w:rsid w:val="00634FA3"/>
    <w:rsid w:val="006351E8"/>
    <w:rsid w:val="00635544"/>
    <w:rsid w:val="00635B53"/>
    <w:rsid w:val="006361A4"/>
    <w:rsid w:val="00636C93"/>
    <w:rsid w:val="00636DBA"/>
    <w:rsid w:val="00636EE9"/>
    <w:rsid w:val="00640207"/>
    <w:rsid w:val="006408F4"/>
    <w:rsid w:val="00640A9B"/>
    <w:rsid w:val="00640EF8"/>
    <w:rsid w:val="00640FB5"/>
    <w:rsid w:val="00641651"/>
    <w:rsid w:val="00643356"/>
    <w:rsid w:val="0064346B"/>
    <w:rsid w:val="00643535"/>
    <w:rsid w:val="0064373A"/>
    <w:rsid w:val="00644D64"/>
    <w:rsid w:val="00645040"/>
    <w:rsid w:val="0064562F"/>
    <w:rsid w:val="006458E6"/>
    <w:rsid w:val="00645949"/>
    <w:rsid w:val="00645CCE"/>
    <w:rsid w:val="00645ED4"/>
    <w:rsid w:val="00646052"/>
    <w:rsid w:val="00646F70"/>
    <w:rsid w:val="00647973"/>
    <w:rsid w:val="0065067D"/>
    <w:rsid w:val="00650725"/>
    <w:rsid w:val="00650815"/>
    <w:rsid w:val="00650915"/>
    <w:rsid w:val="006514AB"/>
    <w:rsid w:val="00651739"/>
    <w:rsid w:val="006519CA"/>
    <w:rsid w:val="00651A1E"/>
    <w:rsid w:val="00651F35"/>
    <w:rsid w:val="0065281F"/>
    <w:rsid w:val="00652EF5"/>
    <w:rsid w:val="00653307"/>
    <w:rsid w:val="0065351B"/>
    <w:rsid w:val="00653785"/>
    <w:rsid w:val="00653C6A"/>
    <w:rsid w:val="00654C89"/>
    <w:rsid w:val="00655054"/>
    <w:rsid w:val="00655586"/>
    <w:rsid w:val="006566D1"/>
    <w:rsid w:val="00657C74"/>
    <w:rsid w:val="00660142"/>
    <w:rsid w:val="00661BC5"/>
    <w:rsid w:val="00662AF3"/>
    <w:rsid w:val="00662D4A"/>
    <w:rsid w:val="006637C7"/>
    <w:rsid w:val="006646CB"/>
    <w:rsid w:val="006649A5"/>
    <w:rsid w:val="00664A0A"/>
    <w:rsid w:val="006655DE"/>
    <w:rsid w:val="00666241"/>
    <w:rsid w:val="006673E0"/>
    <w:rsid w:val="00670376"/>
    <w:rsid w:val="00670AB5"/>
    <w:rsid w:val="00670C77"/>
    <w:rsid w:val="0067213C"/>
    <w:rsid w:val="00672333"/>
    <w:rsid w:val="0067299F"/>
    <w:rsid w:val="006734A7"/>
    <w:rsid w:val="0067355C"/>
    <w:rsid w:val="006748B5"/>
    <w:rsid w:val="00675304"/>
    <w:rsid w:val="00675F01"/>
    <w:rsid w:val="00676DF5"/>
    <w:rsid w:val="006771AD"/>
    <w:rsid w:val="00677679"/>
    <w:rsid w:val="006776FE"/>
    <w:rsid w:val="00677E98"/>
    <w:rsid w:val="00677EBB"/>
    <w:rsid w:val="00681471"/>
    <w:rsid w:val="00682C10"/>
    <w:rsid w:val="00682EB0"/>
    <w:rsid w:val="0068387C"/>
    <w:rsid w:val="00683966"/>
    <w:rsid w:val="00683B78"/>
    <w:rsid w:val="0068551B"/>
    <w:rsid w:val="0068594F"/>
    <w:rsid w:val="00685CE3"/>
    <w:rsid w:val="00685E41"/>
    <w:rsid w:val="00686517"/>
    <w:rsid w:val="00686778"/>
    <w:rsid w:val="00686FA0"/>
    <w:rsid w:val="00687492"/>
    <w:rsid w:val="00687684"/>
    <w:rsid w:val="006877D3"/>
    <w:rsid w:val="00691C5B"/>
    <w:rsid w:val="00691D24"/>
    <w:rsid w:val="00692057"/>
    <w:rsid w:val="006926B3"/>
    <w:rsid w:val="00692B5C"/>
    <w:rsid w:val="0069342F"/>
    <w:rsid w:val="00694282"/>
    <w:rsid w:val="00696295"/>
    <w:rsid w:val="00696AEF"/>
    <w:rsid w:val="00696E97"/>
    <w:rsid w:val="0069737A"/>
    <w:rsid w:val="006976AE"/>
    <w:rsid w:val="00697EAF"/>
    <w:rsid w:val="00697F76"/>
    <w:rsid w:val="006A0DD6"/>
    <w:rsid w:val="006A24C9"/>
    <w:rsid w:val="006A26B8"/>
    <w:rsid w:val="006A286B"/>
    <w:rsid w:val="006A2BC3"/>
    <w:rsid w:val="006A2DE0"/>
    <w:rsid w:val="006A3389"/>
    <w:rsid w:val="006A3A98"/>
    <w:rsid w:val="006A3BF1"/>
    <w:rsid w:val="006A41C8"/>
    <w:rsid w:val="006A48FC"/>
    <w:rsid w:val="006A4BB7"/>
    <w:rsid w:val="006A4CA5"/>
    <w:rsid w:val="006A5170"/>
    <w:rsid w:val="006A5E0F"/>
    <w:rsid w:val="006A677C"/>
    <w:rsid w:val="006A7406"/>
    <w:rsid w:val="006A7956"/>
    <w:rsid w:val="006A7AB2"/>
    <w:rsid w:val="006B00E4"/>
    <w:rsid w:val="006B034B"/>
    <w:rsid w:val="006B0D15"/>
    <w:rsid w:val="006B1119"/>
    <w:rsid w:val="006B15BC"/>
    <w:rsid w:val="006B16BF"/>
    <w:rsid w:val="006B1C46"/>
    <w:rsid w:val="006B2E55"/>
    <w:rsid w:val="006B2E99"/>
    <w:rsid w:val="006B2EB4"/>
    <w:rsid w:val="006B2ED6"/>
    <w:rsid w:val="006B31A8"/>
    <w:rsid w:val="006B383C"/>
    <w:rsid w:val="006B3C13"/>
    <w:rsid w:val="006B3DDB"/>
    <w:rsid w:val="006B4430"/>
    <w:rsid w:val="006B5043"/>
    <w:rsid w:val="006B5552"/>
    <w:rsid w:val="006B58BF"/>
    <w:rsid w:val="006B6787"/>
    <w:rsid w:val="006B68E2"/>
    <w:rsid w:val="006B6DBF"/>
    <w:rsid w:val="006C0049"/>
    <w:rsid w:val="006C02B8"/>
    <w:rsid w:val="006C0FF7"/>
    <w:rsid w:val="006C1FA2"/>
    <w:rsid w:val="006C2B98"/>
    <w:rsid w:val="006C2C37"/>
    <w:rsid w:val="006C3338"/>
    <w:rsid w:val="006C3F52"/>
    <w:rsid w:val="006C509C"/>
    <w:rsid w:val="006C5359"/>
    <w:rsid w:val="006C65D4"/>
    <w:rsid w:val="006C688E"/>
    <w:rsid w:val="006C751B"/>
    <w:rsid w:val="006C7FE8"/>
    <w:rsid w:val="006D0012"/>
    <w:rsid w:val="006D0BEA"/>
    <w:rsid w:val="006D0DAE"/>
    <w:rsid w:val="006D1D8A"/>
    <w:rsid w:val="006D1EEA"/>
    <w:rsid w:val="006D218D"/>
    <w:rsid w:val="006D2955"/>
    <w:rsid w:val="006D3040"/>
    <w:rsid w:val="006D306A"/>
    <w:rsid w:val="006D39E1"/>
    <w:rsid w:val="006D41EE"/>
    <w:rsid w:val="006D4747"/>
    <w:rsid w:val="006D4902"/>
    <w:rsid w:val="006D4EEF"/>
    <w:rsid w:val="006D4FA4"/>
    <w:rsid w:val="006D5B9D"/>
    <w:rsid w:val="006D624B"/>
    <w:rsid w:val="006D65A1"/>
    <w:rsid w:val="006D6A5D"/>
    <w:rsid w:val="006D73D5"/>
    <w:rsid w:val="006D7B81"/>
    <w:rsid w:val="006D7C35"/>
    <w:rsid w:val="006D7C4B"/>
    <w:rsid w:val="006D7C75"/>
    <w:rsid w:val="006E043E"/>
    <w:rsid w:val="006E08C4"/>
    <w:rsid w:val="006E0D20"/>
    <w:rsid w:val="006E0D81"/>
    <w:rsid w:val="006E182E"/>
    <w:rsid w:val="006E183F"/>
    <w:rsid w:val="006E1CA6"/>
    <w:rsid w:val="006E21CA"/>
    <w:rsid w:val="006E2919"/>
    <w:rsid w:val="006E2B84"/>
    <w:rsid w:val="006E2C4B"/>
    <w:rsid w:val="006E312A"/>
    <w:rsid w:val="006E3FD4"/>
    <w:rsid w:val="006E4A8A"/>
    <w:rsid w:val="006E4BDB"/>
    <w:rsid w:val="006E57F2"/>
    <w:rsid w:val="006E6120"/>
    <w:rsid w:val="006E6C19"/>
    <w:rsid w:val="006E720B"/>
    <w:rsid w:val="006E77A4"/>
    <w:rsid w:val="006E799D"/>
    <w:rsid w:val="006F0082"/>
    <w:rsid w:val="006F02A9"/>
    <w:rsid w:val="006F05BD"/>
    <w:rsid w:val="006F07CC"/>
    <w:rsid w:val="006F0F90"/>
    <w:rsid w:val="006F1006"/>
    <w:rsid w:val="006F15BF"/>
    <w:rsid w:val="006F1A69"/>
    <w:rsid w:val="006F2792"/>
    <w:rsid w:val="006F2A16"/>
    <w:rsid w:val="006F3E20"/>
    <w:rsid w:val="006F4055"/>
    <w:rsid w:val="006F57E6"/>
    <w:rsid w:val="006F58D6"/>
    <w:rsid w:val="006F5C45"/>
    <w:rsid w:val="006F61CF"/>
    <w:rsid w:val="006F6464"/>
    <w:rsid w:val="006F6592"/>
    <w:rsid w:val="006F6B84"/>
    <w:rsid w:val="006F6B91"/>
    <w:rsid w:val="006F7DD4"/>
    <w:rsid w:val="006F7E2D"/>
    <w:rsid w:val="00700D3F"/>
    <w:rsid w:val="00701F36"/>
    <w:rsid w:val="00702E8E"/>
    <w:rsid w:val="0070385B"/>
    <w:rsid w:val="00703DC7"/>
    <w:rsid w:val="0070436A"/>
    <w:rsid w:val="00704E29"/>
    <w:rsid w:val="007058EE"/>
    <w:rsid w:val="00705A19"/>
    <w:rsid w:val="00705D76"/>
    <w:rsid w:val="007060DA"/>
    <w:rsid w:val="0070687A"/>
    <w:rsid w:val="00707C48"/>
    <w:rsid w:val="00710394"/>
    <w:rsid w:val="00710E4D"/>
    <w:rsid w:val="00710E65"/>
    <w:rsid w:val="007131DD"/>
    <w:rsid w:val="00713594"/>
    <w:rsid w:val="00713662"/>
    <w:rsid w:val="00713875"/>
    <w:rsid w:val="00713E66"/>
    <w:rsid w:val="007145E8"/>
    <w:rsid w:val="0071481F"/>
    <w:rsid w:val="00714C81"/>
    <w:rsid w:val="00714DBD"/>
    <w:rsid w:val="0071509B"/>
    <w:rsid w:val="007154E8"/>
    <w:rsid w:val="00715996"/>
    <w:rsid w:val="00715CA7"/>
    <w:rsid w:val="00715EC9"/>
    <w:rsid w:val="00716A19"/>
    <w:rsid w:val="007171C6"/>
    <w:rsid w:val="0072016D"/>
    <w:rsid w:val="007203D1"/>
    <w:rsid w:val="007205DF"/>
    <w:rsid w:val="007220D9"/>
    <w:rsid w:val="00722B05"/>
    <w:rsid w:val="00722C50"/>
    <w:rsid w:val="007237A9"/>
    <w:rsid w:val="00723932"/>
    <w:rsid w:val="007242EB"/>
    <w:rsid w:val="00724916"/>
    <w:rsid w:val="00725D11"/>
    <w:rsid w:val="007260AE"/>
    <w:rsid w:val="007266CB"/>
    <w:rsid w:val="0072705E"/>
    <w:rsid w:val="007274A9"/>
    <w:rsid w:val="007279B0"/>
    <w:rsid w:val="00727FDB"/>
    <w:rsid w:val="00730545"/>
    <w:rsid w:val="00730C7B"/>
    <w:rsid w:val="00731E3A"/>
    <w:rsid w:val="00732EDC"/>
    <w:rsid w:val="00733070"/>
    <w:rsid w:val="0073374D"/>
    <w:rsid w:val="007342BE"/>
    <w:rsid w:val="00734C56"/>
    <w:rsid w:val="00735B38"/>
    <w:rsid w:val="00737491"/>
    <w:rsid w:val="00737AEE"/>
    <w:rsid w:val="00737B23"/>
    <w:rsid w:val="007405AB"/>
    <w:rsid w:val="0074117E"/>
    <w:rsid w:val="007411EF"/>
    <w:rsid w:val="0074171E"/>
    <w:rsid w:val="00741959"/>
    <w:rsid w:val="00741C5B"/>
    <w:rsid w:val="007427F3"/>
    <w:rsid w:val="00742B0D"/>
    <w:rsid w:val="00742EAD"/>
    <w:rsid w:val="0074361B"/>
    <w:rsid w:val="00743849"/>
    <w:rsid w:val="00743D9C"/>
    <w:rsid w:val="00743F5B"/>
    <w:rsid w:val="00744949"/>
    <w:rsid w:val="00744FBE"/>
    <w:rsid w:val="0074538E"/>
    <w:rsid w:val="007457F2"/>
    <w:rsid w:val="00745865"/>
    <w:rsid w:val="00745ABC"/>
    <w:rsid w:val="0074604E"/>
    <w:rsid w:val="00746466"/>
    <w:rsid w:val="00746AF2"/>
    <w:rsid w:val="00746E5F"/>
    <w:rsid w:val="0074754E"/>
    <w:rsid w:val="007502D6"/>
    <w:rsid w:val="007512B4"/>
    <w:rsid w:val="007524C0"/>
    <w:rsid w:val="00753466"/>
    <w:rsid w:val="00753890"/>
    <w:rsid w:val="00753B3C"/>
    <w:rsid w:val="00754383"/>
    <w:rsid w:val="00755971"/>
    <w:rsid w:val="00755FE9"/>
    <w:rsid w:val="00756090"/>
    <w:rsid w:val="00757C05"/>
    <w:rsid w:val="00760DC1"/>
    <w:rsid w:val="007623ED"/>
    <w:rsid w:val="007627E0"/>
    <w:rsid w:val="00762D5B"/>
    <w:rsid w:val="007630B3"/>
    <w:rsid w:val="0076332F"/>
    <w:rsid w:val="0076349B"/>
    <w:rsid w:val="00763C3B"/>
    <w:rsid w:val="00763CD7"/>
    <w:rsid w:val="00764AC0"/>
    <w:rsid w:val="00764D6C"/>
    <w:rsid w:val="0076511E"/>
    <w:rsid w:val="007651F0"/>
    <w:rsid w:val="00765536"/>
    <w:rsid w:val="007655C7"/>
    <w:rsid w:val="007655EC"/>
    <w:rsid w:val="00765E19"/>
    <w:rsid w:val="007660C1"/>
    <w:rsid w:val="0076619C"/>
    <w:rsid w:val="007668FB"/>
    <w:rsid w:val="00766ED9"/>
    <w:rsid w:val="0076706F"/>
    <w:rsid w:val="00767868"/>
    <w:rsid w:val="00767C3E"/>
    <w:rsid w:val="00770854"/>
    <w:rsid w:val="007712D0"/>
    <w:rsid w:val="0077174E"/>
    <w:rsid w:val="007717A5"/>
    <w:rsid w:val="00771FCC"/>
    <w:rsid w:val="0077228B"/>
    <w:rsid w:val="0077269E"/>
    <w:rsid w:val="007728EB"/>
    <w:rsid w:val="00772DD3"/>
    <w:rsid w:val="00774B99"/>
    <w:rsid w:val="00774D10"/>
    <w:rsid w:val="00775767"/>
    <w:rsid w:val="0077576B"/>
    <w:rsid w:val="00775BF0"/>
    <w:rsid w:val="00776ADA"/>
    <w:rsid w:val="00777701"/>
    <w:rsid w:val="007777EE"/>
    <w:rsid w:val="0077793C"/>
    <w:rsid w:val="00777D66"/>
    <w:rsid w:val="00777DB4"/>
    <w:rsid w:val="00783285"/>
    <w:rsid w:val="00783F83"/>
    <w:rsid w:val="00784B22"/>
    <w:rsid w:val="00784EAE"/>
    <w:rsid w:val="007851E8"/>
    <w:rsid w:val="00785236"/>
    <w:rsid w:val="00785C6E"/>
    <w:rsid w:val="00785FF2"/>
    <w:rsid w:val="007869A5"/>
    <w:rsid w:val="00790C75"/>
    <w:rsid w:val="00790CE0"/>
    <w:rsid w:val="00791154"/>
    <w:rsid w:val="00791B88"/>
    <w:rsid w:val="00791CA7"/>
    <w:rsid w:val="00791ECC"/>
    <w:rsid w:val="0079203B"/>
    <w:rsid w:val="00792521"/>
    <w:rsid w:val="0079258E"/>
    <w:rsid w:val="00792914"/>
    <w:rsid w:val="007929E6"/>
    <w:rsid w:val="00792A2F"/>
    <w:rsid w:val="00792AF6"/>
    <w:rsid w:val="0079346C"/>
    <w:rsid w:val="007934E1"/>
    <w:rsid w:val="0079394C"/>
    <w:rsid w:val="0079494A"/>
    <w:rsid w:val="00794CCB"/>
    <w:rsid w:val="00795937"/>
    <w:rsid w:val="00796037"/>
    <w:rsid w:val="00797801"/>
    <w:rsid w:val="007A08D5"/>
    <w:rsid w:val="007A1647"/>
    <w:rsid w:val="007A1A79"/>
    <w:rsid w:val="007A2143"/>
    <w:rsid w:val="007A21EF"/>
    <w:rsid w:val="007A2741"/>
    <w:rsid w:val="007A287F"/>
    <w:rsid w:val="007A2C5E"/>
    <w:rsid w:val="007A2FA7"/>
    <w:rsid w:val="007A3124"/>
    <w:rsid w:val="007A41A7"/>
    <w:rsid w:val="007A4B42"/>
    <w:rsid w:val="007A4C46"/>
    <w:rsid w:val="007A52F9"/>
    <w:rsid w:val="007A60FA"/>
    <w:rsid w:val="007A64FB"/>
    <w:rsid w:val="007A673E"/>
    <w:rsid w:val="007A6B19"/>
    <w:rsid w:val="007A7A34"/>
    <w:rsid w:val="007B1CE4"/>
    <w:rsid w:val="007B21D4"/>
    <w:rsid w:val="007B31A4"/>
    <w:rsid w:val="007B3382"/>
    <w:rsid w:val="007B3498"/>
    <w:rsid w:val="007B3DA4"/>
    <w:rsid w:val="007B4508"/>
    <w:rsid w:val="007B46FC"/>
    <w:rsid w:val="007B4FA2"/>
    <w:rsid w:val="007B57A1"/>
    <w:rsid w:val="007B5EF6"/>
    <w:rsid w:val="007B65A2"/>
    <w:rsid w:val="007B7F33"/>
    <w:rsid w:val="007C0A8D"/>
    <w:rsid w:val="007C0B33"/>
    <w:rsid w:val="007C1C4F"/>
    <w:rsid w:val="007C2345"/>
    <w:rsid w:val="007C3F89"/>
    <w:rsid w:val="007C418D"/>
    <w:rsid w:val="007C4351"/>
    <w:rsid w:val="007C49F1"/>
    <w:rsid w:val="007C5386"/>
    <w:rsid w:val="007C5DFA"/>
    <w:rsid w:val="007C6046"/>
    <w:rsid w:val="007C6D07"/>
    <w:rsid w:val="007C6DD5"/>
    <w:rsid w:val="007C7016"/>
    <w:rsid w:val="007C787B"/>
    <w:rsid w:val="007D02E8"/>
    <w:rsid w:val="007D03B6"/>
    <w:rsid w:val="007D14B1"/>
    <w:rsid w:val="007D15E7"/>
    <w:rsid w:val="007D1735"/>
    <w:rsid w:val="007D2992"/>
    <w:rsid w:val="007D2F6A"/>
    <w:rsid w:val="007D3156"/>
    <w:rsid w:val="007D36B9"/>
    <w:rsid w:val="007D3CE6"/>
    <w:rsid w:val="007D4032"/>
    <w:rsid w:val="007D4373"/>
    <w:rsid w:val="007D49F1"/>
    <w:rsid w:val="007D5BB4"/>
    <w:rsid w:val="007D642B"/>
    <w:rsid w:val="007D669C"/>
    <w:rsid w:val="007D7930"/>
    <w:rsid w:val="007D7E91"/>
    <w:rsid w:val="007E02E9"/>
    <w:rsid w:val="007E0D3F"/>
    <w:rsid w:val="007E1027"/>
    <w:rsid w:val="007E1388"/>
    <w:rsid w:val="007E1461"/>
    <w:rsid w:val="007E2B6C"/>
    <w:rsid w:val="007E2BD5"/>
    <w:rsid w:val="007E356A"/>
    <w:rsid w:val="007E4154"/>
    <w:rsid w:val="007E47EF"/>
    <w:rsid w:val="007E4B40"/>
    <w:rsid w:val="007E5599"/>
    <w:rsid w:val="007E588A"/>
    <w:rsid w:val="007E69FC"/>
    <w:rsid w:val="007E74DC"/>
    <w:rsid w:val="007E76B0"/>
    <w:rsid w:val="007E79CE"/>
    <w:rsid w:val="007E7FC8"/>
    <w:rsid w:val="007F00FB"/>
    <w:rsid w:val="007F0B1F"/>
    <w:rsid w:val="007F1243"/>
    <w:rsid w:val="007F136B"/>
    <w:rsid w:val="007F1641"/>
    <w:rsid w:val="007F178F"/>
    <w:rsid w:val="007F274F"/>
    <w:rsid w:val="007F43E9"/>
    <w:rsid w:val="007F59A2"/>
    <w:rsid w:val="007F5F99"/>
    <w:rsid w:val="007F60DE"/>
    <w:rsid w:val="007F637C"/>
    <w:rsid w:val="007F65AE"/>
    <w:rsid w:val="007F6814"/>
    <w:rsid w:val="007F6EF6"/>
    <w:rsid w:val="007F70DE"/>
    <w:rsid w:val="007F79F4"/>
    <w:rsid w:val="007F7B48"/>
    <w:rsid w:val="007F7B7C"/>
    <w:rsid w:val="007F7CA6"/>
    <w:rsid w:val="00800A30"/>
    <w:rsid w:val="00802A1A"/>
    <w:rsid w:val="008034AA"/>
    <w:rsid w:val="008037F6"/>
    <w:rsid w:val="00803CBB"/>
    <w:rsid w:val="00803DA5"/>
    <w:rsid w:val="00804630"/>
    <w:rsid w:val="00804BC5"/>
    <w:rsid w:val="00805802"/>
    <w:rsid w:val="008059EE"/>
    <w:rsid w:val="008066EC"/>
    <w:rsid w:val="008066FB"/>
    <w:rsid w:val="00806C64"/>
    <w:rsid w:val="0080700E"/>
    <w:rsid w:val="00807E7B"/>
    <w:rsid w:val="008108CB"/>
    <w:rsid w:val="00811642"/>
    <w:rsid w:val="00811E9A"/>
    <w:rsid w:val="00812570"/>
    <w:rsid w:val="00812C4E"/>
    <w:rsid w:val="00812DD2"/>
    <w:rsid w:val="008133E9"/>
    <w:rsid w:val="00814F3A"/>
    <w:rsid w:val="00817A04"/>
    <w:rsid w:val="00817E9E"/>
    <w:rsid w:val="008204EF"/>
    <w:rsid w:val="008207D4"/>
    <w:rsid w:val="00821779"/>
    <w:rsid w:val="008220D0"/>
    <w:rsid w:val="00822280"/>
    <w:rsid w:val="00822C57"/>
    <w:rsid w:val="00823299"/>
    <w:rsid w:val="0082352E"/>
    <w:rsid w:val="00823A9D"/>
    <w:rsid w:val="00824C50"/>
    <w:rsid w:val="00824D9D"/>
    <w:rsid w:val="00825324"/>
    <w:rsid w:val="00825F02"/>
    <w:rsid w:val="008260BD"/>
    <w:rsid w:val="0082638A"/>
    <w:rsid w:val="008264EB"/>
    <w:rsid w:val="0082788A"/>
    <w:rsid w:val="00827F65"/>
    <w:rsid w:val="00830160"/>
    <w:rsid w:val="00830811"/>
    <w:rsid w:val="008309AF"/>
    <w:rsid w:val="00830C05"/>
    <w:rsid w:val="00831390"/>
    <w:rsid w:val="00832045"/>
    <w:rsid w:val="00832763"/>
    <w:rsid w:val="00833C60"/>
    <w:rsid w:val="008342B2"/>
    <w:rsid w:val="00834482"/>
    <w:rsid w:val="008347F7"/>
    <w:rsid w:val="00835456"/>
    <w:rsid w:val="00835D9F"/>
    <w:rsid w:val="0083673A"/>
    <w:rsid w:val="00837097"/>
    <w:rsid w:val="00837815"/>
    <w:rsid w:val="00837D41"/>
    <w:rsid w:val="0084061A"/>
    <w:rsid w:val="00840A12"/>
    <w:rsid w:val="00840B1E"/>
    <w:rsid w:val="00840C6F"/>
    <w:rsid w:val="008410EF"/>
    <w:rsid w:val="0084194E"/>
    <w:rsid w:val="00841D33"/>
    <w:rsid w:val="00841E8E"/>
    <w:rsid w:val="00842275"/>
    <w:rsid w:val="00842862"/>
    <w:rsid w:val="00842A4F"/>
    <w:rsid w:val="008435C9"/>
    <w:rsid w:val="008435F7"/>
    <w:rsid w:val="0084368A"/>
    <w:rsid w:val="00843A5D"/>
    <w:rsid w:val="008452AC"/>
    <w:rsid w:val="0084564E"/>
    <w:rsid w:val="008459AA"/>
    <w:rsid w:val="00847488"/>
    <w:rsid w:val="00847675"/>
    <w:rsid w:val="0084793A"/>
    <w:rsid w:val="0085000E"/>
    <w:rsid w:val="0085016C"/>
    <w:rsid w:val="00850E21"/>
    <w:rsid w:val="00851353"/>
    <w:rsid w:val="008516C0"/>
    <w:rsid w:val="008521D9"/>
    <w:rsid w:val="0085231C"/>
    <w:rsid w:val="00853D82"/>
    <w:rsid w:val="00854A50"/>
    <w:rsid w:val="008552C6"/>
    <w:rsid w:val="0085559A"/>
    <w:rsid w:val="00855EAE"/>
    <w:rsid w:val="008568E7"/>
    <w:rsid w:val="00856FC4"/>
    <w:rsid w:val="008572E4"/>
    <w:rsid w:val="00857893"/>
    <w:rsid w:val="00857A32"/>
    <w:rsid w:val="00857BDF"/>
    <w:rsid w:val="0086028B"/>
    <w:rsid w:val="008606E8"/>
    <w:rsid w:val="00861063"/>
    <w:rsid w:val="0086173B"/>
    <w:rsid w:val="00861DAE"/>
    <w:rsid w:val="00863EB5"/>
    <w:rsid w:val="008646FE"/>
    <w:rsid w:val="008653C3"/>
    <w:rsid w:val="00865620"/>
    <w:rsid w:val="008670E5"/>
    <w:rsid w:val="00870A5E"/>
    <w:rsid w:val="00870EEC"/>
    <w:rsid w:val="00872175"/>
    <w:rsid w:val="00873949"/>
    <w:rsid w:val="00873E30"/>
    <w:rsid w:val="00874222"/>
    <w:rsid w:val="008745D9"/>
    <w:rsid w:val="0087521A"/>
    <w:rsid w:val="0087642E"/>
    <w:rsid w:val="0087668E"/>
    <w:rsid w:val="00876B48"/>
    <w:rsid w:val="00876D06"/>
    <w:rsid w:val="008770DF"/>
    <w:rsid w:val="008775F2"/>
    <w:rsid w:val="00880178"/>
    <w:rsid w:val="00880466"/>
    <w:rsid w:val="00880485"/>
    <w:rsid w:val="0088069F"/>
    <w:rsid w:val="00880718"/>
    <w:rsid w:val="008810D4"/>
    <w:rsid w:val="00881532"/>
    <w:rsid w:val="00881B7D"/>
    <w:rsid w:val="00882515"/>
    <w:rsid w:val="00882917"/>
    <w:rsid w:val="00882EE8"/>
    <w:rsid w:val="008849AF"/>
    <w:rsid w:val="00884BE5"/>
    <w:rsid w:val="00884CCE"/>
    <w:rsid w:val="00885022"/>
    <w:rsid w:val="00885208"/>
    <w:rsid w:val="00885AEE"/>
    <w:rsid w:val="00885DB4"/>
    <w:rsid w:val="00885E8E"/>
    <w:rsid w:val="00890920"/>
    <w:rsid w:val="00890C8B"/>
    <w:rsid w:val="008912C3"/>
    <w:rsid w:val="00891863"/>
    <w:rsid w:val="00891AFF"/>
    <w:rsid w:val="00892950"/>
    <w:rsid w:val="0089315C"/>
    <w:rsid w:val="00893242"/>
    <w:rsid w:val="0089331C"/>
    <w:rsid w:val="00893D9A"/>
    <w:rsid w:val="00894B3C"/>
    <w:rsid w:val="00894C15"/>
    <w:rsid w:val="00894EDF"/>
    <w:rsid w:val="008958D6"/>
    <w:rsid w:val="00895ECB"/>
    <w:rsid w:val="00896BCD"/>
    <w:rsid w:val="00897111"/>
    <w:rsid w:val="0089791F"/>
    <w:rsid w:val="00897EBD"/>
    <w:rsid w:val="00897F3D"/>
    <w:rsid w:val="008A00F0"/>
    <w:rsid w:val="008A05B8"/>
    <w:rsid w:val="008A06C4"/>
    <w:rsid w:val="008A06D6"/>
    <w:rsid w:val="008A0BC2"/>
    <w:rsid w:val="008A0E18"/>
    <w:rsid w:val="008A0E33"/>
    <w:rsid w:val="008A13AB"/>
    <w:rsid w:val="008A1730"/>
    <w:rsid w:val="008A1CEA"/>
    <w:rsid w:val="008A1DDC"/>
    <w:rsid w:val="008A2C6F"/>
    <w:rsid w:val="008A34CC"/>
    <w:rsid w:val="008A34DC"/>
    <w:rsid w:val="008A375C"/>
    <w:rsid w:val="008A3E3C"/>
    <w:rsid w:val="008A405A"/>
    <w:rsid w:val="008A422B"/>
    <w:rsid w:val="008A44F4"/>
    <w:rsid w:val="008A44FF"/>
    <w:rsid w:val="008A49F1"/>
    <w:rsid w:val="008A52D0"/>
    <w:rsid w:val="008A5B18"/>
    <w:rsid w:val="008A607B"/>
    <w:rsid w:val="008A6F0F"/>
    <w:rsid w:val="008A6FE6"/>
    <w:rsid w:val="008A7D3D"/>
    <w:rsid w:val="008A7F46"/>
    <w:rsid w:val="008B02B4"/>
    <w:rsid w:val="008B1083"/>
    <w:rsid w:val="008B153E"/>
    <w:rsid w:val="008B1627"/>
    <w:rsid w:val="008B1A29"/>
    <w:rsid w:val="008B1FB3"/>
    <w:rsid w:val="008B25EE"/>
    <w:rsid w:val="008B29D9"/>
    <w:rsid w:val="008B4C7C"/>
    <w:rsid w:val="008B536D"/>
    <w:rsid w:val="008B5707"/>
    <w:rsid w:val="008B5A18"/>
    <w:rsid w:val="008B6081"/>
    <w:rsid w:val="008B6415"/>
    <w:rsid w:val="008B688D"/>
    <w:rsid w:val="008B6E11"/>
    <w:rsid w:val="008B77B8"/>
    <w:rsid w:val="008B7D64"/>
    <w:rsid w:val="008B7ECE"/>
    <w:rsid w:val="008B7F44"/>
    <w:rsid w:val="008C00C7"/>
    <w:rsid w:val="008C0BCB"/>
    <w:rsid w:val="008C0D51"/>
    <w:rsid w:val="008C0E7F"/>
    <w:rsid w:val="008C19D9"/>
    <w:rsid w:val="008C1B54"/>
    <w:rsid w:val="008C1C68"/>
    <w:rsid w:val="008C2008"/>
    <w:rsid w:val="008C2029"/>
    <w:rsid w:val="008C23E9"/>
    <w:rsid w:val="008C2413"/>
    <w:rsid w:val="008C24EF"/>
    <w:rsid w:val="008C298B"/>
    <w:rsid w:val="008C35DF"/>
    <w:rsid w:val="008C455F"/>
    <w:rsid w:val="008C5C90"/>
    <w:rsid w:val="008C6042"/>
    <w:rsid w:val="008C65A5"/>
    <w:rsid w:val="008C7145"/>
    <w:rsid w:val="008C7A6C"/>
    <w:rsid w:val="008D0B7C"/>
    <w:rsid w:val="008D1C6A"/>
    <w:rsid w:val="008D35CA"/>
    <w:rsid w:val="008D465F"/>
    <w:rsid w:val="008D5138"/>
    <w:rsid w:val="008D5750"/>
    <w:rsid w:val="008D5E8C"/>
    <w:rsid w:val="008D62E8"/>
    <w:rsid w:val="008D6D51"/>
    <w:rsid w:val="008D6DD8"/>
    <w:rsid w:val="008D6EB1"/>
    <w:rsid w:val="008D7374"/>
    <w:rsid w:val="008E0DBE"/>
    <w:rsid w:val="008E135B"/>
    <w:rsid w:val="008E182B"/>
    <w:rsid w:val="008E2AFF"/>
    <w:rsid w:val="008E2BA5"/>
    <w:rsid w:val="008E3373"/>
    <w:rsid w:val="008E34E5"/>
    <w:rsid w:val="008E3992"/>
    <w:rsid w:val="008E3F75"/>
    <w:rsid w:val="008E45AF"/>
    <w:rsid w:val="008E5BB3"/>
    <w:rsid w:val="008E5CD4"/>
    <w:rsid w:val="008E5F3E"/>
    <w:rsid w:val="008E6265"/>
    <w:rsid w:val="008E6267"/>
    <w:rsid w:val="008E79BB"/>
    <w:rsid w:val="008E7B76"/>
    <w:rsid w:val="008E7F61"/>
    <w:rsid w:val="008F0798"/>
    <w:rsid w:val="008F0A08"/>
    <w:rsid w:val="008F0C06"/>
    <w:rsid w:val="008F2B47"/>
    <w:rsid w:val="008F2EA0"/>
    <w:rsid w:val="008F30CB"/>
    <w:rsid w:val="008F3899"/>
    <w:rsid w:val="008F38FF"/>
    <w:rsid w:val="008F39AA"/>
    <w:rsid w:val="008F3EBA"/>
    <w:rsid w:val="008F4ADC"/>
    <w:rsid w:val="008F5442"/>
    <w:rsid w:val="008F549A"/>
    <w:rsid w:val="008F54ED"/>
    <w:rsid w:val="008F5BC3"/>
    <w:rsid w:val="008F6371"/>
    <w:rsid w:val="008F6552"/>
    <w:rsid w:val="008F6710"/>
    <w:rsid w:val="008F6C85"/>
    <w:rsid w:val="008F6FD0"/>
    <w:rsid w:val="008F7722"/>
    <w:rsid w:val="008F7C32"/>
    <w:rsid w:val="008F7F39"/>
    <w:rsid w:val="009009D6"/>
    <w:rsid w:val="00900A81"/>
    <w:rsid w:val="00901615"/>
    <w:rsid w:val="009035E7"/>
    <w:rsid w:val="009038F8"/>
    <w:rsid w:val="009051BC"/>
    <w:rsid w:val="00905497"/>
    <w:rsid w:val="00905988"/>
    <w:rsid w:val="00905EE9"/>
    <w:rsid w:val="0090655B"/>
    <w:rsid w:val="0090701E"/>
    <w:rsid w:val="00907139"/>
    <w:rsid w:val="009105CD"/>
    <w:rsid w:val="00910E7D"/>
    <w:rsid w:val="009134EC"/>
    <w:rsid w:val="00913704"/>
    <w:rsid w:val="00913B3A"/>
    <w:rsid w:val="00913EA8"/>
    <w:rsid w:val="009140CB"/>
    <w:rsid w:val="009155BF"/>
    <w:rsid w:val="009155EC"/>
    <w:rsid w:val="0091579B"/>
    <w:rsid w:val="009161FF"/>
    <w:rsid w:val="009164DA"/>
    <w:rsid w:val="00916D6A"/>
    <w:rsid w:val="00916FCF"/>
    <w:rsid w:val="00917472"/>
    <w:rsid w:val="009175F7"/>
    <w:rsid w:val="00917F50"/>
    <w:rsid w:val="009200D8"/>
    <w:rsid w:val="009201D7"/>
    <w:rsid w:val="0092023E"/>
    <w:rsid w:val="009205CE"/>
    <w:rsid w:val="00921343"/>
    <w:rsid w:val="00922481"/>
    <w:rsid w:val="00923829"/>
    <w:rsid w:val="009238AF"/>
    <w:rsid w:val="00923912"/>
    <w:rsid w:val="00923957"/>
    <w:rsid w:val="009255F9"/>
    <w:rsid w:val="00925674"/>
    <w:rsid w:val="009257E1"/>
    <w:rsid w:val="0092650A"/>
    <w:rsid w:val="009269B5"/>
    <w:rsid w:val="00927C34"/>
    <w:rsid w:val="00927C74"/>
    <w:rsid w:val="009309CC"/>
    <w:rsid w:val="00930B66"/>
    <w:rsid w:val="00931038"/>
    <w:rsid w:val="00931BC4"/>
    <w:rsid w:val="00931BD5"/>
    <w:rsid w:val="0093202E"/>
    <w:rsid w:val="00933F44"/>
    <w:rsid w:val="00934174"/>
    <w:rsid w:val="00934DB0"/>
    <w:rsid w:val="00936307"/>
    <w:rsid w:val="0093778C"/>
    <w:rsid w:val="00940ABC"/>
    <w:rsid w:val="00940EF6"/>
    <w:rsid w:val="009413D0"/>
    <w:rsid w:val="00941426"/>
    <w:rsid w:val="009415FA"/>
    <w:rsid w:val="00942A79"/>
    <w:rsid w:val="00942E1B"/>
    <w:rsid w:val="00943C8C"/>
    <w:rsid w:val="00943E9E"/>
    <w:rsid w:val="009443CC"/>
    <w:rsid w:val="00944A96"/>
    <w:rsid w:val="00944BA4"/>
    <w:rsid w:val="00947474"/>
    <w:rsid w:val="009506CB"/>
    <w:rsid w:val="00953116"/>
    <w:rsid w:val="0095439D"/>
    <w:rsid w:val="00955A7E"/>
    <w:rsid w:val="009574FF"/>
    <w:rsid w:val="00957D65"/>
    <w:rsid w:val="00957F67"/>
    <w:rsid w:val="0096034E"/>
    <w:rsid w:val="00960863"/>
    <w:rsid w:val="00960B35"/>
    <w:rsid w:val="00960BFE"/>
    <w:rsid w:val="00961902"/>
    <w:rsid w:val="009620AE"/>
    <w:rsid w:val="00962257"/>
    <w:rsid w:val="00962D55"/>
    <w:rsid w:val="0096360D"/>
    <w:rsid w:val="00963F67"/>
    <w:rsid w:val="0096427B"/>
    <w:rsid w:val="00964AEF"/>
    <w:rsid w:val="0096579B"/>
    <w:rsid w:val="0096611B"/>
    <w:rsid w:val="009662CD"/>
    <w:rsid w:val="00966933"/>
    <w:rsid w:val="00966D11"/>
    <w:rsid w:val="00966E90"/>
    <w:rsid w:val="00967D1B"/>
    <w:rsid w:val="0097029A"/>
    <w:rsid w:val="00970F9C"/>
    <w:rsid w:val="009710A5"/>
    <w:rsid w:val="00971680"/>
    <w:rsid w:val="00971B32"/>
    <w:rsid w:val="0097248F"/>
    <w:rsid w:val="009724E3"/>
    <w:rsid w:val="009734E5"/>
    <w:rsid w:val="00974038"/>
    <w:rsid w:val="00974127"/>
    <w:rsid w:val="00977136"/>
    <w:rsid w:val="009778EA"/>
    <w:rsid w:val="00977D13"/>
    <w:rsid w:val="00977EF3"/>
    <w:rsid w:val="0098021F"/>
    <w:rsid w:val="00981051"/>
    <w:rsid w:val="00982F13"/>
    <w:rsid w:val="0098301E"/>
    <w:rsid w:val="009834A4"/>
    <w:rsid w:val="009834B1"/>
    <w:rsid w:val="009837DB"/>
    <w:rsid w:val="00983E62"/>
    <w:rsid w:val="00983ED8"/>
    <w:rsid w:val="00984488"/>
    <w:rsid w:val="00984BFF"/>
    <w:rsid w:val="00984F36"/>
    <w:rsid w:val="00985BE6"/>
    <w:rsid w:val="00986C5C"/>
    <w:rsid w:val="00987088"/>
    <w:rsid w:val="00987127"/>
    <w:rsid w:val="009904A3"/>
    <w:rsid w:val="00990C93"/>
    <w:rsid w:val="00991750"/>
    <w:rsid w:val="00992E2B"/>
    <w:rsid w:val="00994589"/>
    <w:rsid w:val="00995AD5"/>
    <w:rsid w:val="00995D3F"/>
    <w:rsid w:val="009A07C4"/>
    <w:rsid w:val="009A08AF"/>
    <w:rsid w:val="009A0DC4"/>
    <w:rsid w:val="009A1898"/>
    <w:rsid w:val="009A1BED"/>
    <w:rsid w:val="009A211B"/>
    <w:rsid w:val="009A23CD"/>
    <w:rsid w:val="009A2569"/>
    <w:rsid w:val="009A3684"/>
    <w:rsid w:val="009A44BC"/>
    <w:rsid w:val="009A48FD"/>
    <w:rsid w:val="009A5980"/>
    <w:rsid w:val="009A5A94"/>
    <w:rsid w:val="009A5E50"/>
    <w:rsid w:val="009A622D"/>
    <w:rsid w:val="009A7EF5"/>
    <w:rsid w:val="009B04B4"/>
    <w:rsid w:val="009B0EBB"/>
    <w:rsid w:val="009B0F3F"/>
    <w:rsid w:val="009B156A"/>
    <w:rsid w:val="009B187F"/>
    <w:rsid w:val="009B2C53"/>
    <w:rsid w:val="009B3221"/>
    <w:rsid w:val="009B34F1"/>
    <w:rsid w:val="009B3678"/>
    <w:rsid w:val="009B3C70"/>
    <w:rsid w:val="009B4240"/>
    <w:rsid w:val="009B5010"/>
    <w:rsid w:val="009B54FC"/>
    <w:rsid w:val="009B5671"/>
    <w:rsid w:val="009B5C97"/>
    <w:rsid w:val="009B63F5"/>
    <w:rsid w:val="009B73FD"/>
    <w:rsid w:val="009B7443"/>
    <w:rsid w:val="009B74BB"/>
    <w:rsid w:val="009B7570"/>
    <w:rsid w:val="009B75CF"/>
    <w:rsid w:val="009B7FA7"/>
    <w:rsid w:val="009C02D2"/>
    <w:rsid w:val="009C06ED"/>
    <w:rsid w:val="009C10DF"/>
    <w:rsid w:val="009C162C"/>
    <w:rsid w:val="009C1E32"/>
    <w:rsid w:val="009C2563"/>
    <w:rsid w:val="009C3086"/>
    <w:rsid w:val="009C376D"/>
    <w:rsid w:val="009C4001"/>
    <w:rsid w:val="009C48CD"/>
    <w:rsid w:val="009C5628"/>
    <w:rsid w:val="009C5D84"/>
    <w:rsid w:val="009C5E85"/>
    <w:rsid w:val="009C62F9"/>
    <w:rsid w:val="009C6444"/>
    <w:rsid w:val="009C6EF6"/>
    <w:rsid w:val="009C78B5"/>
    <w:rsid w:val="009D07AE"/>
    <w:rsid w:val="009D0EED"/>
    <w:rsid w:val="009D10FE"/>
    <w:rsid w:val="009D11A6"/>
    <w:rsid w:val="009D40D0"/>
    <w:rsid w:val="009D4807"/>
    <w:rsid w:val="009D4966"/>
    <w:rsid w:val="009D4B37"/>
    <w:rsid w:val="009D58C6"/>
    <w:rsid w:val="009D594E"/>
    <w:rsid w:val="009D724E"/>
    <w:rsid w:val="009D743C"/>
    <w:rsid w:val="009D74AB"/>
    <w:rsid w:val="009E0DCE"/>
    <w:rsid w:val="009E0F49"/>
    <w:rsid w:val="009E104E"/>
    <w:rsid w:val="009E14B4"/>
    <w:rsid w:val="009E196E"/>
    <w:rsid w:val="009E264F"/>
    <w:rsid w:val="009E2932"/>
    <w:rsid w:val="009E3580"/>
    <w:rsid w:val="009E44AC"/>
    <w:rsid w:val="009E4B27"/>
    <w:rsid w:val="009E4B77"/>
    <w:rsid w:val="009E55D9"/>
    <w:rsid w:val="009E55F6"/>
    <w:rsid w:val="009E6AF3"/>
    <w:rsid w:val="009E76CF"/>
    <w:rsid w:val="009F0534"/>
    <w:rsid w:val="009F095A"/>
    <w:rsid w:val="009F20B4"/>
    <w:rsid w:val="009F2552"/>
    <w:rsid w:val="009F29CF"/>
    <w:rsid w:val="009F3C66"/>
    <w:rsid w:val="009F3E64"/>
    <w:rsid w:val="009F47A9"/>
    <w:rsid w:val="009F50FB"/>
    <w:rsid w:val="009F5C9B"/>
    <w:rsid w:val="009F6AD3"/>
    <w:rsid w:val="009F6FE8"/>
    <w:rsid w:val="009F7F00"/>
    <w:rsid w:val="00A00387"/>
    <w:rsid w:val="00A00EED"/>
    <w:rsid w:val="00A02134"/>
    <w:rsid w:val="00A036E6"/>
    <w:rsid w:val="00A054C8"/>
    <w:rsid w:val="00A05C35"/>
    <w:rsid w:val="00A05C88"/>
    <w:rsid w:val="00A060E2"/>
    <w:rsid w:val="00A06ABB"/>
    <w:rsid w:val="00A0716B"/>
    <w:rsid w:val="00A07547"/>
    <w:rsid w:val="00A07684"/>
    <w:rsid w:val="00A07AFD"/>
    <w:rsid w:val="00A07BDB"/>
    <w:rsid w:val="00A10A0E"/>
    <w:rsid w:val="00A10A35"/>
    <w:rsid w:val="00A11058"/>
    <w:rsid w:val="00A118D9"/>
    <w:rsid w:val="00A11A63"/>
    <w:rsid w:val="00A11A6D"/>
    <w:rsid w:val="00A123B4"/>
    <w:rsid w:val="00A124A8"/>
    <w:rsid w:val="00A12B82"/>
    <w:rsid w:val="00A12E59"/>
    <w:rsid w:val="00A131B1"/>
    <w:rsid w:val="00A13577"/>
    <w:rsid w:val="00A138C9"/>
    <w:rsid w:val="00A139D1"/>
    <w:rsid w:val="00A13A3C"/>
    <w:rsid w:val="00A13E71"/>
    <w:rsid w:val="00A142BC"/>
    <w:rsid w:val="00A1504E"/>
    <w:rsid w:val="00A15C12"/>
    <w:rsid w:val="00A15F0A"/>
    <w:rsid w:val="00A17352"/>
    <w:rsid w:val="00A220E4"/>
    <w:rsid w:val="00A22251"/>
    <w:rsid w:val="00A22961"/>
    <w:rsid w:val="00A22AEA"/>
    <w:rsid w:val="00A23571"/>
    <w:rsid w:val="00A236DA"/>
    <w:rsid w:val="00A238C4"/>
    <w:rsid w:val="00A243AC"/>
    <w:rsid w:val="00A24BDF"/>
    <w:rsid w:val="00A25374"/>
    <w:rsid w:val="00A253A3"/>
    <w:rsid w:val="00A25425"/>
    <w:rsid w:val="00A258E2"/>
    <w:rsid w:val="00A2602A"/>
    <w:rsid w:val="00A264A4"/>
    <w:rsid w:val="00A27036"/>
    <w:rsid w:val="00A302A9"/>
    <w:rsid w:val="00A321E5"/>
    <w:rsid w:val="00A3257B"/>
    <w:rsid w:val="00A339BE"/>
    <w:rsid w:val="00A33C45"/>
    <w:rsid w:val="00A3408F"/>
    <w:rsid w:val="00A35010"/>
    <w:rsid w:val="00A3532E"/>
    <w:rsid w:val="00A359D7"/>
    <w:rsid w:val="00A35E11"/>
    <w:rsid w:val="00A3613D"/>
    <w:rsid w:val="00A3648B"/>
    <w:rsid w:val="00A36E34"/>
    <w:rsid w:val="00A373EB"/>
    <w:rsid w:val="00A37664"/>
    <w:rsid w:val="00A40548"/>
    <w:rsid w:val="00A40942"/>
    <w:rsid w:val="00A41695"/>
    <w:rsid w:val="00A41A93"/>
    <w:rsid w:val="00A421A7"/>
    <w:rsid w:val="00A424A5"/>
    <w:rsid w:val="00A4292D"/>
    <w:rsid w:val="00A42B17"/>
    <w:rsid w:val="00A431A9"/>
    <w:rsid w:val="00A434BE"/>
    <w:rsid w:val="00A436A7"/>
    <w:rsid w:val="00A436AF"/>
    <w:rsid w:val="00A439EC"/>
    <w:rsid w:val="00A44957"/>
    <w:rsid w:val="00A44DD3"/>
    <w:rsid w:val="00A458A5"/>
    <w:rsid w:val="00A458F0"/>
    <w:rsid w:val="00A46223"/>
    <w:rsid w:val="00A473A6"/>
    <w:rsid w:val="00A474A3"/>
    <w:rsid w:val="00A477B2"/>
    <w:rsid w:val="00A50D60"/>
    <w:rsid w:val="00A50E42"/>
    <w:rsid w:val="00A5186F"/>
    <w:rsid w:val="00A5196E"/>
    <w:rsid w:val="00A5289F"/>
    <w:rsid w:val="00A533DD"/>
    <w:rsid w:val="00A535EF"/>
    <w:rsid w:val="00A54073"/>
    <w:rsid w:val="00A54260"/>
    <w:rsid w:val="00A54322"/>
    <w:rsid w:val="00A54423"/>
    <w:rsid w:val="00A54D9E"/>
    <w:rsid w:val="00A54DCA"/>
    <w:rsid w:val="00A55586"/>
    <w:rsid w:val="00A55818"/>
    <w:rsid w:val="00A55880"/>
    <w:rsid w:val="00A56BA1"/>
    <w:rsid w:val="00A571E5"/>
    <w:rsid w:val="00A57B65"/>
    <w:rsid w:val="00A602C3"/>
    <w:rsid w:val="00A60598"/>
    <w:rsid w:val="00A6080D"/>
    <w:rsid w:val="00A60C06"/>
    <w:rsid w:val="00A61061"/>
    <w:rsid w:val="00A61FA1"/>
    <w:rsid w:val="00A62C01"/>
    <w:rsid w:val="00A63C7F"/>
    <w:rsid w:val="00A65A53"/>
    <w:rsid w:val="00A65E61"/>
    <w:rsid w:val="00A665B0"/>
    <w:rsid w:val="00A6692E"/>
    <w:rsid w:val="00A66B73"/>
    <w:rsid w:val="00A66F52"/>
    <w:rsid w:val="00A66F54"/>
    <w:rsid w:val="00A677FB"/>
    <w:rsid w:val="00A705CE"/>
    <w:rsid w:val="00A70995"/>
    <w:rsid w:val="00A7143E"/>
    <w:rsid w:val="00A721D5"/>
    <w:rsid w:val="00A724FC"/>
    <w:rsid w:val="00A73F8C"/>
    <w:rsid w:val="00A74C6B"/>
    <w:rsid w:val="00A74CA8"/>
    <w:rsid w:val="00A75346"/>
    <w:rsid w:val="00A75391"/>
    <w:rsid w:val="00A764EE"/>
    <w:rsid w:val="00A7651E"/>
    <w:rsid w:val="00A7663E"/>
    <w:rsid w:val="00A76A8C"/>
    <w:rsid w:val="00A776BC"/>
    <w:rsid w:val="00A77A65"/>
    <w:rsid w:val="00A77B0E"/>
    <w:rsid w:val="00A80493"/>
    <w:rsid w:val="00A80D97"/>
    <w:rsid w:val="00A81878"/>
    <w:rsid w:val="00A81F14"/>
    <w:rsid w:val="00A826BE"/>
    <w:rsid w:val="00A826DC"/>
    <w:rsid w:val="00A8370E"/>
    <w:rsid w:val="00A839D8"/>
    <w:rsid w:val="00A83C08"/>
    <w:rsid w:val="00A84213"/>
    <w:rsid w:val="00A8492E"/>
    <w:rsid w:val="00A84E01"/>
    <w:rsid w:val="00A8511C"/>
    <w:rsid w:val="00A8574C"/>
    <w:rsid w:val="00A858AD"/>
    <w:rsid w:val="00A85A2C"/>
    <w:rsid w:val="00A85B7F"/>
    <w:rsid w:val="00A86B37"/>
    <w:rsid w:val="00A86CE5"/>
    <w:rsid w:val="00A874C4"/>
    <w:rsid w:val="00A87A21"/>
    <w:rsid w:val="00A908EE"/>
    <w:rsid w:val="00A91510"/>
    <w:rsid w:val="00A926E7"/>
    <w:rsid w:val="00A9291A"/>
    <w:rsid w:val="00A932C0"/>
    <w:rsid w:val="00A93E8C"/>
    <w:rsid w:val="00A94049"/>
    <w:rsid w:val="00A94BF6"/>
    <w:rsid w:val="00A94CA2"/>
    <w:rsid w:val="00A94D08"/>
    <w:rsid w:val="00A9543E"/>
    <w:rsid w:val="00A95BB9"/>
    <w:rsid w:val="00A95CFB"/>
    <w:rsid w:val="00A962D1"/>
    <w:rsid w:val="00A968C7"/>
    <w:rsid w:val="00A96BC1"/>
    <w:rsid w:val="00A9711F"/>
    <w:rsid w:val="00A9745D"/>
    <w:rsid w:val="00A97632"/>
    <w:rsid w:val="00AA209F"/>
    <w:rsid w:val="00AA22B0"/>
    <w:rsid w:val="00AA22FA"/>
    <w:rsid w:val="00AA2516"/>
    <w:rsid w:val="00AA2CA4"/>
    <w:rsid w:val="00AA33B9"/>
    <w:rsid w:val="00AA37FF"/>
    <w:rsid w:val="00AA448A"/>
    <w:rsid w:val="00AA464B"/>
    <w:rsid w:val="00AA47FF"/>
    <w:rsid w:val="00AA488B"/>
    <w:rsid w:val="00AA562A"/>
    <w:rsid w:val="00AA57AC"/>
    <w:rsid w:val="00AA5D5E"/>
    <w:rsid w:val="00AA6866"/>
    <w:rsid w:val="00AA6ED6"/>
    <w:rsid w:val="00AA7F29"/>
    <w:rsid w:val="00AA7F4A"/>
    <w:rsid w:val="00AB0D64"/>
    <w:rsid w:val="00AB10FF"/>
    <w:rsid w:val="00AB3003"/>
    <w:rsid w:val="00AB425A"/>
    <w:rsid w:val="00AB4A94"/>
    <w:rsid w:val="00AB4B3D"/>
    <w:rsid w:val="00AB4F71"/>
    <w:rsid w:val="00AB626B"/>
    <w:rsid w:val="00AB6963"/>
    <w:rsid w:val="00AB755D"/>
    <w:rsid w:val="00AB7BCB"/>
    <w:rsid w:val="00AC01F0"/>
    <w:rsid w:val="00AC02A4"/>
    <w:rsid w:val="00AC093C"/>
    <w:rsid w:val="00AC173D"/>
    <w:rsid w:val="00AC1913"/>
    <w:rsid w:val="00AC2DAE"/>
    <w:rsid w:val="00AC34EA"/>
    <w:rsid w:val="00AC42B0"/>
    <w:rsid w:val="00AC49DB"/>
    <w:rsid w:val="00AC5169"/>
    <w:rsid w:val="00AC5C5C"/>
    <w:rsid w:val="00AC5FDC"/>
    <w:rsid w:val="00AC6474"/>
    <w:rsid w:val="00AC70AF"/>
    <w:rsid w:val="00AC78FF"/>
    <w:rsid w:val="00AC7B3F"/>
    <w:rsid w:val="00AC7CE1"/>
    <w:rsid w:val="00AD08E4"/>
    <w:rsid w:val="00AD11E1"/>
    <w:rsid w:val="00AD135B"/>
    <w:rsid w:val="00AD231E"/>
    <w:rsid w:val="00AD4F19"/>
    <w:rsid w:val="00AD5464"/>
    <w:rsid w:val="00AD5A19"/>
    <w:rsid w:val="00AD5AD7"/>
    <w:rsid w:val="00AD64D3"/>
    <w:rsid w:val="00AD6D4B"/>
    <w:rsid w:val="00AE066B"/>
    <w:rsid w:val="00AE07D5"/>
    <w:rsid w:val="00AE0B4C"/>
    <w:rsid w:val="00AE0D45"/>
    <w:rsid w:val="00AE112B"/>
    <w:rsid w:val="00AE1A40"/>
    <w:rsid w:val="00AE1B6E"/>
    <w:rsid w:val="00AE208F"/>
    <w:rsid w:val="00AE2319"/>
    <w:rsid w:val="00AE2340"/>
    <w:rsid w:val="00AE2637"/>
    <w:rsid w:val="00AE2918"/>
    <w:rsid w:val="00AE2DDA"/>
    <w:rsid w:val="00AE2F8A"/>
    <w:rsid w:val="00AE3203"/>
    <w:rsid w:val="00AE385C"/>
    <w:rsid w:val="00AE3E09"/>
    <w:rsid w:val="00AE3E7C"/>
    <w:rsid w:val="00AE5197"/>
    <w:rsid w:val="00AE51A3"/>
    <w:rsid w:val="00AE5A10"/>
    <w:rsid w:val="00AE5BA9"/>
    <w:rsid w:val="00AE5CB3"/>
    <w:rsid w:val="00AE69AC"/>
    <w:rsid w:val="00AE70E3"/>
    <w:rsid w:val="00AE7424"/>
    <w:rsid w:val="00AF037C"/>
    <w:rsid w:val="00AF09E6"/>
    <w:rsid w:val="00AF1235"/>
    <w:rsid w:val="00AF127F"/>
    <w:rsid w:val="00AF1799"/>
    <w:rsid w:val="00AF194A"/>
    <w:rsid w:val="00AF1AD0"/>
    <w:rsid w:val="00AF1CB0"/>
    <w:rsid w:val="00AF26B4"/>
    <w:rsid w:val="00AF2AF1"/>
    <w:rsid w:val="00AF2EA0"/>
    <w:rsid w:val="00AF306D"/>
    <w:rsid w:val="00AF3461"/>
    <w:rsid w:val="00AF38C6"/>
    <w:rsid w:val="00AF3B5D"/>
    <w:rsid w:val="00AF4007"/>
    <w:rsid w:val="00AF4746"/>
    <w:rsid w:val="00AF4A98"/>
    <w:rsid w:val="00AF50C5"/>
    <w:rsid w:val="00AF5A7C"/>
    <w:rsid w:val="00AF682E"/>
    <w:rsid w:val="00AF78EC"/>
    <w:rsid w:val="00B001E1"/>
    <w:rsid w:val="00B00B0E"/>
    <w:rsid w:val="00B00C68"/>
    <w:rsid w:val="00B010CF"/>
    <w:rsid w:val="00B01949"/>
    <w:rsid w:val="00B0275C"/>
    <w:rsid w:val="00B02A29"/>
    <w:rsid w:val="00B02B1E"/>
    <w:rsid w:val="00B03044"/>
    <w:rsid w:val="00B03886"/>
    <w:rsid w:val="00B03E5D"/>
    <w:rsid w:val="00B04A5D"/>
    <w:rsid w:val="00B04DBB"/>
    <w:rsid w:val="00B056C0"/>
    <w:rsid w:val="00B05CDF"/>
    <w:rsid w:val="00B05E6E"/>
    <w:rsid w:val="00B05FC9"/>
    <w:rsid w:val="00B06138"/>
    <w:rsid w:val="00B063DE"/>
    <w:rsid w:val="00B06965"/>
    <w:rsid w:val="00B06970"/>
    <w:rsid w:val="00B06F3E"/>
    <w:rsid w:val="00B06F73"/>
    <w:rsid w:val="00B079FF"/>
    <w:rsid w:val="00B10DD2"/>
    <w:rsid w:val="00B12310"/>
    <w:rsid w:val="00B12EC5"/>
    <w:rsid w:val="00B1400B"/>
    <w:rsid w:val="00B14528"/>
    <w:rsid w:val="00B147CC"/>
    <w:rsid w:val="00B148DB"/>
    <w:rsid w:val="00B15749"/>
    <w:rsid w:val="00B158C8"/>
    <w:rsid w:val="00B15962"/>
    <w:rsid w:val="00B15A00"/>
    <w:rsid w:val="00B15C98"/>
    <w:rsid w:val="00B15F35"/>
    <w:rsid w:val="00B16069"/>
    <w:rsid w:val="00B16CF2"/>
    <w:rsid w:val="00B16FA4"/>
    <w:rsid w:val="00B173D6"/>
    <w:rsid w:val="00B20A72"/>
    <w:rsid w:val="00B214E2"/>
    <w:rsid w:val="00B2187A"/>
    <w:rsid w:val="00B219CC"/>
    <w:rsid w:val="00B22CEC"/>
    <w:rsid w:val="00B23133"/>
    <w:rsid w:val="00B23740"/>
    <w:rsid w:val="00B23F69"/>
    <w:rsid w:val="00B24DA1"/>
    <w:rsid w:val="00B26719"/>
    <w:rsid w:val="00B26DEA"/>
    <w:rsid w:val="00B270E2"/>
    <w:rsid w:val="00B2737F"/>
    <w:rsid w:val="00B31AF5"/>
    <w:rsid w:val="00B31FD6"/>
    <w:rsid w:val="00B32323"/>
    <w:rsid w:val="00B32579"/>
    <w:rsid w:val="00B333AC"/>
    <w:rsid w:val="00B33615"/>
    <w:rsid w:val="00B33E5C"/>
    <w:rsid w:val="00B34008"/>
    <w:rsid w:val="00B349B8"/>
    <w:rsid w:val="00B34C66"/>
    <w:rsid w:val="00B34F85"/>
    <w:rsid w:val="00B35A1C"/>
    <w:rsid w:val="00B35A36"/>
    <w:rsid w:val="00B365F6"/>
    <w:rsid w:val="00B378D5"/>
    <w:rsid w:val="00B41592"/>
    <w:rsid w:val="00B4171E"/>
    <w:rsid w:val="00B41781"/>
    <w:rsid w:val="00B4225F"/>
    <w:rsid w:val="00B42851"/>
    <w:rsid w:val="00B43A86"/>
    <w:rsid w:val="00B43D56"/>
    <w:rsid w:val="00B45329"/>
    <w:rsid w:val="00B4585C"/>
    <w:rsid w:val="00B45DFF"/>
    <w:rsid w:val="00B46BCD"/>
    <w:rsid w:val="00B46D8E"/>
    <w:rsid w:val="00B474AE"/>
    <w:rsid w:val="00B479B2"/>
    <w:rsid w:val="00B504B8"/>
    <w:rsid w:val="00B51979"/>
    <w:rsid w:val="00B51BE0"/>
    <w:rsid w:val="00B5270F"/>
    <w:rsid w:val="00B52AC5"/>
    <w:rsid w:val="00B532A0"/>
    <w:rsid w:val="00B53541"/>
    <w:rsid w:val="00B5364F"/>
    <w:rsid w:val="00B55000"/>
    <w:rsid w:val="00B56411"/>
    <w:rsid w:val="00B56612"/>
    <w:rsid w:val="00B56BF5"/>
    <w:rsid w:val="00B5767E"/>
    <w:rsid w:val="00B57FBD"/>
    <w:rsid w:val="00B6036B"/>
    <w:rsid w:val="00B60B76"/>
    <w:rsid w:val="00B618B6"/>
    <w:rsid w:val="00B62AC6"/>
    <w:rsid w:val="00B62FF8"/>
    <w:rsid w:val="00B63371"/>
    <w:rsid w:val="00B637A1"/>
    <w:rsid w:val="00B63B4B"/>
    <w:rsid w:val="00B63B54"/>
    <w:rsid w:val="00B64518"/>
    <w:rsid w:val="00B64ED3"/>
    <w:rsid w:val="00B6569C"/>
    <w:rsid w:val="00B65AAE"/>
    <w:rsid w:val="00B65B95"/>
    <w:rsid w:val="00B66245"/>
    <w:rsid w:val="00B66EB2"/>
    <w:rsid w:val="00B66EBA"/>
    <w:rsid w:val="00B67B47"/>
    <w:rsid w:val="00B67C79"/>
    <w:rsid w:val="00B719E7"/>
    <w:rsid w:val="00B73B9F"/>
    <w:rsid w:val="00B7489E"/>
    <w:rsid w:val="00B748B2"/>
    <w:rsid w:val="00B75853"/>
    <w:rsid w:val="00B765AF"/>
    <w:rsid w:val="00B766C6"/>
    <w:rsid w:val="00B76F43"/>
    <w:rsid w:val="00B77015"/>
    <w:rsid w:val="00B775FF"/>
    <w:rsid w:val="00B77743"/>
    <w:rsid w:val="00B800D5"/>
    <w:rsid w:val="00B804BD"/>
    <w:rsid w:val="00B8058D"/>
    <w:rsid w:val="00B812A8"/>
    <w:rsid w:val="00B81A4D"/>
    <w:rsid w:val="00B81C2F"/>
    <w:rsid w:val="00B8219B"/>
    <w:rsid w:val="00B83768"/>
    <w:rsid w:val="00B8389D"/>
    <w:rsid w:val="00B838EB"/>
    <w:rsid w:val="00B83E4D"/>
    <w:rsid w:val="00B83EF8"/>
    <w:rsid w:val="00B84517"/>
    <w:rsid w:val="00B84BF7"/>
    <w:rsid w:val="00B84DBA"/>
    <w:rsid w:val="00B84E2A"/>
    <w:rsid w:val="00B85161"/>
    <w:rsid w:val="00B85FC7"/>
    <w:rsid w:val="00B86CF8"/>
    <w:rsid w:val="00B86E92"/>
    <w:rsid w:val="00B86FB9"/>
    <w:rsid w:val="00B871A5"/>
    <w:rsid w:val="00B878DF"/>
    <w:rsid w:val="00B90041"/>
    <w:rsid w:val="00B90986"/>
    <w:rsid w:val="00B913F6"/>
    <w:rsid w:val="00B914CC"/>
    <w:rsid w:val="00B9160A"/>
    <w:rsid w:val="00B9169A"/>
    <w:rsid w:val="00B917C1"/>
    <w:rsid w:val="00B92132"/>
    <w:rsid w:val="00B92629"/>
    <w:rsid w:val="00B92D04"/>
    <w:rsid w:val="00B92EB8"/>
    <w:rsid w:val="00B92ECD"/>
    <w:rsid w:val="00B93142"/>
    <w:rsid w:val="00B93419"/>
    <w:rsid w:val="00B9381B"/>
    <w:rsid w:val="00B93BAF"/>
    <w:rsid w:val="00B94179"/>
    <w:rsid w:val="00B9445F"/>
    <w:rsid w:val="00B9558A"/>
    <w:rsid w:val="00B9570C"/>
    <w:rsid w:val="00B95F30"/>
    <w:rsid w:val="00B962EC"/>
    <w:rsid w:val="00B964E0"/>
    <w:rsid w:val="00B96685"/>
    <w:rsid w:val="00B96692"/>
    <w:rsid w:val="00B9770B"/>
    <w:rsid w:val="00B97B76"/>
    <w:rsid w:val="00B97ECB"/>
    <w:rsid w:val="00BA00BE"/>
    <w:rsid w:val="00BA075B"/>
    <w:rsid w:val="00BA0B9A"/>
    <w:rsid w:val="00BA0E78"/>
    <w:rsid w:val="00BA1621"/>
    <w:rsid w:val="00BA189B"/>
    <w:rsid w:val="00BA23FB"/>
    <w:rsid w:val="00BA2755"/>
    <w:rsid w:val="00BA28DD"/>
    <w:rsid w:val="00BA361F"/>
    <w:rsid w:val="00BA3F0C"/>
    <w:rsid w:val="00BA4A55"/>
    <w:rsid w:val="00BA4D9B"/>
    <w:rsid w:val="00BA4E11"/>
    <w:rsid w:val="00BA50C3"/>
    <w:rsid w:val="00BA5F0C"/>
    <w:rsid w:val="00BA7415"/>
    <w:rsid w:val="00BA7E18"/>
    <w:rsid w:val="00BA7EFB"/>
    <w:rsid w:val="00BB01CC"/>
    <w:rsid w:val="00BB0CD7"/>
    <w:rsid w:val="00BB13C7"/>
    <w:rsid w:val="00BB2271"/>
    <w:rsid w:val="00BB22D8"/>
    <w:rsid w:val="00BB359F"/>
    <w:rsid w:val="00BB3C7D"/>
    <w:rsid w:val="00BB4EFA"/>
    <w:rsid w:val="00BB514E"/>
    <w:rsid w:val="00BB53DB"/>
    <w:rsid w:val="00BB5ECA"/>
    <w:rsid w:val="00BB69EC"/>
    <w:rsid w:val="00BB6E50"/>
    <w:rsid w:val="00BB6FDC"/>
    <w:rsid w:val="00BC1241"/>
    <w:rsid w:val="00BC1374"/>
    <w:rsid w:val="00BC14DA"/>
    <w:rsid w:val="00BC1747"/>
    <w:rsid w:val="00BC1DCD"/>
    <w:rsid w:val="00BC2570"/>
    <w:rsid w:val="00BC2920"/>
    <w:rsid w:val="00BC339C"/>
    <w:rsid w:val="00BC4FD0"/>
    <w:rsid w:val="00BC5AE0"/>
    <w:rsid w:val="00BC5C5F"/>
    <w:rsid w:val="00BC6531"/>
    <w:rsid w:val="00BC669B"/>
    <w:rsid w:val="00BC6C42"/>
    <w:rsid w:val="00BC715C"/>
    <w:rsid w:val="00BC7F4F"/>
    <w:rsid w:val="00BD07C9"/>
    <w:rsid w:val="00BD0E54"/>
    <w:rsid w:val="00BD0E5A"/>
    <w:rsid w:val="00BD1440"/>
    <w:rsid w:val="00BD172F"/>
    <w:rsid w:val="00BD3C3A"/>
    <w:rsid w:val="00BD3C93"/>
    <w:rsid w:val="00BD4D2A"/>
    <w:rsid w:val="00BD4FEC"/>
    <w:rsid w:val="00BD5456"/>
    <w:rsid w:val="00BD5B35"/>
    <w:rsid w:val="00BD5C8D"/>
    <w:rsid w:val="00BD6486"/>
    <w:rsid w:val="00BD7AB1"/>
    <w:rsid w:val="00BD7AF2"/>
    <w:rsid w:val="00BD7EE7"/>
    <w:rsid w:val="00BE118A"/>
    <w:rsid w:val="00BE151A"/>
    <w:rsid w:val="00BE1658"/>
    <w:rsid w:val="00BE3064"/>
    <w:rsid w:val="00BE34D2"/>
    <w:rsid w:val="00BE3771"/>
    <w:rsid w:val="00BE48A7"/>
    <w:rsid w:val="00BE5F23"/>
    <w:rsid w:val="00BE5FCF"/>
    <w:rsid w:val="00BE62DE"/>
    <w:rsid w:val="00BE63C7"/>
    <w:rsid w:val="00BE6DAC"/>
    <w:rsid w:val="00BE6F03"/>
    <w:rsid w:val="00BE742A"/>
    <w:rsid w:val="00BF025C"/>
    <w:rsid w:val="00BF075E"/>
    <w:rsid w:val="00BF0E4D"/>
    <w:rsid w:val="00BF0F88"/>
    <w:rsid w:val="00BF3CB8"/>
    <w:rsid w:val="00BF3D48"/>
    <w:rsid w:val="00BF4B38"/>
    <w:rsid w:val="00BF4EA1"/>
    <w:rsid w:val="00BF5016"/>
    <w:rsid w:val="00BF52EC"/>
    <w:rsid w:val="00BF58D5"/>
    <w:rsid w:val="00BF6144"/>
    <w:rsid w:val="00BF66B2"/>
    <w:rsid w:val="00BF682D"/>
    <w:rsid w:val="00BF68CA"/>
    <w:rsid w:val="00BF6F37"/>
    <w:rsid w:val="00BF7113"/>
    <w:rsid w:val="00BF712F"/>
    <w:rsid w:val="00BF746B"/>
    <w:rsid w:val="00BF7D7E"/>
    <w:rsid w:val="00C012C4"/>
    <w:rsid w:val="00C01B17"/>
    <w:rsid w:val="00C026B8"/>
    <w:rsid w:val="00C02DC8"/>
    <w:rsid w:val="00C04299"/>
    <w:rsid w:val="00C04D55"/>
    <w:rsid w:val="00C0506F"/>
    <w:rsid w:val="00C052A6"/>
    <w:rsid w:val="00C05302"/>
    <w:rsid w:val="00C0550A"/>
    <w:rsid w:val="00C067AF"/>
    <w:rsid w:val="00C069D4"/>
    <w:rsid w:val="00C072AB"/>
    <w:rsid w:val="00C076CA"/>
    <w:rsid w:val="00C07B75"/>
    <w:rsid w:val="00C07D63"/>
    <w:rsid w:val="00C100FB"/>
    <w:rsid w:val="00C10E0F"/>
    <w:rsid w:val="00C11F5A"/>
    <w:rsid w:val="00C127DA"/>
    <w:rsid w:val="00C12862"/>
    <w:rsid w:val="00C12882"/>
    <w:rsid w:val="00C12CE5"/>
    <w:rsid w:val="00C14752"/>
    <w:rsid w:val="00C1610A"/>
    <w:rsid w:val="00C16502"/>
    <w:rsid w:val="00C172DC"/>
    <w:rsid w:val="00C17978"/>
    <w:rsid w:val="00C17B3E"/>
    <w:rsid w:val="00C203CF"/>
    <w:rsid w:val="00C21485"/>
    <w:rsid w:val="00C21E24"/>
    <w:rsid w:val="00C21F13"/>
    <w:rsid w:val="00C221B9"/>
    <w:rsid w:val="00C222A1"/>
    <w:rsid w:val="00C225D2"/>
    <w:rsid w:val="00C22709"/>
    <w:rsid w:val="00C233FF"/>
    <w:rsid w:val="00C23C1D"/>
    <w:rsid w:val="00C24060"/>
    <w:rsid w:val="00C24897"/>
    <w:rsid w:val="00C25432"/>
    <w:rsid w:val="00C26074"/>
    <w:rsid w:val="00C260E5"/>
    <w:rsid w:val="00C30340"/>
    <w:rsid w:val="00C3088F"/>
    <w:rsid w:val="00C30D83"/>
    <w:rsid w:val="00C313DD"/>
    <w:rsid w:val="00C31AF4"/>
    <w:rsid w:val="00C328A7"/>
    <w:rsid w:val="00C32C5F"/>
    <w:rsid w:val="00C3352B"/>
    <w:rsid w:val="00C33A00"/>
    <w:rsid w:val="00C344C9"/>
    <w:rsid w:val="00C35BB3"/>
    <w:rsid w:val="00C35D19"/>
    <w:rsid w:val="00C365BC"/>
    <w:rsid w:val="00C36771"/>
    <w:rsid w:val="00C37186"/>
    <w:rsid w:val="00C37227"/>
    <w:rsid w:val="00C374DB"/>
    <w:rsid w:val="00C37CC0"/>
    <w:rsid w:val="00C37DE8"/>
    <w:rsid w:val="00C40214"/>
    <w:rsid w:val="00C40520"/>
    <w:rsid w:val="00C40A4A"/>
    <w:rsid w:val="00C40BE7"/>
    <w:rsid w:val="00C411DE"/>
    <w:rsid w:val="00C4132B"/>
    <w:rsid w:val="00C41365"/>
    <w:rsid w:val="00C41664"/>
    <w:rsid w:val="00C42023"/>
    <w:rsid w:val="00C42C8D"/>
    <w:rsid w:val="00C43CD8"/>
    <w:rsid w:val="00C440BC"/>
    <w:rsid w:val="00C44417"/>
    <w:rsid w:val="00C449F3"/>
    <w:rsid w:val="00C4554C"/>
    <w:rsid w:val="00C47132"/>
    <w:rsid w:val="00C47D6C"/>
    <w:rsid w:val="00C50AC0"/>
    <w:rsid w:val="00C50B0E"/>
    <w:rsid w:val="00C50FA9"/>
    <w:rsid w:val="00C516B5"/>
    <w:rsid w:val="00C51E2B"/>
    <w:rsid w:val="00C51E67"/>
    <w:rsid w:val="00C52368"/>
    <w:rsid w:val="00C52786"/>
    <w:rsid w:val="00C53A92"/>
    <w:rsid w:val="00C53E01"/>
    <w:rsid w:val="00C53F26"/>
    <w:rsid w:val="00C548D0"/>
    <w:rsid w:val="00C54A35"/>
    <w:rsid w:val="00C55697"/>
    <w:rsid w:val="00C55B70"/>
    <w:rsid w:val="00C55BBF"/>
    <w:rsid w:val="00C55BD6"/>
    <w:rsid w:val="00C55D09"/>
    <w:rsid w:val="00C569E2"/>
    <w:rsid w:val="00C56D96"/>
    <w:rsid w:val="00C56DF9"/>
    <w:rsid w:val="00C56EAB"/>
    <w:rsid w:val="00C606B4"/>
    <w:rsid w:val="00C60857"/>
    <w:rsid w:val="00C60A3A"/>
    <w:rsid w:val="00C60D93"/>
    <w:rsid w:val="00C61149"/>
    <w:rsid w:val="00C62E46"/>
    <w:rsid w:val="00C63308"/>
    <w:rsid w:val="00C635A8"/>
    <w:rsid w:val="00C63817"/>
    <w:rsid w:val="00C63824"/>
    <w:rsid w:val="00C63BD1"/>
    <w:rsid w:val="00C64174"/>
    <w:rsid w:val="00C6442C"/>
    <w:rsid w:val="00C65670"/>
    <w:rsid w:val="00C65B86"/>
    <w:rsid w:val="00C6642D"/>
    <w:rsid w:val="00C6692D"/>
    <w:rsid w:val="00C70303"/>
    <w:rsid w:val="00C70845"/>
    <w:rsid w:val="00C70E07"/>
    <w:rsid w:val="00C70E55"/>
    <w:rsid w:val="00C70EE2"/>
    <w:rsid w:val="00C71194"/>
    <w:rsid w:val="00C7191E"/>
    <w:rsid w:val="00C71B13"/>
    <w:rsid w:val="00C71C59"/>
    <w:rsid w:val="00C71DCD"/>
    <w:rsid w:val="00C727A8"/>
    <w:rsid w:val="00C72869"/>
    <w:rsid w:val="00C733C8"/>
    <w:rsid w:val="00C73C21"/>
    <w:rsid w:val="00C74CDD"/>
    <w:rsid w:val="00C7683D"/>
    <w:rsid w:val="00C76A58"/>
    <w:rsid w:val="00C775AB"/>
    <w:rsid w:val="00C80CC5"/>
    <w:rsid w:val="00C81211"/>
    <w:rsid w:val="00C812B0"/>
    <w:rsid w:val="00C81D1F"/>
    <w:rsid w:val="00C82065"/>
    <w:rsid w:val="00C82112"/>
    <w:rsid w:val="00C822BD"/>
    <w:rsid w:val="00C827A6"/>
    <w:rsid w:val="00C83A7C"/>
    <w:rsid w:val="00C848B4"/>
    <w:rsid w:val="00C8560D"/>
    <w:rsid w:val="00C85699"/>
    <w:rsid w:val="00C85C7D"/>
    <w:rsid w:val="00C87E83"/>
    <w:rsid w:val="00C87F79"/>
    <w:rsid w:val="00C9194B"/>
    <w:rsid w:val="00C91AB0"/>
    <w:rsid w:val="00C92003"/>
    <w:rsid w:val="00C92234"/>
    <w:rsid w:val="00C925B7"/>
    <w:rsid w:val="00C92B63"/>
    <w:rsid w:val="00C93A12"/>
    <w:rsid w:val="00C94954"/>
    <w:rsid w:val="00C95250"/>
    <w:rsid w:val="00C95253"/>
    <w:rsid w:val="00C958D4"/>
    <w:rsid w:val="00C95CBF"/>
    <w:rsid w:val="00C96B34"/>
    <w:rsid w:val="00C96B5F"/>
    <w:rsid w:val="00C96D9A"/>
    <w:rsid w:val="00C976DA"/>
    <w:rsid w:val="00CA0275"/>
    <w:rsid w:val="00CA027C"/>
    <w:rsid w:val="00CA17FD"/>
    <w:rsid w:val="00CA2A25"/>
    <w:rsid w:val="00CA2C99"/>
    <w:rsid w:val="00CA2D15"/>
    <w:rsid w:val="00CA30DC"/>
    <w:rsid w:val="00CA3169"/>
    <w:rsid w:val="00CA3500"/>
    <w:rsid w:val="00CA3FD9"/>
    <w:rsid w:val="00CA46BA"/>
    <w:rsid w:val="00CA47CB"/>
    <w:rsid w:val="00CA4C2B"/>
    <w:rsid w:val="00CA52CF"/>
    <w:rsid w:val="00CA5B2A"/>
    <w:rsid w:val="00CA6263"/>
    <w:rsid w:val="00CA6426"/>
    <w:rsid w:val="00CA6865"/>
    <w:rsid w:val="00CA6BB7"/>
    <w:rsid w:val="00CA70FA"/>
    <w:rsid w:val="00CA74B7"/>
    <w:rsid w:val="00CA780C"/>
    <w:rsid w:val="00CB0621"/>
    <w:rsid w:val="00CB078E"/>
    <w:rsid w:val="00CB087E"/>
    <w:rsid w:val="00CB257F"/>
    <w:rsid w:val="00CB2FA9"/>
    <w:rsid w:val="00CB3B18"/>
    <w:rsid w:val="00CB462C"/>
    <w:rsid w:val="00CB5537"/>
    <w:rsid w:val="00CB564E"/>
    <w:rsid w:val="00CB5B1A"/>
    <w:rsid w:val="00CB5C9B"/>
    <w:rsid w:val="00CB7689"/>
    <w:rsid w:val="00CC0BA9"/>
    <w:rsid w:val="00CC12BC"/>
    <w:rsid w:val="00CC1C86"/>
    <w:rsid w:val="00CC260D"/>
    <w:rsid w:val="00CC2A09"/>
    <w:rsid w:val="00CC31F8"/>
    <w:rsid w:val="00CC33E0"/>
    <w:rsid w:val="00CC3504"/>
    <w:rsid w:val="00CC3ADA"/>
    <w:rsid w:val="00CC4E66"/>
    <w:rsid w:val="00CC52F5"/>
    <w:rsid w:val="00CC5507"/>
    <w:rsid w:val="00CC5791"/>
    <w:rsid w:val="00CC64E0"/>
    <w:rsid w:val="00CC6A8E"/>
    <w:rsid w:val="00CC6BC9"/>
    <w:rsid w:val="00CC73BE"/>
    <w:rsid w:val="00CD049D"/>
    <w:rsid w:val="00CD1145"/>
    <w:rsid w:val="00CD1177"/>
    <w:rsid w:val="00CD1700"/>
    <w:rsid w:val="00CD1925"/>
    <w:rsid w:val="00CD1B21"/>
    <w:rsid w:val="00CD2948"/>
    <w:rsid w:val="00CD2964"/>
    <w:rsid w:val="00CD2BB5"/>
    <w:rsid w:val="00CD40A2"/>
    <w:rsid w:val="00CD412F"/>
    <w:rsid w:val="00CD4146"/>
    <w:rsid w:val="00CD5625"/>
    <w:rsid w:val="00CD5F84"/>
    <w:rsid w:val="00CD65BA"/>
    <w:rsid w:val="00CD6F63"/>
    <w:rsid w:val="00CD75F2"/>
    <w:rsid w:val="00CD75FB"/>
    <w:rsid w:val="00CE07D1"/>
    <w:rsid w:val="00CE0E68"/>
    <w:rsid w:val="00CE1022"/>
    <w:rsid w:val="00CE1453"/>
    <w:rsid w:val="00CE22F2"/>
    <w:rsid w:val="00CE284B"/>
    <w:rsid w:val="00CE2C06"/>
    <w:rsid w:val="00CE347E"/>
    <w:rsid w:val="00CE4441"/>
    <w:rsid w:val="00CE4491"/>
    <w:rsid w:val="00CE4B31"/>
    <w:rsid w:val="00CE4D00"/>
    <w:rsid w:val="00CE4E0D"/>
    <w:rsid w:val="00CE4E66"/>
    <w:rsid w:val="00CE55D5"/>
    <w:rsid w:val="00CE5614"/>
    <w:rsid w:val="00CE59AE"/>
    <w:rsid w:val="00CE5DBC"/>
    <w:rsid w:val="00CE62A9"/>
    <w:rsid w:val="00CE72C4"/>
    <w:rsid w:val="00CE7A79"/>
    <w:rsid w:val="00CF0E69"/>
    <w:rsid w:val="00CF1342"/>
    <w:rsid w:val="00CF1E64"/>
    <w:rsid w:val="00CF23EB"/>
    <w:rsid w:val="00CF2779"/>
    <w:rsid w:val="00CF38BC"/>
    <w:rsid w:val="00CF3A42"/>
    <w:rsid w:val="00CF4495"/>
    <w:rsid w:val="00CF4741"/>
    <w:rsid w:val="00CF522D"/>
    <w:rsid w:val="00CF65A1"/>
    <w:rsid w:val="00CF7668"/>
    <w:rsid w:val="00CF7CBD"/>
    <w:rsid w:val="00D000CB"/>
    <w:rsid w:val="00D014E4"/>
    <w:rsid w:val="00D0377A"/>
    <w:rsid w:val="00D03BB4"/>
    <w:rsid w:val="00D03E5F"/>
    <w:rsid w:val="00D04243"/>
    <w:rsid w:val="00D043F3"/>
    <w:rsid w:val="00D045EB"/>
    <w:rsid w:val="00D049FB"/>
    <w:rsid w:val="00D05157"/>
    <w:rsid w:val="00D05402"/>
    <w:rsid w:val="00D059C5"/>
    <w:rsid w:val="00D05C23"/>
    <w:rsid w:val="00D063EB"/>
    <w:rsid w:val="00D06CCE"/>
    <w:rsid w:val="00D07A3B"/>
    <w:rsid w:val="00D07CF7"/>
    <w:rsid w:val="00D07D5F"/>
    <w:rsid w:val="00D1056D"/>
    <w:rsid w:val="00D115BA"/>
    <w:rsid w:val="00D11ABF"/>
    <w:rsid w:val="00D11D80"/>
    <w:rsid w:val="00D12084"/>
    <w:rsid w:val="00D12771"/>
    <w:rsid w:val="00D134D3"/>
    <w:rsid w:val="00D14062"/>
    <w:rsid w:val="00D14876"/>
    <w:rsid w:val="00D14986"/>
    <w:rsid w:val="00D160BB"/>
    <w:rsid w:val="00D168B6"/>
    <w:rsid w:val="00D169E5"/>
    <w:rsid w:val="00D2036F"/>
    <w:rsid w:val="00D20C84"/>
    <w:rsid w:val="00D21154"/>
    <w:rsid w:val="00D21E79"/>
    <w:rsid w:val="00D22333"/>
    <w:rsid w:val="00D22494"/>
    <w:rsid w:val="00D237AD"/>
    <w:rsid w:val="00D237B1"/>
    <w:rsid w:val="00D2599A"/>
    <w:rsid w:val="00D266B5"/>
    <w:rsid w:val="00D26C6F"/>
    <w:rsid w:val="00D26F50"/>
    <w:rsid w:val="00D274D9"/>
    <w:rsid w:val="00D27978"/>
    <w:rsid w:val="00D27F6E"/>
    <w:rsid w:val="00D31932"/>
    <w:rsid w:val="00D31AFA"/>
    <w:rsid w:val="00D31B6B"/>
    <w:rsid w:val="00D31F8D"/>
    <w:rsid w:val="00D327B2"/>
    <w:rsid w:val="00D328FA"/>
    <w:rsid w:val="00D3527C"/>
    <w:rsid w:val="00D355A5"/>
    <w:rsid w:val="00D36EA6"/>
    <w:rsid w:val="00D40B6B"/>
    <w:rsid w:val="00D40F17"/>
    <w:rsid w:val="00D4110B"/>
    <w:rsid w:val="00D42FB0"/>
    <w:rsid w:val="00D43403"/>
    <w:rsid w:val="00D4365D"/>
    <w:rsid w:val="00D43ECE"/>
    <w:rsid w:val="00D440B2"/>
    <w:rsid w:val="00D44169"/>
    <w:rsid w:val="00D447C6"/>
    <w:rsid w:val="00D457E6"/>
    <w:rsid w:val="00D474F9"/>
    <w:rsid w:val="00D4773F"/>
    <w:rsid w:val="00D47A26"/>
    <w:rsid w:val="00D47E23"/>
    <w:rsid w:val="00D505B9"/>
    <w:rsid w:val="00D50A53"/>
    <w:rsid w:val="00D51BF3"/>
    <w:rsid w:val="00D51E7F"/>
    <w:rsid w:val="00D52848"/>
    <w:rsid w:val="00D530FE"/>
    <w:rsid w:val="00D53AF2"/>
    <w:rsid w:val="00D54593"/>
    <w:rsid w:val="00D55287"/>
    <w:rsid w:val="00D55C2D"/>
    <w:rsid w:val="00D5694F"/>
    <w:rsid w:val="00D56A62"/>
    <w:rsid w:val="00D56BBF"/>
    <w:rsid w:val="00D5751F"/>
    <w:rsid w:val="00D575A9"/>
    <w:rsid w:val="00D57701"/>
    <w:rsid w:val="00D57793"/>
    <w:rsid w:val="00D5799B"/>
    <w:rsid w:val="00D57ADA"/>
    <w:rsid w:val="00D6005F"/>
    <w:rsid w:val="00D6052F"/>
    <w:rsid w:val="00D61068"/>
    <w:rsid w:val="00D612D7"/>
    <w:rsid w:val="00D61D97"/>
    <w:rsid w:val="00D622EB"/>
    <w:rsid w:val="00D62CC5"/>
    <w:rsid w:val="00D63537"/>
    <w:rsid w:val="00D64073"/>
    <w:rsid w:val="00D641B6"/>
    <w:rsid w:val="00D6526B"/>
    <w:rsid w:val="00D65CC9"/>
    <w:rsid w:val="00D65EFF"/>
    <w:rsid w:val="00D66FEC"/>
    <w:rsid w:val="00D705EC"/>
    <w:rsid w:val="00D70F17"/>
    <w:rsid w:val="00D71E2C"/>
    <w:rsid w:val="00D71EE3"/>
    <w:rsid w:val="00D7333E"/>
    <w:rsid w:val="00D73A93"/>
    <w:rsid w:val="00D73FC2"/>
    <w:rsid w:val="00D74397"/>
    <w:rsid w:val="00D74415"/>
    <w:rsid w:val="00D74580"/>
    <w:rsid w:val="00D757B3"/>
    <w:rsid w:val="00D765A7"/>
    <w:rsid w:val="00D7711C"/>
    <w:rsid w:val="00D77149"/>
    <w:rsid w:val="00D800A9"/>
    <w:rsid w:val="00D80E78"/>
    <w:rsid w:val="00D8120A"/>
    <w:rsid w:val="00D81B43"/>
    <w:rsid w:val="00D81DC6"/>
    <w:rsid w:val="00D8261A"/>
    <w:rsid w:val="00D82901"/>
    <w:rsid w:val="00D82D2D"/>
    <w:rsid w:val="00D83327"/>
    <w:rsid w:val="00D8332E"/>
    <w:rsid w:val="00D839C7"/>
    <w:rsid w:val="00D83A3C"/>
    <w:rsid w:val="00D83D36"/>
    <w:rsid w:val="00D84272"/>
    <w:rsid w:val="00D85783"/>
    <w:rsid w:val="00D85BC0"/>
    <w:rsid w:val="00D861C5"/>
    <w:rsid w:val="00D8622A"/>
    <w:rsid w:val="00D86941"/>
    <w:rsid w:val="00D8706D"/>
    <w:rsid w:val="00D871F1"/>
    <w:rsid w:val="00D874EC"/>
    <w:rsid w:val="00D87B34"/>
    <w:rsid w:val="00D87B61"/>
    <w:rsid w:val="00D87CA3"/>
    <w:rsid w:val="00D91616"/>
    <w:rsid w:val="00D918E1"/>
    <w:rsid w:val="00D91E5B"/>
    <w:rsid w:val="00D937FC"/>
    <w:rsid w:val="00D93A69"/>
    <w:rsid w:val="00D95278"/>
    <w:rsid w:val="00D9570C"/>
    <w:rsid w:val="00D972DE"/>
    <w:rsid w:val="00D97389"/>
    <w:rsid w:val="00DA0337"/>
    <w:rsid w:val="00DA07F9"/>
    <w:rsid w:val="00DA0EE8"/>
    <w:rsid w:val="00DA2146"/>
    <w:rsid w:val="00DA3706"/>
    <w:rsid w:val="00DA393D"/>
    <w:rsid w:val="00DA4E59"/>
    <w:rsid w:val="00DA5BBC"/>
    <w:rsid w:val="00DA5C11"/>
    <w:rsid w:val="00DA5E04"/>
    <w:rsid w:val="00DA6737"/>
    <w:rsid w:val="00DA6BE4"/>
    <w:rsid w:val="00DA741A"/>
    <w:rsid w:val="00DA7B9E"/>
    <w:rsid w:val="00DA7BF2"/>
    <w:rsid w:val="00DB0828"/>
    <w:rsid w:val="00DB1AED"/>
    <w:rsid w:val="00DB2DF5"/>
    <w:rsid w:val="00DB2FC4"/>
    <w:rsid w:val="00DB305D"/>
    <w:rsid w:val="00DB3145"/>
    <w:rsid w:val="00DB3289"/>
    <w:rsid w:val="00DB4977"/>
    <w:rsid w:val="00DB5E33"/>
    <w:rsid w:val="00DB6523"/>
    <w:rsid w:val="00DC0C8C"/>
    <w:rsid w:val="00DC0FA6"/>
    <w:rsid w:val="00DC130C"/>
    <w:rsid w:val="00DC2292"/>
    <w:rsid w:val="00DC459C"/>
    <w:rsid w:val="00DC4992"/>
    <w:rsid w:val="00DC4BB8"/>
    <w:rsid w:val="00DC508E"/>
    <w:rsid w:val="00DC5487"/>
    <w:rsid w:val="00DC5DC9"/>
    <w:rsid w:val="00DC6B2C"/>
    <w:rsid w:val="00DC714C"/>
    <w:rsid w:val="00DC79ED"/>
    <w:rsid w:val="00DC7F60"/>
    <w:rsid w:val="00DC7F96"/>
    <w:rsid w:val="00DD0342"/>
    <w:rsid w:val="00DD119F"/>
    <w:rsid w:val="00DD2F7B"/>
    <w:rsid w:val="00DD3AA7"/>
    <w:rsid w:val="00DD3DAD"/>
    <w:rsid w:val="00DD4A2C"/>
    <w:rsid w:val="00DD4C42"/>
    <w:rsid w:val="00DD6A4B"/>
    <w:rsid w:val="00DD6A85"/>
    <w:rsid w:val="00DD6E24"/>
    <w:rsid w:val="00DE04FA"/>
    <w:rsid w:val="00DE094F"/>
    <w:rsid w:val="00DE0C23"/>
    <w:rsid w:val="00DE14A2"/>
    <w:rsid w:val="00DE176F"/>
    <w:rsid w:val="00DE1C5C"/>
    <w:rsid w:val="00DE23C8"/>
    <w:rsid w:val="00DE25AF"/>
    <w:rsid w:val="00DE29BA"/>
    <w:rsid w:val="00DE2E79"/>
    <w:rsid w:val="00DE31BD"/>
    <w:rsid w:val="00DE34B7"/>
    <w:rsid w:val="00DE38F1"/>
    <w:rsid w:val="00DE3939"/>
    <w:rsid w:val="00DE418C"/>
    <w:rsid w:val="00DE5060"/>
    <w:rsid w:val="00DE52B0"/>
    <w:rsid w:val="00DE588D"/>
    <w:rsid w:val="00DE74B8"/>
    <w:rsid w:val="00DE7984"/>
    <w:rsid w:val="00DE7BE0"/>
    <w:rsid w:val="00DF13E0"/>
    <w:rsid w:val="00DF1623"/>
    <w:rsid w:val="00DF16CC"/>
    <w:rsid w:val="00DF2D3E"/>
    <w:rsid w:val="00DF2D9E"/>
    <w:rsid w:val="00DF366C"/>
    <w:rsid w:val="00DF36FD"/>
    <w:rsid w:val="00DF3A8E"/>
    <w:rsid w:val="00DF3BB9"/>
    <w:rsid w:val="00DF3F89"/>
    <w:rsid w:val="00DF4216"/>
    <w:rsid w:val="00DF46C4"/>
    <w:rsid w:val="00DF4E88"/>
    <w:rsid w:val="00DF6A92"/>
    <w:rsid w:val="00DF7262"/>
    <w:rsid w:val="00DF7454"/>
    <w:rsid w:val="00E0156D"/>
    <w:rsid w:val="00E025F8"/>
    <w:rsid w:val="00E027FF"/>
    <w:rsid w:val="00E038C5"/>
    <w:rsid w:val="00E03E3B"/>
    <w:rsid w:val="00E04589"/>
    <w:rsid w:val="00E04D05"/>
    <w:rsid w:val="00E05480"/>
    <w:rsid w:val="00E062B5"/>
    <w:rsid w:val="00E0649C"/>
    <w:rsid w:val="00E065FF"/>
    <w:rsid w:val="00E06B38"/>
    <w:rsid w:val="00E06DE1"/>
    <w:rsid w:val="00E07340"/>
    <w:rsid w:val="00E0747D"/>
    <w:rsid w:val="00E078BB"/>
    <w:rsid w:val="00E102DF"/>
    <w:rsid w:val="00E128D8"/>
    <w:rsid w:val="00E12C42"/>
    <w:rsid w:val="00E132D9"/>
    <w:rsid w:val="00E1350E"/>
    <w:rsid w:val="00E155A9"/>
    <w:rsid w:val="00E15E54"/>
    <w:rsid w:val="00E165B5"/>
    <w:rsid w:val="00E167B2"/>
    <w:rsid w:val="00E1688A"/>
    <w:rsid w:val="00E16FCE"/>
    <w:rsid w:val="00E170B3"/>
    <w:rsid w:val="00E1728C"/>
    <w:rsid w:val="00E17A0A"/>
    <w:rsid w:val="00E17DCA"/>
    <w:rsid w:val="00E17ED6"/>
    <w:rsid w:val="00E20EEF"/>
    <w:rsid w:val="00E2102F"/>
    <w:rsid w:val="00E219DF"/>
    <w:rsid w:val="00E227DA"/>
    <w:rsid w:val="00E232AF"/>
    <w:rsid w:val="00E232B1"/>
    <w:rsid w:val="00E232BB"/>
    <w:rsid w:val="00E2333B"/>
    <w:rsid w:val="00E236CB"/>
    <w:rsid w:val="00E24145"/>
    <w:rsid w:val="00E24353"/>
    <w:rsid w:val="00E248AC"/>
    <w:rsid w:val="00E25107"/>
    <w:rsid w:val="00E251ED"/>
    <w:rsid w:val="00E25B33"/>
    <w:rsid w:val="00E26053"/>
    <w:rsid w:val="00E26758"/>
    <w:rsid w:val="00E27F81"/>
    <w:rsid w:val="00E300E3"/>
    <w:rsid w:val="00E30D9B"/>
    <w:rsid w:val="00E3128A"/>
    <w:rsid w:val="00E324C1"/>
    <w:rsid w:val="00E328DF"/>
    <w:rsid w:val="00E32AD7"/>
    <w:rsid w:val="00E33D3B"/>
    <w:rsid w:val="00E3560E"/>
    <w:rsid w:val="00E356D0"/>
    <w:rsid w:val="00E37140"/>
    <w:rsid w:val="00E37193"/>
    <w:rsid w:val="00E37425"/>
    <w:rsid w:val="00E37CBC"/>
    <w:rsid w:val="00E37CC1"/>
    <w:rsid w:val="00E402C9"/>
    <w:rsid w:val="00E40683"/>
    <w:rsid w:val="00E409C1"/>
    <w:rsid w:val="00E40F5E"/>
    <w:rsid w:val="00E415E8"/>
    <w:rsid w:val="00E416FC"/>
    <w:rsid w:val="00E42214"/>
    <w:rsid w:val="00E422FF"/>
    <w:rsid w:val="00E42848"/>
    <w:rsid w:val="00E42CF8"/>
    <w:rsid w:val="00E42ECE"/>
    <w:rsid w:val="00E432AF"/>
    <w:rsid w:val="00E43424"/>
    <w:rsid w:val="00E43CEB"/>
    <w:rsid w:val="00E44494"/>
    <w:rsid w:val="00E44920"/>
    <w:rsid w:val="00E452B5"/>
    <w:rsid w:val="00E45B37"/>
    <w:rsid w:val="00E45E54"/>
    <w:rsid w:val="00E4669C"/>
    <w:rsid w:val="00E4697D"/>
    <w:rsid w:val="00E46FDA"/>
    <w:rsid w:val="00E47078"/>
    <w:rsid w:val="00E477E6"/>
    <w:rsid w:val="00E47A1E"/>
    <w:rsid w:val="00E47D93"/>
    <w:rsid w:val="00E50262"/>
    <w:rsid w:val="00E50712"/>
    <w:rsid w:val="00E507F2"/>
    <w:rsid w:val="00E51F1C"/>
    <w:rsid w:val="00E525AB"/>
    <w:rsid w:val="00E52FA6"/>
    <w:rsid w:val="00E544F8"/>
    <w:rsid w:val="00E553A5"/>
    <w:rsid w:val="00E55613"/>
    <w:rsid w:val="00E55EAB"/>
    <w:rsid w:val="00E561FE"/>
    <w:rsid w:val="00E570AC"/>
    <w:rsid w:val="00E57444"/>
    <w:rsid w:val="00E57E79"/>
    <w:rsid w:val="00E57EEC"/>
    <w:rsid w:val="00E57F23"/>
    <w:rsid w:val="00E601E9"/>
    <w:rsid w:val="00E606C4"/>
    <w:rsid w:val="00E6090F"/>
    <w:rsid w:val="00E60AF7"/>
    <w:rsid w:val="00E615DE"/>
    <w:rsid w:val="00E61910"/>
    <w:rsid w:val="00E61AAA"/>
    <w:rsid w:val="00E61D87"/>
    <w:rsid w:val="00E61E02"/>
    <w:rsid w:val="00E62D84"/>
    <w:rsid w:val="00E63C7B"/>
    <w:rsid w:val="00E64099"/>
    <w:rsid w:val="00E64120"/>
    <w:rsid w:val="00E64E54"/>
    <w:rsid w:val="00E65C68"/>
    <w:rsid w:val="00E65F02"/>
    <w:rsid w:val="00E66B3E"/>
    <w:rsid w:val="00E66BEB"/>
    <w:rsid w:val="00E672CE"/>
    <w:rsid w:val="00E7006B"/>
    <w:rsid w:val="00E700D9"/>
    <w:rsid w:val="00E709C2"/>
    <w:rsid w:val="00E70C63"/>
    <w:rsid w:val="00E715FD"/>
    <w:rsid w:val="00E72123"/>
    <w:rsid w:val="00E72680"/>
    <w:rsid w:val="00E72B34"/>
    <w:rsid w:val="00E73354"/>
    <w:rsid w:val="00E736CD"/>
    <w:rsid w:val="00E7391A"/>
    <w:rsid w:val="00E745B7"/>
    <w:rsid w:val="00E750EC"/>
    <w:rsid w:val="00E75A44"/>
    <w:rsid w:val="00E76018"/>
    <w:rsid w:val="00E768C2"/>
    <w:rsid w:val="00E77470"/>
    <w:rsid w:val="00E80ABA"/>
    <w:rsid w:val="00E81A75"/>
    <w:rsid w:val="00E82769"/>
    <w:rsid w:val="00E82938"/>
    <w:rsid w:val="00E83B3D"/>
    <w:rsid w:val="00E844D0"/>
    <w:rsid w:val="00E848C1"/>
    <w:rsid w:val="00E84DA3"/>
    <w:rsid w:val="00E8544B"/>
    <w:rsid w:val="00E85E74"/>
    <w:rsid w:val="00E85EF5"/>
    <w:rsid w:val="00E85F04"/>
    <w:rsid w:val="00E86275"/>
    <w:rsid w:val="00E86C0D"/>
    <w:rsid w:val="00E871B1"/>
    <w:rsid w:val="00E876DE"/>
    <w:rsid w:val="00E877F8"/>
    <w:rsid w:val="00E8795E"/>
    <w:rsid w:val="00E87967"/>
    <w:rsid w:val="00E90059"/>
    <w:rsid w:val="00E9147D"/>
    <w:rsid w:val="00E918DD"/>
    <w:rsid w:val="00E91DF2"/>
    <w:rsid w:val="00E9258F"/>
    <w:rsid w:val="00E9398C"/>
    <w:rsid w:val="00E93BA0"/>
    <w:rsid w:val="00E9426D"/>
    <w:rsid w:val="00E9479E"/>
    <w:rsid w:val="00E94A47"/>
    <w:rsid w:val="00E953D6"/>
    <w:rsid w:val="00E9584F"/>
    <w:rsid w:val="00E959AF"/>
    <w:rsid w:val="00E95AC3"/>
    <w:rsid w:val="00E95CD4"/>
    <w:rsid w:val="00E96B47"/>
    <w:rsid w:val="00E9791F"/>
    <w:rsid w:val="00E97B6F"/>
    <w:rsid w:val="00E97DDD"/>
    <w:rsid w:val="00EA0161"/>
    <w:rsid w:val="00EA01FF"/>
    <w:rsid w:val="00EA0A9F"/>
    <w:rsid w:val="00EA1022"/>
    <w:rsid w:val="00EA104A"/>
    <w:rsid w:val="00EA1AA2"/>
    <w:rsid w:val="00EA1B94"/>
    <w:rsid w:val="00EA25B4"/>
    <w:rsid w:val="00EA2BE7"/>
    <w:rsid w:val="00EA2D62"/>
    <w:rsid w:val="00EA2D6F"/>
    <w:rsid w:val="00EA36D3"/>
    <w:rsid w:val="00EA3B1C"/>
    <w:rsid w:val="00EA3D4E"/>
    <w:rsid w:val="00EA42F9"/>
    <w:rsid w:val="00EA5FC2"/>
    <w:rsid w:val="00EA74F3"/>
    <w:rsid w:val="00EA7863"/>
    <w:rsid w:val="00EA7928"/>
    <w:rsid w:val="00EA79E9"/>
    <w:rsid w:val="00EA7C92"/>
    <w:rsid w:val="00EB01FC"/>
    <w:rsid w:val="00EB0B1F"/>
    <w:rsid w:val="00EB1841"/>
    <w:rsid w:val="00EB1F65"/>
    <w:rsid w:val="00EB20EA"/>
    <w:rsid w:val="00EB2648"/>
    <w:rsid w:val="00EB2703"/>
    <w:rsid w:val="00EB3002"/>
    <w:rsid w:val="00EB3AD2"/>
    <w:rsid w:val="00EB5466"/>
    <w:rsid w:val="00EB5FB8"/>
    <w:rsid w:val="00EB6655"/>
    <w:rsid w:val="00EB71F8"/>
    <w:rsid w:val="00EC0AD0"/>
    <w:rsid w:val="00EC0B3F"/>
    <w:rsid w:val="00EC1C72"/>
    <w:rsid w:val="00EC1FED"/>
    <w:rsid w:val="00EC2575"/>
    <w:rsid w:val="00EC276B"/>
    <w:rsid w:val="00EC2805"/>
    <w:rsid w:val="00EC2B54"/>
    <w:rsid w:val="00EC2F3C"/>
    <w:rsid w:val="00EC36EB"/>
    <w:rsid w:val="00EC38DD"/>
    <w:rsid w:val="00EC3C52"/>
    <w:rsid w:val="00EC44FB"/>
    <w:rsid w:val="00EC5495"/>
    <w:rsid w:val="00EC5882"/>
    <w:rsid w:val="00EC5AAE"/>
    <w:rsid w:val="00EC5D6D"/>
    <w:rsid w:val="00EC72E6"/>
    <w:rsid w:val="00EC78C3"/>
    <w:rsid w:val="00EC7EB9"/>
    <w:rsid w:val="00ED0B2F"/>
    <w:rsid w:val="00ED0B96"/>
    <w:rsid w:val="00ED0D10"/>
    <w:rsid w:val="00ED12B7"/>
    <w:rsid w:val="00ED1A48"/>
    <w:rsid w:val="00ED1AC3"/>
    <w:rsid w:val="00ED323D"/>
    <w:rsid w:val="00ED4E0B"/>
    <w:rsid w:val="00ED5432"/>
    <w:rsid w:val="00ED550D"/>
    <w:rsid w:val="00ED55DE"/>
    <w:rsid w:val="00ED61B9"/>
    <w:rsid w:val="00ED6303"/>
    <w:rsid w:val="00ED69D0"/>
    <w:rsid w:val="00ED7217"/>
    <w:rsid w:val="00ED7394"/>
    <w:rsid w:val="00ED7871"/>
    <w:rsid w:val="00ED7D2E"/>
    <w:rsid w:val="00EE0FA7"/>
    <w:rsid w:val="00EE1D4E"/>
    <w:rsid w:val="00EE21AA"/>
    <w:rsid w:val="00EE2830"/>
    <w:rsid w:val="00EE2F90"/>
    <w:rsid w:val="00EE3070"/>
    <w:rsid w:val="00EE3563"/>
    <w:rsid w:val="00EE3CA8"/>
    <w:rsid w:val="00EE3CDA"/>
    <w:rsid w:val="00EE575C"/>
    <w:rsid w:val="00EE61E4"/>
    <w:rsid w:val="00EE6F77"/>
    <w:rsid w:val="00EE704A"/>
    <w:rsid w:val="00EE7CD4"/>
    <w:rsid w:val="00EF1063"/>
    <w:rsid w:val="00EF164F"/>
    <w:rsid w:val="00EF2424"/>
    <w:rsid w:val="00EF37C6"/>
    <w:rsid w:val="00EF3ADB"/>
    <w:rsid w:val="00EF4A69"/>
    <w:rsid w:val="00EF56F5"/>
    <w:rsid w:val="00EF59A1"/>
    <w:rsid w:val="00EF5A5C"/>
    <w:rsid w:val="00EF616C"/>
    <w:rsid w:val="00EF7738"/>
    <w:rsid w:val="00EF78A5"/>
    <w:rsid w:val="00EF7FE0"/>
    <w:rsid w:val="00F00159"/>
    <w:rsid w:val="00F03063"/>
    <w:rsid w:val="00F03092"/>
    <w:rsid w:val="00F03530"/>
    <w:rsid w:val="00F04924"/>
    <w:rsid w:val="00F06CE3"/>
    <w:rsid w:val="00F071B9"/>
    <w:rsid w:val="00F110B3"/>
    <w:rsid w:val="00F11BEC"/>
    <w:rsid w:val="00F123AE"/>
    <w:rsid w:val="00F126D9"/>
    <w:rsid w:val="00F12760"/>
    <w:rsid w:val="00F12EA2"/>
    <w:rsid w:val="00F12F7F"/>
    <w:rsid w:val="00F13133"/>
    <w:rsid w:val="00F13353"/>
    <w:rsid w:val="00F13F76"/>
    <w:rsid w:val="00F145D2"/>
    <w:rsid w:val="00F1477A"/>
    <w:rsid w:val="00F147B5"/>
    <w:rsid w:val="00F14897"/>
    <w:rsid w:val="00F150E2"/>
    <w:rsid w:val="00F16589"/>
    <w:rsid w:val="00F165D1"/>
    <w:rsid w:val="00F16ECB"/>
    <w:rsid w:val="00F175FB"/>
    <w:rsid w:val="00F17F69"/>
    <w:rsid w:val="00F2094D"/>
    <w:rsid w:val="00F209DE"/>
    <w:rsid w:val="00F21F0C"/>
    <w:rsid w:val="00F22181"/>
    <w:rsid w:val="00F22209"/>
    <w:rsid w:val="00F22529"/>
    <w:rsid w:val="00F227B3"/>
    <w:rsid w:val="00F22B98"/>
    <w:rsid w:val="00F233B0"/>
    <w:rsid w:val="00F23C3D"/>
    <w:rsid w:val="00F23D64"/>
    <w:rsid w:val="00F23ECB"/>
    <w:rsid w:val="00F249F7"/>
    <w:rsid w:val="00F24F0D"/>
    <w:rsid w:val="00F2524B"/>
    <w:rsid w:val="00F2563E"/>
    <w:rsid w:val="00F25DE2"/>
    <w:rsid w:val="00F26056"/>
    <w:rsid w:val="00F2657C"/>
    <w:rsid w:val="00F26807"/>
    <w:rsid w:val="00F26C10"/>
    <w:rsid w:val="00F26F67"/>
    <w:rsid w:val="00F304A5"/>
    <w:rsid w:val="00F30888"/>
    <w:rsid w:val="00F30ABD"/>
    <w:rsid w:val="00F30D6A"/>
    <w:rsid w:val="00F315D1"/>
    <w:rsid w:val="00F31FF4"/>
    <w:rsid w:val="00F322C3"/>
    <w:rsid w:val="00F32BD9"/>
    <w:rsid w:val="00F33404"/>
    <w:rsid w:val="00F334B7"/>
    <w:rsid w:val="00F3356D"/>
    <w:rsid w:val="00F33FCE"/>
    <w:rsid w:val="00F341F6"/>
    <w:rsid w:val="00F34483"/>
    <w:rsid w:val="00F3451E"/>
    <w:rsid w:val="00F347A4"/>
    <w:rsid w:val="00F3485F"/>
    <w:rsid w:val="00F35627"/>
    <w:rsid w:val="00F359B3"/>
    <w:rsid w:val="00F36E8C"/>
    <w:rsid w:val="00F37139"/>
    <w:rsid w:val="00F37832"/>
    <w:rsid w:val="00F401D5"/>
    <w:rsid w:val="00F40CD8"/>
    <w:rsid w:val="00F41078"/>
    <w:rsid w:val="00F417F4"/>
    <w:rsid w:val="00F41AB2"/>
    <w:rsid w:val="00F41ADB"/>
    <w:rsid w:val="00F42476"/>
    <w:rsid w:val="00F42A00"/>
    <w:rsid w:val="00F42E0D"/>
    <w:rsid w:val="00F42F6A"/>
    <w:rsid w:val="00F42FEE"/>
    <w:rsid w:val="00F43268"/>
    <w:rsid w:val="00F438FE"/>
    <w:rsid w:val="00F43DE6"/>
    <w:rsid w:val="00F43E18"/>
    <w:rsid w:val="00F4473E"/>
    <w:rsid w:val="00F45065"/>
    <w:rsid w:val="00F462BF"/>
    <w:rsid w:val="00F5086A"/>
    <w:rsid w:val="00F50E74"/>
    <w:rsid w:val="00F51121"/>
    <w:rsid w:val="00F51405"/>
    <w:rsid w:val="00F521A4"/>
    <w:rsid w:val="00F52BD3"/>
    <w:rsid w:val="00F52FB1"/>
    <w:rsid w:val="00F5342F"/>
    <w:rsid w:val="00F536BE"/>
    <w:rsid w:val="00F53B85"/>
    <w:rsid w:val="00F53CEE"/>
    <w:rsid w:val="00F5447B"/>
    <w:rsid w:val="00F54549"/>
    <w:rsid w:val="00F5480C"/>
    <w:rsid w:val="00F5626C"/>
    <w:rsid w:val="00F5628B"/>
    <w:rsid w:val="00F568B6"/>
    <w:rsid w:val="00F56A78"/>
    <w:rsid w:val="00F56D5F"/>
    <w:rsid w:val="00F57713"/>
    <w:rsid w:val="00F6025D"/>
    <w:rsid w:val="00F6068B"/>
    <w:rsid w:val="00F608E9"/>
    <w:rsid w:val="00F61588"/>
    <w:rsid w:val="00F61591"/>
    <w:rsid w:val="00F61657"/>
    <w:rsid w:val="00F619E2"/>
    <w:rsid w:val="00F623CB"/>
    <w:rsid w:val="00F630C5"/>
    <w:rsid w:val="00F63723"/>
    <w:rsid w:val="00F6386A"/>
    <w:rsid w:val="00F638BF"/>
    <w:rsid w:val="00F64150"/>
    <w:rsid w:val="00F648DD"/>
    <w:rsid w:val="00F65753"/>
    <w:rsid w:val="00F6710C"/>
    <w:rsid w:val="00F6736B"/>
    <w:rsid w:val="00F678A7"/>
    <w:rsid w:val="00F678B6"/>
    <w:rsid w:val="00F67C63"/>
    <w:rsid w:val="00F67F82"/>
    <w:rsid w:val="00F7058B"/>
    <w:rsid w:val="00F70ABA"/>
    <w:rsid w:val="00F71753"/>
    <w:rsid w:val="00F72872"/>
    <w:rsid w:val="00F7303D"/>
    <w:rsid w:val="00F73773"/>
    <w:rsid w:val="00F751E0"/>
    <w:rsid w:val="00F753F8"/>
    <w:rsid w:val="00F75546"/>
    <w:rsid w:val="00F7598D"/>
    <w:rsid w:val="00F76364"/>
    <w:rsid w:val="00F772B4"/>
    <w:rsid w:val="00F7755E"/>
    <w:rsid w:val="00F77842"/>
    <w:rsid w:val="00F778FB"/>
    <w:rsid w:val="00F77DB4"/>
    <w:rsid w:val="00F82064"/>
    <w:rsid w:val="00F83821"/>
    <w:rsid w:val="00F83854"/>
    <w:rsid w:val="00F838F8"/>
    <w:rsid w:val="00F83D74"/>
    <w:rsid w:val="00F83D8B"/>
    <w:rsid w:val="00F84D06"/>
    <w:rsid w:val="00F85057"/>
    <w:rsid w:val="00F85B5E"/>
    <w:rsid w:val="00F86057"/>
    <w:rsid w:val="00F86C58"/>
    <w:rsid w:val="00F870D0"/>
    <w:rsid w:val="00F903F2"/>
    <w:rsid w:val="00F90583"/>
    <w:rsid w:val="00F90EA1"/>
    <w:rsid w:val="00F91893"/>
    <w:rsid w:val="00F91DF3"/>
    <w:rsid w:val="00F91E13"/>
    <w:rsid w:val="00F9213E"/>
    <w:rsid w:val="00F92E88"/>
    <w:rsid w:val="00F93AC0"/>
    <w:rsid w:val="00F93D47"/>
    <w:rsid w:val="00F94293"/>
    <w:rsid w:val="00F96814"/>
    <w:rsid w:val="00F96FF4"/>
    <w:rsid w:val="00F971B5"/>
    <w:rsid w:val="00F9779A"/>
    <w:rsid w:val="00FA0B99"/>
    <w:rsid w:val="00FA1975"/>
    <w:rsid w:val="00FA1CB9"/>
    <w:rsid w:val="00FA1E20"/>
    <w:rsid w:val="00FA250B"/>
    <w:rsid w:val="00FA2B97"/>
    <w:rsid w:val="00FA2D3A"/>
    <w:rsid w:val="00FA3786"/>
    <w:rsid w:val="00FA3DB2"/>
    <w:rsid w:val="00FA3E39"/>
    <w:rsid w:val="00FA42FC"/>
    <w:rsid w:val="00FA4670"/>
    <w:rsid w:val="00FA48FD"/>
    <w:rsid w:val="00FA4BD8"/>
    <w:rsid w:val="00FA57C3"/>
    <w:rsid w:val="00FA6357"/>
    <w:rsid w:val="00FA67F4"/>
    <w:rsid w:val="00FA68E4"/>
    <w:rsid w:val="00FA7EC2"/>
    <w:rsid w:val="00FB11A7"/>
    <w:rsid w:val="00FB21EE"/>
    <w:rsid w:val="00FB2D84"/>
    <w:rsid w:val="00FB34AE"/>
    <w:rsid w:val="00FB3604"/>
    <w:rsid w:val="00FB3A1B"/>
    <w:rsid w:val="00FB3EE7"/>
    <w:rsid w:val="00FB40AE"/>
    <w:rsid w:val="00FB464D"/>
    <w:rsid w:val="00FB467E"/>
    <w:rsid w:val="00FB4E95"/>
    <w:rsid w:val="00FB4F61"/>
    <w:rsid w:val="00FB59AE"/>
    <w:rsid w:val="00FB5DA8"/>
    <w:rsid w:val="00FB64A3"/>
    <w:rsid w:val="00FB65B6"/>
    <w:rsid w:val="00FB69AB"/>
    <w:rsid w:val="00FB70FC"/>
    <w:rsid w:val="00FB7BAA"/>
    <w:rsid w:val="00FC0267"/>
    <w:rsid w:val="00FC04C9"/>
    <w:rsid w:val="00FC17F7"/>
    <w:rsid w:val="00FC1E45"/>
    <w:rsid w:val="00FC21C7"/>
    <w:rsid w:val="00FC32C5"/>
    <w:rsid w:val="00FC3592"/>
    <w:rsid w:val="00FC39DF"/>
    <w:rsid w:val="00FC3BE9"/>
    <w:rsid w:val="00FC3D55"/>
    <w:rsid w:val="00FC44A0"/>
    <w:rsid w:val="00FC44E2"/>
    <w:rsid w:val="00FC49BA"/>
    <w:rsid w:val="00FC4B99"/>
    <w:rsid w:val="00FC5119"/>
    <w:rsid w:val="00FC53C1"/>
    <w:rsid w:val="00FC54D0"/>
    <w:rsid w:val="00FC6ADB"/>
    <w:rsid w:val="00FC75AC"/>
    <w:rsid w:val="00FC77CF"/>
    <w:rsid w:val="00FC77D1"/>
    <w:rsid w:val="00FD1000"/>
    <w:rsid w:val="00FD195E"/>
    <w:rsid w:val="00FD30FB"/>
    <w:rsid w:val="00FD326D"/>
    <w:rsid w:val="00FD5040"/>
    <w:rsid w:val="00FD5B32"/>
    <w:rsid w:val="00FD5BC3"/>
    <w:rsid w:val="00FD5BF3"/>
    <w:rsid w:val="00FD657C"/>
    <w:rsid w:val="00FD7609"/>
    <w:rsid w:val="00FD7A60"/>
    <w:rsid w:val="00FE0180"/>
    <w:rsid w:val="00FE088C"/>
    <w:rsid w:val="00FE08C4"/>
    <w:rsid w:val="00FE18F1"/>
    <w:rsid w:val="00FE2A0B"/>
    <w:rsid w:val="00FE32FE"/>
    <w:rsid w:val="00FE3A56"/>
    <w:rsid w:val="00FE414F"/>
    <w:rsid w:val="00FE436A"/>
    <w:rsid w:val="00FE5321"/>
    <w:rsid w:val="00FE5B59"/>
    <w:rsid w:val="00FE60E9"/>
    <w:rsid w:val="00FE6404"/>
    <w:rsid w:val="00FE6651"/>
    <w:rsid w:val="00FE6F32"/>
    <w:rsid w:val="00FE7163"/>
    <w:rsid w:val="00FE71EF"/>
    <w:rsid w:val="00FE77C6"/>
    <w:rsid w:val="00FF0018"/>
    <w:rsid w:val="00FF03CA"/>
    <w:rsid w:val="00FF0DE2"/>
    <w:rsid w:val="00FF2899"/>
    <w:rsid w:val="00FF356A"/>
    <w:rsid w:val="00FF3F3E"/>
    <w:rsid w:val="00FF4A69"/>
    <w:rsid w:val="00FF5283"/>
    <w:rsid w:val="00FF5C35"/>
    <w:rsid w:val="00FF5CCC"/>
    <w:rsid w:val="00FF5E8C"/>
    <w:rsid w:val="00FF61C5"/>
    <w:rsid w:val="00FF669C"/>
    <w:rsid w:val="00FF67C8"/>
    <w:rsid w:val="00FF6892"/>
    <w:rsid w:val="00FF74D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21B7D7"/>
  <w15:docId w15:val="{5F8357B2-BA84-4B1A-82E4-4AB1A0B1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2EC"/>
    <w:pPr>
      <w:spacing w:before="180" w:after="60" w:line="312" w:lineRule="auto"/>
    </w:pPr>
    <w:rPr>
      <w:rFonts w:asciiTheme="minorHAnsi" w:hAnsiTheme="minorHAnsi"/>
      <w:sz w:val="22"/>
      <w:szCs w:val="24"/>
    </w:rPr>
  </w:style>
  <w:style w:type="paragraph" w:styleId="Heading1">
    <w:name w:val="heading 1"/>
    <w:basedOn w:val="Normal"/>
    <w:next w:val="Normal"/>
    <w:qFormat/>
    <w:rsid w:val="00F778FB"/>
    <w:pPr>
      <w:keepNext/>
      <w:pageBreakBefore/>
      <w:numPr>
        <w:numId w:val="6"/>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D9570C"/>
    <w:pPr>
      <w:keepNext/>
      <w:numPr>
        <w:ilvl w:val="1"/>
        <w:numId w:val="6"/>
      </w:numPr>
      <w:spacing w:before="120" w:after="120"/>
      <w:ind w:left="578" w:hanging="578"/>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Heading3"/>
    <w:next w:val="Normal"/>
    <w:link w:val="Heading4Char"/>
    <w:uiPriority w:val="9"/>
    <w:qFormat/>
    <w:rsid w:val="004F50BA"/>
    <w:pPr>
      <w:spacing w:before="240" w:line="240" w:lineRule="auto"/>
      <w:outlineLvl w:val="3"/>
    </w:pPr>
    <w:rPr>
      <w:b w:val="0"/>
      <w:sz w:val="22"/>
    </w:rPr>
  </w:style>
  <w:style w:type="paragraph" w:styleId="Heading5">
    <w:name w:val="heading 5"/>
    <w:basedOn w:val="Normal"/>
    <w:next w:val="Normal"/>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BC5C5F"/>
    <w:tblP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tblBorders>
    </w:tblPr>
    <w:tcPr>
      <w:shd w:val="clear" w:color="auto" w:fill="auto"/>
    </w:tcPr>
  </w:style>
  <w:style w:type="paragraph" w:styleId="FootnoteText">
    <w:name w:val="footnote text"/>
    <w:basedOn w:val="Normal"/>
    <w:link w:val="FootnoteTextChar"/>
    <w:uiPriority w:val="99"/>
    <w:rsid w:val="000749AF"/>
    <w:pPr>
      <w:spacing w:before="0" w:after="0"/>
    </w:pPr>
    <w:rPr>
      <w:rFonts w:eastAsiaTheme="minorHAnsi" w:cs="Arial"/>
      <w:sz w:val="20"/>
      <w:szCs w:val="20"/>
    </w:rPr>
  </w:style>
  <w:style w:type="character" w:customStyle="1" w:styleId="FootnoteTextChar">
    <w:name w:val="Footnote Text Char"/>
    <w:basedOn w:val="DefaultParagraphFont"/>
    <w:link w:val="FootnoteText"/>
    <w:uiPriority w:val="99"/>
    <w:rsid w:val="000749AF"/>
    <w:rPr>
      <w:rFonts w:asciiTheme="minorHAnsi" w:eastAsiaTheme="minorHAnsi" w:hAnsiTheme="minorHAnsi" w:cs="Arial"/>
    </w:rPr>
  </w:style>
  <w:style w:type="character" w:styleId="FootnoteReference">
    <w:name w:val="footnote reference"/>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AA22B0"/>
    <w:pPr>
      <w:tabs>
        <w:tab w:val="left" w:pos="440"/>
        <w:tab w:val="right" w:leader="dot" w:pos="9016"/>
      </w:tabs>
      <w:spacing w:before="120" w:after="0"/>
    </w:pPr>
    <w:rPr>
      <w:b/>
      <w:szCs w:val="22"/>
    </w:rPr>
  </w:style>
  <w:style w:type="paragraph" w:styleId="TOC2">
    <w:name w:val="toc 2"/>
    <w:basedOn w:val="Normal"/>
    <w:next w:val="Normal"/>
    <w:autoRedefine/>
    <w:uiPriority w:val="39"/>
    <w:qFormat/>
    <w:rsid w:val="00AA22B0"/>
    <w:pPr>
      <w:tabs>
        <w:tab w:val="left" w:pos="880"/>
        <w:tab w:val="right" w:leader="dot" w:pos="901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uiPriority w:val="99"/>
    <w:rsid w:val="00AF127F"/>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C96B34"/>
    <w:pPr>
      <w:keepNext/>
      <w:spacing w:before="12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E2102F"/>
    <w:pPr>
      <w:numPr>
        <w:numId w:val="7"/>
      </w:numPr>
    </w:pPr>
  </w:style>
  <w:style w:type="character" w:customStyle="1" w:styleId="NormalBulletedChar">
    <w:name w:val="Normal Bulleted Char"/>
    <w:basedOn w:val="DefaultParagraphFont"/>
    <w:link w:val="NormalBulleted"/>
    <w:rsid w:val="00E2102F"/>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rsid w:val="004D7CBA"/>
    <w:pPr>
      <w:spacing w:before="140" w:after="40"/>
    </w:pPr>
  </w:style>
  <w:style w:type="character" w:customStyle="1" w:styleId="02TabletextChar">
    <w:name w:val="02. Table text Char"/>
    <w:basedOn w:val="DefaultParagraphFont"/>
    <w:link w:val="02Tabletext"/>
    <w:rsid w:val="004D7CBA"/>
    <w:rPr>
      <w:rFonts w:asciiTheme="minorHAnsi" w:hAnsiTheme="minorHAnsi"/>
      <w:sz w:val="22"/>
      <w:szCs w:val="24"/>
    </w:rPr>
  </w:style>
  <w:style w:type="paragraph" w:customStyle="1" w:styleId="01Tableheaderrow">
    <w:name w:val="01. Table header row"/>
    <w:link w:val="01TableheaderrowChar"/>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4B02AC"/>
    <w:pPr>
      <w:numPr>
        <w:numId w:val="0"/>
      </w:numPr>
      <w:spacing w:before="0" w:after="0" w:line="240" w:lineRule="auto"/>
      <w:ind w:left="357"/>
    </w:pPr>
  </w:style>
  <w:style w:type="paragraph" w:customStyle="1" w:styleId="Bullet2">
    <w:name w:val="Bullet 2"/>
    <w:basedOn w:val="ListParagraph"/>
    <w:rsid w:val="002345FA"/>
    <w:pPr>
      <w:numPr>
        <w:ilvl w:val="1"/>
        <w:numId w:val="2"/>
      </w:numPr>
      <w:spacing w:before="120"/>
      <w:contextualSpacing w:val="0"/>
    </w:pPr>
    <w:rPr>
      <w:b w:val="0"/>
    </w:rPr>
  </w:style>
  <w:style w:type="paragraph" w:customStyle="1" w:styleId="Bullet3">
    <w:name w:val="Bullet 3"/>
    <w:basedOn w:val="ListParagraph"/>
    <w:uiPriority w:val="74"/>
    <w:qFormat/>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uiPriority w:val="99"/>
    <w:unhideWhenUsed/>
    <w:rsid w:val="000337EF"/>
    <w:rPr>
      <w:sz w:val="16"/>
      <w:szCs w:val="16"/>
    </w:rPr>
  </w:style>
  <w:style w:type="paragraph" w:styleId="CommentText">
    <w:name w:val="annotation text"/>
    <w:basedOn w:val="Normal"/>
    <w:link w:val="CommentTextChar"/>
    <w:uiPriority w:val="99"/>
    <w:unhideWhenUsed/>
    <w:rsid w:val="000337EF"/>
    <w:rPr>
      <w:sz w:val="20"/>
      <w:szCs w:val="20"/>
    </w:rPr>
  </w:style>
  <w:style w:type="character" w:customStyle="1" w:styleId="CommentTextChar">
    <w:name w:val="Comment Text Char"/>
    <w:basedOn w:val="DefaultParagraphFont"/>
    <w:link w:val="CommentText"/>
    <w:uiPriority w:val="99"/>
    <w:rsid w:val="000337EF"/>
    <w:rPr>
      <w:rFonts w:ascii="Arial" w:hAnsi="Arial"/>
    </w:rPr>
  </w:style>
  <w:style w:type="paragraph" w:styleId="CommentSubject">
    <w:name w:val="annotation subject"/>
    <w:basedOn w:val="CommentText"/>
    <w:next w:val="CommentText"/>
    <w:link w:val="CommentSubjectChar"/>
    <w:uiPriority w:val="99"/>
    <w:semiHidden/>
    <w:unhideWhenUsed/>
    <w:rsid w:val="000337EF"/>
    <w:rPr>
      <w:b/>
      <w:bCs/>
    </w:rPr>
  </w:style>
  <w:style w:type="character" w:customStyle="1" w:styleId="CommentSubjectChar">
    <w:name w:val="Comment Subject Char"/>
    <w:basedOn w:val="CommentTextChar"/>
    <w:link w:val="CommentSubject"/>
    <w:uiPriority w:val="99"/>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E2102F"/>
    <w:pPr>
      <w:numPr>
        <w:numId w:val="3"/>
      </w:numPr>
      <w:spacing w:before="120"/>
      <w:ind w:right="142"/>
    </w:pPr>
    <w:rPr>
      <w:szCs w:val="20"/>
      <w:lang w:val="en-US" w:eastAsia="en-US"/>
    </w:rPr>
  </w:style>
  <w:style w:type="paragraph" w:customStyle="1" w:styleId="02dash">
    <w:name w:val="02 dash"/>
    <w:basedOn w:val="01squarebullet"/>
    <w:link w:val="02dashChar"/>
    <w:uiPriority w:val="4"/>
    <w:qFormat/>
    <w:rsid w:val="00E2102F"/>
    <w:pPr>
      <w:numPr>
        <w:ilvl w:val="1"/>
      </w:numPr>
    </w:pPr>
  </w:style>
  <w:style w:type="paragraph" w:customStyle="1" w:styleId="03opensquarebullet">
    <w:name w:val="03 open square bullet"/>
    <w:basedOn w:val="02dash"/>
    <w:uiPriority w:val="5"/>
    <w:rsid w:val="00E2102F"/>
    <w:pPr>
      <w:numPr>
        <w:ilvl w:val="2"/>
      </w:numPr>
    </w:pPr>
  </w:style>
  <w:style w:type="paragraph" w:customStyle="1" w:styleId="04shortdash">
    <w:name w:val="04 short dash"/>
    <w:basedOn w:val="03opensquarebullet"/>
    <w:uiPriority w:val="6"/>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rsid w:val="00E2102F"/>
    <w:pPr>
      <w:spacing w:after="60"/>
    </w:pPr>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ind w:left="36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331ED5"/>
    <w:pPr>
      <w:numPr>
        <w:ilvl w:val="0"/>
        <w:numId w:val="0"/>
      </w:numPr>
      <w:outlineLvl w:val="3"/>
    </w:pPr>
    <w:rPr>
      <w:color w:val="016500"/>
    </w:rPr>
  </w:style>
  <w:style w:type="paragraph" w:styleId="PlainText">
    <w:name w:val="Plain Text"/>
    <w:basedOn w:val="Normal"/>
    <w:link w:val="PlainTextChar"/>
    <w:uiPriority w:val="99"/>
    <w:unhideWhenUsed/>
    <w:rsid w:val="000869E6"/>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qFormat/>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line="240" w:lineRule="auto"/>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uiPriority w:val="99"/>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A74C6B"/>
    <w:pPr>
      <w:spacing w:before="0" w:after="0" w:line="240" w:lineRule="auto"/>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line="240" w:lineRule="auto"/>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numPr>
        <w:ilvl w:val="0"/>
        <w:numId w:val="0"/>
      </w:numPr>
      <w:spacing w:after="60" w:line="240" w:lineRule="auto"/>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ED7D2E"/>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9E0F49"/>
    <w:pPr>
      <w:numPr>
        <w:ilvl w:val="2"/>
      </w:numPr>
      <w:ind w:left="720"/>
      <w:outlineLvl w:val="2"/>
    </w:pPr>
    <w:rPr>
      <w:i/>
      <w:color w:val="B56011"/>
      <w:sz w:val="24"/>
    </w:rPr>
  </w:style>
  <w:style w:type="paragraph" w:customStyle="1" w:styleId="03Tableundertext">
    <w:name w:val="03 Table under text"/>
    <w:basedOn w:val="Normal"/>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9"/>
      </w:numPr>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F623CB"/>
    <w:pPr>
      <w:numPr>
        <w:numId w:val="10"/>
      </w:numPr>
    </w:pPr>
  </w:style>
  <w:style w:type="paragraph" w:customStyle="1" w:styleId="AppendixStyle2">
    <w:name w:val="Appendix Style2"/>
    <w:basedOn w:val="Heading2Report"/>
    <w:qFormat/>
    <w:rsid w:val="00C96B34"/>
    <w:pPr>
      <w:numPr>
        <w:ilvl w:val="0"/>
        <w:numId w:val="0"/>
      </w:numPr>
    </w:pPr>
    <w:rPr>
      <w:color w:val="auto"/>
    </w:rPr>
  </w:style>
  <w:style w:type="paragraph" w:customStyle="1" w:styleId="TableBullet">
    <w:name w:val="TableBullet"/>
    <w:basedOn w:val="NormalBulleted"/>
    <w:rsid w:val="00017563"/>
    <w:pPr>
      <w:spacing w:before="40" w:after="40" w:line="240" w:lineRule="auto"/>
    </w:pPr>
    <w:rPr>
      <w:rFonts w:cs="Arial"/>
      <w:color w:val="000000" w:themeColor="text1"/>
      <w:sz w:val="18"/>
      <w:szCs w:val="18"/>
    </w:rPr>
  </w:style>
  <w:style w:type="character" w:customStyle="1" w:styleId="Underline">
    <w:name w:val="Underline"/>
    <w:basedOn w:val="DefaultParagraphFont"/>
    <w:uiPriority w:val="1"/>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rsid w:val="00856FC4"/>
    <w:pPr>
      <w:numPr>
        <w:numId w:val="11"/>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spacing w:line="240" w:lineRule="auto"/>
    </w:pPr>
    <w:rPr>
      <w:rFonts w:cs="Arial"/>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table" w:customStyle="1" w:styleId="TableGrid4">
    <w:name w:val="Table Grid4"/>
    <w:basedOn w:val="TableNormal"/>
    <w:next w:val="TableGrid"/>
    <w:uiPriority w:val="59"/>
    <w:rsid w:val="00692B5C"/>
    <w:pPr>
      <w:spacing w:line="259"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1"/>
    <w:qFormat/>
    <w:rsid w:val="0091579B"/>
    <w:pPr>
      <w:spacing w:before="120" w:after="120" w:line="260" w:lineRule="exact"/>
    </w:pPr>
    <w:rPr>
      <w:rFonts w:ascii="Arial" w:eastAsiaTheme="minorHAnsi" w:hAnsi="Arial" w:cs="Arial"/>
      <w:sz w:val="24"/>
      <w:szCs w:val="20"/>
      <w:lang w:eastAsia="en-US"/>
    </w:rPr>
  </w:style>
  <w:style w:type="paragraph" w:customStyle="1" w:styleId="Tabletitle">
    <w:name w:val="Table title"/>
    <w:basedOn w:val="Normal"/>
    <w:next w:val="BodyText1"/>
    <w:uiPriority w:val="51"/>
    <w:rsid w:val="00AC093C"/>
    <w:pPr>
      <w:keepNext/>
      <w:numPr>
        <w:numId w:val="12"/>
      </w:numPr>
      <w:spacing w:before="240" w:after="120" w:line="260" w:lineRule="exact"/>
      <w:outlineLvl w:val="2"/>
    </w:pPr>
    <w:rPr>
      <w:rFonts w:ascii="Arial Narrow" w:eastAsiaTheme="minorHAnsi" w:hAnsi="Arial Narrow" w:cs="Arial"/>
      <w:b/>
      <w:caps/>
      <w:color w:val="4B306A"/>
      <w:sz w:val="16"/>
      <w:szCs w:val="20"/>
      <w:lang w:eastAsia="en-US"/>
    </w:rPr>
  </w:style>
  <w:style w:type="table" w:customStyle="1" w:styleId="GridTable1Light-Accent61">
    <w:name w:val="Grid Table 1 Light - Accent 61"/>
    <w:basedOn w:val="TableNormal"/>
    <w:uiPriority w:val="46"/>
    <w:rsid w:val="00870EE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EndNoteBibliography">
    <w:name w:val="EndNote Bibliography"/>
    <w:basedOn w:val="Normal"/>
    <w:link w:val="EndNoteBibliographyChar"/>
    <w:rsid w:val="004B02AC"/>
    <w:pPr>
      <w:spacing w:before="0" w:after="160" w:line="240" w:lineRule="auto"/>
    </w:pPr>
    <w:rPr>
      <w:rFonts w:ascii="Calibri" w:eastAsiaTheme="minorHAnsi" w:hAnsi="Calibri" w:cstheme="minorBidi"/>
      <w:noProof/>
      <w:szCs w:val="22"/>
      <w:lang w:val="en-US" w:eastAsia="en-US"/>
    </w:rPr>
  </w:style>
  <w:style w:type="character" w:customStyle="1" w:styleId="EndNoteBibliographyChar">
    <w:name w:val="EndNote Bibliography Char"/>
    <w:basedOn w:val="NormalBulletedChar"/>
    <w:link w:val="EndNoteBibliography"/>
    <w:rsid w:val="004B02AC"/>
    <w:rPr>
      <w:rFonts w:ascii="Calibri" w:eastAsiaTheme="minorHAnsi" w:hAnsi="Calibri" w:cstheme="minorBidi"/>
      <w:noProof/>
      <w:sz w:val="22"/>
      <w:szCs w:val="22"/>
      <w:lang w:val="en-US" w:eastAsia="en-US"/>
    </w:rPr>
  </w:style>
  <w:style w:type="table" w:customStyle="1" w:styleId="TableGrid5">
    <w:name w:val="Table Grid5"/>
    <w:basedOn w:val="TableNormal"/>
    <w:next w:val="TableGrid"/>
    <w:uiPriority w:val="59"/>
    <w:rsid w:val="0080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D082B"/>
  </w:style>
  <w:style w:type="numbering" w:customStyle="1" w:styleId="Style2">
    <w:name w:val="Style2"/>
    <w:uiPriority w:val="99"/>
    <w:rsid w:val="009E0DCE"/>
    <w:pPr>
      <w:numPr>
        <w:numId w:val="19"/>
      </w:numPr>
    </w:pPr>
  </w:style>
  <w:style w:type="character" w:customStyle="1" w:styleId="01squarebulletChar">
    <w:name w:val="01 square bullet Char"/>
    <w:basedOn w:val="DefaultParagraphFont"/>
    <w:link w:val="01squarebullet"/>
    <w:uiPriority w:val="3"/>
    <w:rsid w:val="009E0DCE"/>
    <w:rPr>
      <w:rFonts w:asciiTheme="minorHAnsi" w:hAnsiTheme="minorHAnsi"/>
      <w:sz w:val="22"/>
      <w:lang w:val="en-US" w:eastAsia="en-US"/>
    </w:rPr>
  </w:style>
  <w:style w:type="paragraph" w:customStyle="1" w:styleId="ListBullet1">
    <w:name w:val="List Bullet1"/>
    <w:basedOn w:val="BodyText1"/>
    <w:uiPriority w:val="5"/>
    <w:qFormat/>
    <w:rsid w:val="00AE51A3"/>
    <w:pPr>
      <w:numPr>
        <w:numId w:val="24"/>
      </w:numPr>
      <w:contextualSpacing/>
    </w:pPr>
  </w:style>
  <w:style w:type="paragraph" w:customStyle="1" w:styleId="EndNoteBibliographyTitle">
    <w:name w:val="EndNote Bibliography Title"/>
    <w:basedOn w:val="Normal"/>
    <w:link w:val="EndNoteBibliographyTitleChar"/>
    <w:rsid w:val="00C94954"/>
    <w:pPr>
      <w:spacing w:after="0"/>
      <w:jc w:val="center"/>
    </w:pPr>
    <w:rPr>
      <w:rFonts w:ascii="Calibri" w:hAnsi="Calibri"/>
      <w:noProof/>
    </w:rPr>
  </w:style>
  <w:style w:type="character" w:customStyle="1" w:styleId="EndNoteBibliographyTitleChar">
    <w:name w:val="EndNote Bibliography Title Char"/>
    <w:basedOn w:val="NormalBulletedChar"/>
    <w:link w:val="EndNoteBibliographyTitle"/>
    <w:rsid w:val="00C94954"/>
    <w:rPr>
      <w:rFonts w:ascii="Calibri" w:hAnsi="Calibri"/>
      <w:noProof/>
      <w:sz w:val="22"/>
      <w:szCs w:val="24"/>
    </w:rPr>
  </w:style>
  <w:style w:type="table" w:customStyle="1" w:styleId="TableGrid6">
    <w:name w:val="Table Grid6"/>
    <w:basedOn w:val="TableNormal"/>
    <w:next w:val="TableGrid"/>
    <w:uiPriority w:val="59"/>
    <w:rsid w:val="00605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25D11"/>
    <w:rPr>
      <w:rFonts w:asciiTheme="minorHAnsi" w:eastAsiaTheme="minorHAnsi" w:hAnsiTheme="minorHAnsi" w:cs="Arial"/>
      <w:bCs/>
      <w:i/>
      <w:color w:val="B56012"/>
      <w:sz w:val="22"/>
      <w:szCs w:val="26"/>
      <w:lang w:val="en-US" w:eastAsia="en-US"/>
    </w:rPr>
  </w:style>
  <w:style w:type="character" w:customStyle="1" w:styleId="h2">
    <w:name w:val="h2"/>
    <w:basedOn w:val="DefaultParagraphFont"/>
    <w:rsid w:val="003E6A26"/>
  </w:style>
  <w:style w:type="character" w:customStyle="1" w:styleId="headingendmark">
    <w:name w:val="headingendmark"/>
    <w:basedOn w:val="DefaultParagraphFont"/>
    <w:rsid w:val="003E6A26"/>
  </w:style>
  <w:style w:type="character" w:customStyle="1" w:styleId="02dashChar">
    <w:name w:val="02 dash Char"/>
    <w:basedOn w:val="DefaultParagraphFont"/>
    <w:link w:val="02dash"/>
    <w:uiPriority w:val="4"/>
    <w:locked/>
    <w:rsid w:val="009C2563"/>
    <w:rPr>
      <w:rFonts w:asciiTheme="minorHAnsi" w:hAnsiTheme="minorHAnsi"/>
      <w:sz w:val="22"/>
      <w:lang w:val="en-US" w:eastAsia="en-US"/>
    </w:rPr>
  </w:style>
  <w:style w:type="paragraph" w:customStyle="1" w:styleId="N1">
    <w:name w:val="N 1"/>
    <w:basedOn w:val="Normal"/>
    <w:link w:val="N1Char"/>
    <w:qFormat/>
    <w:rsid w:val="008C5C90"/>
    <w:pPr>
      <w:spacing w:line="240" w:lineRule="auto"/>
    </w:pPr>
    <w:rPr>
      <w:lang w:val="en-GB"/>
    </w:rPr>
  </w:style>
  <w:style w:type="character" w:customStyle="1" w:styleId="N1Char">
    <w:name w:val="N 1 Char"/>
    <w:basedOn w:val="DefaultParagraphFont"/>
    <w:link w:val="N1"/>
    <w:rsid w:val="008C5C90"/>
    <w:rPr>
      <w:rFonts w:asciiTheme="minorHAnsi" w:hAnsiTheme="minorHAnsi"/>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8877348">
      <w:bodyDiv w:val="1"/>
      <w:marLeft w:val="0"/>
      <w:marRight w:val="0"/>
      <w:marTop w:val="0"/>
      <w:marBottom w:val="0"/>
      <w:divBdr>
        <w:top w:val="none" w:sz="0" w:space="0" w:color="auto"/>
        <w:left w:val="none" w:sz="0" w:space="0" w:color="auto"/>
        <w:bottom w:val="none" w:sz="0" w:space="0" w:color="auto"/>
        <w:right w:val="none" w:sz="0" w:space="0" w:color="auto"/>
      </w:divBdr>
    </w:div>
    <w:div w:id="13459390">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35805536">
      <w:bodyDiv w:val="1"/>
      <w:marLeft w:val="0"/>
      <w:marRight w:val="0"/>
      <w:marTop w:val="0"/>
      <w:marBottom w:val="0"/>
      <w:divBdr>
        <w:top w:val="none" w:sz="0" w:space="0" w:color="auto"/>
        <w:left w:val="none" w:sz="0" w:space="0" w:color="auto"/>
        <w:bottom w:val="none" w:sz="0" w:space="0" w:color="auto"/>
        <w:right w:val="none" w:sz="0" w:space="0" w:color="auto"/>
      </w:divBdr>
    </w:div>
    <w:div w:id="152180329">
      <w:bodyDiv w:val="1"/>
      <w:marLeft w:val="0"/>
      <w:marRight w:val="0"/>
      <w:marTop w:val="0"/>
      <w:marBottom w:val="0"/>
      <w:divBdr>
        <w:top w:val="none" w:sz="0" w:space="0" w:color="auto"/>
        <w:left w:val="none" w:sz="0" w:space="0" w:color="auto"/>
        <w:bottom w:val="none" w:sz="0" w:space="0" w:color="auto"/>
        <w:right w:val="none" w:sz="0" w:space="0" w:color="auto"/>
      </w:divBdr>
      <w:divsChild>
        <w:div w:id="734083263">
          <w:marLeft w:val="0"/>
          <w:marRight w:val="0"/>
          <w:marTop w:val="0"/>
          <w:marBottom w:val="0"/>
          <w:divBdr>
            <w:top w:val="none" w:sz="0" w:space="0" w:color="auto"/>
            <w:left w:val="none" w:sz="0" w:space="0" w:color="auto"/>
            <w:bottom w:val="none" w:sz="0" w:space="0" w:color="auto"/>
            <w:right w:val="none" w:sz="0" w:space="0" w:color="auto"/>
          </w:divBdr>
        </w:div>
        <w:div w:id="2080708684">
          <w:marLeft w:val="0"/>
          <w:marRight w:val="0"/>
          <w:marTop w:val="0"/>
          <w:marBottom w:val="0"/>
          <w:divBdr>
            <w:top w:val="none" w:sz="0" w:space="0" w:color="auto"/>
            <w:left w:val="none" w:sz="0" w:space="0" w:color="auto"/>
            <w:bottom w:val="none" w:sz="0" w:space="0" w:color="auto"/>
            <w:right w:val="none" w:sz="0" w:space="0" w:color="auto"/>
          </w:divBdr>
        </w:div>
      </w:divsChild>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33588964">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28489126">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384573208">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29156837">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80313396">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71245702">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14834669">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51009518">
      <w:bodyDiv w:val="1"/>
      <w:marLeft w:val="0"/>
      <w:marRight w:val="0"/>
      <w:marTop w:val="0"/>
      <w:marBottom w:val="0"/>
      <w:divBdr>
        <w:top w:val="none" w:sz="0" w:space="0" w:color="auto"/>
        <w:left w:val="none" w:sz="0" w:space="0" w:color="auto"/>
        <w:bottom w:val="none" w:sz="0" w:space="0" w:color="auto"/>
        <w:right w:val="none" w:sz="0" w:space="0" w:color="auto"/>
      </w:divBdr>
    </w:div>
    <w:div w:id="958072303">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217988">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2167308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0864862">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0325300">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487085584">
      <w:bodyDiv w:val="1"/>
      <w:marLeft w:val="0"/>
      <w:marRight w:val="0"/>
      <w:marTop w:val="0"/>
      <w:marBottom w:val="0"/>
      <w:divBdr>
        <w:top w:val="none" w:sz="0" w:space="0" w:color="auto"/>
        <w:left w:val="none" w:sz="0" w:space="0" w:color="auto"/>
        <w:bottom w:val="none" w:sz="0" w:space="0" w:color="auto"/>
        <w:right w:val="none" w:sz="0" w:space="0" w:color="auto"/>
      </w:divBdr>
    </w:div>
    <w:div w:id="1494681937">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0883950">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26442625">
      <w:bodyDiv w:val="1"/>
      <w:marLeft w:val="0"/>
      <w:marRight w:val="0"/>
      <w:marTop w:val="0"/>
      <w:marBottom w:val="0"/>
      <w:divBdr>
        <w:top w:val="none" w:sz="0" w:space="0" w:color="auto"/>
        <w:left w:val="none" w:sz="0" w:space="0" w:color="auto"/>
        <w:bottom w:val="none" w:sz="0" w:space="0" w:color="auto"/>
        <w:right w:val="none" w:sz="0" w:space="0" w:color="auto"/>
      </w:divBdr>
    </w:div>
    <w:div w:id="1778914639">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0461878">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879077567">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5594157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21154066">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61711305">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dx.doi.org/10.1016/j.cjca.2012.11.032" TargetMode="External"/><Relationship Id="rId39" Type="http://schemas.openxmlformats.org/officeDocument/2006/relationships/hyperlink" Target="http://dx.doi.org/10.1210/jc.2002-021251" TargetMode="External"/><Relationship Id="rId21" Type="http://schemas.openxmlformats.org/officeDocument/2006/relationships/chart" Target="charts/chart11.xml"/><Relationship Id="rId34" Type="http://schemas.openxmlformats.org/officeDocument/2006/relationships/hyperlink" Target="http://www.racgp.org.au/download/Documents/Guidelines/Musculoskeletal/osteoporosis-guidelines.pdf" TargetMode="External"/><Relationship Id="rId42" Type="http://schemas.openxmlformats.org/officeDocument/2006/relationships/hyperlink" Target="http://dx.doi.org/10.1210/jc.2014-1498" TargetMode="External"/><Relationship Id="rId47" Type="http://schemas.openxmlformats.org/officeDocument/2006/relationships/hyperlink" Target="http://www.health.gov.au/internet/main/publishing.nsf/Content/qupp-endorsed-rep-integanal-qupp" TargetMode="External"/><Relationship Id="rId50" Type="http://schemas.openxmlformats.org/officeDocument/2006/relationships/hyperlink" Target="http://wiki.cancer.org.au/australia/COSA:NETs_guideline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www.ncbi.nlm.nih.gov/pubmed/22958960" TargetMode="External"/><Relationship Id="rId33" Type="http://schemas.openxmlformats.org/officeDocument/2006/relationships/hyperlink" Target="https://www.ncbi.nlm.nih.gov/pubmed/12612997" TargetMode="External"/><Relationship Id="rId38" Type="http://schemas.openxmlformats.org/officeDocument/2006/relationships/hyperlink" Target="http://dx.doi.org/10.1111/j.1365-2265.2007.02805.x" TargetMode="External"/><Relationship Id="rId46" Type="http://schemas.openxmlformats.org/officeDocument/2006/relationships/hyperlink" Target="http://dx.doi.org/"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www.ncbi.nlm.nih.gov/pubmed/27049031" TargetMode="External"/><Relationship Id="rId41" Type="http://schemas.openxmlformats.org/officeDocument/2006/relationships/hyperlink" Target="http://dx.doi.org/10.7326/0003-4819-134-4-200102200-0001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ncbi.nlm.nih.gov/pubmed/23163685" TargetMode="External"/><Relationship Id="rId32" Type="http://schemas.openxmlformats.org/officeDocument/2006/relationships/hyperlink" Target="https://www.ncbi.nlm.nih.gov/pubmed/20919974" TargetMode="External"/><Relationship Id="rId37" Type="http://schemas.openxmlformats.org/officeDocument/2006/relationships/hyperlink" Target="http://dx.doi.org/10.1210/jc.2003-030720" TargetMode="External"/><Relationship Id="rId40" Type="http://schemas.openxmlformats.org/officeDocument/2006/relationships/hyperlink" Target="http://dx.doi.org/10.1001/jama.287.11.1427" TargetMode="External"/><Relationship Id="rId45" Type="http://schemas.openxmlformats.org/officeDocument/2006/relationships/hyperlink" Target="http://www.sciencedirect.com/science/article/pii/S0009898105002111"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www.ncbi.nlm.nih.gov/pmc/articles/PMC4768304/" TargetMode="External"/><Relationship Id="rId36" Type="http://schemas.openxmlformats.org/officeDocument/2006/relationships/hyperlink" Target="http://dx.doi.org/10.1007/s12020-016-0900-2" TargetMode="External"/><Relationship Id="rId49" Type="http://schemas.openxmlformats.org/officeDocument/2006/relationships/hyperlink" Target="http://www.choosingwisely.org.au/recommendations/rcpa" TargetMode="External"/><Relationship Id="rId10" Type="http://schemas.openxmlformats.org/officeDocument/2006/relationships/image" Target="media/image1.emf"/><Relationship Id="rId19" Type="http://schemas.openxmlformats.org/officeDocument/2006/relationships/chart" Target="charts/chart9.xml"/><Relationship Id="rId31" Type="http://schemas.openxmlformats.org/officeDocument/2006/relationships/hyperlink" Target="http://www.bomss.org.uk/wp-content/uploads/2014/09/GP_Guidance-Final-version-1Oct141.pdf" TargetMode="External"/><Relationship Id="rId44" Type="http://schemas.openxmlformats.org/officeDocument/2006/relationships/hyperlink" Target="http://www.ncbi.nlm.nih.gov/pmc/articles/PMC3372624/"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dx.doi.org/10.1034/j.1399-0004.2003.00143.x" TargetMode="External"/><Relationship Id="rId30" Type="http://schemas.openxmlformats.org/officeDocument/2006/relationships/hyperlink" Target="http://www.auspen.org.au/wp-content/uploads/2015/08/AuSPEN-Adult-TE-guidelines-FINAL-FULL-DOCUMENT.pdf" TargetMode="External"/><Relationship Id="rId35" Type="http://schemas.openxmlformats.org/officeDocument/2006/relationships/hyperlink" Target="https://www.ncbi.nlm.nih.gov/pubmed/27026330" TargetMode="External"/><Relationship Id="rId43" Type="http://schemas.openxmlformats.org/officeDocument/2006/relationships/hyperlink" Target="http://dx.doi.org/10.1111/cen.12327" TargetMode="External"/><Relationship Id="rId48" Type="http://schemas.openxmlformats.org/officeDocument/2006/relationships/hyperlink" Target="http://onlinelibrary.wiley.com/doi/10.1111/j.1445-5994.2004.00671.x/abstract" TargetMode="External"/><Relationship Id="rId8" Type="http://schemas.openxmlformats.org/officeDocument/2006/relationships/hyperlink" Target="mailto:mbsreviews@health.gov.au" TargetMode="External"/><Relationship Id="rId51" Type="http://schemas.openxmlformats.org/officeDocument/2006/relationships/hyperlink" Target="http://gut.bmj.com/content/gutjnl/61/1/6.full.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Diagnostics\MBS%20Review\MBS%20Review%20Committee%20Support%20contract\Pathology\Chemical%20WG\Draft%20full%20report.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Storage%20Files\BiochemistryFiles\RCPA\MBS%20Review%20Chemistry%20Working%20Group\My%20Group\FTS%20QUAD\FTS%20QUAD.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Nicholas\Documents\James%20new%20documents\Beno%20stuff\Attachment%202b%20Standard%20MBS%20Data%20for%20P2%20-Chemical%20WG.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071741032370905E-2"/>
          <c:y val="0.26295543143424899"/>
          <c:w val="0.74911023622047301"/>
          <c:h val="0.62106470081503395"/>
        </c:manualLayout>
      </c:layout>
      <c:barChart>
        <c:barDir val="col"/>
        <c:grouping val="clustered"/>
        <c:varyColors val="0"/>
        <c:ser>
          <c:idx val="0"/>
          <c:order val="0"/>
          <c:tx>
            <c:strRef>
              <c:f>'State variation'!$A$4</c:f>
              <c:strCache>
                <c:ptCount val="1"/>
                <c:pt idx="0">
                  <c:v>66750</c:v>
                </c:pt>
              </c:strCache>
            </c:strRef>
          </c:tx>
          <c:invertIfNegative val="0"/>
          <c:cat>
            <c:strRef>
              <c:f>'State variation'!$M$3:$T$3</c:f>
              <c:strCache>
                <c:ptCount val="8"/>
                <c:pt idx="0">
                  <c:v>NSW</c:v>
                </c:pt>
                <c:pt idx="1">
                  <c:v>VIC</c:v>
                </c:pt>
                <c:pt idx="2">
                  <c:v>QLD</c:v>
                </c:pt>
                <c:pt idx="3">
                  <c:v>SA</c:v>
                </c:pt>
                <c:pt idx="4">
                  <c:v>WA</c:v>
                </c:pt>
                <c:pt idx="5">
                  <c:v>TAS</c:v>
                </c:pt>
                <c:pt idx="6">
                  <c:v>NT</c:v>
                </c:pt>
                <c:pt idx="7">
                  <c:v>ACT</c:v>
                </c:pt>
              </c:strCache>
            </c:strRef>
          </c:cat>
          <c:val>
            <c:numRef>
              <c:f>'State variation'!$M$4:$T$4</c:f>
              <c:numCache>
                <c:formatCode>#,##0</c:formatCode>
                <c:ptCount val="8"/>
                <c:pt idx="0">
                  <c:v>363.39111543146652</c:v>
                </c:pt>
                <c:pt idx="1">
                  <c:v>227.53639103922129</c:v>
                </c:pt>
                <c:pt idx="2">
                  <c:v>772.08573769929308</c:v>
                </c:pt>
                <c:pt idx="3">
                  <c:v>10.420346167431999</c:v>
                </c:pt>
                <c:pt idx="4">
                  <c:v>768.28985954622704</c:v>
                </c:pt>
                <c:pt idx="5">
                  <c:v>17.80874951606658</c:v>
                </c:pt>
                <c:pt idx="6">
                  <c:v>136.2036394112838</c:v>
                </c:pt>
                <c:pt idx="7">
                  <c:v>225.32049567553739</c:v>
                </c:pt>
              </c:numCache>
            </c:numRef>
          </c:val>
          <c:extLst>
            <c:ext xmlns:c16="http://schemas.microsoft.com/office/drawing/2014/chart" uri="{C3380CC4-5D6E-409C-BE32-E72D297353CC}">
              <c16:uniqueId val="{00000000-62B1-4D3A-85F0-FAC1911A206D}"/>
            </c:ext>
          </c:extLst>
        </c:ser>
        <c:ser>
          <c:idx val="1"/>
          <c:order val="1"/>
          <c:tx>
            <c:strRef>
              <c:f>'State variation'!$A$5</c:f>
              <c:strCache>
                <c:ptCount val="1"/>
                <c:pt idx="0">
                  <c:v>66751</c:v>
                </c:pt>
              </c:strCache>
            </c:strRef>
          </c:tx>
          <c:invertIfNegative val="0"/>
          <c:cat>
            <c:strRef>
              <c:f>'State variation'!$M$3:$T$3</c:f>
              <c:strCache>
                <c:ptCount val="8"/>
                <c:pt idx="0">
                  <c:v>NSW</c:v>
                </c:pt>
                <c:pt idx="1">
                  <c:v>VIC</c:v>
                </c:pt>
                <c:pt idx="2">
                  <c:v>QLD</c:v>
                </c:pt>
                <c:pt idx="3">
                  <c:v>SA</c:v>
                </c:pt>
                <c:pt idx="4">
                  <c:v>WA</c:v>
                </c:pt>
                <c:pt idx="5">
                  <c:v>TAS</c:v>
                </c:pt>
                <c:pt idx="6">
                  <c:v>NT</c:v>
                </c:pt>
                <c:pt idx="7">
                  <c:v>ACT</c:v>
                </c:pt>
              </c:strCache>
            </c:strRef>
          </c:cat>
          <c:val>
            <c:numRef>
              <c:f>'State variation'!$M$5:$T$5</c:f>
              <c:numCache>
                <c:formatCode>#,##0</c:formatCode>
                <c:ptCount val="8"/>
                <c:pt idx="0">
                  <c:v>319.27628560289833</c:v>
                </c:pt>
                <c:pt idx="1">
                  <c:v>17.747864818713051</c:v>
                </c:pt>
                <c:pt idx="2">
                  <c:v>33.602734058668453</c:v>
                </c:pt>
                <c:pt idx="3">
                  <c:v>569.39115215471304</c:v>
                </c:pt>
                <c:pt idx="4">
                  <c:v>9.893925895199871</c:v>
                </c:pt>
                <c:pt idx="5">
                  <c:v>409.60123886953158</c:v>
                </c:pt>
                <c:pt idx="6">
                  <c:v>405.54981214227303</c:v>
                </c:pt>
                <c:pt idx="7">
                  <c:v>562.5504825230297</c:v>
                </c:pt>
              </c:numCache>
            </c:numRef>
          </c:val>
          <c:extLst>
            <c:ext xmlns:c16="http://schemas.microsoft.com/office/drawing/2014/chart" uri="{C3380CC4-5D6E-409C-BE32-E72D297353CC}">
              <c16:uniqueId val="{00000001-62B1-4D3A-85F0-FAC1911A206D}"/>
            </c:ext>
          </c:extLst>
        </c:ser>
        <c:dLbls>
          <c:showLegendKey val="0"/>
          <c:showVal val="0"/>
          <c:showCatName val="0"/>
          <c:showSerName val="0"/>
          <c:showPercent val="0"/>
          <c:showBubbleSize val="0"/>
        </c:dLbls>
        <c:gapWidth val="150"/>
        <c:axId val="82443648"/>
        <c:axId val="312620160"/>
      </c:barChart>
      <c:catAx>
        <c:axId val="82443648"/>
        <c:scaling>
          <c:orientation val="minMax"/>
        </c:scaling>
        <c:delete val="0"/>
        <c:axPos val="b"/>
        <c:numFmt formatCode="General" sourceLinked="0"/>
        <c:majorTickMark val="out"/>
        <c:minorTickMark val="none"/>
        <c:tickLblPos val="nextTo"/>
        <c:txPr>
          <a:bodyPr/>
          <a:lstStyle/>
          <a:p>
            <a:pPr>
              <a:defRPr sz="900"/>
            </a:pPr>
            <a:endParaRPr lang="en-US"/>
          </a:p>
        </c:txPr>
        <c:crossAx val="312620160"/>
        <c:crosses val="autoZero"/>
        <c:auto val="1"/>
        <c:lblAlgn val="ctr"/>
        <c:lblOffset val="100"/>
        <c:noMultiLvlLbl val="0"/>
      </c:catAx>
      <c:valAx>
        <c:axId val="312620160"/>
        <c:scaling>
          <c:orientation val="minMax"/>
        </c:scaling>
        <c:delete val="0"/>
        <c:axPos val="l"/>
        <c:majorGridlines/>
        <c:numFmt formatCode="#,##0" sourceLinked="1"/>
        <c:majorTickMark val="out"/>
        <c:minorTickMark val="none"/>
        <c:tickLblPos val="nextTo"/>
        <c:txPr>
          <a:bodyPr/>
          <a:lstStyle/>
          <a:p>
            <a:pPr>
              <a:defRPr sz="900"/>
            </a:pPr>
            <a:endParaRPr lang="en-US"/>
          </a:p>
        </c:txPr>
        <c:crossAx val="8244364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 of item</a:t>
            </a:r>
            <a:r>
              <a:rPr lang="en-AU" baseline="0"/>
              <a:t> </a:t>
            </a:r>
            <a:r>
              <a:rPr lang="en-AU"/>
              <a:t>66671: services per 100,000 people</a:t>
            </a:r>
          </a:p>
        </c:rich>
      </c:tx>
      <c:overlay val="0"/>
      <c:spPr>
        <a:noFill/>
        <a:ln>
          <a:noFill/>
        </a:ln>
        <a:effectLst/>
      </c:spPr>
    </c:title>
    <c:autoTitleDeleted val="0"/>
    <c:plotArea>
      <c:layout/>
      <c:barChart>
        <c:barDir val="col"/>
        <c:grouping val="clustered"/>
        <c:varyColors val="0"/>
        <c:ser>
          <c:idx val="0"/>
          <c:order val="0"/>
          <c:tx>
            <c:v>NSW</c:v>
          </c:tx>
          <c:spPr>
            <a:solidFill>
              <a:schemeClr val="accent1"/>
            </a:solidFill>
            <a:ln>
              <a:noFill/>
            </a:ln>
            <a:effectLst/>
          </c:spPr>
          <c:invertIfNegative val="0"/>
          <c:cat>
            <c:strRef>
              <c:f>'[Attachment 2b Standard MBS Data for P2 -Chemical WG (002).xlsx]Metals for Toxicity-Deficiency'!$B$24</c:f>
              <c:strCache>
                <c:ptCount val="1"/>
                <c:pt idx="0">
                  <c:v>66671</c:v>
                </c:pt>
              </c:strCache>
            </c:strRef>
          </c:cat>
          <c:val>
            <c:numRef>
              <c:f>'[Attachment 2b Standard MBS Data for P2 -Chemical WG (002).xlsx]Metals for Toxicity-Deficiency'!$C$24</c:f>
              <c:numCache>
                <c:formatCode>#,##0</c:formatCode>
                <c:ptCount val="1"/>
                <c:pt idx="0">
                  <c:v>6.8003720288257066</c:v>
                </c:pt>
              </c:numCache>
            </c:numRef>
          </c:val>
          <c:extLst>
            <c:ext xmlns:c16="http://schemas.microsoft.com/office/drawing/2014/chart" uri="{C3380CC4-5D6E-409C-BE32-E72D297353CC}">
              <c16:uniqueId val="{00000000-9238-4004-9048-EEB926F16C36}"/>
            </c:ext>
          </c:extLst>
        </c:ser>
        <c:ser>
          <c:idx val="1"/>
          <c:order val="1"/>
          <c:tx>
            <c:v>VIC</c:v>
          </c:tx>
          <c:spPr>
            <a:solidFill>
              <a:schemeClr val="accent2"/>
            </a:solidFill>
            <a:ln>
              <a:noFill/>
            </a:ln>
            <a:effectLst/>
          </c:spPr>
          <c:invertIfNegative val="0"/>
          <c:cat>
            <c:strRef>
              <c:f>'[Attachment 2b Standard MBS Data for P2 -Chemical WG (002).xlsx]Metals for Toxicity-Deficiency'!$B$24</c:f>
              <c:strCache>
                <c:ptCount val="1"/>
                <c:pt idx="0">
                  <c:v>66671</c:v>
                </c:pt>
              </c:strCache>
            </c:strRef>
          </c:cat>
          <c:val>
            <c:numRef>
              <c:f>'[Attachment 2b Standard MBS Data for P2 -Chemical WG (002).xlsx]Metals for Toxicity-Deficiency'!$D$24</c:f>
              <c:numCache>
                <c:formatCode>#,##0</c:formatCode>
                <c:ptCount val="1"/>
                <c:pt idx="0">
                  <c:v>1.1787880702581639</c:v>
                </c:pt>
              </c:numCache>
            </c:numRef>
          </c:val>
          <c:extLst>
            <c:ext xmlns:c16="http://schemas.microsoft.com/office/drawing/2014/chart" uri="{C3380CC4-5D6E-409C-BE32-E72D297353CC}">
              <c16:uniqueId val="{00000001-9238-4004-9048-EEB926F16C36}"/>
            </c:ext>
          </c:extLst>
        </c:ser>
        <c:ser>
          <c:idx val="2"/>
          <c:order val="2"/>
          <c:tx>
            <c:v>QLD</c:v>
          </c:tx>
          <c:spPr>
            <a:solidFill>
              <a:schemeClr val="accent3"/>
            </a:solidFill>
            <a:ln>
              <a:noFill/>
            </a:ln>
            <a:effectLst/>
          </c:spPr>
          <c:invertIfNegative val="0"/>
          <c:cat>
            <c:strRef>
              <c:f>'[Attachment 2b Standard MBS Data for P2 -Chemical WG (002).xlsx]Metals for Toxicity-Deficiency'!$B$24</c:f>
              <c:strCache>
                <c:ptCount val="1"/>
                <c:pt idx="0">
                  <c:v>66671</c:v>
                </c:pt>
              </c:strCache>
            </c:strRef>
          </c:cat>
          <c:val>
            <c:numRef>
              <c:f>'[Attachment 2b Standard MBS Data for P2 -Chemical WG (002).xlsx]Metals for Toxicity-Deficiency'!$E$24</c:f>
              <c:numCache>
                <c:formatCode>#,##0</c:formatCode>
                <c:ptCount val="1"/>
                <c:pt idx="0">
                  <c:v>7.44445229317488</c:v>
                </c:pt>
              </c:numCache>
            </c:numRef>
          </c:val>
          <c:extLst>
            <c:ext xmlns:c16="http://schemas.microsoft.com/office/drawing/2014/chart" uri="{C3380CC4-5D6E-409C-BE32-E72D297353CC}">
              <c16:uniqueId val="{00000002-9238-4004-9048-EEB926F16C36}"/>
            </c:ext>
          </c:extLst>
        </c:ser>
        <c:ser>
          <c:idx val="3"/>
          <c:order val="3"/>
          <c:tx>
            <c:v>SA</c:v>
          </c:tx>
          <c:spPr>
            <a:solidFill>
              <a:schemeClr val="accent4"/>
            </a:solidFill>
            <a:ln>
              <a:noFill/>
            </a:ln>
            <a:effectLst/>
          </c:spPr>
          <c:invertIfNegative val="0"/>
          <c:cat>
            <c:strRef>
              <c:f>'[Attachment 2b Standard MBS Data for P2 -Chemical WG (002).xlsx]Metals for Toxicity-Deficiency'!$B$24</c:f>
              <c:strCache>
                <c:ptCount val="1"/>
                <c:pt idx="0">
                  <c:v>66671</c:v>
                </c:pt>
              </c:strCache>
            </c:strRef>
          </c:cat>
          <c:val>
            <c:numRef>
              <c:f>'[Attachment 2b Standard MBS Data for P2 -Chemical WG (002).xlsx]Metals for Toxicity-Deficiency'!$F$24</c:f>
              <c:numCache>
                <c:formatCode>#,##0</c:formatCode>
                <c:ptCount val="1"/>
                <c:pt idx="0">
                  <c:v>7.3001295184269326</c:v>
                </c:pt>
              </c:numCache>
            </c:numRef>
          </c:val>
          <c:extLst>
            <c:ext xmlns:c16="http://schemas.microsoft.com/office/drawing/2014/chart" uri="{C3380CC4-5D6E-409C-BE32-E72D297353CC}">
              <c16:uniqueId val="{00000003-9238-4004-9048-EEB926F16C36}"/>
            </c:ext>
          </c:extLst>
        </c:ser>
        <c:ser>
          <c:idx val="4"/>
          <c:order val="4"/>
          <c:tx>
            <c:v>WA</c:v>
          </c:tx>
          <c:spPr>
            <a:solidFill>
              <a:schemeClr val="accent5"/>
            </a:solidFill>
            <a:ln>
              <a:noFill/>
            </a:ln>
            <a:effectLst/>
          </c:spPr>
          <c:invertIfNegative val="0"/>
          <c:cat>
            <c:strRef>
              <c:f>'[Attachment 2b Standard MBS Data for P2 -Chemical WG (002).xlsx]Metals for Toxicity-Deficiency'!$B$24</c:f>
              <c:strCache>
                <c:ptCount val="1"/>
                <c:pt idx="0">
                  <c:v>66671</c:v>
                </c:pt>
              </c:strCache>
            </c:strRef>
          </c:cat>
          <c:val>
            <c:numRef>
              <c:f>'[Attachment 2b Standard MBS Data for P2 -Chemical WG (002).xlsx]Metals for Toxicity-Deficiency'!$G$24</c:f>
              <c:numCache>
                <c:formatCode>#,##0</c:formatCode>
                <c:ptCount val="1"/>
                <c:pt idx="0">
                  <c:v>0.30868961259453598</c:v>
                </c:pt>
              </c:numCache>
            </c:numRef>
          </c:val>
          <c:extLst>
            <c:ext xmlns:c16="http://schemas.microsoft.com/office/drawing/2014/chart" uri="{C3380CC4-5D6E-409C-BE32-E72D297353CC}">
              <c16:uniqueId val="{00000004-9238-4004-9048-EEB926F16C36}"/>
            </c:ext>
          </c:extLst>
        </c:ser>
        <c:ser>
          <c:idx val="5"/>
          <c:order val="5"/>
          <c:tx>
            <c:v>TAS</c:v>
          </c:tx>
          <c:spPr>
            <a:solidFill>
              <a:schemeClr val="accent6"/>
            </a:solidFill>
            <a:ln>
              <a:noFill/>
            </a:ln>
            <a:effectLst/>
          </c:spPr>
          <c:invertIfNegative val="0"/>
          <c:cat>
            <c:strRef>
              <c:f>'[Attachment 2b Standard MBS Data for P2 -Chemical WG (002).xlsx]Metals for Toxicity-Deficiency'!$B$24</c:f>
              <c:strCache>
                <c:ptCount val="1"/>
                <c:pt idx="0">
                  <c:v>66671</c:v>
                </c:pt>
              </c:strCache>
            </c:strRef>
          </c:cat>
          <c:val>
            <c:numRef>
              <c:f>'[Attachment 2b Standard MBS Data for P2 -Chemical WG (002).xlsx]Metals for Toxicity-Deficiency'!$H$24</c:f>
              <c:numCache>
                <c:formatCode>#,##0</c:formatCode>
                <c:ptCount val="1"/>
                <c:pt idx="0">
                  <c:v>0.19357336430507199</c:v>
                </c:pt>
              </c:numCache>
            </c:numRef>
          </c:val>
          <c:extLst>
            <c:ext xmlns:c16="http://schemas.microsoft.com/office/drawing/2014/chart" uri="{C3380CC4-5D6E-409C-BE32-E72D297353CC}">
              <c16:uniqueId val="{00000005-9238-4004-9048-EEB926F16C36}"/>
            </c:ext>
          </c:extLst>
        </c:ser>
        <c:ser>
          <c:idx val="6"/>
          <c:order val="6"/>
          <c:tx>
            <c:v>NT</c:v>
          </c:tx>
          <c:spPr>
            <a:solidFill>
              <a:schemeClr val="accent1">
                <a:lumMod val="60000"/>
              </a:schemeClr>
            </a:solidFill>
            <a:ln>
              <a:noFill/>
            </a:ln>
            <a:effectLst/>
          </c:spPr>
          <c:invertIfNegative val="0"/>
          <c:cat>
            <c:strRef>
              <c:f>'[Attachment 2b Standard MBS Data for P2 -Chemical WG (002).xlsx]Metals for Toxicity-Deficiency'!$B$24</c:f>
              <c:strCache>
                <c:ptCount val="1"/>
                <c:pt idx="0">
                  <c:v>66671</c:v>
                </c:pt>
              </c:strCache>
            </c:strRef>
          </c:cat>
          <c:val>
            <c:numRef>
              <c:f>'[Attachment 2b Standard MBS Data for P2 -Chemical WG (002).xlsx]Metals for Toxicity-Deficiency'!$I$24</c:f>
              <c:numCache>
                <c:formatCode>#,##0</c:formatCode>
                <c:ptCount val="1"/>
                <c:pt idx="0">
                  <c:v>0</c:v>
                </c:pt>
              </c:numCache>
            </c:numRef>
          </c:val>
          <c:extLst>
            <c:ext xmlns:c16="http://schemas.microsoft.com/office/drawing/2014/chart" uri="{C3380CC4-5D6E-409C-BE32-E72D297353CC}">
              <c16:uniqueId val="{00000006-9238-4004-9048-EEB926F16C36}"/>
            </c:ext>
          </c:extLst>
        </c:ser>
        <c:ser>
          <c:idx val="7"/>
          <c:order val="7"/>
          <c:tx>
            <c:v>ACT</c:v>
          </c:tx>
          <c:spPr>
            <a:solidFill>
              <a:schemeClr val="accent2">
                <a:lumMod val="60000"/>
              </a:schemeClr>
            </a:solidFill>
            <a:ln>
              <a:noFill/>
            </a:ln>
            <a:effectLst/>
          </c:spPr>
          <c:invertIfNegative val="0"/>
          <c:cat>
            <c:strRef>
              <c:f>'[Attachment 2b Standard MBS Data for P2 -Chemical WG (002).xlsx]Metals for Toxicity-Deficiency'!$B$24</c:f>
              <c:strCache>
                <c:ptCount val="1"/>
                <c:pt idx="0">
                  <c:v>66671</c:v>
                </c:pt>
              </c:strCache>
            </c:strRef>
          </c:cat>
          <c:val>
            <c:numRef>
              <c:f>'[Attachment 2b Standard MBS Data for P2 -Chemical WG (002).xlsx]Metals for Toxicity-Deficiency'!$J$24</c:f>
              <c:numCache>
                <c:formatCode>#,##0</c:formatCode>
                <c:ptCount val="1"/>
                <c:pt idx="0">
                  <c:v>21.520181166837261</c:v>
                </c:pt>
              </c:numCache>
            </c:numRef>
          </c:val>
          <c:extLst>
            <c:ext xmlns:c16="http://schemas.microsoft.com/office/drawing/2014/chart" uri="{C3380CC4-5D6E-409C-BE32-E72D297353CC}">
              <c16:uniqueId val="{00000007-9238-4004-9048-EEB926F16C36}"/>
            </c:ext>
          </c:extLst>
        </c:ser>
        <c:dLbls>
          <c:showLegendKey val="0"/>
          <c:showVal val="0"/>
          <c:showCatName val="0"/>
          <c:showSerName val="0"/>
          <c:showPercent val="0"/>
          <c:showBubbleSize val="0"/>
        </c:dLbls>
        <c:gapWidth val="219"/>
        <c:overlap val="-27"/>
        <c:axId val="313379072"/>
        <c:axId val="313389056"/>
      </c:barChart>
      <c:catAx>
        <c:axId val="313379072"/>
        <c:scaling>
          <c:orientation val="minMax"/>
        </c:scaling>
        <c:delete val="1"/>
        <c:axPos val="b"/>
        <c:numFmt formatCode="General" sourceLinked="1"/>
        <c:majorTickMark val="none"/>
        <c:minorTickMark val="none"/>
        <c:tickLblPos val="nextTo"/>
        <c:crossAx val="313389056"/>
        <c:crosses val="autoZero"/>
        <c:auto val="1"/>
        <c:lblAlgn val="ctr"/>
        <c:lblOffset val="100"/>
        <c:noMultiLvlLbl val="0"/>
      </c:catAx>
      <c:valAx>
        <c:axId val="313389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379072"/>
        <c:crosses val="autoZero"/>
        <c:crossBetween val="between"/>
      </c:valAx>
      <c:spPr>
        <a:noFill/>
        <a:ln>
          <a:noFill/>
        </a:ln>
        <a:effectLst/>
      </c:spPr>
    </c:plotArea>
    <c:legend>
      <c:legendPos val="b"/>
      <c:layout>
        <c:manualLayout>
          <c:xMode val="edge"/>
          <c:yMode val="edge"/>
          <c:x val="0.138033515041389"/>
          <c:y val="0.90468700787401601"/>
          <c:w val="0.723932969917222"/>
          <c:h val="7.031299212598429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 for</a:t>
            </a:r>
            <a:r>
              <a:rPr lang="en-AU" baseline="0"/>
              <a:t> items 66629, 66650 and 66653: </a:t>
            </a:r>
            <a:r>
              <a:rPr lang="en-AU"/>
              <a:t>services per 100,000 people</a:t>
            </a:r>
          </a:p>
        </c:rich>
      </c:tx>
      <c:overlay val="0"/>
      <c:spPr>
        <a:noFill/>
        <a:ln>
          <a:noFill/>
        </a:ln>
        <a:effectLst/>
      </c:spPr>
    </c:title>
    <c:autoTitleDeleted val="0"/>
    <c:plotArea>
      <c:layout/>
      <c:barChart>
        <c:barDir val="col"/>
        <c:grouping val="stacked"/>
        <c:varyColors val="0"/>
        <c:ser>
          <c:idx val="0"/>
          <c:order val="0"/>
          <c:tx>
            <c:strRef>
              <c:f>'State Variation Graphs'!$B$67</c:f>
              <c:strCache>
                <c:ptCount val="1"/>
                <c:pt idx="0">
                  <c:v>66629</c:v>
                </c:pt>
              </c:strCache>
            </c:strRef>
          </c:tx>
          <c:spPr>
            <a:solidFill>
              <a:schemeClr val="accent1"/>
            </a:solidFill>
            <a:ln>
              <a:noFill/>
            </a:ln>
            <a:effectLst/>
          </c:spPr>
          <c:invertIfNegative val="0"/>
          <c:cat>
            <c:strRef>
              <c:f>'State Variation Graphs'!$C$66:$J$66</c:f>
              <c:strCache>
                <c:ptCount val="8"/>
                <c:pt idx="0">
                  <c:v>NSW</c:v>
                </c:pt>
                <c:pt idx="1">
                  <c:v>VIC</c:v>
                </c:pt>
                <c:pt idx="2">
                  <c:v>QLD</c:v>
                </c:pt>
                <c:pt idx="3">
                  <c:v>SA</c:v>
                </c:pt>
                <c:pt idx="4">
                  <c:v>WA</c:v>
                </c:pt>
                <c:pt idx="5">
                  <c:v>TAS</c:v>
                </c:pt>
                <c:pt idx="6">
                  <c:v>NT</c:v>
                </c:pt>
                <c:pt idx="7">
                  <c:v>ACT</c:v>
                </c:pt>
              </c:strCache>
            </c:strRef>
          </c:cat>
          <c:val>
            <c:numRef>
              <c:f>'State Variation Graphs'!$C$67:$J$67</c:f>
              <c:numCache>
                <c:formatCode>#,##0</c:formatCode>
                <c:ptCount val="8"/>
                <c:pt idx="0">
                  <c:v>342.69017742117501</c:v>
                </c:pt>
                <c:pt idx="1">
                  <c:v>332.45957393442342</c:v>
                </c:pt>
                <c:pt idx="2">
                  <c:v>254.49396344311</c:v>
                </c:pt>
                <c:pt idx="3">
                  <c:v>246.05009221123271</c:v>
                </c:pt>
                <c:pt idx="4">
                  <c:v>58.120334546226282</c:v>
                </c:pt>
                <c:pt idx="5">
                  <c:v>104.5296167247387</c:v>
                </c:pt>
                <c:pt idx="6">
                  <c:v>25.19361941946034</c:v>
                </c:pt>
                <c:pt idx="7">
                  <c:v>696.71490939099283</c:v>
                </c:pt>
              </c:numCache>
            </c:numRef>
          </c:val>
          <c:extLst>
            <c:ext xmlns:c16="http://schemas.microsoft.com/office/drawing/2014/chart" uri="{C3380CC4-5D6E-409C-BE32-E72D297353CC}">
              <c16:uniqueId val="{00000000-31E5-4B72-A22C-ED4BE5D6F39E}"/>
            </c:ext>
          </c:extLst>
        </c:ser>
        <c:ser>
          <c:idx val="1"/>
          <c:order val="1"/>
          <c:tx>
            <c:strRef>
              <c:f>'State Variation Graphs'!$B$68</c:f>
              <c:strCache>
                <c:ptCount val="1"/>
                <c:pt idx="0">
                  <c:v>66650</c:v>
                </c:pt>
              </c:strCache>
            </c:strRef>
          </c:tx>
          <c:spPr>
            <a:solidFill>
              <a:schemeClr val="accent2"/>
            </a:solidFill>
            <a:ln>
              <a:noFill/>
            </a:ln>
            <a:effectLst/>
          </c:spPr>
          <c:invertIfNegative val="0"/>
          <c:cat>
            <c:strRef>
              <c:f>'State Variation Graphs'!$C$66:$J$66</c:f>
              <c:strCache>
                <c:ptCount val="8"/>
                <c:pt idx="0">
                  <c:v>NSW</c:v>
                </c:pt>
                <c:pt idx="1">
                  <c:v>VIC</c:v>
                </c:pt>
                <c:pt idx="2">
                  <c:v>QLD</c:v>
                </c:pt>
                <c:pt idx="3">
                  <c:v>SA</c:v>
                </c:pt>
                <c:pt idx="4">
                  <c:v>WA</c:v>
                </c:pt>
                <c:pt idx="5">
                  <c:v>TAS</c:v>
                </c:pt>
                <c:pt idx="6">
                  <c:v>NT</c:v>
                </c:pt>
                <c:pt idx="7">
                  <c:v>ACT</c:v>
                </c:pt>
              </c:strCache>
            </c:strRef>
          </c:cat>
          <c:val>
            <c:numRef>
              <c:f>'State Variation Graphs'!$C$68:$J$68</c:f>
              <c:numCache>
                <c:formatCode>#,##0</c:formatCode>
                <c:ptCount val="8"/>
                <c:pt idx="0">
                  <c:v>2579.48155983172</c:v>
                </c:pt>
                <c:pt idx="1">
                  <c:v>2235.7226874656822</c:v>
                </c:pt>
                <c:pt idx="2">
                  <c:v>1736.9239486881199</c:v>
                </c:pt>
                <c:pt idx="3">
                  <c:v>1703.51670462734</c:v>
                </c:pt>
                <c:pt idx="4">
                  <c:v>2015.983689983022</c:v>
                </c:pt>
                <c:pt idx="5">
                  <c:v>2030.778164924506</c:v>
                </c:pt>
                <c:pt idx="6">
                  <c:v>922.03831565821804</c:v>
                </c:pt>
                <c:pt idx="7">
                  <c:v>1982.0794196775839</c:v>
                </c:pt>
              </c:numCache>
            </c:numRef>
          </c:val>
          <c:extLst>
            <c:ext xmlns:c16="http://schemas.microsoft.com/office/drawing/2014/chart" uri="{C3380CC4-5D6E-409C-BE32-E72D297353CC}">
              <c16:uniqueId val="{00000001-31E5-4B72-A22C-ED4BE5D6F39E}"/>
            </c:ext>
          </c:extLst>
        </c:ser>
        <c:ser>
          <c:idx val="2"/>
          <c:order val="2"/>
          <c:tx>
            <c:strRef>
              <c:f>'State Variation Graphs'!$B$69</c:f>
              <c:strCache>
                <c:ptCount val="1"/>
                <c:pt idx="0">
                  <c:v>66653</c:v>
                </c:pt>
              </c:strCache>
            </c:strRef>
          </c:tx>
          <c:spPr>
            <a:solidFill>
              <a:schemeClr val="accent3"/>
            </a:solidFill>
            <a:ln>
              <a:noFill/>
            </a:ln>
            <a:effectLst/>
          </c:spPr>
          <c:invertIfNegative val="0"/>
          <c:cat>
            <c:strRef>
              <c:f>'State Variation Graphs'!$C$66:$J$66</c:f>
              <c:strCache>
                <c:ptCount val="8"/>
                <c:pt idx="0">
                  <c:v>NSW</c:v>
                </c:pt>
                <c:pt idx="1">
                  <c:v>VIC</c:v>
                </c:pt>
                <c:pt idx="2">
                  <c:v>QLD</c:v>
                </c:pt>
                <c:pt idx="3">
                  <c:v>SA</c:v>
                </c:pt>
                <c:pt idx="4">
                  <c:v>WA</c:v>
                </c:pt>
                <c:pt idx="5">
                  <c:v>TAS</c:v>
                </c:pt>
                <c:pt idx="6">
                  <c:v>NT</c:v>
                </c:pt>
                <c:pt idx="7">
                  <c:v>ACT</c:v>
                </c:pt>
              </c:strCache>
            </c:strRef>
          </c:cat>
          <c:val>
            <c:numRef>
              <c:f>'State Variation Graphs'!$C$69:$J$69</c:f>
              <c:numCache>
                <c:formatCode>#,##0</c:formatCode>
                <c:ptCount val="8"/>
                <c:pt idx="0">
                  <c:v>1324.045950588066</c:v>
                </c:pt>
                <c:pt idx="1">
                  <c:v>1147.12683380711</c:v>
                </c:pt>
                <c:pt idx="2">
                  <c:v>1276.5828012784029</c:v>
                </c:pt>
                <c:pt idx="3">
                  <c:v>521.85950639938778</c:v>
                </c:pt>
                <c:pt idx="4">
                  <c:v>685.88506497530489</c:v>
                </c:pt>
                <c:pt idx="5">
                  <c:v>537.94037940379349</c:v>
                </c:pt>
                <c:pt idx="6">
                  <c:v>310.1471929272281</c:v>
                </c:pt>
                <c:pt idx="7">
                  <c:v>1213.5791585465711</c:v>
                </c:pt>
              </c:numCache>
            </c:numRef>
          </c:val>
          <c:extLst>
            <c:ext xmlns:c16="http://schemas.microsoft.com/office/drawing/2014/chart" uri="{C3380CC4-5D6E-409C-BE32-E72D297353CC}">
              <c16:uniqueId val="{00000002-31E5-4B72-A22C-ED4BE5D6F39E}"/>
            </c:ext>
          </c:extLst>
        </c:ser>
        <c:dLbls>
          <c:showLegendKey val="0"/>
          <c:showVal val="0"/>
          <c:showCatName val="0"/>
          <c:showSerName val="0"/>
          <c:showPercent val="0"/>
          <c:showBubbleSize val="0"/>
        </c:dLbls>
        <c:gapWidth val="150"/>
        <c:overlap val="100"/>
        <c:axId val="313825920"/>
        <c:axId val="313831808"/>
      </c:barChart>
      <c:catAx>
        <c:axId val="31382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31808"/>
        <c:crosses val="autoZero"/>
        <c:auto val="1"/>
        <c:lblAlgn val="ctr"/>
        <c:lblOffset val="100"/>
        <c:noMultiLvlLbl val="0"/>
      </c:catAx>
      <c:valAx>
        <c:axId val="313831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82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baseline="0"/>
              <a:t>Item </a:t>
            </a:r>
            <a:r>
              <a:rPr lang="en-AU"/>
              <a:t>66650 by requestor</a:t>
            </a:r>
            <a:r>
              <a:rPr lang="en-AU" sz="1400" b="0" i="0" u="none" strike="noStrike" kern="1200" spc="0" baseline="0">
                <a:solidFill>
                  <a:srgbClr val="000000">
                    <a:lumMod val="65000"/>
                    <a:lumOff val="35000"/>
                  </a:srgbClr>
                </a:solidFill>
                <a:latin typeface="+mn-lt"/>
                <a:ea typeface="+mn-ea"/>
                <a:cs typeface="+mn-cs"/>
              </a:rPr>
              <a:t> </a:t>
            </a:r>
            <a:r>
              <a:rPr lang="en-AU" baseline="0"/>
              <a:t>2014/15</a:t>
            </a:r>
            <a:endParaRPr lang="en-AU"/>
          </a:p>
        </c:rich>
      </c:tx>
      <c:overlay val="0"/>
      <c:spPr>
        <a:noFill/>
        <a:ln>
          <a:noFill/>
        </a:ln>
        <a:effectLst/>
      </c:spPr>
    </c:title>
    <c:autoTitleDeleted val="0"/>
    <c:plotArea>
      <c:layout/>
      <c:barChart>
        <c:barDir val="col"/>
        <c:grouping val="clustered"/>
        <c:varyColors val="0"/>
        <c:ser>
          <c:idx val="0"/>
          <c:order val="0"/>
          <c:tx>
            <c:strRef>
              <c:f>'Requesting Provider Graphs'!$L$6</c:f>
              <c:strCache>
                <c:ptCount val="1"/>
                <c:pt idx="0">
                  <c:v>66650</c:v>
                </c:pt>
              </c:strCache>
            </c:strRef>
          </c:tx>
          <c:spPr>
            <a:solidFill>
              <a:schemeClr val="accent1"/>
            </a:solidFill>
            <a:ln>
              <a:noFill/>
            </a:ln>
            <a:effectLst/>
          </c:spPr>
          <c:invertIfNegative val="0"/>
          <c:cat>
            <c:strRef>
              <c:f>'Requesting Provider Graphs'!$K$7:$K$11</c:f>
              <c:strCache>
                <c:ptCount val="5"/>
                <c:pt idx="0">
                  <c:v>01-GP-01-VRGP</c:v>
                </c:pt>
                <c:pt idx="1">
                  <c:v>02-Specialist-15-Medical Oncology</c:v>
                </c:pt>
                <c:pt idx="2">
                  <c:v>02-Specialist-06-Gastroenterology and Hepatology</c:v>
                </c:pt>
                <c:pt idx="3">
                  <c:v>02-Specialist-18-Surgery</c:v>
                </c:pt>
                <c:pt idx="4">
                  <c:v>02-Specialist-01-Internal Medicine</c:v>
                </c:pt>
              </c:strCache>
            </c:strRef>
          </c:cat>
          <c:val>
            <c:numRef>
              <c:f>'Requesting Provider Graphs'!$L$7:$L$11</c:f>
              <c:numCache>
                <c:formatCode>0.0%</c:formatCode>
                <c:ptCount val="5"/>
                <c:pt idx="0">
                  <c:v>0.306994508500048</c:v>
                </c:pt>
                <c:pt idx="1">
                  <c:v>0.244146909790287</c:v>
                </c:pt>
                <c:pt idx="2">
                  <c:v>0.12720969120289299</c:v>
                </c:pt>
                <c:pt idx="3">
                  <c:v>7.2896206562936203E-2</c:v>
                </c:pt>
                <c:pt idx="4">
                  <c:v>5.7741535478671502E-2</c:v>
                </c:pt>
              </c:numCache>
            </c:numRef>
          </c:val>
          <c:extLst>
            <c:ext xmlns:c16="http://schemas.microsoft.com/office/drawing/2014/chart" uri="{C3380CC4-5D6E-409C-BE32-E72D297353CC}">
              <c16:uniqueId val="{00000000-D2D8-4E3D-A5A8-9C2A16D9BF54}"/>
            </c:ext>
          </c:extLst>
        </c:ser>
        <c:dLbls>
          <c:showLegendKey val="0"/>
          <c:showVal val="0"/>
          <c:showCatName val="0"/>
          <c:showSerName val="0"/>
          <c:showPercent val="0"/>
          <c:showBubbleSize val="0"/>
        </c:dLbls>
        <c:gapWidth val="219"/>
        <c:overlap val="-27"/>
        <c:axId val="313725696"/>
        <c:axId val="313727232"/>
      </c:barChart>
      <c:catAx>
        <c:axId val="31372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727232"/>
        <c:crosses val="autoZero"/>
        <c:auto val="1"/>
        <c:lblAlgn val="ctr"/>
        <c:lblOffset val="100"/>
        <c:noMultiLvlLbl val="0"/>
      </c:catAx>
      <c:valAx>
        <c:axId val="31372723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725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AU" baseline="0"/>
              <a:t>Item </a:t>
            </a:r>
            <a:r>
              <a:rPr lang="en-AU"/>
              <a:t>66653 by requestor 2014/15</a:t>
            </a:r>
          </a:p>
        </c:rich>
      </c:tx>
      <c:layout>
        <c:manualLayout>
          <c:xMode val="edge"/>
          <c:yMode val="edge"/>
          <c:x val="0.14870056497175099"/>
          <c:y val="1.2820512820512799E-2"/>
        </c:manualLayout>
      </c:layout>
      <c:overlay val="0"/>
      <c:spPr>
        <a:noFill/>
        <a:ln>
          <a:noFill/>
        </a:ln>
        <a:effectLst/>
      </c:spPr>
    </c:title>
    <c:autoTitleDeleted val="0"/>
    <c:plotArea>
      <c:layout/>
      <c:barChart>
        <c:barDir val="col"/>
        <c:grouping val="clustered"/>
        <c:varyColors val="0"/>
        <c:ser>
          <c:idx val="0"/>
          <c:order val="0"/>
          <c:tx>
            <c:strRef>
              <c:f>'Requesting Provider Graphs'!$O$6</c:f>
              <c:strCache>
                <c:ptCount val="1"/>
                <c:pt idx="0">
                  <c:v>66653</c:v>
                </c:pt>
              </c:strCache>
            </c:strRef>
          </c:tx>
          <c:spPr>
            <a:solidFill>
              <a:schemeClr val="accent1"/>
            </a:solidFill>
            <a:ln>
              <a:noFill/>
            </a:ln>
            <a:effectLst/>
          </c:spPr>
          <c:invertIfNegative val="0"/>
          <c:cat>
            <c:strRef>
              <c:f>'Requesting Provider Graphs'!$N$7:$N$11</c:f>
              <c:strCache>
                <c:ptCount val="5"/>
                <c:pt idx="0">
                  <c:v>01-GP-01-VRGP</c:v>
                </c:pt>
                <c:pt idx="1">
                  <c:v>02-Specialist-15-Medical Oncology</c:v>
                </c:pt>
                <c:pt idx="2">
                  <c:v>02-Specialist-18-Surgery</c:v>
                </c:pt>
                <c:pt idx="3">
                  <c:v>02-Specialist-22-Obstetrics and Gynaecology</c:v>
                </c:pt>
                <c:pt idx="4">
                  <c:v>01-GP-02-NONVRGP</c:v>
                </c:pt>
              </c:strCache>
            </c:strRef>
          </c:cat>
          <c:val>
            <c:numRef>
              <c:f>'Requesting Provider Graphs'!$O$7:$O$11</c:f>
              <c:numCache>
                <c:formatCode>0.0%</c:formatCode>
                <c:ptCount val="5"/>
                <c:pt idx="0">
                  <c:v>0.44505934830271399</c:v>
                </c:pt>
                <c:pt idx="1">
                  <c:v>0.21707492250699301</c:v>
                </c:pt>
                <c:pt idx="2">
                  <c:v>7.1626219097301005E-2</c:v>
                </c:pt>
                <c:pt idx="3">
                  <c:v>6.8999017161865905E-2</c:v>
                </c:pt>
                <c:pt idx="4">
                  <c:v>5.3428593029409603E-2</c:v>
                </c:pt>
              </c:numCache>
            </c:numRef>
          </c:val>
          <c:extLst>
            <c:ext xmlns:c16="http://schemas.microsoft.com/office/drawing/2014/chart" uri="{C3380CC4-5D6E-409C-BE32-E72D297353CC}">
              <c16:uniqueId val="{00000000-D565-4AF1-8471-A30E118C2F03}"/>
            </c:ext>
          </c:extLst>
        </c:ser>
        <c:dLbls>
          <c:showLegendKey val="0"/>
          <c:showVal val="0"/>
          <c:showCatName val="0"/>
          <c:showSerName val="0"/>
          <c:showPercent val="0"/>
          <c:showBubbleSize val="0"/>
        </c:dLbls>
        <c:gapWidth val="219"/>
        <c:overlap val="-27"/>
        <c:axId val="313743616"/>
        <c:axId val="313757696"/>
      </c:barChart>
      <c:catAx>
        <c:axId val="31374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757696"/>
        <c:crosses val="autoZero"/>
        <c:auto val="1"/>
        <c:lblAlgn val="ctr"/>
        <c:lblOffset val="100"/>
        <c:noMultiLvlLbl val="0"/>
      </c:catAx>
      <c:valAx>
        <c:axId val="3137576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743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a:t>
            </a:r>
            <a:r>
              <a:rPr lang="en-AU" baseline="0"/>
              <a:t> of item </a:t>
            </a:r>
            <a:r>
              <a:rPr lang="en-AU"/>
              <a:t>66680 services per 100,000</a:t>
            </a:r>
            <a:r>
              <a:rPr lang="en-AU" baseline="0"/>
              <a:t> people</a:t>
            </a:r>
            <a:endParaRPr lang="en-AU"/>
          </a:p>
        </c:rich>
      </c:tx>
      <c:overlay val="0"/>
      <c:spPr>
        <a:noFill/>
        <a:ln>
          <a:noFill/>
        </a:ln>
        <a:effectLst/>
      </c:spPr>
    </c:title>
    <c:autoTitleDeleted val="0"/>
    <c:plotArea>
      <c:layout/>
      <c:barChart>
        <c:barDir val="col"/>
        <c:grouping val="clustered"/>
        <c:varyColors val="0"/>
        <c:ser>
          <c:idx val="0"/>
          <c:order val="0"/>
          <c:tx>
            <c:v>NSW</c:v>
          </c:tx>
          <c:spPr>
            <a:solidFill>
              <a:schemeClr val="accent1"/>
            </a:solidFill>
            <a:ln>
              <a:noFill/>
            </a:ln>
            <a:effectLst/>
          </c:spPr>
          <c:invertIfNegative val="0"/>
          <c:cat>
            <c:strRef>
              <c:f>'[Attachment 2b Standard MBS Data for P2 -Chemical WG (002).xlsx]Urine &amp; Faeces'!$B$26</c:f>
              <c:strCache>
                <c:ptCount val="1"/>
                <c:pt idx="0">
                  <c:v>66680</c:v>
                </c:pt>
              </c:strCache>
            </c:strRef>
          </c:cat>
          <c:val>
            <c:numRef>
              <c:f>'[Attachment 2b Standard MBS Data for P2 -Chemical WG (002).xlsx]Urine &amp; Faeces'!$C$26</c:f>
              <c:numCache>
                <c:formatCode>#,##0</c:formatCode>
                <c:ptCount val="1"/>
                <c:pt idx="0">
                  <c:v>328.02043508834112</c:v>
                </c:pt>
              </c:numCache>
            </c:numRef>
          </c:val>
          <c:extLst>
            <c:ext xmlns:c16="http://schemas.microsoft.com/office/drawing/2014/chart" uri="{C3380CC4-5D6E-409C-BE32-E72D297353CC}">
              <c16:uniqueId val="{00000000-5126-4B8F-B84F-56E06979DFFC}"/>
            </c:ext>
          </c:extLst>
        </c:ser>
        <c:ser>
          <c:idx val="1"/>
          <c:order val="1"/>
          <c:tx>
            <c:v>VIC</c:v>
          </c:tx>
          <c:spPr>
            <a:solidFill>
              <a:schemeClr val="accent2"/>
            </a:solidFill>
            <a:ln>
              <a:noFill/>
            </a:ln>
            <a:effectLst/>
          </c:spPr>
          <c:invertIfNegative val="0"/>
          <c:cat>
            <c:strRef>
              <c:f>'[Attachment 2b Standard MBS Data for P2 -Chemical WG (002).xlsx]Urine &amp; Faeces'!$B$26</c:f>
              <c:strCache>
                <c:ptCount val="1"/>
                <c:pt idx="0">
                  <c:v>66680</c:v>
                </c:pt>
              </c:strCache>
            </c:strRef>
          </c:cat>
          <c:val>
            <c:numRef>
              <c:f>'[Attachment 2b Standard MBS Data for P2 -Chemical WG (002).xlsx]Urine &amp; Faeces'!$D$26</c:f>
              <c:numCache>
                <c:formatCode>#,##0</c:formatCode>
                <c:ptCount val="1"/>
                <c:pt idx="0">
                  <c:v>33.589869183745442</c:v>
                </c:pt>
              </c:numCache>
            </c:numRef>
          </c:val>
          <c:extLst>
            <c:ext xmlns:c16="http://schemas.microsoft.com/office/drawing/2014/chart" uri="{C3380CC4-5D6E-409C-BE32-E72D297353CC}">
              <c16:uniqueId val="{00000001-5126-4B8F-B84F-56E06979DFFC}"/>
            </c:ext>
          </c:extLst>
        </c:ser>
        <c:ser>
          <c:idx val="2"/>
          <c:order val="2"/>
          <c:tx>
            <c:v>QLD</c:v>
          </c:tx>
          <c:spPr>
            <a:solidFill>
              <a:schemeClr val="accent3"/>
            </a:solidFill>
            <a:ln>
              <a:noFill/>
            </a:ln>
            <a:effectLst/>
          </c:spPr>
          <c:invertIfNegative val="0"/>
          <c:cat>
            <c:strRef>
              <c:f>'[Attachment 2b Standard MBS Data for P2 -Chemical WG (002).xlsx]Urine &amp; Faeces'!$B$26</c:f>
              <c:strCache>
                <c:ptCount val="1"/>
                <c:pt idx="0">
                  <c:v>66680</c:v>
                </c:pt>
              </c:strCache>
            </c:strRef>
          </c:cat>
          <c:val>
            <c:numRef>
              <c:f>'[Attachment 2b Standard MBS Data for P2 -Chemical WG (002).xlsx]Urine &amp; Faeces'!$E$26</c:f>
              <c:numCache>
                <c:formatCode>#,##0</c:formatCode>
                <c:ptCount val="1"/>
                <c:pt idx="0">
                  <c:v>398.16544934719832</c:v>
                </c:pt>
              </c:numCache>
            </c:numRef>
          </c:val>
          <c:extLst>
            <c:ext xmlns:c16="http://schemas.microsoft.com/office/drawing/2014/chart" uri="{C3380CC4-5D6E-409C-BE32-E72D297353CC}">
              <c16:uniqueId val="{00000002-5126-4B8F-B84F-56E06979DFFC}"/>
            </c:ext>
          </c:extLst>
        </c:ser>
        <c:ser>
          <c:idx val="3"/>
          <c:order val="3"/>
          <c:tx>
            <c:v>SA</c:v>
          </c:tx>
          <c:spPr>
            <a:solidFill>
              <a:schemeClr val="accent4"/>
            </a:solidFill>
            <a:ln>
              <a:noFill/>
            </a:ln>
            <a:effectLst/>
          </c:spPr>
          <c:invertIfNegative val="0"/>
          <c:cat>
            <c:strRef>
              <c:f>'[Attachment 2b Standard MBS Data for P2 -Chemical WG (002).xlsx]Urine &amp; Faeces'!$B$26</c:f>
              <c:strCache>
                <c:ptCount val="1"/>
                <c:pt idx="0">
                  <c:v>66680</c:v>
                </c:pt>
              </c:strCache>
            </c:strRef>
          </c:cat>
          <c:val>
            <c:numRef>
              <c:f>'[Attachment 2b Standard MBS Data for P2 -Chemical WG (002).xlsx]Urine &amp; Faeces'!$F$26</c:f>
              <c:numCache>
                <c:formatCode>#,##0</c:formatCode>
                <c:ptCount val="1"/>
                <c:pt idx="0">
                  <c:v>55.053315795360881</c:v>
                </c:pt>
              </c:numCache>
            </c:numRef>
          </c:val>
          <c:extLst>
            <c:ext xmlns:c16="http://schemas.microsoft.com/office/drawing/2014/chart" uri="{C3380CC4-5D6E-409C-BE32-E72D297353CC}">
              <c16:uniqueId val="{00000003-5126-4B8F-B84F-56E06979DFFC}"/>
            </c:ext>
          </c:extLst>
        </c:ser>
        <c:ser>
          <c:idx val="4"/>
          <c:order val="4"/>
          <c:tx>
            <c:v>WA</c:v>
          </c:tx>
          <c:spPr>
            <a:solidFill>
              <a:schemeClr val="accent5"/>
            </a:solidFill>
            <a:ln>
              <a:noFill/>
            </a:ln>
            <a:effectLst/>
          </c:spPr>
          <c:invertIfNegative val="0"/>
          <c:cat>
            <c:strRef>
              <c:f>'[Attachment 2b Standard MBS Data for P2 -Chemical WG (002).xlsx]Urine &amp; Faeces'!$B$26</c:f>
              <c:strCache>
                <c:ptCount val="1"/>
                <c:pt idx="0">
                  <c:v>66680</c:v>
                </c:pt>
              </c:strCache>
            </c:strRef>
          </c:cat>
          <c:val>
            <c:numRef>
              <c:f>'[Attachment 2b Standard MBS Data for P2 -Chemical WG (002).xlsx]Urine &amp; Faeces'!$G$26</c:f>
              <c:numCache>
                <c:formatCode>#,##0</c:formatCode>
                <c:ptCount val="1"/>
                <c:pt idx="0">
                  <c:v>3.514516001697793</c:v>
                </c:pt>
              </c:numCache>
            </c:numRef>
          </c:val>
          <c:extLst>
            <c:ext xmlns:c16="http://schemas.microsoft.com/office/drawing/2014/chart" uri="{C3380CC4-5D6E-409C-BE32-E72D297353CC}">
              <c16:uniqueId val="{00000004-5126-4B8F-B84F-56E06979DFFC}"/>
            </c:ext>
          </c:extLst>
        </c:ser>
        <c:ser>
          <c:idx val="5"/>
          <c:order val="5"/>
          <c:tx>
            <c:v>TAS</c:v>
          </c:tx>
          <c:spPr>
            <a:solidFill>
              <a:schemeClr val="accent6"/>
            </a:solidFill>
            <a:ln>
              <a:noFill/>
            </a:ln>
            <a:effectLst/>
          </c:spPr>
          <c:invertIfNegative val="0"/>
          <c:cat>
            <c:strRef>
              <c:f>'[Attachment 2b Standard MBS Data for P2 -Chemical WG (002).xlsx]Urine &amp; Faeces'!$B$26</c:f>
              <c:strCache>
                <c:ptCount val="1"/>
                <c:pt idx="0">
                  <c:v>66680</c:v>
                </c:pt>
              </c:strCache>
            </c:strRef>
          </c:cat>
          <c:val>
            <c:numRef>
              <c:f>'[Attachment 2b Standard MBS Data for P2 -Chemical WG (002).xlsx]Urine &amp; Faeces'!$H$26</c:f>
              <c:numCache>
                <c:formatCode>#,##0</c:formatCode>
                <c:ptCount val="1"/>
                <c:pt idx="0">
                  <c:v>19.163763066202101</c:v>
                </c:pt>
              </c:numCache>
            </c:numRef>
          </c:val>
          <c:extLst>
            <c:ext xmlns:c16="http://schemas.microsoft.com/office/drawing/2014/chart" uri="{C3380CC4-5D6E-409C-BE32-E72D297353CC}">
              <c16:uniqueId val="{00000005-5126-4B8F-B84F-56E06979DFFC}"/>
            </c:ext>
          </c:extLst>
        </c:ser>
        <c:ser>
          <c:idx val="6"/>
          <c:order val="6"/>
          <c:tx>
            <c:v>NT</c:v>
          </c:tx>
          <c:spPr>
            <a:solidFill>
              <a:schemeClr val="accent1">
                <a:lumMod val="60000"/>
              </a:schemeClr>
            </a:solidFill>
            <a:ln>
              <a:noFill/>
            </a:ln>
            <a:effectLst/>
          </c:spPr>
          <c:invertIfNegative val="0"/>
          <c:cat>
            <c:strRef>
              <c:f>'[Attachment 2b Standard MBS Data for P2 -Chemical WG (002).xlsx]Urine &amp; Faeces'!$B$26</c:f>
              <c:strCache>
                <c:ptCount val="1"/>
                <c:pt idx="0">
                  <c:v>66680</c:v>
                </c:pt>
              </c:strCache>
            </c:strRef>
          </c:cat>
          <c:val>
            <c:numRef>
              <c:f>'[Attachment 2b Standard MBS Data for P2 -Chemical WG (002).xlsx]Urine &amp; Faeces'!$I$26</c:f>
              <c:numCache>
                <c:formatCode>#,##0</c:formatCode>
                <c:ptCount val="1"/>
                <c:pt idx="0">
                  <c:v>16.438434668847091</c:v>
                </c:pt>
              </c:numCache>
            </c:numRef>
          </c:val>
          <c:extLst>
            <c:ext xmlns:c16="http://schemas.microsoft.com/office/drawing/2014/chart" uri="{C3380CC4-5D6E-409C-BE32-E72D297353CC}">
              <c16:uniqueId val="{00000006-5126-4B8F-B84F-56E06979DFFC}"/>
            </c:ext>
          </c:extLst>
        </c:ser>
        <c:ser>
          <c:idx val="7"/>
          <c:order val="7"/>
          <c:tx>
            <c:v>ACT</c:v>
          </c:tx>
          <c:spPr>
            <a:solidFill>
              <a:schemeClr val="accent2">
                <a:lumMod val="60000"/>
              </a:schemeClr>
            </a:solidFill>
            <a:ln>
              <a:noFill/>
            </a:ln>
            <a:effectLst/>
          </c:spPr>
          <c:invertIfNegative val="0"/>
          <c:cat>
            <c:strRef>
              <c:f>'[Attachment 2b Standard MBS Data for P2 -Chemical WG (002).xlsx]Urine &amp; Faeces'!$B$26</c:f>
              <c:strCache>
                <c:ptCount val="1"/>
                <c:pt idx="0">
                  <c:v>66680</c:v>
                </c:pt>
              </c:strCache>
            </c:strRef>
          </c:cat>
          <c:val>
            <c:numRef>
              <c:f>'[Attachment 2b Standard MBS Data for P2 -Chemical WG (002).xlsx]Urine &amp; Faeces'!$J$26</c:f>
              <c:numCache>
                <c:formatCode>#,##0</c:formatCode>
                <c:ptCount val="1"/>
                <c:pt idx="0">
                  <c:v>278.24597187819859</c:v>
                </c:pt>
              </c:numCache>
            </c:numRef>
          </c:val>
          <c:extLst>
            <c:ext xmlns:c16="http://schemas.microsoft.com/office/drawing/2014/chart" uri="{C3380CC4-5D6E-409C-BE32-E72D297353CC}">
              <c16:uniqueId val="{00000007-5126-4B8F-B84F-56E06979DFFC}"/>
            </c:ext>
          </c:extLst>
        </c:ser>
        <c:dLbls>
          <c:showLegendKey val="0"/>
          <c:showVal val="0"/>
          <c:showCatName val="0"/>
          <c:showSerName val="0"/>
          <c:showPercent val="0"/>
          <c:showBubbleSize val="0"/>
        </c:dLbls>
        <c:gapWidth val="219"/>
        <c:overlap val="-27"/>
        <c:axId val="313080448"/>
        <c:axId val="313102720"/>
      </c:barChart>
      <c:catAx>
        <c:axId val="313080448"/>
        <c:scaling>
          <c:orientation val="minMax"/>
        </c:scaling>
        <c:delete val="1"/>
        <c:axPos val="b"/>
        <c:numFmt formatCode="General" sourceLinked="1"/>
        <c:majorTickMark val="none"/>
        <c:minorTickMark val="none"/>
        <c:tickLblPos val="nextTo"/>
        <c:crossAx val="313102720"/>
        <c:crosses val="autoZero"/>
        <c:auto val="1"/>
        <c:lblAlgn val="ctr"/>
        <c:lblOffset val="100"/>
        <c:noMultiLvlLbl val="0"/>
      </c:catAx>
      <c:valAx>
        <c:axId val="313102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08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 for item</a:t>
            </a:r>
            <a:r>
              <a:rPr lang="en-AU" baseline="0"/>
              <a:t> 66623 (services per 100,00 people)</a:t>
            </a:r>
            <a:endParaRPr lang="en-AU"/>
          </a:p>
        </c:rich>
      </c:tx>
      <c:overlay val="0"/>
      <c:spPr>
        <a:noFill/>
        <a:ln>
          <a:noFill/>
        </a:ln>
        <a:effectLst/>
      </c:spPr>
    </c:title>
    <c:autoTitleDeleted val="0"/>
    <c:plotArea>
      <c:layout/>
      <c:barChart>
        <c:barDir val="col"/>
        <c:grouping val="clustered"/>
        <c:varyColors val="0"/>
        <c:ser>
          <c:idx val="0"/>
          <c:order val="0"/>
          <c:tx>
            <c:strRef>
              <c:f>'[Attachment 2b Standard MBS Data for P2 -Chemical WG (002).xlsx]Drugs'!$C$20</c:f>
              <c:strCache>
                <c:ptCount val="1"/>
                <c:pt idx="0">
                  <c:v>NSW</c:v>
                </c:pt>
              </c:strCache>
            </c:strRef>
          </c:tx>
          <c:spPr>
            <a:solidFill>
              <a:schemeClr val="accent1"/>
            </a:solidFill>
            <a:ln>
              <a:noFill/>
            </a:ln>
            <a:effectLst/>
          </c:spPr>
          <c:invertIfNegative val="0"/>
          <c:cat>
            <c:strRef>
              <c:f>'[Attachment 2b Standard MBS Data for P2 -Chemical WG (002).xlsx]Drugs'!$B$21</c:f>
              <c:strCache>
                <c:ptCount val="1"/>
                <c:pt idx="0">
                  <c:v>66623</c:v>
                </c:pt>
              </c:strCache>
            </c:strRef>
          </c:cat>
          <c:val>
            <c:numRef>
              <c:f>'[Attachment 2b Standard MBS Data for P2 -Chemical WG (002).xlsx]Drugs'!$C$21</c:f>
              <c:numCache>
                <c:formatCode>#,##0</c:formatCode>
                <c:ptCount val="1"/>
                <c:pt idx="0">
                  <c:v>539.80699576671657</c:v>
                </c:pt>
              </c:numCache>
            </c:numRef>
          </c:val>
          <c:extLst>
            <c:ext xmlns:c16="http://schemas.microsoft.com/office/drawing/2014/chart" uri="{C3380CC4-5D6E-409C-BE32-E72D297353CC}">
              <c16:uniqueId val="{00000000-4859-40A8-9039-6DDE9EC8F477}"/>
            </c:ext>
          </c:extLst>
        </c:ser>
        <c:ser>
          <c:idx val="1"/>
          <c:order val="1"/>
          <c:tx>
            <c:strRef>
              <c:f>'[Attachment 2b Standard MBS Data for P2 -Chemical WG (002).xlsx]Drugs'!$D$20</c:f>
              <c:strCache>
                <c:ptCount val="1"/>
                <c:pt idx="0">
                  <c:v>VIC</c:v>
                </c:pt>
              </c:strCache>
            </c:strRef>
          </c:tx>
          <c:spPr>
            <a:solidFill>
              <a:schemeClr val="accent2"/>
            </a:solidFill>
            <a:ln>
              <a:noFill/>
            </a:ln>
            <a:effectLst/>
          </c:spPr>
          <c:invertIfNegative val="0"/>
          <c:cat>
            <c:strRef>
              <c:f>'[Attachment 2b Standard MBS Data for P2 -Chemical WG (002).xlsx]Drugs'!$B$21</c:f>
              <c:strCache>
                <c:ptCount val="1"/>
                <c:pt idx="0">
                  <c:v>66623</c:v>
                </c:pt>
              </c:strCache>
            </c:strRef>
          </c:cat>
          <c:val>
            <c:numRef>
              <c:f>'[Attachment 2b Standard MBS Data for P2 -Chemical WG (002).xlsx]Drugs'!$D$21</c:f>
              <c:numCache>
                <c:formatCode>#,##0</c:formatCode>
                <c:ptCount val="1"/>
                <c:pt idx="0">
                  <c:v>622.40553808120262</c:v>
                </c:pt>
              </c:numCache>
            </c:numRef>
          </c:val>
          <c:extLst>
            <c:ext xmlns:c16="http://schemas.microsoft.com/office/drawing/2014/chart" uri="{C3380CC4-5D6E-409C-BE32-E72D297353CC}">
              <c16:uniqueId val="{00000001-4859-40A8-9039-6DDE9EC8F477}"/>
            </c:ext>
          </c:extLst>
        </c:ser>
        <c:ser>
          <c:idx val="2"/>
          <c:order val="2"/>
          <c:tx>
            <c:strRef>
              <c:f>'[Attachment 2b Standard MBS Data for P2 -Chemical WG (002).xlsx]Drugs'!$E$20</c:f>
              <c:strCache>
                <c:ptCount val="1"/>
                <c:pt idx="0">
                  <c:v>QLD</c:v>
                </c:pt>
              </c:strCache>
            </c:strRef>
          </c:tx>
          <c:spPr>
            <a:solidFill>
              <a:schemeClr val="accent3"/>
            </a:solidFill>
            <a:ln>
              <a:noFill/>
            </a:ln>
            <a:effectLst/>
          </c:spPr>
          <c:invertIfNegative val="0"/>
          <c:cat>
            <c:strRef>
              <c:f>'[Attachment 2b Standard MBS Data for P2 -Chemical WG (002).xlsx]Drugs'!$B$21</c:f>
              <c:strCache>
                <c:ptCount val="1"/>
                <c:pt idx="0">
                  <c:v>66623</c:v>
                </c:pt>
              </c:strCache>
            </c:strRef>
          </c:cat>
          <c:val>
            <c:numRef>
              <c:f>'[Attachment 2b Standard MBS Data for P2 -Chemical WG (002).xlsx]Drugs'!$E$21</c:f>
              <c:numCache>
                <c:formatCode>#,##0</c:formatCode>
                <c:ptCount val="1"/>
                <c:pt idx="0">
                  <c:v>258.46922633594181</c:v>
                </c:pt>
              </c:numCache>
            </c:numRef>
          </c:val>
          <c:extLst>
            <c:ext xmlns:c16="http://schemas.microsoft.com/office/drawing/2014/chart" uri="{C3380CC4-5D6E-409C-BE32-E72D297353CC}">
              <c16:uniqueId val="{00000002-4859-40A8-9039-6DDE9EC8F477}"/>
            </c:ext>
          </c:extLst>
        </c:ser>
        <c:ser>
          <c:idx val="3"/>
          <c:order val="3"/>
          <c:tx>
            <c:strRef>
              <c:f>'[Attachment 2b Standard MBS Data for P2 -Chemical WG (002).xlsx]Drugs'!$F$20</c:f>
              <c:strCache>
                <c:ptCount val="1"/>
                <c:pt idx="0">
                  <c:v>SA</c:v>
                </c:pt>
              </c:strCache>
            </c:strRef>
          </c:tx>
          <c:spPr>
            <a:solidFill>
              <a:schemeClr val="accent4"/>
            </a:solidFill>
            <a:ln>
              <a:noFill/>
            </a:ln>
            <a:effectLst/>
          </c:spPr>
          <c:invertIfNegative val="0"/>
          <c:cat>
            <c:strRef>
              <c:f>'[Attachment 2b Standard MBS Data for P2 -Chemical WG (002).xlsx]Drugs'!$B$21</c:f>
              <c:strCache>
                <c:ptCount val="1"/>
                <c:pt idx="0">
                  <c:v>66623</c:v>
                </c:pt>
              </c:strCache>
            </c:strRef>
          </c:cat>
          <c:val>
            <c:numRef>
              <c:f>'[Attachment 2b Standard MBS Data for P2 -Chemical WG (002).xlsx]Drugs'!$F$21</c:f>
              <c:numCache>
                <c:formatCode>#,##0</c:formatCode>
                <c:ptCount val="1"/>
                <c:pt idx="0">
                  <c:v>527.82452991875641</c:v>
                </c:pt>
              </c:numCache>
            </c:numRef>
          </c:val>
          <c:extLst>
            <c:ext xmlns:c16="http://schemas.microsoft.com/office/drawing/2014/chart" uri="{C3380CC4-5D6E-409C-BE32-E72D297353CC}">
              <c16:uniqueId val="{00000003-4859-40A8-9039-6DDE9EC8F477}"/>
            </c:ext>
          </c:extLst>
        </c:ser>
        <c:ser>
          <c:idx val="4"/>
          <c:order val="4"/>
          <c:tx>
            <c:strRef>
              <c:f>'[Attachment 2b Standard MBS Data for P2 -Chemical WG (002).xlsx]Drugs'!$G$20</c:f>
              <c:strCache>
                <c:ptCount val="1"/>
                <c:pt idx="0">
                  <c:v>WA</c:v>
                </c:pt>
              </c:strCache>
            </c:strRef>
          </c:tx>
          <c:spPr>
            <a:solidFill>
              <a:schemeClr val="accent5"/>
            </a:solidFill>
            <a:ln>
              <a:noFill/>
            </a:ln>
            <a:effectLst/>
          </c:spPr>
          <c:invertIfNegative val="0"/>
          <c:cat>
            <c:strRef>
              <c:f>'[Attachment 2b Standard MBS Data for P2 -Chemical WG (002).xlsx]Drugs'!$B$21</c:f>
              <c:strCache>
                <c:ptCount val="1"/>
                <c:pt idx="0">
                  <c:v>66623</c:v>
                </c:pt>
              </c:strCache>
            </c:strRef>
          </c:cat>
          <c:val>
            <c:numRef>
              <c:f>'[Attachment 2b Standard MBS Data for P2 -Chemical WG (002).xlsx]Drugs'!$G$21</c:f>
              <c:numCache>
                <c:formatCode>#,##0</c:formatCode>
                <c:ptCount val="1"/>
                <c:pt idx="0">
                  <c:v>141.41790246951689</c:v>
                </c:pt>
              </c:numCache>
            </c:numRef>
          </c:val>
          <c:extLst>
            <c:ext xmlns:c16="http://schemas.microsoft.com/office/drawing/2014/chart" uri="{C3380CC4-5D6E-409C-BE32-E72D297353CC}">
              <c16:uniqueId val="{00000004-4859-40A8-9039-6DDE9EC8F477}"/>
            </c:ext>
          </c:extLst>
        </c:ser>
        <c:ser>
          <c:idx val="5"/>
          <c:order val="5"/>
          <c:tx>
            <c:strRef>
              <c:f>'[Attachment 2b Standard MBS Data for P2 -Chemical WG (002).xlsx]Drugs'!$H$20</c:f>
              <c:strCache>
                <c:ptCount val="1"/>
                <c:pt idx="0">
                  <c:v>TAS</c:v>
                </c:pt>
              </c:strCache>
            </c:strRef>
          </c:tx>
          <c:spPr>
            <a:solidFill>
              <a:schemeClr val="accent6"/>
            </a:solidFill>
            <a:ln>
              <a:noFill/>
            </a:ln>
            <a:effectLst/>
          </c:spPr>
          <c:invertIfNegative val="0"/>
          <c:cat>
            <c:strRef>
              <c:f>'[Attachment 2b Standard MBS Data for P2 -Chemical WG (002).xlsx]Drugs'!$B$21</c:f>
              <c:strCache>
                <c:ptCount val="1"/>
                <c:pt idx="0">
                  <c:v>66623</c:v>
                </c:pt>
              </c:strCache>
            </c:strRef>
          </c:cat>
          <c:val>
            <c:numRef>
              <c:f>'[Attachment 2b Standard MBS Data for P2 -Chemical WG (002).xlsx]Drugs'!$H$21</c:f>
              <c:numCache>
                <c:formatCode>#,##0</c:formatCode>
                <c:ptCount val="1"/>
                <c:pt idx="0">
                  <c:v>245.838172667441</c:v>
                </c:pt>
              </c:numCache>
            </c:numRef>
          </c:val>
          <c:extLst>
            <c:ext xmlns:c16="http://schemas.microsoft.com/office/drawing/2014/chart" uri="{C3380CC4-5D6E-409C-BE32-E72D297353CC}">
              <c16:uniqueId val="{00000005-4859-40A8-9039-6DDE9EC8F477}"/>
            </c:ext>
          </c:extLst>
        </c:ser>
        <c:ser>
          <c:idx val="6"/>
          <c:order val="6"/>
          <c:tx>
            <c:strRef>
              <c:f>'[Attachment 2b Standard MBS Data for P2 -Chemical WG (002).xlsx]Drugs'!$I$20</c:f>
              <c:strCache>
                <c:ptCount val="1"/>
                <c:pt idx="0">
                  <c:v>NT</c:v>
                </c:pt>
              </c:strCache>
            </c:strRef>
          </c:tx>
          <c:spPr>
            <a:solidFill>
              <a:schemeClr val="accent1">
                <a:lumMod val="60000"/>
              </a:schemeClr>
            </a:solidFill>
            <a:ln>
              <a:noFill/>
            </a:ln>
            <a:effectLst/>
          </c:spPr>
          <c:invertIfNegative val="0"/>
          <c:cat>
            <c:strRef>
              <c:f>'[Attachment 2b Standard MBS Data for P2 -Chemical WG (002).xlsx]Drugs'!$B$21</c:f>
              <c:strCache>
                <c:ptCount val="1"/>
                <c:pt idx="0">
                  <c:v>66623</c:v>
                </c:pt>
              </c:strCache>
            </c:strRef>
          </c:cat>
          <c:val>
            <c:numRef>
              <c:f>'[Attachment 2b Standard MBS Data for P2 -Chemical WG (002).xlsx]Drugs'!$I$21</c:f>
              <c:numCache>
                <c:formatCode>#,##0</c:formatCode>
                <c:ptCount val="1"/>
                <c:pt idx="0">
                  <c:v>273.31847726901071</c:v>
                </c:pt>
              </c:numCache>
            </c:numRef>
          </c:val>
          <c:extLst>
            <c:ext xmlns:c16="http://schemas.microsoft.com/office/drawing/2014/chart" uri="{C3380CC4-5D6E-409C-BE32-E72D297353CC}">
              <c16:uniqueId val="{00000006-4859-40A8-9039-6DDE9EC8F477}"/>
            </c:ext>
          </c:extLst>
        </c:ser>
        <c:ser>
          <c:idx val="7"/>
          <c:order val="7"/>
          <c:tx>
            <c:strRef>
              <c:f>'[Attachment 2b Standard MBS Data for P2 -Chemical WG (002).xlsx]Drugs'!$J$20</c:f>
              <c:strCache>
                <c:ptCount val="1"/>
                <c:pt idx="0">
                  <c:v>ACT</c:v>
                </c:pt>
              </c:strCache>
            </c:strRef>
          </c:tx>
          <c:spPr>
            <a:solidFill>
              <a:schemeClr val="accent2">
                <a:lumMod val="60000"/>
              </a:schemeClr>
            </a:solidFill>
            <a:ln>
              <a:noFill/>
            </a:ln>
            <a:effectLst/>
          </c:spPr>
          <c:invertIfNegative val="0"/>
          <c:cat>
            <c:strRef>
              <c:f>'[Attachment 2b Standard MBS Data for P2 -Chemical WG (002).xlsx]Drugs'!$B$21</c:f>
              <c:strCache>
                <c:ptCount val="1"/>
                <c:pt idx="0">
                  <c:v>66623</c:v>
                </c:pt>
              </c:strCache>
            </c:strRef>
          </c:cat>
          <c:val>
            <c:numRef>
              <c:f>'[Attachment 2b Standard MBS Data for P2 -Chemical WG (002).xlsx]Drugs'!$J$21</c:f>
              <c:numCache>
                <c:formatCode>#,##0</c:formatCode>
                <c:ptCount val="1"/>
                <c:pt idx="0">
                  <c:v>308.77239342374622</c:v>
                </c:pt>
              </c:numCache>
            </c:numRef>
          </c:val>
          <c:extLst>
            <c:ext xmlns:c16="http://schemas.microsoft.com/office/drawing/2014/chart" uri="{C3380CC4-5D6E-409C-BE32-E72D297353CC}">
              <c16:uniqueId val="{00000007-4859-40A8-9039-6DDE9EC8F477}"/>
            </c:ext>
          </c:extLst>
        </c:ser>
        <c:dLbls>
          <c:showLegendKey val="0"/>
          <c:showVal val="0"/>
          <c:showCatName val="0"/>
          <c:showSerName val="0"/>
          <c:showPercent val="0"/>
          <c:showBubbleSize val="0"/>
        </c:dLbls>
        <c:gapWidth val="219"/>
        <c:overlap val="-27"/>
        <c:axId val="313160832"/>
        <c:axId val="313162368"/>
      </c:barChart>
      <c:catAx>
        <c:axId val="313160832"/>
        <c:scaling>
          <c:orientation val="minMax"/>
        </c:scaling>
        <c:delete val="1"/>
        <c:axPos val="b"/>
        <c:numFmt formatCode="General" sourceLinked="1"/>
        <c:majorTickMark val="none"/>
        <c:minorTickMark val="none"/>
        <c:tickLblPos val="nextTo"/>
        <c:crossAx val="313162368"/>
        <c:crosses val="autoZero"/>
        <c:auto val="1"/>
        <c:lblAlgn val="ctr"/>
        <c:lblOffset val="100"/>
        <c:noMultiLvlLbl val="0"/>
      </c:catAx>
      <c:valAx>
        <c:axId val="3131623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160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a:t>
            </a:r>
            <a:r>
              <a:rPr lang="en-AU" baseline="0"/>
              <a:t> of item </a:t>
            </a:r>
            <a:r>
              <a:rPr lang="en-AU"/>
              <a:t>66626</a:t>
            </a:r>
            <a:r>
              <a:rPr lang="en-AU" baseline="0"/>
              <a:t> (</a:t>
            </a:r>
            <a:r>
              <a:rPr lang="en-AU"/>
              <a:t>services per 100,000 people) </a:t>
            </a:r>
          </a:p>
        </c:rich>
      </c:tx>
      <c:overlay val="0"/>
      <c:spPr>
        <a:noFill/>
        <a:ln>
          <a:noFill/>
        </a:ln>
        <a:effectLst/>
      </c:spPr>
    </c:title>
    <c:autoTitleDeleted val="0"/>
    <c:plotArea>
      <c:layout/>
      <c:barChart>
        <c:barDir val="col"/>
        <c:grouping val="clustered"/>
        <c:varyColors val="0"/>
        <c:ser>
          <c:idx val="0"/>
          <c:order val="0"/>
          <c:tx>
            <c:v>NSW</c:v>
          </c:tx>
          <c:spPr>
            <a:solidFill>
              <a:schemeClr val="accent1"/>
            </a:solidFill>
            <a:ln>
              <a:noFill/>
            </a:ln>
            <a:effectLst/>
          </c:spPr>
          <c:invertIfNegative val="0"/>
          <c:cat>
            <c:strRef>
              <c:f>'[Attachment 2b Standard MBS Data for P2 -Chemical WG (002).xlsx]Drugs'!$B$22</c:f>
              <c:strCache>
                <c:ptCount val="1"/>
                <c:pt idx="0">
                  <c:v>66626</c:v>
                </c:pt>
              </c:strCache>
            </c:strRef>
          </c:cat>
          <c:val>
            <c:numRef>
              <c:f>'[Attachment 2b Standard MBS Data for P2 -Chemical WG (002).xlsx]Drugs'!$C$22</c:f>
              <c:numCache>
                <c:formatCode>#,##0</c:formatCode>
                <c:ptCount val="1"/>
                <c:pt idx="0">
                  <c:v>889.47191034365085</c:v>
                </c:pt>
              </c:numCache>
            </c:numRef>
          </c:val>
          <c:extLst>
            <c:ext xmlns:c16="http://schemas.microsoft.com/office/drawing/2014/chart" uri="{C3380CC4-5D6E-409C-BE32-E72D297353CC}">
              <c16:uniqueId val="{00000000-7113-4CA9-99FC-3282513DE847}"/>
            </c:ext>
          </c:extLst>
        </c:ser>
        <c:ser>
          <c:idx val="1"/>
          <c:order val="1"/>
          <c:tx>
            <c:v>VIC</c:v>
          </c:tx>
          <c:spPr>
            <a:solidFill>
              <a:schemeClr val="accent2"/>
            </a:solidFill>
            <a:ln>
              <a:noFill/>
            </a:ln>
            <a:effectLst/>
          </c:spPr>
          <c:invertIfNegative val="0"/>
          <c:cat>
            <c:strRef>
              <c:f>'[Attachment 2b Standard MBS Data for P2 -Chemical WG (002).xlsx]Drugs'!$B$22</c:f>
              <c:strCache>
                <c:ptCount val="1"/>
                <c:pt idx="0">
                  <c:v>66626</c:v>
                </c:pt>
              </c:strCache>
            </c:strRef>
          </c:cat>
          <c:val>
            <c:numRef>
              <c:f>'[Attachment 2b Standard MBS Data for P2 -Chemical WG (002).xlsx]Drugs'!$D$22</c:f>
              <c:numCache>
                <c:formatCode>#,##0</c:formatCode>
                <c:ptCount val="1"/>
                <c:pt idx="0">
                  <c:v>329.89840656607322</c:v>
                </c:pt>
              </c:numCache>
            </c:numRef>
          </c:val>
          <c:extLst>
            <c:ext xmlns:c16="http://schemas.microsoft.com/office/drawing/2014/chart" uri="{C3380CC4-5D6E-409C-BE32-E72D297353CC}">
              <c16:uniqueId val="{00000001-7113-4CA9-99FC-3282513DE847}"/>
            </c:ext>
          </c:extLst>
        </c:ser>
        <c:ser>
          <c:idx val="2"/>
          <c:order val="2"/>
          <c:tx>
            <c:v>QLD</c:v>
          </c:tx>
          <c:spPr>
            <a:solidFill>
              <a:schemeClr val="accent3"/>
            </a:solidFill>
            <a:ln>
              <a:noFill/>
            </a:ln>
            <a:effectLst/>
          </c:spPr>
          <c:invertIfNegative val="0"/>
          <c:cat>
            <c:strRef>
              <c:f>'[Attachment 2b Standard MBS Data for P2 -Chemical WG (002).xlsx]Drugs'!$B$22</c:f>
              <c:strCache>
                <c:ptCount val="1"/>
                <c:pt idx="0">
                  <c:v>66626</c:v>
                </c:pt>
              </c:strCache>
            </c:strRef>
          </c:cat>
          <c:val>
            <c:numRef>
              <c:f>'[Attachment 2b Standard MBS Data for P2 -Chemical WG (002).xlsx]Drugs'!$E$22</c:f>
              <c:numCache>
                <c:formatCode>#,##0</c:formatCode>
                <c:ptCount val="1"/>
                <c:pt idx="0">
                  <c:v>264.56565833368211</c:v>
                </c:pt>
              </c:numCache>
            </c:numRef>
          </c:val>
          <c:extLst>
            <c:ext xmlns:c16="http://schemas.microsoft.com/office/drawing/2014/chart" uri="{C3380CC4-5D6E-409C-BE32-E72D297353CC}">
              <c16:uniqueId val="{00000002-7113-4CA9-99FC-3282513DE847}"/>
            </c:ext>
          </c:extLst>
        </c:ser>
        <c:ser>
          <c:idx val="3"/>
          <c:order val="3"/>
          <c:tx>
            <c:v>SA</c:v>
          </c:tx>
          <c:spPr>
            <a:solidFill>
              <a:schemeClr val="accent4"/>
            </a:solidFill>
            <a:ln>
              <a:noFill/>
            </a:ln>
            <a:effectLst/>
          </c:spPr>
          <c:invertIfNegative val="0"/>
          <c:cat>
            <c:strRef>
              <c:f>'[Attachment 2b Standard MBS Data for P2 -Chemical WG (002).xlsx]Drugs'!$B$22</c:f>
              <c:strCache>
                <c:ptCount val="1"/>
                <c:pt idx="0">
                  <c:v>66626</c:v>
                </c:pt>
              </c:strCache>
            </c:strRef>
          </c:cat>
          <c:val>
            <c:numRef>
              <c:f>'[Attachment 2b Standard MBS Data for P2 -Chemical WG (002).xlsx]Drugs'!$F$22</c:f>
              <c:numCache>
                <c:formatCode>#,##0</c:formatCode>
                <c:ptCount val="1"/>
                <c:pt idx="0">
                  <c:v>50.108066766749083</c:v>
                </c:pt>
              </c:numCache>
            </c:numRef>
          </c:val>
          <c:extLst>
            <c:ext xmlns:c16="http://schemas.microsoft.com/office/drawing/2014/chart" uri="{C3380CC4-5D6E-409C-BE32-E72D297353CC}">
              <c16:uniqueId val="{00000003-7113-4CA9-99FC-3282513DE847}"/>
            </c:ext>
          </c:extLst>
        </c:ser>
        <c:ser>
          <c:idx val="4"/>
          <c:order val="4"/>
          <c:tx>
            <c:v>WA</c:v>
          </c:tx>
          <c:spPr>
            <a:solidFill>
              <a:schemeClr val="accent5"/>
            </a:solidFill>
            <a:ln>
              <a:noFill/>
            </a:ln>
            <a:effectLst/>
          </c:spPr>
          <c:invertIfNegative val="0"/>
          <c:cat>
            <c:strRef>
              <c:f>'[Attachment 2b Standard MBS Data for P2 -Chemical WG (002).xlsx]Drugs'!$B$22</c:f>
              <c:strCache>
                <c:ptCount val="1"/>
                <c:pt idx="0">
                  <c:v>66626</c:v>
                </c:pt>
              </c:strCache>
            </c:strRef>
          </c:cat>
          <c:val>
            <c:numRef>
              <c:f>'[Attachment 2b Standard MBS Data for P2 -Chemical WG (002).xlsx]Drugs'!$G$22</c:f>
              <c:numCache>
                <c:formatCode>#,##0</c:formatCode>
                <c:ptCount val="1"/>
                <c:pt idx="0">
                  <c:v>708.63876357076799</c:v>
                </c:pt>
              </c:numCache>
            </c:numRef>
          </c:val>
          <c:extLst>
            <c:ext xmlns:c16="http://schemas.microsoft.com/office/drawing/2014/chart" uri="{C3380CC4-5D6E-409C-BE32-E72D297353CC}">
              <c16:uniqueId val="{00000004-7113-4CA9-99FC-3282513DE847}"/>
            </c:ext>
          </c:extLst>
        </c:ser>
        <c:ser>
          <c:idx val="5"/>
          <c:order val="5"/>
          <c:tx>
            <c:v>TAS</c:v>
          </c:tx>
          <c:spPr>
            <a:solidFill>
              <a:schemeClr val="accent6"/>
            </a:solidFill>
            <a:ln>
              <a:noFill/>
            </a:ln>
            <a:effectLst/>
          </c:spPr>
          <c:invertIfNegative val="0"/>
          <c:cat>
            <c:strRef>
              <c:f>'[Attachment 2b Standard MBS Data for P2 -Chemical WG (002).xlsx]Drugs'!$B$22</c:f>
              <c:strCache>
                <c:ptCount val="1"/>
                <c:pt idx="0">
                  <c:v>66626</c:v>
                </c:pt>
              </c:strCache>
            </c:strRef>
          </c:cat>
          <c:val>
            <c:numRef>
              <c:f>'[Attachment 2b Standard MBS Data for P2 -Chemical WG (002).xlsx]Drugs'!$H$22</c:f>
              <c:numCache>
                <c:formatCode>#,##0</c:formatCode>
                <c:ptCount val="1"/>
                <c:pt idx="0">
                  <c:v>123.1126596980256</c:v>
                </c:pt>
              </c:numCache>
            </c:numRef>
          </c:val>
          <c:extLst>
            <c:ext xmlns:c16="http://schemas.microsoft.com/office/drawing/2014/chart" uri="{C3380CC4-5D6E-409C-BE32-E72D297353CC}">
              <c16:uniqueId val="{00000005-7113-4CA9-99FC-3282513DE847}"/>
            </c:ext>
          </c:extLst>
        </c:ser>
        <c:ser>
          <c:idx val="6"/>
          <c:order val="6"/>
          <c:tx>
            <c:v>NT</c:v>
          </c:tx>
          <c:spPr>
            <a:solidFill>
              <a:schemeClr val="accent1">
                <a:lumMod val="60000"/>
              </a:schemeClr>
            </a:solidFill>
            <a:ln>
              <a:noFill/>
            </a:ln>
            <a:effectLst/>
          </c:spPr>
          <c:invertIfNegative val="0"/>
          <c:cat>
            <c:strRef>
              <c:f>'[Attachment 2b Standard MBS Data for P2 -Chemical WG (002).xlsx]Drugs'!$B$22</c:f>
              <c:strCache>
                <c:ptCount val="1"/>
                <c:pt idx="0">
                  <c:v>66626</c:v>
                </c:pt>
              </c:strCache>
            </c:strRef>
          </c:cat>
          <c:val>
            <c:numRef>
              <c:f>'[Attachment 2b Standard MBS Data for P2 -Chemical WG (002).xlsx]Drugs'!$I$22</c:f>
              <c:numCache>
                <c:formatCode>#,##0</c:formatCode>
                <c:ptCount val="1"/>
                <c:pt idx="0">
                  <c:v>467.05704260016358</c:v>
                </c:pt>
              </c:numCache>
            </c:numRef>
          </c:val>
          <c:extLst>
            <c:ext xmlns:c16="http://schemas.microsoft.com/office/drawing/2014/chart" uri="{C3380CC4-5D6E-409C-BE32-E72D297353CC}">
              <c16:uniqueId val="{00000006-7113-4CA9-99FC-3282513DE847}"/>
            </c:ext>
          </c:extLst>
        </c:ser>
        <c:ser>
          <c:idx val="7"/>
          <c:order val="7"/>
          <c:tx>
            <c:v>ACT</c:v>
          </c:tx>
          <c:spPr>
            <a:solidFill>
              <a:schemeClr val="accent2">
                <a:lumMod val="60000"/>
              </a:schemeClr>
            </a:solidFill>
            <a:ln>
              <a:noFill/>
            </a:ln>
            <a:effectLst/>
          </c:spPr>
          <c:invertIfNegative val="0"/>
          <c:cat>
            <c:strRef>
              <c:f>'[Attachment 2b Standard MBS Data for P2 -Chemical WG (002).xlsx]Drugs'!$B$22</c:f>
              <c:strCache>
                <c:ptCount val="1"/>
                <c:pt idx="0">
                  <c:v>66626</c:v>
                </c:pt>
              </c:strCache>
            </c:strRef>
          </c:cat>
          <c:val>
            <c:numRef>
              <c:f>'[Attachment 2b Standard MBS Data for P2 -Chemical WG (002).xlsx]Drugs'!$J$22</c:f>
              <c:numCache>
                <c:formatCode>#,##0</c:formatCode>
                <c:ptCount val="1"/>
                <c:pt idx="0">
                  <c:v>235.78745081883321</c:v>
                </c:pt>
              </c:numCache>
            </c:numRef>
          </c:val>
          <c:extLst>
            <c:ext xmlns:c16="http://schemas.microsoft.com/office/drawing/2014/chart" uri="{C3380CC4-5D6E-409C-BE32-E72D297353CC}">
              <c16:uniqueId val="{00000007-7113-4CA9-99FC-3282513DE847}"/>
            </c:ext>
          </c:extLst>
        </c:ser>
        <c:dLbls>
          <c:showLegendKey val="0"/>
          <c:showVal val="0"/>
          <c:showCatName val="0"/>
          <c:showSerName val="0"/>
          <c:showPercent val="0"/>
          <c:showBubbleSize val="0"/>
        </c:dLbls>
        <c:gapWidth val="219"/>
        <c:overlap val="-27"/>
        <c:axId val="313273728"/>
        <c:axId val="313296000"/>
      </c:barChart>
      <c:catAx>
        <c:axId val="313273728"/>
        <c:scaling>
          <c:orientation val="minMax"/>
        </c:scaling>
        <c:delete val="1"/>
        <c:axPos val="b"/>
        <c:numFmt formatCode="General" sourceLinked="1"/>
        <c:majorTickMark val="none"/>
        <c:minorTickMark val="none"/>
        <c:tickLblPos val="nextTo"/>
        <c:crossAx val="313296000"/>
        <c:crosses val="autoZero"/>
        <c:auto val="1"/>
        <c:lblAlgn val="ctr"/>
        <c:lblOffset val="100"/>
        <c:noMultiLvlLbl val="0"/>
      </c:catAx>
      <c:valAx>
        <c:axId val="313296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27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a:t>
            </a:r>
            <a:r>
              <a:rPr lang="en-AU" baseline="0"/>
              <a:t> for item </a:t>
            </a:r>
            <a:r>
              <a:rPr lang="en-AU"/>
              <a:t>66638: services</a:t>
            </a:r>
            <a:r>
              <a:rPr lang="en-AU" baseline="0"/>
              <a:t> per 100,000 people</a:t>
            </a:r>
            <a:endParaRPr lang="en-AU"/>
          </a:p>
        </c:rich>
      </c:tx>
      <c:overlay val="0"/>
      <c:spPr>
        <a:noFill/>
        <a:ln>
          <a:noFill/>
        </a:ln>
        <a:effectLst/>
      </c:spPr>
    </c:title>
    <c:autoTitleDeleted val="0"/>
    <c:plotArea>
      <c:layout/>
      <c:barChart>
        <c:barDir val="col"/>
        <c:grouping val="clustered"/>
        <c:varyColors val="0"/>
        <c:ser>
          <c:idx val="0"/>
          <c:order val="0"/>
          <c:tx>
            <c:v>NSW</c:v>
          </c:tx>
          <c:spPr>
            <a:solidFill>
              <a:schemeClr val="accent1"/>
            </a:solidFill>
            <a:ln>
              <a:noFill/>
            </a:ln>
            <a:effectLst/>
          </c:spPr>
          <c:invertIfNegative val="0"/>
          <c:cat>
            <c:strRef>
              <c:f>'[Attachment 2b Standard MBS Data for P2 -Chemical WG (002).xlsx]Proteins &amp; Electrophoresis I'!$B$23</c:f>
              <c:strCache>
                <c:ptCount val="1"/>
                <c:pt idx="0">
                  <c:v>66638</c:v>
                </c:pt>
              </c:strCache>
            </c:strRef>
          </c:cat>
          <c:val>
            <c:numRef>
              <c:f>'[Attachment 2b Standard MBS Data for P2 -Chemical WG (002).xlsx]Proteins &amp; Electrophoresis I'!$C$23</c:f>
              <c:numCache>
                <c:formatCode>#,##0</c:formatCode>
                <c:ptCount val="1"/>
                <c:pt idx="0">
                  <c:v>3.9112721587776642</c:v>
                </c:pt>
              </c:numCache>
            </c:numRef>
          </c:val>
          <c:extLst>
            <c:ext xmlns:c16="http://schemas.microsoft.com/office/drawing/2014/chart" uri="{C3380CC4-5D6E-409C-BE32-E72D297353CC}">
              <c16:uniqueId val="{00000000-8ECE-4DD5-AF2A-EC4C983535E5}"/>
            </c:ext>
          </c:extLst>
        </c:ser>
        <c:ser>
          <c:idx val="1"/>
          <c:order val="1"/>
          <c:tx>
            <c:v>VIC</c:v>
          </c:tx>
          <c:spPr>
            <a:solidFill>
              <a:schemeClr val="accent2"/>
            </a:solidFill>
            <a:ln>
              <a:noFill/>
            </a:ln>
            <a:effectLst/>
          </c:spPr>
          <c:invertIfNegative val="0"/>
          <c:cat>
            <c:strRef>
              <c:f>'[Attachment 2b Standard MBS Data for P2 -Chemical WG (002).xlsx]Proteins &amp; Electrophoresis I'!$B$23</c:f>
              <c:strCache>
                <c:ptCount val="1"/>
                <c:pt idx="0">
                  <c:v>66638</c:v>
                </c:pt>
              </c:strCache>
            </c:strRef>
          </c:cat>
          <c:val>
            <c:numRef>
              <c:f>'[Attachment 2b Standard MBS Data for P2 -Chemical WG (002).xlsx]Proteins &amp; Electrophoresis I'!$D$23</c:f>
              <c:numCache>
                <c:formatCode>#,##0</c:formatCode>
                <c:ptCount val="1"/>
                <c:pt idx="0">
                  <c:v>2.627102945386572</c:v>
                </c:pt>
              </c:numCache>
            </c:numRef>
          </c:val>
          <c:extLst>
            <c:ext xmlns:c16="http://schemas.microsoft.com/office/drawing/2014/chart" uri="{C3380CC4-5D6E-409C-BE32-E72D297353CC}">
              <c16:uniqueId val="{00000001-8ECE-4DD5-AF2A-EC4C983535E5}"/>
            </c:ext>
          </c:extLst>
        </c:ser>
        <c:ser>
          <c:idx val="2"/>
          <c:order val="2"/>
          <c:tx>
            <c:v>QLD</c:v>
          </c:tx>
          <c:spPr>
            <a:solidFill>
              <a:schemeClr val="accent3"/>
            </a:solidFill>
            <a:ln>
              <a:noFill/>
            </a:ln>
            <a:effectLst/>
          </c:spPr>
          <c:invertIfNegative val="0"/>
          <c:cat>
            <c:strRef>
              <c:f>'[Attachment 2b Standard MBS Data for P2 -Chemical WG (002).xlsx]Proteins &amp; Electrophoresis I'!$B$23</c:f>
              <c:strCache>
                <c:ptCount val="1"/>
                <c:pt idx="0">
                  <c:v>66638</c:v>
                </c:pt>
              </c:strCache>
            </c:strRef>
          </c:cat>
          <c:val>
            <c:numRef>
              <c:f>'[Attachment 2b Standard MBS Data for P2 -Chemical WG (002).xlsx]Proteins &amp; Electrophoresis I'!$E$23</c:f>
              <c:numCache>
                <c:formatCode>#,##0</c:formatCode>
                <c:ptCount val="1"/>
                <c:pt idx="0">
                  <c:v>6.0467841151608983</c:v>
                </c:pt>
              </c:numCache>
            </c:numRef>
          </c:val>
          <c:extLst>
            <c:ext xmlns:c16="http://schemas.microsoft.com/office/drawing/2014/chart" uri="{C3380CC4-5D6E-409C-BE32-E72D297353CC}">
              <c16:uniqueId val="{00000002-8ECE-4DD5-AF2A-EC4C983535E5}"/>
            </c:ext>
          </c:extLst>
        </c:ser>
        <c:ser>
          <c:idx val="3"/>
          <c:order val="3"/>
          <c:tx>
            <c:v>SA</c:v>
          </c:tx>
          <c:spPr>
            <a:solidFill>
              <a:schemeClr val="accent4"/>
            </a:solidFill>
            <a:ln>
              <a:noFill/>
            </a:ln>
            <a:effectLst/>
          </c:spPr>
          <c:invertIfNegative val="0"/>
          <c:cat>
            <c:strRef>
              <c:f>'[Attachment 2b Standard MBS Data for P2 -Chemical WG (002).xlsx]Proteins &amp; Electrophoresis I'!$B$23</c:f>
              <c:strCache>
                <c:ptCount val="1"/>
                <c:pt idx="0">
                  <c:v>66638</c:v>
                </c:pt>
              </c:strCache>
            </c:strRef>
          </c:cat>
          <c:val>
            <c:numRef>
              <c:f>'[Attachment 2b Standard MBS Data for P2 -Chemical WG (002).xlsx]Proteins &amp; Electrophoresis I'!$F$23</c:f>
              <c:numCache>
                <c:formatCode>#,##0</c:formatCode>
                <c:ptCount val="1"/>
                <c:pt idx="0">
                  <c:v>9.5372659837513023</c:v>
                </c:pt>
              </c:numCache>
            </c:numRef>
          </c:val>
          <c:extLst>
            <c:ext xmlns:c16="http://schemas.microsoft.com/office/drawing/2014/chart" uri="{C3380CC4-5D6E-409C-BE32-E72D297353CC}">
              <c16:uniqueId val="{00000003-8ECE-4DD5-AF2A-EC4C983535E5}"/>
            </c:ext>
          </c:extLst>
        </c:ser>
        <c:ser>
          <c:idx val="4"/>
          <c:order val="4"/>
          <c:tx>
            <c:v>WA</c:v>
          </c:tx>
          <c:spPr>
            <a:solidFill>
              <a:schemeClr val="accent5"/>
            </a:solidFill>
            <a:ln>
              <a:noFill/>
            </a:ln>
            <a:effectLst/>
          </c:spPr>
          <c:invertIfNegative val="0"/>
          <c:cat>
            <c:strRef>
              <c:f>'[Attachment 2b Standard MBS Data for P2 -Chemical WG (002).xlsx]Proteins &amp; Electrophoresis I'!$B$23</c:f>
              <c:strCache>
                <c:ptCount val="1"/>
                <c:pt idx="0">
                  <c:v>66638</c:v>
                </c:pt>
              </c:strCache>
            </c:strRef>
          </c:cat>
          <c:val>
            <c:numRef>
              <c:f>'[Attachment 2b Standard MBS Data for P2 -Chemical WG (002).xlsx]Proteins &amp; Electrophoresis I'!$G$23</c:f>
              <c:numCache>
                <c:formatCode>#,##0</c:formatCode>
                <c:ptCount val="1"/>
                <c:pt idx="0">
                  <c:v>6.4053094613366302</c:v>
                </c:pt>
              </c:numCache>
            </c:numRef>
          </c:val>
          <c:extLst>
            <c:ext xmlns:c16="http://schemas.microsoft.com/office/drawing/2014/chart" uri="{C3380CC4-5D6E-409C-BE32-E72D297353CC}">
              <c16:uniqueId val="{00000004-8ECE-4DD5-AF2A-EC4C983535E5}"/>
            </c:ext>
          </c:extLst>
        </c:ser>
        <c:ser>
          <c:idx val="5"/>
          <c:order val="5"/>
          <c:tx>
            <c:v>TAS</c:v>
          </c:tx>
          <c:spPr>
            <a:solidFill>
              <a:schemeClr val="accent6"/>
            </a:solidFill>
            <a:ln>
              <a:noFill/>
            </a:ln>
            <a:effectLst/>
          </c:spPr>
          <c:invertIfNegative val="0"/>
          <c:cat>
            <c:strRef>
              <c:f>'[Attachment 2b Standard MBS Data for P2 -Chemical WG (002).xlsx]Proteins &amp; Electrophoresis I'!$B$23</c:f>
              <c:strCache>
                <c:ptCount val="1"/>
                <c:pt idx="0">
                  <c:v>66638</c:v>
                </c:pt>
              </c:strCache>
            </c:strRef>
          </c:cat>
          <c:val>
            <c:numRef>
              <c:f>'[Attachment 2b Standard MBS Data for P2 -Chemical WG (002).xlsx]Proteins &amp; Electrophoresis I'!$H$23</c:f>
              <c:numCache>
                <c:formatCode>#,##0</c:formatCode>
                <c:ptCount val="1"/>
                <c:pt idx="0">
                  <c:v>13.74370886566008</c:v>
                </c:pt>
              </c:numCache>
            </c:numRef>
          </c:val>
          <c:extLst>
            <c:ext xmlns:c16="http://schemas.microsoft.com/office/drawing/2014/chart" uri="{C3380CC4-5D6E-409C-BE32-E72D297353CC}">
              <c16:uniqueId val="{00000005-8ECE-4DD5-AF2A-EC4C983535E5}"/>
            </c:ext>
          </c:extLst>
        </c:ser>
        <c:ser>
          <c:idx val="6"/>
          <c:order val="6"/>
          <c:tx>
            <c:v>NT</c:v>
          </c:tx>
          <c:spPr>
            <a:solidFill>
              <a:schemeClr val="accent1">
                <a:lumMod val="60000"/>
              </a:schemeClr>
            </a:solidFill>
            <a:ln>
              <a:noFill/>
            </a:ln>
            <a:effectLst/>
          </c:spPr>
          <c:invertIfNegative val="0"/>
          <c:cat>
            <c:strRef>
              <c:f>'[Attachment 2b Standard MBS Data for P2 -Chemical WG (002).xlsx]Proteins &amp; Electrophoresis I'!$B$23</c:f>
              <c:strCache>
                <c:ptCount val="1"/>
                <c:pt idx="0">
                  <c:v>66638</c:v>
                </c:pt>
              </c:strCache>
            </c:strRef>
          </c:cat>
          <c:val>
            <c:numRef>
              <c:f>'[Attachment 2b Standard MBS Data for P2 -Chemical WG (002).xlsx]Proteins &amp; Electrophoresis I'!$I$23</c:f>
              <c:numCache>
                <c:formatCode>#,##0</c:formatCode>
                <c:ptCount val="1"/>
                <c:pt idx="0">
                  <c:v>1.226492232215862</c:v>
                </c:pt>
              </c:numCache>
            </c:numRef>
          </c:val>
          <c:extLst>
            <c:ext xmlns:c16="http://schemas.microsoft.com/office/drawing/2014/chart" uri="{C3380CC4-5D6E-409C-BE32-E72D297353CC}">
              <c16:uniqueId val="{00000006-8ECE-4DD5-AF2A-EC4C983535E5}"/>
            </c:ext>
          </c:extLst>
        </c:ser>
        <c:ser>
          <c:idx val="7"/>
          <c:order val="7"/>
          <c:tx>
            <c:v>ACT</c:v>
          </c:tx>
          <c:spPr>
            <a:solidFill>
              <a:schemeClr val="accent2">
                <a:lumMod val="60000"/>
              </a:schemeClr>
            </a:solidFill>
            <a:ln>
              <a:noFill/>
            </a:ln>
            <a:effectLst/>
          </c:spPr>
          <c:invertIfNegative val="0"/>
          <c:cat>
            <c:strRef>
              <c:f>'[Attachment 2b Standard MBS Data for P2 -Chemical WG (002).xlsx]Proteins &amp; Electrophoresis I'!$B$23</c:f>
              <c:strCache>
                <c:ptCount val="1"/>
                <c:pt idx="0">
                  <c:v>66638</c:v>
                </c:pt>
              </c:strCache>
            </c:strRef>
          </c:cat>
          <c:val>
            <c:numRef>
              <c:f>'[Attachment 2b Standard MBS Data for P2 -Chemical WG (002).xlsx]Proteins &amp; Electrophoresis I'!$J$23</c:f>
              <c:numCache>
                <c:formatCode>#,##0</c:formatCode>
                <c:ptCount val="1"/>
                <c:pt idx="0">
                  <c:v>1.5410974155578301</c:v>
                </c:pt>
              </c:numCache>
            </c:numRef>
          </c:val>
          <c:extLst>
            <c:ext xmlns:c16="http://schemas.microsoft.com/office/drawing/2014/chart" uri="{C3380CC4-5D6E-409C-BE32-E72D297353CC}">
              <c16:uniqueId val="{00000007-8ECE-4DD5-AF2A-EC4C983535E5}"/>
            </c:ext>
          </c:extLst>
        </c:ser>
        <c:dLbls>
          <c:showLegendKey val="0"/>
          <c:showVal val="0"/>
          <c:showCatName val="0"/>
          <c:showSerName val="0"/>
          <c:showPercent val="0"/>
          <c:showBubbleSize val="0"/>
        </c:dLbls>
        <c:gapWidth val="219"/>
        <c:overlap val="-27"/>
        <c:axId val="313411456"/>
        <c:axId val="313412992"/>
      </c:barChart>
      <c:catAx>
        <c:axId val="313411456"/>
        <c:scaling>
          <c:orientation val="minMax"/>
        </c:scaling>
        <c:delete val="1"/>
        <c:axPos val="b"/>
        <c:numFmt formatCode="General" sourceLinked="1"/>
        <c:majorTickMark val="none"/>
        <c:minorTickMark val="none"/>
        <c:tickLblPos val="nextTo"/>
        <c:crossAx val="313412992"/>
        <c:crosses val="autoZero"/>
        <c:auto val="1"/>
        <c:lblAlgn val="ctr"/>
        <c:lblOffset val="100"/>
        <c:noMultiLvlLbl val="0"/>
      </c:catAx>
      <c:valAx>
        <c:axId val="313412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41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a:t>
            </a:r>
            <a:r>
              <a:rPr lang="en-AU" baseline="0"/>
              <a:t> for item </a:t>
            </a:r>
            <a:r>
              <a:rPr lang="en-AU"/>
              <a:t>66641</a:t>
            </a:r>
            <a:r>
              <a:rPr lang="en-AU" baseline="0"/>
              <a:t> services per 100,000 people</a:t>
            </a:r>
            <a:endParaRPr lang="en-AU"/>
          </a:p>
        </c:rich>
      </c:tx>
      <c:layout>
        <c:manualLayout>
          <c:xMode val="edge"/>
          <c:yMode val="edge"/>
          <c:x val="9.3241163672581298E-2"/>
          <c:y val="1.5760441292356198E-2"/>
        </c:manualLayout>
      </c:layout>
      <c:overlay val="0"/>
      <c:spPr>
        <a:noFill/>
        <a:ln>
          <a:noFill/>
        </a:ln>
        <a:effectLst/>
      </c:spPr>
    </c:title>
    <c:autoTitleDeleted val="0"/>
    <c:plotArea>
      <c:layout/>
      <c:barChart>
        <c:barDir val="col"/>
        <c:grouping val="clustered"/>
        <c:varyColors val="0"/>
        <c:ser>
          <c:idx val="0"/>
          <c:order val="0"/>
          <c:tx>
            <c:v>NSW</c:v>
          </c:tx>
          <c:spPr>
            <a:solidFill>
              <a:schemeClr val="accent1"/>
            </a:solidFill>
            <a:ln>
              <a:noFill/>
            </a:ln>
            <a:effectLst/>
          </c:spPr>
          <c:invertIfNegative val="0"/>
          <c:cat>
            <c:strRef>
              <c:f>'[Attachment 2b Standard MBS Data for P2 -Chemical WG (002).xlsx]Proteins &amp; Electrophoresis I'!$B$25</c:f>
              <c:strCache>
                <c:ptCount val="1"/>
                <c:pt idx="0">
                  <c:v>66641</c:v>
                </c:pt>
              </c:strCache>
            </c:strRef>
          </c:cat>
          <c:val>
            <c:numRef>
              <c:f>'[Attachment 2b Standard MBS Data for P2 -Chemical WG (002).xlsx]Proteins &amp; Electrophoresis I'!$C$25</c:f>
              <c:numCache>
                <c:formatCode>#,##0</c:formatCode>
                <c:ptCount val="1"/>
                <c:pt idx="0">
                  <c:v>19.611656228505421</c:v>
                </c:pt>
              </c:numCache>
            </c:numRef>
          </c:val>
          <c:extLst>
            <c:ext xmlns:c16="http://schemas.microsoft.com/office/drawing/2014/chart" uri="{C3380CC4-5D6E-409C-BE32-E72D297353CC}">
              <c16:uniqueId val="{00000000-8996-44CE-A629-A4BE5F35166D}"/>
            </c:ext>
          </c:extLst>
        </c:ser>
        <c:ser>
          <c:idx val="1"/>
          <c:order val="1"/>
          <c:tx>
            <c:v>VIC</c:v>
          </c:tx>
          <c:spPr>
            <a:solidFill>
              <a:schemeClr val="accent2"/>
            </a:solidFill>
            <a:ln>
              <a:noFill/>
            </a:ln>
            <a:effectLst/>
          </c:spPr>
          <c:invertIfNegative val="0"/>
          <c:cat>
            <c:strRef>
              <c:f>'[Attachment 2b Standard MBS Data for P2 -Chemical WG (002).xlsx]Proteins &amp; Electrophoresis I'!$B$25</c:f>
              <c:strCache>
                <c:ptCount val="1"/>
                <c:pt idx="0">
                  <c:v>66641</c:v>
                </c:pt>
              </c:strCache>
            </c:strRef>
          </c:cat>
          <c:val>
            <c:numRef>
              <c:f>'[Attachment 2b Standard MBS Data for P2 -Chemical WG (002).xlsx]Proteins &amp; Electrophoresis I'!$D$25</c:f>
              <c:numCache>
                <c:formatCode>#,##0</c:formatCode>
                <c:ptCount val="1"/>
                <c:pt idx="0">
                  <c:v>18.019272457520081</c:v>
                </c:pt>
              </c:numCache>
            </c:numRef>
          </c:val>
          <c:extLst>
            <c:ext xmlns:c16="http://schemas.microsoft.com/office/drawing/2014/chart" uri="{C3380CC4-5D6E-409C-BE32-E72D297353CC}">
              <c16:uniqueId val="{00000001-8996-44CE-A629-A4BE5F35166D}"/>
            </c:ext>
          </c:extLst>
        </c:ser>
        <c:ser>
          <c:idx val="2"/>
          <c:order val="2"/>
          <c:tx>
            <c:v>QLD</c:v>
          </c:tx>
          <c:spPr>
            <a:solidFill>
              <a:schemeClr val="accent3"/>
            </a:solidFill>
            <a:ln>
              <a:noFill/>
            </a:ln>
            <a:effectLst/>
          </c:spPr>
          <c:invertIfNegative val="0"/>
          <c:cat>
            <c:strRef>
              <c:f>'[Attachment 2b Standard MBS Data for P2 -Chemical WG (002).xlsx]Proteins &amp; Electrophoresis I'!$B$25</c:f>
              <c:strCache>
                <c:ptCount val="1"/>
                <c:pt idx="0">
                  <c:v>66641</c:v>
                </c:pt>
              </c:strCache>
            </c:strRef>
          </c:cat>
          <c:val>
            <c:numRef>
              <c:f>'[Attachment 2b Standard MBS Data for P2 -Chemical WG (002).xlsx]Proteins &amp; Electrophoresis I'!$E$25</c:f>
              <c:numCache>
                <c:formatCode>#,##0</c:formatCode>
                <c:ptCount val="1"/>
                <c:pt idx="0">
                  <c:v>44.221367998075081</c:v>
                </c:pt>
              </c:numCache>
            </c:numRef>
          </c:val>
          <c:extLst>
            <c:ext xmlns:c16="http://schemas.microsoft.com/office/drawing/2014/chart" uri="{C3380CC4-5D6E-409C-BE32-E72D297353CC}">
              <c16:uniqueId val="{00000002-8996-44CE-A629-A4BE5F35166D}"/>
            </c:ext>
          </c:extLst>
        </c:ser>
        <c:ser>
          <c:idx val="3"/>
          <c:order val="3"/>
          <c:tx>
            <c:v>SA</c:v>
          </c:tx>
          <c:spPr>
            <a:solidFill>
              <a:schemeClr val="accent4"/>
            </a:solidFill>
            <a:ln>
              <a:noFill/>
            </a:ln>
            <a:effectLst/>
          </c:spPr>
          <c:invertIfNegative val="0"/>
          <c:cat>
            <c:strRef>
              <c:f>'[Attachment 2b Standard MBS Data for P2 -Chemical WG (002).xlsx]Proteins &amp; Electrophoresis I'!$B$25</c:f>
              <c:strCache>
                <c:ptCount val="1"/>
                <c:pt idx="0">
                  <c:v>66641</c:v>
                </c:pt>
              </c:strCache>
            </c:strRef>
          </c:cat>
          <c:val>
            <c:numRef>
              <c:f>'[Attachment 2b Standard MBS Data for P2 -Chemical WG (002).xlsx]Proteins &amp; Electrophoresis I'!$F$25</c:f>
              <c:numCache>
                <c:formatCode>#,##0</c:formatCode>
                <c:ptCount val="1"/>
                <c:pt idx="0">
                  <c:v>11.89214647356647</c:v>
                </c:pt>
              </c:numCache>
            </c:numRef>
          </c:val>
          <c:extLst>
            <c:ext xmlns:c16="http://schemas.microsoft.com/office/drawing/2014/chart" uri="{C3380CC4-5D6E-409C-BE32-E72D297353CC}">
              <c16:uniqueId val="{00000003-8996-44CE-A629-A4BE5F35166D}"/>
            </c:ext>
          </c:extLst>
        </c:ser>
        <c:ser>
          <c:idx val="4"/>
          <c:order val="4"/>
          <c:tx>
            <c:v>WA</c:v>
          </c:tx>
          <c:spPr>
            <a:solidFill>
              <a:schemeClr val="accent5"/>
            </a:solidFill>
            <a:ln>
              <a:noFill/>
            </a:ln>
            <a:effectLst/>
          </c:spPr>
          <c:invertIfNegative val="0"/>
          <c:cat>
            <c:strRef>
              <c:f>'[Attachment 2b Standard MBS Data for P2 -Chemical WG (002).xlsx]Proteins &amp; Electrophoresis I'!$B$25</c:f>
              <c:strCache>
                <c:ptCount val="1"/>
                <c:pt idx="0">
                  <c:v>66641</c:v>
                </c:pt>
              </c:strCache>
            </c:strRef>
          </c:cat>
          <c:val>
            <c:numRef>
              <c:f>'[Attachment 2b Standard MBS Data for P2 -Chemical WG (002).xlsx]Proteins &amp; Electrophoresis I'!$G$25</c:f>
              <c:numCache>
                <c:formatCode>#,##0</c:formatCode>
                <c:ptCount val="1"/>
                <c:pt idx="0">
                  <c:v>7.3313782991202361</c:v>
                </c:pt>
              </c:numCache>
            </c:numRef>
          </c:val>
          <c:extLst>
            <c:ext xmlns:c16="http://schemas.microsoft.com/office/drawing/2014/chart" uri="{C3380CC4-5D6E-409C-BE32-E72D297353CC}">
              <c16:uniqueId val="{00000004-8996-44CE-A629-A4BE5F35166D}"/>
            </c:ext>
          </c:extLst>
        </c:ser>
        <c:ser>
          <c:idx val="5"/>
          <c:order val="5"/>
          <c:tx>
            <c:v>TAS</c:v>
          </c:tx>
          <c:spPr>
            <a:solidFill>
              <a:schemeClr val="accent6"/>
            </a:solidFill>
            <a:ln>
              <a:noFill/>
            </a:ln>
            <a:effectLst/>
          </c:spPr>
          <c:invertIfNegative val="0"/>
          <c:cat>
            <c:strRef>
              <c:f>'[Attachment 2b Standard MBS Data for P2 -Chemical WG (002).xlsx]Proteins &amp; Electrophoresis I'!$B$25</c:f>
              <c:strCache>
                <c:ptCount val="1"/>
                <c:pt idx="0">
                  <c:v>66641</c:v>
                </c:pt>
              </c:strCache>
            </c:strRef>
          </c:cat>
          <c:val>
            <c:numRef>
              <c:f>'[Attachment 2b Standard MBS Data for P2 -Chemical WG (002).xlsx]Proteins &amp; Electrophoresis I'!$H$25</c:f>
              <c:numCache>
                <c:formatCode>#,##0</c:formatCode>
                <c:ptCount val="1"/>
                <c:pt idx="0">
                  <c:v>13.550135501355021</c:v>
                </c:pt>
              </c:numCache>
            </c:numRef>
          </c:val>
          <c:extLst>
            <c:ext xmlns:c16="http://schemas.microsoft.com/office/drawing/2014/chart" uri="{C3380CC4-5D6E-409C-BE32-E72D297353CC}">
              <c16:uniqueId val="{00000005-8996-44CE-A629-A4BE5F35166D}"/>
            </c:ext>
          </c:extLst>
        </c:ser>
        <c:ser>
          <c:idx val="6"/>
          <c:order val="6"/>
          <c:tx>
            <c:v>NT</c:v>
          </c:tx>
          <c:spPr>
            <a:solidFill>
              <a:schemeClr val="accent1">
                <a:lumMod val="60000"/>
              </a:schemeClr>
            </a:solidFill>
            <a:ln>
              <a:noFill/>
            </a:ln>
            <a:effectLst/>
          </c:spPr>
          <c:invertIfNegative val="0"/>
          <c:cat>
            <c:strRef>
              <c:f>'[Attachment 2b Standard MBS Data for P2 -Chemical WG (002).xlsx]Proteins &amp; Electrophoresis I'!$B$25</c:f>
              <c:strCache>
                <c:ptCount val="1"/>
                <c:pt idx="0">
                  <c:v>66641</c:v>
                </c:pt>
              </c:strCache>
            </c:strRef>
          </c:cat>
          <c:val>
            <c:numRef>
              <c:f>'[Attachment 2b Standard MBS Data for P2 -Chemical WG (002).xlsx]Proteins &amp; Electrophoresis I'!$I$25</c:f>
              <c:numCache>
                <c:formatCode>#,##0</c:formatCode>
                <c:ptCount val="1"/>
                <c:pt idx="0">
                  <c:v>5.7323432134096501</c:v>
                </c:pt>
              </c:numCache>
            </c:numRef>
          </c:val>
          <c:extLst>
            <c:ext xmlns:c16="http://schemas.microsoft.com/office/drawing/2014/chart" uri="{C3380CC4-5D6E-409C-BE32-E72D297353CC}">
              <c16:uniqueId val="{00000006-8996-44CE-A629-A4BE5F35166D}"/>
            </c:ext>
          </c:extLst>
        </c:ser>
        <c:ser>
          <c:idx val="7"/>
          <c:order val="7"/>
          <c:tx>
            <c:v>ACT</c:v>
          </c:tx>
          <c:spPr>
            <a:solidFill>
              <a:schemeClr val="accent2">
                <a:lumMod val="60000"/>
              </a:schemeClr>
            </a:solidFill>
            <a:ln>
              <a:noFill/>
            </a:ln>
            <a:effectLst/>
          </c:spPr>
          <c:invertIfNegative val="0"/>
          <c:cat>
            <c:strRef>
              <c:f>'[Attachment 2b Standard MBS Data for P2 -Chemical WG (002).xlsx]Proteins &amp; Electrophoresis I'!$B$25</c:f>
              <c:strCache>
                <c:ptCount val="1"/>
                <c:pt idx="0">
                  <c:v>66641</c:v>
                </c:pt>
              </c:strCache>
            </c:strRef>
          </c:cat>
          <c:val>
            <c:numRef>
              <c:f>'[Attachment 2b Standard MBS Data for P2 -Chemical WG (002).xlsx]Proteins &amp; Electrophoresis I'!$J$25</c:f>
              <c:numCache>
                <c:formatCode>#,##0</c:formatCode>
                <c:ptCount val="1"/>
                <c:pt idx="0">
                  <c:v>9.5532671954964172</c:v>
                </c:pt>
              </c:numCache>
            </c:numRef>
          </c:val>
          <c:extLst>
            <c:ext xmlns:c16="http://schemas.microsoft.com/office/drawing/2014/chart" uri="{C3380CC4-5D6E-409C-BE32-E72D297353CC}">
              <c16:uniqueId val="{00000007-8996-44CE-A629-A4BE5F35166D}"/>
            </c:ext>
          </c:extLst>
        </c:ser>
        <c:dLbls>
          <c:showLegendKey val="0"/>
          <c:showVal val="0"/>
          <c:showCatName val="0"/>
          <c:showSerName val="0"/>
          <c:showPercent val="0"/>
          <c:showBubbleSize val="0"/>
        </c:dLbls>
        <c:gapWidth val="219"/>
        <c:overlap val="-27"/>
        <c:axId val="313512320"/>
        <c:axId val="313513856"/>
      </c:barChart>
      <c:catAx>
        <c:axId val="313512320"/>
        <c:scaling>
          <c:orientation val="minMax"/>
        </c:scaling>
        <c:delete val="1"/>
        <c:axPos val="b"/>
        <c:numFmt formatCode="General" sourceLinked="1"/>
        <c:majorTickMark val="none"/>
        <c:minorTickMark val="none"/>
        <c:tickLblPos val="nextTo"/>
        <c:crossAx val="313513856"/>
        <c:crosses val="autoZero"/>
        <c:auto val="1"/>
        <c:lblAlgn val="ctr"/>
        <c:lblOffset val="100"/>
        <c:noMultiLvlLbl val="0"/>
      </c:catAx>
      <c:valAx>
        <c:axId val="313513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51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Utilisation of item 66665 by location</a:t>
            </a:r>
            <a:r>
              <a:rPr lang="en-AU" baseline="0"/>
              <a:t>: services by location per 100,000 people</a:t>
            </a:r>
            <a:endParaRPr lang="en-AU"/>
          </a:p>
        </c:rich>
      </c:tx>
      <c:overlay val="0"/>
      <c:spPr>
        <a:noFill/>
        <a:ln>
          <a:noFill/>
        </a:ln>
        <a:effectLst/>
      </c:spPr>
    </c:title>
    <c:autoTitleDeleted val="0"/>
    <c:plotArea>
      <c:layout/>
      <c:barChart>
        <c:barDir val="col"/>
        <c:grouping val="clustered"/>
        <c:varyColors val="0"/>
        <c:ser>
          <c:idx val="0"/>
          <c:order val="0"/>
          <c:tx>
            <c:strRef>
              <c:f>'[Attachment 2b Standard MBS Data for P2 -Chemical WG (002).xlsx]Metals for Toxicity-Deficiency'!$C$83</c:f>
              <c:strCache>
                <c:ptCount val="1"/>
                <c:pt idx="0">
                  <c:v>Major Cities of Australia</c:v>
                </c:pt>
              </c:strCache>
            </c:strRef>
          </c:tx>
          <c:spPr>
            <a:solidFill>
              <a:schemeClr val="accent1"/>
            </a:solidFill>
            <a:ln>
              <a:noFill/>
            </a:ln>
            <a:effectLst/>
          </c:spPr>
          <c:invertIfNegative val="0"/>
          <c:cat>
            <c:strRef>
              <c:f>'[Attachment 2b Standard MBS Data for P2 -Chemical WG (002).xlsx]Metals for Toxicity-Deficiency'!$B$84</c:f>
              <c:strCache>
                <c:ptCount val="1"/>
                <c:pt idx="0">
                  <c:v>66665</c:v>
                </c:pt>
              </c:strCache>
            </c:strRef>
          </c:cat>
          <c:val>
            <c:numRef>
              <c:f>'[Attachment 2b Standard MBS Data for P2 -Chemical WG (002).xlsx]Metals for Toxicity-Deficiency'!$C$84</c:f>
              <c:numCache>
                <c:formatCode>#,##0</c:formatCode>
                <c:ptCount val="1"/>
                <c:pt idx="0">
                  <c:v>44.776389100000003</c:v>
                </c:pt>
              </c:numCache>
            </c:numRef>
          </c:val>
          <c:extLst>
            <c:ext xmlns:c16="http://schemas.microsoft.com/office/drawing/2014/chart" uri="{C3380CC4-5D6E-409C-BE32-E72D297353CC}">
              <c16:uniqueId val="{00000000-2761-4A77-AC6B-59DEA06C96F5}"/>
            </c:ext>
          </c:extLst>
        </c:ser>
        <c:ser>
          <c:idx val="1"/>
          <c:order val="1"/>
          <c:tx>
            <c:strRef>
              <c:f>'[Attachment 2b Standard MBS Data for P2 -Chemical WG (002).xlsx]Metals for Toxicity-Deficiency'!$D$83</c:f>
              <c:strCache>
                <c:ptCount val="1"/>
                <c:pt idx="0">
                  <c:v>Inner Regional Australia</c:v>
                </c:pt>
              </c:strCache>
            </c:strRef>
          </c:tx>
          <c:spPr>
            <a:solidFill>
              <a:schemeClr val="accent2"/>
            </a:solidFill>
            <a:ln>
              <a:noFill/>
            </a:ln>
            <a:effectLst/>
          </c:spPr>
          <c:invertIfNegative val="0"/>
          <c:cat>
            <c:strRef>
              <c:f>'[Attachment 2b Standard MBS Data for P2 -Chemical WG (002).xlsx]Metals for Toxicity-Deficiency'!$B$84</c:f>
              <c:strCache>
                <c:ptCount val="1"/>
                <c:pt idx="0">
                  <c:v>66665</c:v>
                </c:pt>
              </c:strCache>
            </c:strRef>
          </c:cat>
          <c:val>
            <c:numRef>
              <c:f>'[Attachment 2b Standard MBS Data for P2 -Chemical WG (002).xlsx]Metals for Toxicity-Deficiency'!$D$84</c:f>
              <c:numCache>
                <c:formatCode>#,##0</c:formatCode>
                <c:ptCount val="1"/>
                <c:pt idx="0">
                  <c:v>61.929222500000002</c:v>
                </c:pt>
              </c:numCache>
            </c:numRef>
          </c:val>
          <c:extLst>
            <c:ext xmlns:c16="http://schemas.microsoft.com/office/drawing/2014/chart" uri="{C3380CC4-5D6E-409C-BE32-E72D297353CC}">
              <c16:uniqueId val="{00000001-2761-4A77-AC6B-59DEA06C96F5}"/>
            </c:ext>
          </c:extLst>
        </c:ser>
        <c:ser>
          <c:idx val="2"/>
          <c:order val="2"/>
          <c:tx>
            <c:strRef>
              <c:f>'[Attachment 2b Standard MBS Data for P2 -Chemical WG (002).xlsx]Metals for Toxicity-Deficiency'!$E$83</c:f>
              <c:strCache>
                <c:ptCount val="1"/>
                <c:pt idx="0">
                  <c:v>Outer Regional Australia</c:v>
                </c:pt>
              </c:strCache>
            </c:strRef>
          </c:tx>
          <c:spPr>
            <a:solidFill>
              <a:schemeClr val="accent3"/>
            </a:solidFill>
            <a:ln>
              <a:noFill/>
            </a:ln>
            <a:effectLst/>
          </c:spPr>
          <c:invertIfNegative val="0"/>
          <c:cat>
            <c:strRef>
              <c:f>'[Attachment 2b Standard MBS Data for P2 -Chemical WG (002).xlsx]Metals for Toxicity-Deficiency'!$B$84</c:f>
              <c:strCache>
                <c:ptCount val="1"/>
                <c:pt idx="0">
                  <c:v>66665</c:v>
                </c:pt>
              </c:strCache>
            </c:strRef>
          </c:cat>
          <c:val>
            <c:numRef>
              <c:f>'[Attachment 2b Standard MBS Data for P2 -Chemical WG (002).xlsx]Metals for Toxicity-Deficiency'!$E$84</c:f>
              <c:numCache>
                <c:formatCode>#,##0</c:formatCode>
                <c:ptCount val="1"/>
                <c:pt idx="0">
                  <c:v>87.150095299999904</c:v>
                </c:pt>
              </c:numCache>
            </c:numRef>
          </c:val>
          <c:extLst>
            <c:ext xmlns:c16="http://schemas.microsoft.com/office/drawing/2014/chart" uri="{C3380CC4-5D6E-409C-BE32-E72D297353CC}">
              <c16:uniqueId val="{00000002-2761-4A77-AC6B-59DEA06C96F5}"/>
            </c:ext>
          </c:extLst>
        </c:ser>
        <c:ser>
          <c:idx val="3"/>
          <c:order val="3"/>
          <c:tx>
            <c:strRef>
              <c:f>'[Attachment 2b Standard MBS Data for P2 -Chemical WG (002).xlsx]Metals for Toxicity-Deficiency'!$F$83</c:f>
              <c:strCache>
                <c:ptCount val="1"/>
                <c:pt idx="0">
                  <c:v>Remote Australia</c:v>
                </c:pt>
              </c:strCache>
            </c:strRef>
          </c:tx>
          <c:spPr>
            <a:solidFill>
              <a:schemeClr val="accent4"/>
            </a:solidFill>
            <a:ln>
              <a:noFill/>
            </a:ln>
            <a:effectLst/>
          </c:spPr>
          <c:invertIfNegative val="0"/>
          <c:cat>
            <c:strRef>
              <c:f>'[Attachment 2b Standard MBS Data for P2 -Chemical WG (002).xlsx]Metals for Toxicity-Deficiency'!$B$84</c:f>
              <c:strCache>
                <c:ptCount val="1"/>
                <c:pt idx="0">
                  <c:v>66665</c:v>
                </c:pt>
              </c:strCache>
            </c:strRef>
          </c:cat>
          <c:val>
            <c:numRef>
              <c:f>'[Attachment 2b Standard MBS Data for P2 -Chemical WG (002).xlsx]Metals for Toxicity-Deficiency'!$F$84</c:f>
              <c:numCache>
                <c:formatCode>#,##0</c:formatCode>
                <c:ptCount val="1"/>
                <c:pt idx="0">
                  <c:v>246.28881039999999</c:v>
                </c:pt>
              </c:numCache>
            </c:numRef>
          </c:val>
          <c:extLst>
            <c:ext xmlns:c16="http://schemas.microsoft.com/office/drawing/2014/chart" uri="{C3380CC4-5D6E-409C-BE32-E72D297353CC}">
              <c16:uniqueId val="{00000003-2761-4A77-AC6B-59DEA06C96F5}"/>
            </c:ext>
          </c:extLst>
        </c:ser>
        <c:ser>
          <c:idx val="4"/>
          <c:order val="4"/>
          <c:tx>
            <c:strRef>
              <c:f>'[Attachment 2b Standard MBS Data for P2 -Chemical WG (002).xlsx]Metals for Toxicity-Deficiency'!$G$83</c:f>
              <c:strCache>
                <c:ptCount val="1"/>
                <c:pt idx="0">
                  <c:v>Very Remote Australia</c:v>
                </c:pt>
              </c:strCache>
            </c:strRef>
          </c:tx>
          <c:spPr>
            <a:solidFill>
              <a:schemeClr val="accent5"/>
            </a:solidFill>
            <a:ln>
              <a:noFill/>
            </a:ln>
            <a:effectLst/>
          </c:spPr>
          <c:invertIfNegative val="0"/>
          <c:cat>
            <c:strRef>
              <c:f>'[Attachment 2b Standard MBS Data for P2 -Chemical WG (002).xlsx]Metals for Toxicity-Deficiency'!$B$84</c:f>
              <c:strCache>
                <c:ptCount val="1"/>
                <c:pt idx="0">
                  <c:v>66665</c:v>
                </c:pt>
              </c:strCache>
            </c:strRef>
          </c:cat>
          <c:val>
            <c:numRef>
              <c:f>'[Attachment 2b Standard MBS Data for P2 -Chemical WG (002).xlsx]Metals for Toxicity-Deficiency'!$G$84</c:f>
              <c:numCache>
                <c:formatCode>#,##0</c:formatCode>
                <c:ptCount val="1"/>
                <c:pt idx="0">
                  <c:v>82.966947300000001</c:v>
                </c:pt>
              </c:numCache>
            </c:numRef>
          </c:val>
          <c:extLst>
            <c:ext xmlns:c16="http://schemas.microsoft.com/office/drawing/2014/chart" uri="{C3380CC4-5D6E-409C-BE32-E72D297353CC}">
              <c16:uniqueId val="{00000004-2761-4A77-AC6B-59DEA06C96F5}"/>
            </c:ext>
          </c:extLst>
        </c:ser>
        <c:dLbls>
          <c:showLegendKey val="0"/>
          <c:showVal val="0"/>
          <c:showCatName val="0"/>
          <c:showSerName val="0"/>
          <c:showPercent val="0"/>
          <c:showBubbleSize val="0"/>
        </c:dLbls>
        <c:gapWidth val="219"/>
        <c:overlap val="-27"/>
        <c:axId val="313580544"/>
        <c:axId val="313582336"/>
      </c:barChart>
      <c:catAx>
        <c:axId val="313580544"/>
        <c:scaling>
          <c:orientation val="minMax"/>
        </c:scaling>
        <c:delete val="1"/>
        <c:axPos val="b"/>
        <c:numFmt formatCode="General" sourceLinked="1"/>
        <c:majorTickMark val="none"/>
        <c:minorTickMark val="none"/>
        <c:tickLblPos val="nextTo"/>
        <c:crossAx val="313582336"/>
        <c:crosses val="autoZero"/>
        <c:auto val="1"/>
        <c:lblAlgn val="ctr"/>
        <c:lblOffset val="100"/>
        <c:noMultiLvlLbl val="0"/>
      </c:catAx>
      <c:valAx>
        <c:axId val="3135823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580544"/>
        <c:crosses val="autoZero"/>
        <c:crossBetween val="between"/>
      </c:valAx>
      <c:spPr>
        <a:noFill/>
        <a:ln>
          <a:noFill/>
        </a:ln>
        <a:effectLst/>
      </c:spPr>
    </c:plotArea>
    <c:legend>
      <c:legendPos val="b"/>
      <c:layout>
        <c:manualLayout>
          <c:xMode val="edge"/>
          <c:yMode val="edge"/>
          <c:x val="9.5410052759324002E-2"/>
          <c:y val="0.83941966322219796"/>
          <c:w val="0.81641559457745005"/>
          <c:h val="0.135391419901227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 of item 66665:</a:t>
            </a:r>
            <a:r>
              <a:rPr lang="en-AU" baseline="0"/>
              <a:t> services per 100,000 people</a:t>
            </a:r>
            <a:endParaRPr lang="en-AU"/>
          </a:p>
        </c:rich>
      </c:tx>
      <c:overlay val="0"/>
      <c:spPr>
        <a:noFill/>
        <a:ln>
          <a:noFill/>
        </a:ln>
        <a:effectLst/>
      </c:spPr>
    </c:title>
    <c:autoTitleDeleted val="0"/>
    <c:plotArea>
      <c:layout/>
      <c:barChart>
        <c:barDir val="col"/>
        <c:grouping val="clustered"/>
        <c:varyColors val="0"/>
        <c:ser>
          <c:idx val="0"/>
          <c:order val="0"/>
          <c:tx>
            <c:strRef>
              <c:f>'[Attachment 2b Standard MBS Data for P2 -Chemical WG (002).xlsx]Metals for Toxicity-Deficiency'!$C$20</c:f>
              <c:strCache>
                <c:ptCount val="1"/>
                <c:pt idx="0">
                  <c:v>NSW</c:v>
                </c:pt>
              </c:strCache>
            </c:strRef>
          </c:tx>
          <c:spPr>
            <a:solidFill>
              <a:schemeClr val="accent1"/>
            </a:solidFill>
            <a:ln>
              <a:noFill/>
            </a:ln>
            <a:effectLst/>
          </c:spPr>
          <c:invertIfNegative val="0"/>
          <c:cat>
            <c:strRef>
              <c:f>'[Attachment 2b Standard MBS Data for P2 -Chemical WG (002).xlsx]Metals for Toxicity-Deficiency'!$B$21</c:f>
              <c:strCache>
                <c:ptCount val="1"/>
                <c:pt idx="0">
                  <c:v>66665</c:v>
                </c:pt>
              </c:strCache>
            </c:strRef>
          </c:cat>
          <c:val>
            <c:numRef>
              <c:f>'[Attachment 2b Standard MBS Data for P2 -Chemical WG (002).xlsx]Metals for Toxicity-Deficiency'!$C$21</c:f>
              <c:numCache>
                <c:formatCode>#,##0</c:formatCode>
                <c:ptCount val="1"/>
                <c:pt idx="0">
                  <c:v>66.294482148013955</c:v>
                </c:pt>
              </c:numCache>
            </c:numRef>
          </c:val>
          <c:extLst>
            <c:ext xmlns:c16="http://schemas.microsoft.com/office/drawing/2014/chart" uri="{C3380CC4-5D6E-409C-BE32-E72D297353CC}">
              <c16:uniqueId val="{00000000-AD3E-4F4B-897B-9AE5D698046F}"/>
            </c:ext>
          </c:extLst>
        </c:ser>
        <c:ser>
          <c:idx val="1"/>
          <c:order val="1"/>
          <c:tx>
            <c:strRef>
              <c:f>'[Attachment 2b Standard MBS Data for P2 -Chemical WG (002).xlsx]Metals for Toxicity-Deficiency'!$D$20</c:f>
              <c:strCache>
                <c:ptCount val="1"/>
                <c:pt idx="0">
                  <c:v>VIC</c:v>
                </c:pt>
              </c:strCache>
            </c:strRef>
          </c:tx>
          <c:spPr>
            <a:solidFill>
              <a:schemeClr val="accent2"/>
            </a:solidFill>
            <a:ln>
              <a:noFill/>
            </a:ln>
            <a:effectLst/>
          </c:spPr>
          <c:invertIfNegative val="0"/>
          <c:cat>
            <c:strRef>
              <c:f>'[Attachment 2b Standard MBS Data for P2 -Chemical WG (002).xlsx]Metals for Toxicity-Deficiency'!$B$21</c:f>
              <c:strCache>
                <c:ptCount val="1"/>
                <c:pt idx="0">
                  <c:v>66665</c:v>
                </c:pt>
              </c:strCache>
            </c:strRef>
          </c:cat>
          <c:val>
            <c:numRef>
              <c:f>'[Attachment 2b Standard MBS Data for P2 -Chemical WG (002).xlsx]Metals for Toxicity-Deficiency'!$D$21</c:f>
              <c:numCache>
                <c:formatCode>#,##0</c:formatCode>
                <c:ptCount val="1"/>
                <c:pt idx="0">
                  <c:v>33.719747658341873</c:v>
                </c:pt>
              </c:numCache>
            </c:numRef>
          </c:val>
          <c:extLst>
            <c:ext xmlns:c16="http://schemas.microsoft.com/office/drawing/2014/chart" uri="{C3380CC4-5D6E-409C-BE32-E72D297353CC}">
              <c16:uniqueId val="{00000001-AD3E-4F4B-897B-9AE5D698046F}"/>
            </c:ext>
          </c:extLst>
        </c:ser>
        <c:ser>
          <c:idx val="2"/>
          <c:order val="2"/>
          <c:tx>
            <c:strRef>
              <c:f>'[Attachment 2b Standard MBS Data for P2 -Chemical WG (002).xlsx]Metals for Toxicity-Deficiency'!$E$20</c:f>
              <c:strCache>
                <c:ptCount val="1"/>
                <c:pt idx="0">
                  <c:v>QLD</c:v>
                </c:pt>
              </c:strCache>
            </c:strRef>
          </c:tx>
          <c:spPr>
            <a:solidFill>
              <a:schemeClr val="accent3"/>
            </a:solidFill>
            <a:ln>
              <a:noFill/>
            </a:ln>
            <a:effectLst/>
          </c:spPr>
          <c:invertIfNegative val="0"/>
          <c:cat>
            <c:strRef>
              <c:f>'[Attachment 2b Standard MBS Data for P2 -Chemical WG (002).xlsx]Metals for Toxicity-Deficiency'!$B$21</c:f>
              <c:strCache>
                <c:ptCount val="1"/>
                <c:pt idx="0">
                  <c:v>66665</c:v>
                </c:pt>
              </c:strCache>
            </c:strRef>
          </c:cat>
          <c:val>
            <c:numRef>
              <c:f>'[Attachment 2b Standard MBS Data for P2 -Chemical WG (002).xlsx]Metals for Toxicity-Deficiency'!$E$21</c:f>
              <c:numCache>
                <c:formatCode>#,##0</c:formatCode>
                <c:ptCount val="1"/>
                <c:pt idx="0">
                  <c:v>69.21081025442524</c:v>
                </c:pt>
              </c:numCache>
            </c:numRef>
          </c:val>
          <c:extLst>
            <c:ext xmlns:c16="http://schemas.microsoft.com/office/drawing/2014/chart" uri="{C3380CC4-5D6E-409C-BE32-E72D297353CC}">
              <c16:uniqueId val="{00000002-AD3E-4F4B-897B-9AE5D698046F}"/>
            </c:ext>
          </c:extLst>
        </c:ser>
        <c:ser>
          <c:idx val="3"/>
          <c:order val="3"/>
          <c:tx>
            <c:strRef>
              <c:f>'[Attachment 2b Standard MBS Data for P2 -Chemical WG (002).xlsx]Metals for Toxicity-Deficiency'!$F$20</c:f>
              <c:strCache>
                <c:ptCount val="1"/>
                <c:pt idx="0">
                  <c:v>SA</c:v>
                </c:pt>
              </c:strCache>
            </c:strRef>
          </c:tx>
          <c:spPr>
            <a:solidFill>
              <a:schemeClr val="accent4"/>
            </a:solidFill>
            <a:ln>
              <a:noFill/>
            </a:ln>
            <a:effectLst/>
          </c:spPr>
          <c:invertIfNegative val="0"/>
          <c:cat>
            <c:strRef>
              <c:f>'[Attachment 2b Standard MBS Data for P2 -Chemical WG (002).xlsx]Metals for Toxicity-Deficiency'!$B$21</c:f>
              <c:strCache>
                <c:ptCount val="1"/>
                <c:pt idx="0">
                  <c:v>66665</c:v>
                </c:pt>
              </c:strCache>
            </c:strRef>
          </c:cat>
          <c:val>
            <c:numRef>
              <c:f>'[Attachment 2b Standard MBS Data for P2 -Chemical WG (002).xlsx]Metals for Toxicity-Deficiency'!$F$21</c:f>
              <c:numCache>
                <c:formatCode>#,##0</c:formatCode>
                <c:ptCount val="1"/>
                <c:pt idx="0">
                  <c:v>60.073405528081963</c:v>
                </c:pt>
              </c:numCache>
            </c:numRef>
          </c:val>
          <c:extLst>
            <c:ext xmlns:c16="http://schemas.microsoft.com/office/drawing/2014/chart" uri="{C3380CC4-5D6E-409C-BE32-E72D297353CC}">
              <c16:uniqueId val="{00000003-AD3E-4F4B-897B-9AE5D698046F}"/>
            </c:ext>
          </c:extLst>
        </c:ser>
        <c:ser>
          <c:idx val="4"/>
          <c:order val="4"/>
          <c:tx>
            <c:strRef>
              <c:f>'[Attachment 2b Standard MBS Data for P2 -Chemical WG (002).xlsx]Metals for Toxicity-Deficiency'!$G$20</c:f>
              <c:strCache>
                <c:ptCount val="1"/>
                <c:pt idx="0">
                  <c:v>WA</c:v>
                </c:pt>
              </c:strCache>
            </c:strRef>
          </c:tx>
          <c:spPr>
            <a:solidFill>
              <a:schemeClr val="accent5"/>
            </a:solidFill>
            <a:ln>
              <a:noFill/>
            </a:ln>
            <a:effectLst/>
          </c:spPr>
          <c:invertIfNegative val="0"/>
          <c:cat>
            <c:strRef>
              <c:f>'[Attachment 2b Standard MBS Data for P2 -Chemical WG (002).xlsx]Metals for Toxicity-Deficiency'!$B$21</c:f>
              <c:strCache>
                <c:ptCount val="1"/>
                <c:pt idx="0">
                  <c:v>66665</c:v>
                </c:pt>
              </c:strCache>
            </c:strRef>
          </c:cat>
          <c:val>
            <c:numRef>
              <c:f>'[Attachment 2b Standard MBS Data for P2 -Chemical WG (002).xlsx]Metals for Toxicity-Deficiency'!$G$21</c:f>
              <c:numCache>
                <c:formatCode>#,##0</c:formatCode>
                <c:ptCount val="1"/>
                <c:pt idx="0">
                  <c:v>35.508820423676418</c:v>
                </c:pt>
              </c:numCache>
            </c:numRef>
          </c:val>
          <c:extLst>
            <c:ext xmlns:c16="http://schemas.microsoft.com/office/drawing/2014/chart" uri="{C3380CC4-5D6E-409C-BE32-E72D297353CC}">
              <c16:uniqueId val="{00000004-AD3E-4F4B-897B-9AE5D698046F}"/>
            </c:ext>
          </c:extLst>
        </c:ser>
        <c:ser>
          <c:idx val="5"/>
          <c:order val="5"/>
          <c:tx>
            <c:strRef>
              <c:f>'[Attachment 2b Standard MBS Data for P2 -Chemical WG (002).xlsx]Metals for Toxicity-Deficiency'!$H$20</c:f>
              <c:strCache>
                <c:ptCount val="1"/>
                <c:pt idx="0">
                  <c:v>TAS</c:v>
                </c:pt>
              </c:strCache>
            </c:strRef>
          </c:tx>
          <c:spPr>
            <a:solidFill>
              <a:schemeClr val="accent6"/>
            </a:solidFill>
            <a:ln>
              <a:noFill/>
            </a:ln>
            <a:effectLst/>
          </c:spPr>
          <c:invertIfNegative val="0"/>
          <c:cat>
            <c:strRef>
              <c:f>'[Attachment 2b Standard MBS Data for P2 -Chemical WG (002).xlsx]Metals for Toxicity-Deficiency'!$B$21</c:f>
              <c:strCache>
                <c:ptCount val="1"/>
                <c:pt idx="0">
                  <c:v>66665</c:v>
                </c:pt>
              </c:strCache>
            </c:strRef>
          </c:cat>
          <c:val>
            <c:numRef>
              <c:f>'[Attachment 2b Standard MBS Data for P2 -Chemical WG (002).xlsx]Metals for Toxicity-Deficiency'!$H$21</c:f>
              <c:numCache>
                <c:formatCode>#,##0</c:formatCode>
                <c:ptCount val="1"/>
                <c:pt idx="0">
                  <c:v>72.590011614401774</c:v>
                </c:pt>
              </c:numCache>
            </c:numRef>
          </c:val>
          <c:extLst>
            <c:ext xmlns:c16="http://schemas.microsoft.com/office/drawing/2014/chart" uri="{C3380CC4-5D6E-409C-BE32-E72D297353CC}">
              <c16:uniqueId val="{00000005-AD3E-4F4B-897B-9AE5D698046F}"/>
            </c:ext>
          </c:extLst>
        </c:ser>
        <c:ser>
          <c:idx val="6"/>
          <c:order val="6"/>
          <c:tx>
            <c:strRef>
              <c:f>'[Attachment 2b Standard MBS Data for P2 -Chemical WG (002).xlsx]Metals for Toxicity-Deficiency'!$I$20</c:f>
              <c:strCache>
                <c:ptCount val="1"/>
                <c:pt idx="0">
                  <c:v>NT</c:v>
                </c:pt>
              </c:strCache>
            </c:strRef>
          </c:tx>
          <c:spPr>
            <a:solidFill>
              <a:schemeClr val="accent1">
                <a:lumMod val="60000"/>
              </a:schemeClr>
            </a:solidFill>
            <a:ln>
              <a:noFill/>
            </a:ln>
            <a:effectLst/>
          </c:spPr>
          <c:invertIfNegative val="0"/>
          <c:cat>
            <c:strRef>
              <c:f>'[Attachment 2b Standard MBS Data for P2 -Chemical WG (002).xlsx]Metals for Toxicity-Deficiency'!$B$21</c:f>
              <c:strCache>
                <c:ptCount val="1"/>
                <c:pt idx="0">
                  <c:v>66665</c:v>
                </c:pt>
              </c:strCache>
            </c:strRef>
          </c:cat>
          <c:val>
            <c:numRef>
              <c:f>'[Attachment 2b Standard MBS Data for P2 -Chemical WG (002).xlsx]Metals for Toxicity-Deficiency'!$I$21</c:f>
              <c:numCache>
                <c:formatCode>#,##0</c:formatCode>
                <c:ptCount val="1"/>
                <c:pt idx="0">
                  <c:v>90.772087735077648</c:v>
                </c:pt>
              </c:numCache>
            </c:numRef>
          </c:val>
          <c:extLst>
            <c:ext xmlns:c16="http://schemas.microsoft.com/office/drawing/2014/chart" uri="{C3380CC4-5D6E-409C-BE32-E72D297353CC}">
              <c16:uniqueId val="{00000006-AD3E-4F4B-897B-9AE5D698046F}"/>
            </c:ext>
          </c:extLst>
        </c:ser>
        <c:ser>
          <c:idx val="7"/>
          <c:order val="7"/>
          <c:tx>
            <c:strRef>
              <c:f>'[Attachment 2b Standard MBS Data for P2 -Chemical WG (002).xlsx]Metals for Toxicity-Deficiency'!$J$20</c:f>
              <c:strCache>
                <c:ptCount val="1"/>
                <c:pt idx="0">
                  <c:v>ACT</c:v>
                </c:pt>
              </c:strCache>
            </c:strRef>
          </c:tx>
          <c:spPr>
            <a:solidFill>
              <a:schemeClr val="accent2">
                <a:lumMod val="60000"/>
              </a:schemeClr>
            </a:solidFill>
            <a:ln>
              <a:noFill/>
            </a:ln>
            <a:effectLst/>
          </c:spPr>
          <c:invertIfNegative val="0"/>
          <c:cat>
            <c:strRef>
              <c:f>'[Attachment 2b Standard MBS Data for P2 -Chemical WG (002).xlsx]Metals for Toxicity-Deficiency'!$B$21</c:f>
              <c:strCache>
                <c:ptCount val="1"/>
                <c:pt idx="0">
                  <c:v>66665</c:v>
                </c:pt>
              </c:strCache>
            </c:strRef>
          </c:cat>
          <c:val>
            <c:numRef>
              <c:f>'[Attachment 2b Standard MBS Data for P2 -Chemical WG (002).xlsx]Metals for Toxicity-Deficiency'!$J$21</c:f>
              <c:numCache>
                <c:formatCode>#,##0</c:formatCode>
                <c:ptCount val="1"/>
                <c:pt idx="0">
                  <c:v>27.741707932446261</c:v>
                </c:pt>
              </c:numCache>
            </c:numRef>
          </c:val>
          <c:extLst>
            <c:ext xmlns:c16="http://schemas.microsoft.com/office/drawing/2014/chart" uri="{C3380CC4-5D6E-409C-BE32-E72D297353CC}">
              <c16:uniqueId val="{00000007-AD3E-4F4B-897B-9AE5D698046F}"/>
            </c:ext>
          </c:extLst>
        </c:ser>
        <c:dLbls>
          <c:showLegendKey val="0"/>
          <c:showVal val="0"/>
          <c:showCatName val="0"/>
          <c:showSerName val="0"/>
          <c:showPercent val="0"/>
          <c:showBubbleSize val="0"/>
        </c:dLbls>
        <c:gapWidth val="219"/>
        <c:overlap val="-27"/>
        <c:axId val="313255424"/>
        <c:axId val="313256960"/>
      </c:barChart>
      <c:catAx>
        <c:axId val="313255424"/>
        <c:scaling>
          <c:orientation val="minMax"/>
        </c:scaling>
        <c:delete val="1"/>
        <c:axPos val="b"/>
        <c:numFmt formatCode="General" sourceLinked="1"/>
        <c:majorTickMark val="none"/>
        <c:minorTickMark val="none"/>
        <c:tickLblPos val="nextTo"/>
        <c:crossAx val="313256960"/>
        <c:crosses val="autoZero"/>
        <c:auto val="1"/>
        <c:lblAlgn val="ctr"/>
        <c:lblOffset val="100"/>
        <c:noMultiLvlLbl val="0"/>
      </c:catAx>
      <c:valAx>
        <c:axId val="313256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25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State utilisation for</a:t>
            </a:r>
            <a:r>
              <a:rPr lang="en-AU" baseline="0"/>
              <a:t> item </a:t>
            </a:r>
            <a:r>
              <a:rPr lang="en-AU"/>
              <a:t>66667: services per 100,000</a:t>
            </a:r>
            <a:r>
              <a:rPr lang="en-AU" baseline="0"/>
              <a:t> people</a:t>
            </a:r>
            <a:endParaRPr lang="en-AU"/>
          </a:p>
        </c:rich>
      </c:tx>
      <c:overlay val="0"/>
      <c:spPr>
        <a:noFill/>
        <a:ln>
          <a:noFill/>
        </a:ln>
        <a:effectLst/>
      </c:spPr>
    </c:title>
    <c:autoTitleDeleted val="0"/>
    <c:plotArea>
      <c:layout/>
      <c:barChart>
        <c:barDir val="col"/>
        <c:grouping val="clustered"/>
        <c:varyColors val="0"/>
        <c:ser>
          <c:idx val="0"/>
          <c:order val="0"/>
          <c:tx>
            <c:v>NSW</c:v>
          </c:tx>
          <c:spPr>
            <a:solidFill>
              <a:schemeClr val="accent1"/>
            </a:solidFill>
            <a:ln>
              <a:noFill/>
            </a:ln>
            <a:effectLst/>
          </c:spPr>
          <c:invertIfNegative val="0"/>
          <c:cat>
            <c:strRef>
              <c:f>'[Attachment 2b Standard MBS Data for P2 -Chemical WG (002).xlsx]Metals for Toxicity-Deficiency'!$B$23</c:f>
              <c:strCache>
                <c:ptCount val="1"/>
                <c:pt idx="0">
                  <c:v>66667</c:v>
                </c:pt>
              </c:strCache>
            </c:strRef>
          </c:cat>
          <c:val>
            <c:numRef>
              <c:f>'[Attachment 2b Standard MBS Data for P2 -Chemical WG (002).xlsx]Metals for Toxicity-Deficiency'!$C$23</c:f>
              <c:numCache>
                <c:formatCode>#,##0</c:formatCode>
                <c:ptCount val="1"/>
                <c:pt idx="0">
                  <c:v>22.66833042319708</c:v>
                </c:pt>
              </c:numCache>
            </c:numRef>
          </c:val>
          <c:extLst>
            <c:ext xmlns:c16="http://schemas.microsoft.com/office/drawing/2014/chart" uri="{C3380CC4-5D6E-409C-BE32-E72D297353CC}">
              <c16:uniqueId val="{00000000-62A5-4A00-8EAB-74588491C19A}"/>
            </c:ext>
          </c:extLst>
        </c:ser>
        <c:ser>
          <c:idx val="1"/>
          <c:order val="1"/>
          <c:tx>
            <c:v>VIC</c:v>
          </c:tx>
          <c:spPr>
            <a:solidFill>
              <a:schemeClr val="accent2"/>
            </a:solidFill>
            <a:ln>
              <a:noFill/>
            </a:ln>
            <a:effectLst/>
          </c:spPr>
          <c:invertIfNegative val="0"/>
          <c:cat>
            <c:strRef>
              <c:f>'[Attachment 2b Standard MBS Data for P2 -Chemical WG (002).xlsx]Metals for Toxicity-Deficiency'!$B$23</c:f>
              <c:strCache>
                <c:ptCount val="1"/>
                <c:pt idx="0">
                  <c:v>66667</c:v>
                </c:pt>
              </c:strCache>
            </c:strRef>
          </c:cat>
          <c:val>
            <c:numRef>
              <c:f>'[Attachment 2b Standard MBS Data for P2 -Chemical WG (002).xlsx]Metals for Toxicity-Deficiency'!$D$23</c:f>
              <c:numCache>
                <c:formatCode>#,##0</c:formatCode>
                <c:ptCount val="1"/>
                <c:pt idx="0">
                  <c:v>0.31996766642528801</c:v>
                </c:pt>
              </c:numCache>
            </c:numRef>
          </c:val>
          <c:extLst>
            <c:ext xmlns:c16="http://schemas.microsoft.com/office/drawing/2014/chart" uri="{C3380CC4-5D6E-409C-BE32-E72D297353CC}">
              <c16:uniqueId val="{00000001-62A5-4A00-8EAB-74588491C19A}"/>
            </c:ext>
          </c:extLst>
        </c:ser>
        <c:ser>
          <c:idx val="2"/>
          <c:order val="2"/>
          <c:tx>
            <c:v>QLD</c:v>
          </c:tx>
          <c:spPr>
            <a:solidFill>
              <a:schemeClr val="accent3"/>
            </a:solidFill>
            <a:ln>
              <a:noFill/>
            </a:ln>
            <a:effectLst/>
          </c:spPr>
          <c:invertIfNegative val="0"/>
          <c:cat>
            <c:strRef>
              <c:f>'[Attachment 2b Standard MBS Data for P2 -Chemical WG (002).xlsx]Metals for Toxicity-Deficiency'!$B$23</c:f>
              <c:strCache>
                <c:ptCount val="1"/>
                <c:pt idx="0">
                  <c:v>66667</c:v>
                </c:pt>
              </c:strCache>
            </c:strRef>
          </c:cat>
          <c:val>
            <c:numRef>
              <c:f>'[Attachment 2b Standard MBS Data for P2 -Chemical WG (002).xlsx]Metals for Toxicity-Deficiency'!$E$23</c:f>
              <c:numCache>
                <c:formatCode>#,##0</c:formatCode>
                <c:ptCount val="1"/>
                <c:pt idx="0">
                  <c:v>5.649244675063815</c:v>
                </c:pt>
              </c:numCache>
            </c:numRef>
          </c:val>
          <c:extLst>
            <c:ext xmlns:c16="http://schemas.microsoft.com/office/drawing/2014/chart" uri="{C3380CC4-5D6E-409C-BE32-E72D297353CC}">
              <c16:uniqueId val="{00000002-62A5-4A00-8EAB-74588491C19A}"/>
            </c:ext>
          </c:extLst>
        </c:ser>
        <c:ser>
          <c:idx val="3"/>
          <c:order val="3"/>
          <c:tx>
            <c:v>SA</c:v>
          </c:tx>
          <c:spPr>
            <a:solidFill>
              <a:schemeClr val="accent4"/>
            </a:solidFill>
            <a:ln>
              <a:noFill/>
            </a:ln>
            <a:effectLst/>
          </c:spPr>
          <c:invertIfNegative val="0"/>
          <c:cat>
            <c:strRef>
              <c:f>'[Attachment 2b Standard MBS Data for P2 -Chemical WG (002).xlsx]Metals for Toxicity-Deficiency'!$B$23</c:f>
              <c:strCache>
                <c:ptCount val="1"/>
                <c:pt idx="0">
                  <c:v>66667</c:v>
                </c:pt>
              </c:strCache>
            </c:strRef>
          </c:cat>
          <c:val>
            <c:numRef>
              <c:f>'[Attachment 2b Standard MBS Data for P2 -Chemical WG (002).xlsx]Metals for Toxicity-Deficiency'!$F$23</c:f>
              <c:numCache>
                <c:formatCode>#,##0</c:formatCode>
                <c:ptCount val="1"/>
                <c:pt idx="0">
                  <c:v>0.29436006122689301</c:v>
                </c:pt>
              </c:numCache>
            </c:numRef>
          </c:val>
          <c:extLst>
            <c:ext xmlns:c16="http://schemas.microsoft.com/office/drawing/2014/chart" uri="{C3380CC4-5D6E-409C-BE32-E72D297353CC}">
              <c16:uniqueId val="{00000003-62A5-4A00-8EAB-74588491C19A}"/>
            </c:ext>
          </c:extLst>
        </c:ser>
        <c:ser>
          <c:idx val="4"/>
          <c:order val="4"/>
          <c:tx>
            <c:v>WA</c:v>
          </c:tx>
          <c:spPr>
            <a:solidFill>
              <a:schemeClr val="accent5"/>
            </a:solidFill>
            <a:ln>
              <a:noFill/>
            </a:ln>
            <a:effectLst/>
          </c:spPr>
          <c:invertIfNegative val="0"/>
          <c:cat>
            <c:strRef>
              <c:f>'[Attachment 2b Standard MBS Data for P2 -Chemical WG (002).xlsx]Metals for Toxicity-Deficiency'!$B$23</c:f>
              <c:strCache>
                <c:ptCount val="1"/>
                <c:pt idx="0">
                  <c:v>66667</c:v>
                </c:pt>
              </c:strCache>
            </c:strRef>
          </c:cat>
          <c:val>
            <c:numRef>
              <c:f>'[Attachment 2b Standard MBS Data for P2 -Chemical WG (002).xlsx]Metals for Toxicity-Deficiency'!$G$23</c:f>
              <c:numCache>
                <c:formatCode>#,##0</c:formatCode>
                <c:ptCount val="1"/>
                <c:pt idx="0">
                  <c:v>0.11575860472295101</c:v>
                </c:pt>
              </c:numCache>
            </c:numRef>
          </c:val>
          <c:extLst>
            <c:ext xmlns:c16="http://schemas.microsoft.com/office/drawing/2014/chart" uri="{C3380CC4-5D6E-409C-BE32-E72D297353CC}">
              <c16:uniqueId val="{00000004-62A5-4A00-8EAB-74588491C19A}"/>
            </c:ext>
          </c:extLst>
        </c:ser>
        <c:ser>
          <c:idx val="5"/>
          <c:order val="5"/>
          <c:tx>
            <c:v>TAS</c:v>
          </c:tx>
          <c:spPr>
            <a:solidFill>
              <a:schemeClr val="accent6"/>
            </a:solidFill>
            <a:ln>
              <a:noFill/>
            </a:ln>
            <a:effectLst/>
          </c:spPr>
          <c:invertIfNegative val="0"/>
          <c:cat>
            <c:strRef>
              <c:f>'[Attachment 2b Standard MBS Data for P2 -Chemical WG (002).xlsx]Metals for Toxicity-Deficiency'!$B$23</c:f>
              <c:strCache>
                <c:ptCount val="1"/>
                <c:pt idx="0">
                  <c:v>66667</c:v>
                </c:pt>
              </c:strCache>
            </c:strRef>
          </c:cat>
          <c:val>
            <c:numRef>
              <c:f>'[Attachment 2b Standard MBS Data for P2 -Chemical WG (002).xlsx]Metals for Toxicity-Deficiency'!$H$23</c:f>
              <c:numCache>
                <c:formatCode>#,##0</c:formatCode>
                <c:ptCount val="1"/>
                <c:pt idx="0">
                  <c:v>0</c:v>
                </c:pt>
              </c:numCache>
            </c:numRef>
          </c:val>
          <c:extLst>
            <c:ext xmlns:c16="http://schemas.microsoft.com/office/drawing/2014/chart" uri="{C3380CC4-5D6E-409C-BE32-E72D297353CC}">
              <c16:uniqueId val="{00000005-62A5-4A00-8EAB-74588491C19A}"/>
            </c:ext>
          </c:extLst>
        </c:ser>
        <c:ser>
          <c:idx val="6"/>
          <c:order val="6"/>
          <c:tx>
            <c:v>NT</c:v>
          </c:tx>
          <c:spPr>
            <a:solidFill>
              <a:schemeClr val="accent1">
                <a:lumMod val="60000"/>
              </a:schemeClr>
            </a:solidFill>
            <a:ln>
              <a:noFill/>
            </a:ln>
            <a:effectLst/>
          </c:spPr>
          <c:invertIfNegative val="0"/>
          <c:cat>
            <c:strRef>
              <c:f>'[Attachment 2b Standard MBS Data for P2 -Chemical WG (002).xlsx]Metals for Toxicity-Deficiency'!$B$23</c:f>
              <c:strCache>
                <c:ptCount val="1"/>
                <c:pt idx="0">
                  <c:v>66667</c:v>
                </c:pt>
              </c:strCache>
            </c:strRef>
          </c:cat>
          <c:val>
            <c:numRef>
              <c:f>'[Attachment 2b Standard MBS Data for P2 -Chemical WG (002).xlsx]Metals for Toxicity-Deficiency'!$I$23</c:f>
              <c:numCache>
                <c:formatCode>#,##0</c:formatCode>
                <c:ptCount val="1"/>
                <c:pt idx="0">
                  <c:v>0.81766148814390804</c:v>
                </c:pt>
              </c:numCache>
            </c:numRef>
          </c:val>
          <c:extLst>
            <c:ext xmlns:c16="http://schemas.microsoft.com/office/drawing/2014/chart" uri="{C3380CC4-5D6E-409C-BE32-E72D297353CC}">
              <c16:uniqueId val="{00000006-62A5-4A00-8EAB-74588491C19A}"/>
            </c:ext>
          </c:extLst>
        </c:ser>
        <c:ser>
          <c:idx val="7"/>
          <c:order val="7"/>
          <c:tx>
            <c:v>ACT</c:v>
          </c:tx>
          <c:spPr>
            <a:solidFill>
              <a:schemeClr val="accent2">
                <a:lumMod val="60000"/>
              </a:schemeClr>
            </a:solidFill>
            <a:ln>
              <a:noFill/>
            </a:ln>
            <a:effectLst/>
          </c:spPr>
          <c:invertIfNegative val="0"/>
          <c:cat>
            <c:strRef>
              <c:f>'[Attachment 2b Standard MBS Data for P2 -Chemical WG (002).xlsx]Metals for Toxicity-Deficiency'!$B$23</c:f>
              <c:strCache>
                <c:ptCount val="1"/>
                <c:pt idx="0">
                  <c:v>66667</c:v>
                </c:pt>
              </c:strCache>
            </c:strRef>
          </c:cat>
          <c:val>
            <c:numRef>
              <c:f>'[Attachment 2b Standard MBS Data for P2 -Chemical WG (002).xlsx]Metals for Toxicity-Deficiency'!$J$23</c:f>
              <c:numCache>
                <c:formatCode>#,##0</c:formatCode>
                <c:ptCount val="1"/>
                <c:pt idx="0">
                  <c:v>1.7893282241555779</c:v>
                </c:pt>
              </c:numCache>
            </c:numRef>
          </c:val>
          <c:extLst>
            <c:ext xmlns:c16="http://schemas.microsoft.com/office/drawing/2014/chart" uri="{C3380CC4-5D6E-409C-BE32-E72D297353CC}">
              <c16:uniqueId val="{00000007-62A5-4A00-8EAB-74588491C19A}"/>
            </c:ext>
          </c:extLst>
        </c:ser>
        <c:dLbls>
          <c:showLegendKey val="0"/>
          <c:showVal val="0"/>
          <c:showCatName val="0"/>
          <c:showSerName val="0"/>
          <c:showPercent val="0"/>
          <c:showBubbleSize val="0"/>
        </c:dLbls>
        <c:gapWidth val="219"/>
        <c:overlap val="-27"/>
        <c:axId val="313700352"/>
        <c:axId val="313701888"/>
      </c:barChart>
      <c:catAx>
        <c:axId val="313700352"/>
        <c:scaling>
          <c:orientation val="minMax"/>
        </c:scaling>
        <c:delete val="1"/>
        <c:axPos val="b"/>
        <c:numFmt formatCode="General" sourceLinked="1"/>
        <c:majorTickMark val="none"/>
        <c:minorTickMark val="none"/>
        <c:tickLblPos val="nextTo"/>
        <c:crossAx val="313701888"/>
        <c:crosses val="autoZero"/>
        <c:auto val="1"/>
        <c:lblAlgn val="ctr"/>
        <c:lblOffset val="100"/>
        <c:noMultiLvlLbl val="0"/>
      </c:catAx>
      <c:valAx>
        <c:axId val="3137018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3700352"/>
        <c:crosses val="autoZero"/>
        <c:crossBetween val="between"/>
      </c:valAx>
      <c:spPr>
        <a:noFill/>
        <a:ln>
          <a:noFill/>
        </a:ln>
        <a:effectLst/>
      </c:spPr>
    </c:plotArea>
    <c:legend>
      <c:legendPos val="b"/>
      <c:layout>
        <c:manualLayout>
          <c:xMode val="edge"/>
          <c:yMode val="edge"/>
          <c:x val="0.14086680156600501"/>
          <c:y val="0.90586371148050904"/>
          <c:w val="0.70662766316221703"/>
          <c:h val="6.94449304947993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NPS MedicineWise">
    <a:dk1>
      <a:srgbClr val="000000"/>
    </a:dk1>
    <a:lt1>
      <a:srgbClr val="FFFFFF"/>
    </a:lt1>
    <a:dk2>
      <a:srgbClr val="401E6C"/>
    </a:dk2>
    <a:lt2>
      <a:srgbClr val="FF6633"/>
    </a:lt2>
    <a:accent1>
      <a:srgbClr val="401E6C"/>
    </a:accent1>
    <a:accent2>
      <a:srgbClr val="FF6633"/>
    </a:accent2>
    <a:accent3>
      <a:srgbClr val="99CC33"/>
    </a:accent3>
    <a:accent4>
      <a:srgbClr val="ABA0C4"/>
    </a:accent4>
    <a:accent5>
      <a:srgbClr val="F9A870"/>
    </a:accent5>
    <a:accent6>
      <a:srgbClr val="ADD088"/>
    </a:accent6>
    <a:hlink>
      <a:srgbClr val="401E6C"/>
    </a:hlink>
    <a:folHlink>
      <a:srgbClr val="ABA0C4"/>
    </a:folHlink>
  </a:clrScheme>
  <a:fontScheme name="NPS MedicineWi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NPS MedicineWise">
    <a:dk1>
      <a:srgbClr val="000000"/>
    </a:dk1>
    <a:lt1>
      <a:srgbClr val="FFFFFF"/>
    </a:lt1>
    <a:dk2>
      <a:srgbClr val="401E6C"/>
    </a:dk2>
    <a:lt2>
      <a:srgbClr val="FF6633"/>
    </a:lt2>
    <a:accent1>
      <a:srgbClr val="401E6C"/>
    </a:accent1>
    <a:accent2>
      <a:srgbClr val="FF6633"/>
    </a:accent2>
    <a:accent3>
      <a:srgbClr val="99CC33"/>
    </a:accent3>
    <a:accent4>
      <a:srgbClr val="ABA0C4"/>
    </a:accent4>
    <a:accent5>
      <a:srgbClr val="F9A870"/>
    </a:accent5>
    <a:accent6>
      <a:srgbClr val="ADD088"/>
    </a:accent6>
    <a:hlink>
      <a:srgbClr val="401E6C"/>
    </a:hlink>
    <a:folHlink>
      <a:srgbClr val="ABA0C4"/>
    </a:folHlink>
  </a:clrScheme>
  <a:fontScheme name="NPS MedicineWi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94ADB6BD-FC46-43A1-8527-0B6A4CCC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full report.dotx</Template>
  <TotalTime>1</TotalTime>
  <Pages>124</Pages>
  <Words>38688</Words>
  <Characters>220523</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Obstetrics Clinical Committee</vt:lpstr>
    </vt:vector>
  </TitlesOfParts>
  <Company/>
  <LinksUpToDate>false</LinksUpToDate>
  <CharactersWithSpaces>258694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Second report from the Pathology Clinical Committee on Chemical Pathology </dc:title>
  <dc:subject>Medicare Benefits Schedule </dc:subject>
  <dc:creator>Australian Government Department of Health </dc:creator>
  <cp:keywords/>
  <dc:description>_x000d_
</dc:description>
  <cp:lastModifiedBy>SMEDLEY, Tyne</cp:lastModifiedBy>
  <cp:revision>2</cp:revision>
  <cp:lastPrinted>2017-06-19T03:47:00Z</cp:lastPrinted>
  <dcterms:created xsi:type="dcterms:W3CDTF">2021-06-29T01:20:00Z</dcterms:created>
  <dcterms:modified xsi:type="dcterms:W3CDTF">2021-06-29T01:20:00Z</dcterms:modified>
  <cp:category/>
  <cp:contentStatus>Final</cp:contentStatus>
</cp:coreProperties>
</file>