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8FC" w:rsidRDefault="00CE38FC" w:rsidP="006876DB">
      <w:pPr>
        <w:rPr>
          <w:b/>
          <w:sz w:val="44"/>
        </w:rPr>
      </w:pPr>
      <w:bookmarkStart w:id="0" w:name="_GoBack"/>
      <w:bookmarkEnd w:id="0"/>
    </w:p>
    <w:p w:rsidR="00CE38FC" w:rsidRDefault="00CE38FC" w:rsidP="006876DB">
      <w:pPr>
        <w:rPr>
          <w:b/>
          <w:sz w:val="44"/>
        </w:rPr>
      </w:pPr>
    </w:p>
    <w:p w:rsidR="00CE38FC" w:rsidRDefault="00CE38FC" w:rsidP="006876DB">
      <w:pPr>
        <w:rPr>
          <w:b/>
          <w:sz w:val="44"/>
        </w:rPr>
      </w:pPr>
    </w:p>
    <w:p w:rsidR="00386477" w:rsidRPr="00E46DFB" w:rsidRDefault="00115C91" w:rsidP="00E46DFB">
      <w:pPr>
        <w:pStyle w:val="Title"/>
        <w:spacing w:after="1800"/>
      </w:pPr>
      <w:r w:rsidRPr="00F1290F">
        <w:t>Review of Medicare Locals</w:t>
      </w:r>
    </w:p>
    <w:p w:rsidR="00A42170" w:rsidRPr="009F04AA" w:rsidRDefault="00115C91" w:rsidP="006876DB">
      <w:pPr>
        <w:rPr>
          <w:b/>
          <w:sz w:val="48"/>
        </w:rPr>
      </w:pPr>
      <w:r w:rsidRPr="009F04AA">
        <w:rPr>
          <w:b/>
          <w:sz w:val="48"/>
        </w:rPr>
        <w:t xml:space="preserve">Report to the Minister for Health and </w:t>
      </w:r>
    </w:p>
    <w:p w:rsidR="004678D9" w:rsidRPr="00E46DFB" w:rsidRDefault="00493A64" w:rsidP="00E46DFB">
      <w:pPr>
        <w:spacing w:after="1800"/>
        <w:rPr>
          <w:b/>
          <w:sz w:val="48"/>
        </w:rPr>
      </w:pPr>
      <w:r w:rsidRPr="009F04AA">
        <w:rPr>
          <w:b/>
          <w:sz w:val="48"/>
        </w:rPr>
        <w:t xml:space="preserve">Minister for </w:t>
      </w:r>
      <w:r w:rsidR="00115C91" w:rsidRPr="009F04AA">
        <w:rPr>
          <w:b/>
          <w:sz w:val="48"/>
        </w:rPr>
        <w:t>Sport</w:t>
      </w:r>
    </w:p>
    <w:p w:rsidR="00727FD5" w:rsidRPr="009F04AA" w:rsidRDefault="00227F9D" w:rsidP="00227F9D">
      <w:pPr>
        <w:rPr>
          <w:b/>
          <w:sz w:val="48"/>
        </w:rPr>
      </w:pPr>
      <w:r w:rsidRPr="009F04AA">
        <w:rPr>
          <w:b/>
          <w:sz w:val="48"/>
        </w:rPr>
        <w:t>Professor John Horvath AO</w:t>
      </w:r>
    </w:p>
    <w:p w:rsidR="004678D9" w:rsidRPr="00E46DFB" w:rsidRDefault="00227F9D" w:rsidP="00E46DFB">
      <w:pPr>
        <w:spacing w:after="4920"/>
        <w:rPr>
          <w:b/>
          <w:sz w:val="48"/>
        </w:rPr>
      </w:pPr>
      <w:r w:rsidRPr="00256FBC">
        <w:rPr>
          <w:b/>
          <w:sz w:val="36"/>
        </w:rPr>
        <w:t>MBBS FRACP</w:t>
      </w:r>
    </w:p>
    <w:p w:rsidR="006876DB" w:rsidRPr="001025EA" w:rsidRDefault="00386477" w:rsidP="006876DB">
      <w:pPr>
        <w:rPr>
          <w:b/>
          <w:sz w:val="40"/>
        </w:rPr>
      </w:pPr>
      <w:r>
        <w:rPr>
          <w:b/>
          <w:sz w:val="40"/>
        </w:rPr>
        <w:t>4</w:t>
      </w:r>
      <w:r w:rsidR="006876DB" w:rsidRPr="001025EA">
        <w:rPr>
          <w:b/>
          <w:sz w:val="40"/>
        </w:rPr>
        <w:t xml:space="preserve"> </w:t>
      </w:r>
      <w:r w:rsidR="00CE696D">
        <w:rPr>
          <w:b/>
          <w:sz w:val="40"/>
        </w:rPr>
        <w:t>March</w:t>
      </w:r>
      <w:r w:rsidR="00D4056C" w:rsidRPr="001025EA">
        <w:rPr>
          <w:b/>
          <w:sz w:val="40"/>
        </w:rPr>
        <w:t xml:space="preserve"> </w:t>
      </w:r>
      <w:r w:rsidR="006876DB" w:rsidRPr="001025EA">
        <w:rPr>
          <w:b/>
          <w:sz w:val="40"/>
        </w:rPr>
        <w:t>2014</w:t>
      </w:r>
    </w:p>
    <w:p w:rsidR="00114B2B" w:rsidRPr="001025EA" w:rsidRDefault="00114B2B"/>
    <w:p w:rsidR="00115C91" w:rsidRPr="001025EA" w:rsidRDefault="00115C91">
      <w:pPr>
        <w:sectPr w:rsidR="00115C91" w:rsidRPr="001025EA">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p>
    <w:sdt>
      <w:sdtPr>
        <w:rPr>
          <w:rFonts w:asciiTheme="minorHAnsi" w:eastAsiaTheme="minorEastAsia" w:hAnsiTheme="minorHAnsi" w:cs="Arial"/>
          <w:b w:val="0"/>
          <w:bCs w:val="0"/>
          <w:noProof/>
          <w:kern w:val="0"/>
          <w:sz w:val="24"/>
          <w:szCs w:val="24"/>
          <w:lang w:val="en-US" w:eastAsia="zh-TW" w:bidi="en-US"/>
        </w:rPr>
        <w:id w:val="-1713263656"/>
        <w:docPartObj>
          <w:docPartGallery w:val="Table of Contents"/>
          <w:docPartUnique/>
        </w:docPartObj>
      </w:sdtPr>
      <w:sdtEndPr>
        <w:rPr>
          <w:rFonts w:ascii="Garamond" w:eastAsia="PMingLiU" w:hAnsi="Garamond"/>
          <w:noProof w:val="0"/>
          <w:kern w:val="12"/>
        </w:rPr>
      </w:sdtEndPr>
      <w:sdtContent>
        <w:p w:rsidR="00470FF6" w:rsidRPr="001025EA" w:rsidRDefault="00470FF6" w:rsidP="003820EA">
          <w:pPr>
            <w:pStyle w:val="TOCHeading"/>
            <w:numPr>
              <w:ilvl w:val="0"/>
              <w:numId w:val="0"/>
            </w:numPr>
            <w:ind w:left="432" w:hanging="432"/>
          </w:pPr>
          <w:r w:rsidRPr="001025EA">
            <w:t>Table of Contents</w:t>
          </w:r>
        </w:p>
        <w:p w:rsidR="00D166D7" w:rsidRDefault="00C10817">
          <w:pPr>
            <w:pStyle w:val="TOC1"/>
            <w:rPr>
              <w:rFonts w:asciiTheme="minorHAnsi" w:hAnsiTheme="minorHAnsi" w:cstheme="minorBidi"/>
              <w:sz w:val="22"/>
              <w:szCs w:val="22"/>
              <w:lang w:eastAsia="en-AU"/>
            </w:rPr>
          </w:pPr>
          <w:r w:rsidRPr="005B6DD4">
            <w:fldChar w:fldCharType="begin"/>
          </w:r>
          <w:r w:rsidR="00470FF6" w:rsidRPr="001025EA">
            <w:instrText xml:space="preserve"> TOC \o "1-3" \h \z \u </w:instrText>
          </w:r>
          <w:r w:rsidRPr="005B6DD4">
            <w:fldChar w:fldCharType="separate"/>
          </w:r>
          <w:hyperlink w:anchor="_Toc387644718" w:history="1">
            <w:r w:rsidR="00D166D7" w:rsidRPr="00470B2B">
              <w:rPr>
                <w:rStyle w:val="Hyperlink"/>
              </w:rPr>
              <w:t>Executive Summary</w:t>
            </w:r>
            <w:r w:rsidR="00D166D7">
              <w:rPr>
                <w:webHidden/>
              </w:rPr>
              <w:tab/>
            </w:r>
            <w:r w:rsidR="00D166D7">
              <w:rPr>
                <w:webHidden/>
              </w:rPr>
              <w:fldChar w:fldCharType="begin"/>
            </w:r>
            <w:r w:rsidR="00D166D7">
              <w:rPr>
                <w:webHidden/>
              </w:rPr>
              <w:instrText xml:space="preserve"> PAGEREF _Toc387644718 \h </w:instrText>
            </w:r>
            <w:r w:rsidR="00D166D7">
              <w:rPr>
                <w:webHidden/>
              </w:rPr>
            </w:r>
            <w:r w:rsidR="00D166D7">
              <w:rPr>
                <w:webHidden/>
              </w:rPr>
              <w:fldChar w:fldCharType="separate"/>
            </w:r>
            <w:r w:rsidR="00B07B46">
              <w:rPr>
                <w:webHidden/>
              </w:rPr>
              <w:t>ii</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19" w:history="1">
            <w:r w:rsidR="00D166D7" w:rsidRPr="00470B2B">
              <w:rPr>
                <w:rStyle w:val="Hyperlink"/>
              </w:rPr>
              <w:t>Background</w:t>
            </w:r>
            <w:r w:rsidR="00D166D7">
              <w:rPr>
                <w:webHidden/>
              </w:rPr>
              <w:tab/>
            </w:r>
            <w:r w:rsidR="00D166D7">
              <w:rPr>
                <w:webHidden/>
              </w:rPr>
              <w:fldChar w:fldCharType="begin"/>
            </w:r>
            <w:r w:rsidR="00D166D7">
              <w:rPr>
                <w:webHidden/>
              </w:rPr>
              <w:instrText xml:space="preserve"> PAGEREF _Toc387644719 \h </w:instrText>
            </w:r>
            <w:r w:rsidR="00D166D7">
              <w:rPr>
                <w:webHidden/>
              </w:rPr>
            </w:r>
            <w:r w:rsidR="00D166D7">
              <w:rPr>
                <w:webHidden/>
              </w:rPr>
              <w:fldChar w:fldCharType="separate"/>
            </w:r>
            <w:r w:rsidR="00B07B46">
              <w:rPr>
                <w:webHidden/>
              </w:rPr>
              <w:t>ii</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20" w:history="1">
            <w:r w:rsidR="00D166D7" w:rsidRPr="00470B2B">
              <w:rPr>
                <w:rStyle w:val="Hyperlink"/>
              </w:rPr>
              <w:t>Methods</w:t>
            </w:r>
            <w:r w:rsidR="00D166D7">
              <w:rPr>
                <w:webHidden/>
              </w:rPr>
              <w:tab/>
            </w:r>
            <w:r w:rsidR="00D166D7">
              <w:rPr>
                <w:webHidden/>
              </w:rPr>
              <w:fldChar w:fldCharType="begin"/>
            </w:r>
            <w:r w:rsidR="00D166D7">
              <w:rPr>
                <w:webHidden/>
              </w:rPr>
              <w:instrText xml:space="preserve"> PAGEREF _Toc387644720 \h </w:instrText>
            </w:r>
            <w:r w:rsidR="00D166D7">
              <w:rPr>
                <w:webHidden/>
              </w:rPr>
            </w:r>
            <w:r w:rsidR="00D166D7">
              <w:rPr>
                <w:webHidden/>
              </w:rPr>
              <w:fldChar w:fldCharType="separate"/>
            </w:r>
            <w:r w:rsidR="00B07B46">
              <w:rPr>
                <w:webHidden/>
              </w:rPr>
              <w:t>ii</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21" w:history="1">
            <w:r w:rsidR="00D166D7" w:rsidRPr="00470B2B">
              <w:rPr>
                <w:rStyle w:val="Hyperlink"/>
              </w:rPr>
              <w:t>Findings and discussion</w:t>
            </w:r>
            <w:r w:rsidR="00D166D7">
              <w:rPr>
                <w:webHidden/>
              </w:rPr>
              <w:tab/>
            </w:r>
            <w:r w:rsidR="00D166D7">
              <w:rPr>
                <w:webHidden/>
              </w:rPr>
              <w:fldChar w:fldCharType="begin"/>
            </w:r>
            <w:r w:rsidR="00D166D7">
              <w:rPr>
                <w:webHidden/>
              </w:rPr>
              <w:instrText xml:space="preserve"> PAGEREF _Toc387644721 \h </w:instrText>
            </w:r>
            <w:r w:rsidR="00D166D7">
              <w:rPr>
                <w:webHidden/>
              </w:rPr>
            </w:r>
            <w:r w:rsidR="00D166D7">
              <w:rPr>
                <w:webHidden/>
              </w:rPr>
              <w:fldChar w:fldCharType="separate"/>
            </w:r>
            <w:r w:rsidR="00B07B46">
              <w:rPr>
                <w:webHidden/>
              </w:rPr>
              <w:t>ii</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22" w:history="1">
            <w:r w:rsidR="00D166D7" w:rsidRPr="00470B2B">
              <w:rPr>
                <w:rStyle w:val="Hyperlink"/>
              </w:rPr>
              <w:t>Implementation</w:t>
            </w:r>
            <w:r w:rsidR="00D166D7">
              <w:rPr>
                <w:webHidden/>
              </w:rPr>
              <w:tab/>
            </w:r>
            <w:r w:rsidR="00D166D7">
              <w:rPr>
                <w:webHidden/>
              </w:rPr>
              <w:fldChar w:fldCharType="begin"/>
            </w:r>
            <w:r w:rsidR="00D166D7">
              <w:rPr>
                <w:webHidden/>
              </w:rPr>
              <w:instrText xml:space="preserve"> PAGEREF _Toc387644722 \h </w:instrText>
            </w:r>
            <w:r w:rsidR="00D166D7">
              <w:rPr>
                <w:webHidden/>
              </w:rPr>
            </w:r>
            <w:r w:rsidR="00D166D7">
              <w:rPr>
                <w:webHidden/>
              </w:rPr>
              <w:fldChar w:fldCharType="separate"/>
            </w:r>
            <w:r w:rsidR="00B07B46">
              <w:rPr>
                <w:webHidden/>
              </w:rPr>
              <w:t>iv</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23" w:history="1">
            <w:r w:rsidR="00D166D7" w:rsidRPr="00470B2B">
              <w:rPr>
                <w:rStyle w:val="Hyperlink"/>
              </w:rPr>
              <w:t>Recommendations</w:t>
            </w:r>
            <w:r w:rsidR="00D166D7">
              <w:rPr>
                <w:webHidden/>
              </w:rPr>
              <w:tab/>
            </w:r>
            <w:r w:rsidR="00D166D7">
              <w:rPr>
                <w:webHidden/>
              </w:rPr>
              <w:fldChar w:fldCharType="begin"/>
            </w:r>
            <w:r w:rsidR="00D166D7">
              <w:rPr>
                <w:webHidden/>
              </w:rPr>
              <w:instrText xml:space="preserve"> PAGEREF _Toc387644723 \h </w:instrText>
            </w:r>
            <w:r w:rsidR="00D166D7">
              <w:rPr>
                <w:webHidden/>
              </w:rPr>
            </w:r>
            <w:r w:rsidR="00D166D7">
              <w:rPr>
                <w:webHidden/>
              </w:rPr>
              <w:fldChar w:fldCharType="separate"/>
            </w:r>
            <w:r w:rsidR="00B07B46">
              <w:rPr>
                <w:webHidden/>
              </w:rPr>
              <w:t>v</w:t>
            </w:r>
            <w:r w:rsidR="00D166D7">
              <w:rPr>
                <w:webHidden/>
              </w:rPr>
              <w:fldChar w:fldCharType="end"/>
            </w:r>
          </w:hyperlink>
        </w:p>
        <w:p w:rsidR="00D166D7" w:rsidRDefault="00A4144A">
          <w:pPr>
            <w:pStyle w:val="TOC1"/>
            <w:rPr>
              <w:rFonts w:asciiTheme="minorHAnsi" w:hAnsiTheme="minorHAnsi" w:cstheme="minorBidi"/>
              <w:sz w:val="22"/>
              <w:szCs w:val="22"/>
              <w:lang w:eastAsia="en-AU"/>
            </w:rPr>
          </w:pPr>
          <w:hyperlink w:anchor="_Toc387644724" w:history="1">
            <w:r w:rsidR="00D166D7" w:rsidRPr="00470B2B">
              <w:rPr>
                <w:rStyle w:val="Hyperlink"/>
              </w:rPr>
              <w:t>1</w:t>
            </w:r>
            <w:r w:rsidR="00D166D7">
              <w:rPr>
                <w:rFonts w:asciiTheme="minorHAnsi" w:hAnsiTheme="minorHAnsi" w:cstheme="minorBidi"/>
                <w:sz w:val="22"/>
                <w:szCs w:val="22"/>
                <w:lang w:eastAsia="en-AU"/>
              </w:rPr>
              <w:tab/>
            </w:r>
            <w:r w:rsidR="00D166D7" w:rsidRPr="00470B2B">
              <w:rPr>
                <w:rStyle w:val="Hyperlink"/>
              </w:rPr>
              <w:t>Introduction</w:t>
            </w:r>
            <w:r w:rsidR="00D166D7">
              <w:rPr>
                <w:webHidden/>
              </w:rPr>
              <w:tab/>
            </w:r>
            <w:r w:rsidR="00D166D7">
              <w:rPr>
                <w:webHidden/>
              </w:rPr>
              <w:fldChar w:fldCharType="begin"/>
            </w:r>
            <w:r w:rsidR="00D166D7">
              <w:rPr>
                <w:webHidden/>
              </w:rPr>
              <w:instrText xml:space="preserve"> PAGEREF _Toc387644724 \h </w:instrText>
            </w:r>
            <w:r w:rsidR="00D166D7">
              <w:rPr>
                <w:webHidden/>
              </w:rPr>
            </w:r>
            <w:r w:rsidR="00D166D7">
              <w:rPr>
                <w:webHidden/>
              </w:rPr>
              <w:fldChar w:fldCharType="separate"/>
            </w:r>
            <w:r w:rsidR="00B07B46">
              <w:rPr>
                <w:webHidden/>
              </w:rPr>
              <w:t>1</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25" w:history="1">
            <w:r w:rsidR="00D166D7" w:rsidRPr="00470B2B">
              <w:rPr>
                <w:rStyle w:val="Hyperlink"/>
              </w:rPr>
              <w:t>1.1</w:t>
            </w:r>
            <w:r w:rsidR="00D166D7">
              <w:rPr>
                <w:rFonts w:asciiTheme="minorHAnsi" w:hAnsiTheme="minorHAnsi" w:cstheme="minorBidi"/>
                <w:sz w:val="22"/>
                <w:szCs w:val="22"/>
                <w:lang w:eastAsia="en-AU"/>
              </w:rPr>
              <w:tab/>
            </w:r>
            <w:r w:rsidR="00D166D7" w:rsidRPr="00470B2B">
              <w:rPr>
                <w:rStyle w:val="Hyperlink"/>
              </w:rPr>
              <w:t>Background</w:t>
            </w:r>
            <w:r w:rsidR="00D166D7">
              <w:rPr>
                <w:webHidden/>
              </w:rPr>
              <w:tab/>
            </w:r>
            <w:r w:rsidR="00D166D7">
              <w:rPr>
                <w:webHidden/>
              </w:rPr>
              <w:fldChar w:fldCharType="begin"/>
            </w:r>
            <w:r w:rsidR="00D166D7">
              <w:rPr>
                <w:webHidden/>
              </w:rPr>
              <w:instrText xml:space="preserve"> PAGEREF _Toc387644725 \h </w:instrText>
            </w:r>
            <w:r w:rsidR="00D166D7">
              <w:rPr>
                <w:webHidden/>
              </w:rPr>
            </w:r>
            <w:r w:rsidR="00D166D7">
              <w:rPr>
                <w:webHidden/>
              </w:rPr>
              <w:fldChar w:fldCharType="separate"/>
            </w:r>
            <w:r w:rsidR="00B07B46">
              <w:rPr>
                <w:webHidden/>
              </w:rPr>
              <w:t>1</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26" w:history="1">
            <w:r w:rsidR="00D166D7" w:rsidRPr="00470B2B">
              <w:rPr>
                <w:rStyle w:val="Hyperlink"/>
              </w:rPr>
              <w:t>1.2</w:t>
            </w:r>
            <w:r w:rsidR="00D166D7">
              <w:rPr>
                <w:rFonts w:asciiTheme="minorHAnsi" w:hAnsiTheme="minorHAnsi" w:cstheme="minorBidi"/>
                <w:sz w:val="22"/>
                <w:szCs w:val="22"/>
                <w:lang w:eastAsia="en-AU"/>
              </w:rPr>
              <w:tab/>
            </w:r>
            <w:r w:rsidR="00D166D7" w:rsidRPr="00470B2B">
              <w:rPr>
                <w:rStyle w:val="Hyperlink"/>
              </w:rPr>
              <w:t>Medicare Locals</w:t>
            </w:r>
            <w:r w:rsidR="00D166D7">
              <w:rPr>
                <w:webHidden/>
              </w:rPr>
              <w:tab/>
            </w:r>
            <w:r w:rsidR="00D166D7">
              <w:rPr>
                <w:webHidden/>
              </w:rPr>
              <w:fldChar w:fldCharType="begin"/>
            </w:r>
            <w:r w:rsidR="00D166D7">
              <w:rPr>
                <w:webHidden/>
              </w:rPr>
              <w:instrText xml:space="preserve"> PAGEREF _Toc387644726 \h </w:instrText>
            </w:r>
            <w:r w:rsidR="00D166D7">
              <w:rPr>
                <w:webHidden/>
              </w:rPr>
            </w:r>
            <w:r w:rsidR="00D166D7">
              <w:rPr>
                <w:webHidden/>
              </w:rPr>
              <w:fldChar w:fldCharType="separate"/>
            </w:r>
            <w:r w:rsidR="00B07B46">
              <w:rPr>
                <w:webHidden/>
              </w:rPr>
              <w:t>2</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27" w:history="1">
            <w:r w:rsidR="00D166D7" w:rsidRPr="00470B2B">
              <w:rPr>
                <w:rStyle w:val="Hyperlink"/>
              </w:rPr>
              <w:t>1.3</w:t>
            </w:r>
            <w:r w:rsidR="00D166D7">
              <w:rPr>
                <w:rFonts w:asciiTheme="minorHAnsi" w:hAnsiTheme="minorHAnsi" w:cstheme="minorBidi"/>
                <w:sz w:val="22"/>
                <w:szCs w:val="22"/>
                <w:lang w:eastAsia="en-AU"/>
              </w:rPr>
              <w:tab/>
            </w:r>
            <w:r w:rsidR="00D166D7" w:rsidRPr="00470B2B">
              <w:rPr>
                <w:rStyle w:val="Hyperlink"/>
              </w:rPr>
              <w:t>Terms of Reference</w:t>
            </w:r>
            <w:r w:rsidR="00D166D7">
              <w:rPr>
                <w:webHidden/>
              </w:rPr>
              <w:tab/>
            </w:r>
            <w:r w:rsidR="00D166D7">
              <w:rPr>
                <w:webHidden/>
              </w:rPr>
              <w:fldChar w:fldCharType="begin"/>
            </w:r>
            <w:r w:rsidR="00D166D7">
              <w:rPr>
                <w:webHidden/>
              </w:rPr>
              <w:instrText xml:space="preserve"> PAGEREF _Toc387644727 \h </w:instrText>
            </w:r>
            <w:r w:rsidR="00D166D7">
              <w:rPr>
                <w:webHidden/>
              </w:rPr>
            </w:r>
            <w:r w:rsidR="00D166D7">
              <w:rPr>
                <w:webHidden/>
              </w:rPr>
              <w:fldChar w:fldCharType="separate"/>
            </w:r>
            <w:r w:rsidR="00B07B46">
              <w:rPr>
                <w:webHidden/>
              </w:rPr>
              <w:t>3</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28" w:history="1">
            <w:r w:rsidR="00D166D7" w:rsidRPr="00470B2B">
              <w:rPr>
                <w:rStyle w:val="Hyperlink"/>
              </w:rPr>
              <w:t>1.4</w:t>
            </w:r>
            <w:r w:rsidR="00D166D7">
              <w:rPr>
                <w:rFonts w:asciiTheme="minorHAnsi" w:hAnsiTheme="minorHAnsi" w:cstheme="minorBidi"/>
                <w:sz w:val="22"/>
                <w:szCs w:val="22"/>
                <w:lang w:eastAsia="en-AU"/>
              </w:rPr>
              <w:tab/>
            </w:r>
            <w:r w:rsidR="00D166D7" w:rsidRPr="00470B2B">
              <w:rPr>
                <w:rStyle w:val="Hyperlink"/>
              </w:rPr>
              <w:t>Methods of the Review</w:t>
            </w:r>
            <w:r w:rsidR="00D166D7">
              <w:rPr>
                <w:webHidden/>
              </w:rPr>
              <w:tab/>
            </w:r>
            <w:r w:rsidR="00D166D7">
              <w:rPr>
                <w:webHidden/>
              </w:rPr>
              <w:fldChar w:fldCharType="begin"/>
            </w:r>
            <w:r w:rsidR="00D166D7">
              <w:rPr>
                <w:webHidden/>
              </w:rPr>
              <w:instrText xml:space="preserve"> PAGEREF _Toc387644728 \h </w:instrText>
            </w:r>
            <w:r w:rsidR="00D166D7">
              <w:rPr>
                <w:webHidden/>
              </w:rPr>
            </w:r>
            <w:r w:rsidR="00D166D7">
              <w:rPr>
                <w:webHidden/>
              </w:rPr>
              <w:fldChar w:fldCharType="separate"/>
            </w:r>
            <w:r w:rsidR="00B07B46">
              <w:rPr>
                <w:webHidden/>
              </w:rPr>
              <w:t>3</w:t>
            </w:r>
            <w:r w:rsidR="00D166D7">
              <w:rPr>
                <w:webHidden/>
              </w:rPr>
              <w:fldChar w:fldCharType="end"/>
            </w:r>
          </w:hyperlink>
        </w:p>
        <w:p w:rsidR="00D166D7" w:rsidRDefault="00A4144A">
          <w:pPr>
            <w:pStyle w:val="TOC1"/>
            <w:rPr>
              <w:rFonts w:asciiTheme="minorHAnsi" w:hAnsiTheme="minorHAnsi" w:cstheme="minorBidi"/>
              <w:sz w:val="22"/>
              <w:szCs w:val="22"/>
              <w:lang w:eastAsia="en-AU"/>
            </w:rPr>
          </w:pPr>
          <w:hyperlink w:anchor="_Toc387644729" w:history="1">
            <w:r w:rsidR="00D166D7" w:rsidRPr="00470B2B">
              <w:rPr>
                <w:rStyle w:val="Hyperlink"/>
              </w:rPr>
              <w:t>2</w:t>
            </w:r>
            <w:r w:rsidR="00D166D7">
              <w:rPr>
                <w:rFonts w:asciiTheme="minorHAnsi" w:hAnsiTheme="minorHAnsi" w:cstheme="minorBidi"/>
                <w:sz w:val="22"/>
                <w:szCs w:val="22"/>
                <w:lang w:eastAsia="en-AU"/>
              </w:rPr>
              <w:tab/>
            </w:r>
            <w:r w:rsidR="00D166D7" w:rsidRPr="00470B2B">
              <w:rPr>
                <w:rStyle w:val="Hyperlink"/>
              </w:rPr>
              <w:t>Key Findings</w:t>
            </w:r>
            <w:r w:rsidR="00D166D7">
              <w:rPr>
                <w:webHidden/>
              </w:rPr>
              <w:tab/>
            </w:r>
            <w:r w:rsidR="00D166D7">
              <w:rPr>
                <w:webHidden/>
              </w:rPr>
              <w:fldChar w:fldCharType="begin"/>
            </w:r>
            <w:r w:rsidR="00D166D7">
              <w:rPr>
                <w:webHidden/>
              </w:rPr>
              <w:instrText xml:space="preserve"> PAGEREF _Toc387644729 \h </w:instrText>
            </w:r>
            <w:r w:rsidR="00D166D7">
              <w:rPr>
                <w:webHidden/>
              </w:rPr>
            </w:r>
            <w:r w:rsidR="00D166D7">
              <w:rPr>
                <w:webHidden/>
              </w:rPr>
              <w:fldChar w:fldCharType="separate"/>
            </w:r>
            <w:r w:rsidR="00B07B46">
              <w:rPr>
                <w:webHidden/>
              </w:rPr>
              <w:t>4</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30" w:history="1">
            <w:r w:rsidR="00D166D7" w:rsidRPr="00470B2B">
              <w:rPr>
                <w:rStyle w:val="Hyperlink"/>
              </w:rPr>
              <w:t>2.1</w:t>
            </w:r>
            <w:r w:rsidR="00D166D7">
              <w:rPr>
                <w:rFonts w:asciiTheme="minorHAnsi" w:hAnsiTheme="minorHAnsi" w:cstheme="minorBidi"/>
                <w:sz w:val="22"/>
                <w:szCs w:val="22"/>
                <w:lang w:eastAsia="en-AU"/>
              </w:rPr>
              <w:tab/>
            </w:r>
            <w:r w:rsidR="00D166D7" w:rsidRPr="00470B2B">
              <w:rPr>
                <w:rStyle w:val="Hyperlink"/>
              </w:rPr>
              <w:t>Recognition of the need for an organisation to reduce fragmentation</w:t>
            </w:r>
            <w:r w:rsidR="00D166D7">
              <w:rPr>
                <w:webHidden/>
              </w:rPr>
              <w:tab/>
            </w:r>
            <w:r w:rsidR="00D166D7">
              <w:rPr>
                <w:webHidden/>
              </w:rPr>
              <w:fldChar w:fldCharType="begin"/>
            </w:r>
            <w:r w:rsidR="00D166D7">
              <w:rPr>
                <w:webHidden/>
              </w:rPr>
              <w:instrText xml:space="preserve"> PAGEREF _Toc387644730 \h </w:instrText>
            </w:r>
            <w:r w:rsidR="00D166D7">
              <w:rPr>
                <w:webHidden/>
              </w:rPr>
            </w:r>
            <w:r w:rsidR="00D166D7">
              <w:rPr>
                <w:webHidden/>
              </w:rPr>
              <w:fldChar w:fldCharType="separate"/>
            </w:r>
            <w:r w:rsidR="00B07B46">
              <w:rPr>
                <w:webHidden/>
              </w:rPr>
              <w:t>4</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31" w:history="1">
            <w:r w:rsidR="00D166D7" w:rsidRPr="00470B2B">
              <w:rPr>
                <w:rStyle w:val="Hyperlink"/>
              </w:rPr>
              <w:t>2.2</w:t>
            </w:r>
            <w:r w:rsidR="00D166D7">
              <w:rPr>
                <w:rFonts w:asciiTheme="minorHAnsi" w:hAnsiTheme="minorHAnsi" w:cstheme="minorBidi"/>
                <w:sz w:val="22"/>
                <w:szCs w:val="22"/>
                <w:lang w:eastAsia="en-AU"/>
              </w:rPr>
              <w:tab/>
            </w:r>
            <w:r w:rsidR="00D166D7" w:rsidRPr="00470B2B">
              <w:rPr>
                <w:rStyle w:val="Hyperlink"/>
              </w:rPr>
              <w:t>The ‘Medicare Local’ name is inappropriate and confusing</w:t>
            </w:r>
            <w:r w:rsidR="00D166D7">
              <w:rPr>
                <w:webHidden/>
              </w:rPr>
              <w:tab/>
            </w:r>
            <w:r w:rsidR="00D166D7">
              <w:rPr>
                <w:webHidden/>
              </w:rPr>
              <w:fldChar w:fldCharType="begin"/>
            </w:r>
            <w:r w:rsidR="00D166D7">
              <w:rPr>
                <w:webHidden/>
              </w:rPr>
              <w:instrText xml:space="preserve"> PAGEREF _Toc387644731 \h </w:instrText>
            </w:r>
            <w:r w:rsidR="00D166D7">
              <w:rPr>
                <w:webHidden/>
              </w:rPr>
            </w:r>
            <w:r w:rsidR="00D166D7">
              <w:rPr>
                <w:webHidden/>
              </w:rPr>
              <w:fldChar w:fldCharType="separate"/>
            </w:r>
            <w:r w:rsidR="00B07B46">
              <w:rPr>
                <w:webHidden/>
              </w:rPr>
              <w:t>4</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32" w:history="1">
            <w:r w:rsidR="00D166D7" w:rsidRPr="00470B2B">
              <w:rPr>
                <w:rStyle w:val="Hyperlink"/>
              </w:rPr>
              <w:t>2.3</w:t>
            </w:r>
            <w:r w:rsidR="00D166D7">
              <w:rPr>
                <w:rFonts w:asciiTheme="minorHAnsi" w:hAnsiTheme="minorHAnsi" w:cstheme="minorBidi"/>
                <w:sz w:val="22"/>
                <w:szCs w:val="22"/>
                <w:lang w:eastAsia="en-AU"/>
              </w:rPr>
              <w:tab/>
            </w:r>
            <w:r w:rsidR="00D166D7" w:rsidRPr="00470B2B">
              <w:rPr>
                <w:rStyle w:val="Hyperlink"/>
              </w:rPr>
              <w:t>LHN boundary alignment and engagement is essential</w:t>
            </w:r>
            <w:r w:rsidR="00D166D7">
              <w:rPr>
                <w:webHidden/>
              </w:rPr>
              <w:tab/>
            </w:r>
            <w:r w:rsidR="00D166D7">
              <w:rPr>
                <w:webHidden/>
              </w:rPr>
              <w:fldChar w:fldCharType="begin"/>
            </w:r>
            <w:r w:rsidR="00D166D7">
              <w:rPr>
                <w:webHidden/>
              </w:rPr>
              <w:instrText xml:space="preserve"> PAGEREF _Toc387644732 \h </w:instrText>
            </w:r>
            <w:r w:rsidR="00D166D7">
              <w:rPr>
                <w:webHidden/>
              </w:rPr>
            </w:r>
            <w:r w:rsidR="00D166D7">
              <w:rPr>
                <w:webHidden/>
              </w:rPr>
              <w:fldChar w:fldCharType="separate"/>
            </w:r>
            <w:r w:rsidR="00B07B46">
              <w:rPr>
                <w:webHidden/>
              </w:rPr>
              <w:t>4</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33" w:history="1">
            <w:r w:rsidR="00D166D7" w:rsidRPr="00470B2B">
              <w:rPr>
                <w:rStyle w:val="Hyperlink"/>
              </w:rPr>
              <w:t>2.4</w:t>
            </w:r>
            <w:r w:rsidR="00D166D7">
              <w:rPr>
                <w:rFonts w:asciiTheme="minorHAnsi" w:hAnsiTheme="minorHAnsi" w:cstheme="minorBidi"/>
                <w:sz w:val="22"/>
                <w:szCs w:val="22"/>
                <w:lang w:eastAsia="en-AU"/>
              </w:rPr>
              <w:tab/>
            </w:r>
            <w:r w:rsidR="00D166D7" w:rsidRPr="00470B2B">
              <w:rPr>
                <w:rStyle w:val="Hyperlink"/>
              </w:rPr>
              <w:t>General practice has a critical role</w:t>
            </w:r>
            <w:r w:rsidR="00D166D7">
              <w:rPr>
                <w:webHidden/>
              </w:rPr>
              <w:tab/>
            </w:r>
            <w:r w:rsidR="00D166D7">
              <w:rPr>
                <w:webHidden/>
              </w:rPr>
              <w:fldChar w:fldCharType="begin"/>
            </w:r>
            <w:r w:rsidR="00D166D7">
              <w:rPr>
                <w:webHidden/>
              </w:rPr>
              <w:instrText xml:space="preserve"> PAGEREF _Toc387644733 \h </w:instrText>
            </w:r>
            <w:r w:rsidR="00D166D7">
              <w:rPr>
                <w:webHidden/>
              </w:rPr>
            </w:r>
            <w:r w:rsidR="00D166D7">
              <w:rPr>
                <w:webHidden/>
              </w:rPr>
              <w:fldChar w:fldCharType="separate"/>
            </w:r>
            <w:r w:rsidR="00B07B46">
              <w:rPr>
                <w:webHidden/>
              </w:rPr>
              <w:t>5</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34" w:history="1">
            <w:r w:rsidR="00D166D7" w:rsidRPr="00470B2B">
              <w:rPr>
                <w:rStyle w:val="Hyperlink"/>
              </w:rPr>
              <w:t>2.5</w:t>
            </w:r>
            <w:r w:rsidR="00D166D7">
              <w:rPr>
                <w:rFonts w:asciiTheme="minorHAnsi" w:hAnsiTheme="minorHAnsi" w:cstheme="minorBidi"/>
                <w:sz w:val="22"/>
                <w:szCs w:val="22"/>
                <w:lang w:eastAsia="en-AU"/>
              </w:rPr>
              <w:tab/>
            </w:r>
            <w:r w:rsidR="00D166D7" w:rsidRPr="00470B2B">
              <w:rPr>
                <w:rStyle w:val="Hyperlink"/>
              </w:rPr>
              <w:t>An absence of a clear purpose for Medicare Locals compounded by variability across the country</w:t>
            </w:r>
            <w:r w:rsidR="00D166D7">
              <w:rPr>
                <w:webHidden/>
              </w:rPr>
              <w:tab/>
            </w:r>
            <w:r w:rsidR="00D166D7">
              <w:rPr>
                <w:webHidden/>
              </w:rPr>
              <w:fldChar w:fldCharType="begin"/>
            </w:r>
            <w:r w:rsidR="00D166D7">
              <w:rPr>
                <w:webHidden/>
              </w:rPr>
              <w:instrText xml:space="preserve"> PAGEREF _Toc387644734 \h </w:instrText>
            </w:r>
            <w:r w:rsidR="00D166D7">
              <w:rPr>
                <w:webHidden/>
              </w:rPr>
            </w:r>
            <w:r w:rsidR="00D166D7">
              <w:rPr>
                <w:webHidden/>
              </w:rPr>
              <w:fldChar w:fldCharType="separate"/>
            </w:r>
            <w:r w:rsidR="00B07B46">
              <w:rPr>
                <w:webHidden/>
              </w:rPr>
              <w:t>5</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35" w:history="1">
            <w:r w:rsidR="00D166D7" w:rsidRPr="00470B2B">
              <w:rPr>
                <w:rStyle w:val="Hyperlink"/>
              </w:rPr>
              <w:t>2.6</w:t>
            </w:r>
            <w:r w:rsidR="00D166D7">
              <w:rPr>
                <w:rFonts w:asciiTheme="minorHAnsi" w:hAnsiTheme="minorHAnsi" w:cstheme="minorBidi"/>
                <w:sz w:val="22"/>
                <w:szCs w:val="22"/>
                <w:lang w:eastAsia="en-AU"/>
              </w:rPr>
              <w:tab/>
            </w:r>
            <w:r w:rsidR="00D166D7" w:rsidRPr="00470B2B">
              <w:rPr>
                <w:rStyle w:val="Hyperlink"/>
              </w:rPr>
              <w:t>One model does not fit all</w:t>
            </w:r>
            <w:r w:rsidR="00D166D7">
              <w:rPr>
                <w:webHidden/>
              </w:rPr>
              <w:tab/>
            </w:r>
            <w:r w:rsidR="00D166D7">
              <w:rPr>
                <w:webHidden/>
              </w:rPr>
              <w:fldChar w:fldCharType="begin"/>
            </w:r>
            <w:r w:rsidR="00D166D7">
              <w:rPr>
                <w:webHidden/>
              </w:rPr>
              <w:instrText xml:space="preserve"> PAGEREF _Toc387644735 \h </w:instrText>
            </w:r>
            <w:r w:rsidR="00D166D7">
              <w:rPr>
                <w:webHidden/>
              </w:rPr>
            </w:r>
            <w:r w:rsidR="00D166D7">
              <w:rPr>
                <w:webHidden/>
              </w:rPr>
              <w:fldChar w:fldCharType="separate"/>
            </w:r>
            <w:r w:rsidR="00B07B46">
              <w:rPr>
                <w:webHidden/>
              </w:rPr>
              <w:t>6</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36" w:history="1">
            <w:r w:rsidR="00D166D7" w:rsidRPr="00470B2B">
              <w:rPr>
                <w:rStyle w:val="Hyperlink"/>
              </w:rPr>
              <w:t>2.7</w:t>
            </w:r>
            <w:r w:rsidR="00D166D7">
              <w:rPr>
                <w:rFonts w:asciiTheme="minorHAnsi" w:hAnsiTheme="minorHAnsi" w:cstheme="minorBidi"/>
                <w:sz w:val="22"/>
                <w:szCs w:val="22"/>
                <w:lang w:eastAsia="en-AU"/>
              </w:rPr>
              <w:tab/>
            </w:r>
            <w:r w:rsidR="00D166D7" w:rsidRPr="00470B2B">
              <w:rPr>
                <w:rStyle w:val="Hyperlink"/>
              </w:rPr>
              <w:t>Selective engagement across sectors</w:t>
            </w:r>
            <w:r w:rsidR="00D166D7">
              <w:rPr>
                <w:webHidden/>
              </w:rPr>
              <w:tab/>
            </w:r>
            <w:r w:rsidR="00D166D7">
              <w:rPr>
                <w:webHidden/>
              </w:rPr>
              <w:fldChar w:fldCharType="begin"/>
            </w:r>
            <w:r w:rsidR="00D166D7">
              <w:rPr>
                <w:webHidden/>
              </w:rPr>
              <w:instrText xml:space="preserve"> PAGEREF _Toc387644736 \h </w:instrText>
            </w:r>
            <w:r w:rsidR="00D166D7">
              <w:rPr>
                <w:webHidden/>
              </w:rPr>
            </w:r>
            <w:r w:rsidR="00D166D7">
              <w:rPr>
                <w:webHidden/>
              </w:rPr>
              <w:fldChar w:fldCharType="separate"/>
            </w:r>
            <w:r w:rsidR="00B07B46">
              <w:rPr>
                <w:webHidden/>
              </w:rPr>
              <w:t>6</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37" w:history="1">
            <w:r w:rsidR="00D166D7" w:rsidRPr="00470B2B">
              <w:rPr>
                <w:rStyle w:val="Hyperlink"/>
              </w:rPr>
              <w:t>2.8</w:t>
            </w:r>
            <w:r w:rsidR="00D166D7">
              <w:rPr>
                <w:rFonts w:asciiTheme="minorHAnsi" w:hAnsiTheme="minorHAnsi" w:cstheme="minorBidi"/>
                <w:sz w:val="22"/>
                <w:szCs w:val="22"/>
                <w:lang w:eastAsia="en-AU"/>
              </w:rPr>
              <w:tab/>
            </w:r>
            <w:r w:rsidR="00D166D7" w:rsidRPr="00470B2B">
              <w:rPr>
                <w:rStyle w:val="Hyperlink"/>
              </w:rPr>
              <w:t>Commonwealth funding for a lead change agent for Medicare Locals</w:t>
            </w:r>
            <w:r w:rsidR="00D166D7">
              <w:rPr>
                <w:webHidden/>
              </w:rPr>
              <w:tab/>
            </w:r>
            <w:r w:rsidR="00D166D7">
              <w:rPr>
                <w:webHidden/>
              </w:rPr>
              <w:fldChar w:fldCharType="begin"/>
            </w:r>
            <w:r w:rsidR="00D166D7">
              <w:rPr>
                <w:webHidden/>
              </w:rPr>
              <w:instrText xml:space="preserve"> PAGEREF _Toc387644737 \h </w:instrText>
            </w:r>
            <w:r w:rsidR="00D166D7">
              <w:rPr>
                <w:webHidden/>
              </w:rPr>
            </w:r>
            <w:r w:rsidR="00D166D7">
              <w:rPr>
                <w:webHidden/>
              </w:rPr>
              <w:fldChar w:fldCharType="separate"/>
            </w:r>
            <w:r w:rsidR="00B07B46">
              <w:rPr>
                <w:webHidden/>
              </w:rPr>
              <w:t>6</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38" w:history="1">
            <w:r w:rsidR="00D166D7" w:rsidRPr="00470B2B">
              <w:rPr>
                <w:rStyle w:val="Hyperlink"/>
              </w:rPr>
              <w:t>2.9</w:t>
            </w:r>
            <w:r w:rsidR="00D166D7">
              <w:rPr>
                <w:rFonts w:asciiTheme="minorHAnsi" w:hAnsiTheme="minorHAnsi" w:cstheme="minorBidi"/>
                <w:sz w:val="22"/>
                <w:szCs w:val="22"/>
                <w:lang w:eastAsia="en-AU"/>
              </w:rPr>
              <w:tab/>
            </w:r>
            <w:r w:rsidR="00D166D7" w:rsidRPr="00470B2B">
              <w:rPr>
                <w:rStyle w:val="Hyperlink"/>
              </w:rPr>
              <w:t>Facilitators and purchasers of health care</w:t>
            </w:r>
            <w:r w:rsidR="00D166D7">
              <w:rPr>
                <w:webHidden/>
              </w:rPr>
              <w:tab/>
            </w:r>
            <w:r w:rsidR="00D166D7">
              <w:rPr>
                <w:webHidden/>
              </w:rPr>
              <w:fldChar w:fldCharType="begin"/>
            </w:r>
            <w:r w:rsidR="00D166D7">
              <w:rPr>
                <w:webHidden/>
              </w:rPr>
              <w:instrText xml:space="preserve"> PAGEREF _Toc387644738 \h </w:instrText>
            </w:r>
            <w:r w:rsidR="00D166D7">
              <w:rPr>
                <w:webHidden/>
              </w:rPr>
            </w:r>
            <w:r w:rsidR="00D166D7">
              <w:rPr>
                <w:webHidden/>
              </w:rPr>
              <w:fldChar w:fldCharType="separate"/>
            </w:r>
            <w:r w:rsidR="00B07B46">
              <w:rPr>
                <w:webHidden/>
              </w:rPr>
              <w:t>7</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39" w:history="1">
            <w:r w:rsidR="00D166D7" w:rsidRPr="00470B2B">
              <w:rPr>
                <w:rStyle w:val="Hyperlink"/>
              </w:rPr>
              <w:t>2.10</w:t>
            </w:r>
            <w:r w:rsidR="00D166D7">
              <w:rPr>
                <w:rFonts w:asciiTheme="minorHAnsi" w:hAnsiTheme="minorHAnsi" w:cstheme="minorBidi"/>
                <w:sz w:val="22"/>
                <w:szCs w:val="22"/>
                <w:lang w:eastAsia="en-AU"/>
              </w:rPr>
              <w:tab/>
            </w:r>
            <w:r w:rsidR="00D166D7" w:rsidRPr="00470B2B">
              <w:rPr>
                <w:rStyle w:val="Hyperlink"/>
              </w:rPr>
              <w:t>Implementation of after hours incentive payments</w:t>
            </w:r>
            <w:r w:rsidR="00D166D7">
              <w:rPr>
                <w:webHidden/>
              </w:rPr>
              <w:tab/>
            </w:r>
            <w:r w:rsidR="00D166D7">
              <w:rPr>
                <w:webHidden/>
              </w:rPr>
              <w:fldChar w:fldCharType="begin"/>
            </w:r>
            <w:r w:rsidR="00D166D7">
              <w:rPr>
                <w:webHidden/>
              </w:rPr>
              <w:instrText xml:space="preserve"> PAGEREF _Toc387644739 \h </w:instrText>
            </w:r>
            <w:r w:rsidR="00D166D7">
              <w:rPr>
                <w:webHidden/>
              </w:rPr>
            </w:r>
            <w:r w:rsidR="00D166D7">
              <w:rPr>
                <w:webHidden/>
              </w:rPr>
              <w:fldChar w:fldCharType="separate"/>
            </w:r>
            <w:r w:rsidR="00B07B46">
              <w:rPr>
                <w:webHidden/>
              </w:rPr>
              <w:t>7</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40" w:history="1">
            <w:r w:rsidR="00D166D7" w:rsidRPr="00470B2B">
              <w:rPr>
                <w:rStyle w:val="Hyperlink"/>
              </w:rPr>
              <w:t>2.11</w:t>
            </w:r>
            <w:r w:rsidR="00D166D7">
              <w:rPr>
                <w:rFonts w:asciiTheme="minorHAnsi" w:hAnsiTheme="minorHAnsi" w:cstheme="minorBidi"/>
                <w:sz w:val="22"/>
                <w:szCs w:val="22"/>
                <w:lang w:eastAsia="en-AU"/>
              </w:rPr>
              <w:tab/>
            </w:r>
            <w:r w:rsidR="00D166D7" w:rsidRPr="00470B2B">
              <w:rPr>
                <w:rStyle w:val="Hyperlink"/>
              </w:rPr>
              <w:t>Improving financial performance</w:t>
            </w:r>
            <w:r w:rsidR="00D166D7">
              <w:rPr>
                <w:webHidden/>
              </w:rPr>
              <w:tab/>
            </w:r>
            <w:r w:rsidR="00D166D7">
              <w:rPr>
                <w:webHidden/>
              </w:rPr>
              <w:fldChar w:fldCharType="begin"/>
            </w:r>
            <w:r w:rsidR="00D166D7">
              <w:rPr>
                <w:webHidden/>
              </w:rPr>
              <w:instrText xml:space="preserve"> PAGEREF _Toc387644740 \h </w:instrText>
            </w:r>
            <w:r w:rsidR="00D166D7">
              <w:rPr>
                <w:webHidden/>
              </w:rPr>
            </w:r>
            <w:r w:rsidR="00D166D7">
              <w:rPr>
                <w:webHidden/>
              </w:rPr>
              <w:fldChar w:fldCharType="separate"/>
            </w:r>
            <w:r w:rsidR="00B07B46">
              <w:rPr>
                <w:webHidden/>
              </w:rPr>
              <w:t>8</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41" w:history="1">
            <w:r w:rsidR="00D166D7" w:rsidRPr="00470B2B">
              <w:rPr>
                <w:rStyle w:val="Hyperlink"/>
              </w:rPr>
              <w:t>2.12</w:t>
            </w:r>
            <w:r w:rsidR="00D166D7">
              <w:rPr>
                <w:rFonts w:asciiTheme="minorHAnsi" w:hAnsiTheme="minorHAnsi" w:cstheme="minorBidi"/>
                <w:sz w:val="22"/>
                <w:szCs w:val="22"/>
                <w:lang w:eastAsia="en-AU"/>
              </w:rPr>
              <w:tab/>
            </w:r>
            <w:r w:rsidR="00D166D7" w:rsidRPr="00470B2B">
              <w:rPr>
                <w:rStyle w:val="Hyperlink"/>
              </w:rPr>
              <w:t>Reporting and performance monitoring</w:t>
            </w:r>
            <w:r w:rsidR="00D166D7">
              <w:rPr>
                <w:webHidden/>
              </w:rPr>
              <w:tab/>
            </w:r>
            <w:r w:rsidR="00D166D7">
              <w:rPr>
                <w:webHidden/>
              </w:rPr>
              <w:fldChar w:fldCharType="begin"/>
            </w:r>
            <w:r w:rsidR="00D166D7">
              <w:rPr>
                <w:webHidden/>
              </w:rPr>
              <w:instrText xml:space="preserve"> PAGEREF _Toc387644741 \h </w:instrText>
            </w:r>
            <w:r w:rsidR="00D166D7">
              <w:rPr>
                <w:webHidden/>
              </w:rPr>
            </w:r>
            <w:r w:rsidR="00D166D7">
              <w:rPr>
                <w:webHidden/>
              </w:rPr>
              <w:fldChar w:fldCharType="separate"/>
            </w:r>
            <w:r w:rsidR="00B07B46">
              <w:rPr>
                <w:webHidden/>
              </w:rPr>
              <w:t>8</w:t>
            </w:r>
            <w:r w:rsidR="00D166D7">
              <w:rPr>
                <w:webHidden/>
              </w:rPr>
              <w:fldChar w:fldCharType="end"/>
            </w:r>
          </w:hyperlink>
        </w:p>
        <w:p w:rsidR="00D166D7" w:rsidRDefault="00A4144A">
          <w:pPr>
            <w:pStyle w:val="TOC1"/>
            <w:rPr>
              <w:rFonts w:asciiTheme="minorHAnsi" w:hAnsiTheme="minorHAnsi" w:cstheme="minorBidi"/>
              <w:sz w:val="22"/>
              <w:szCs w:val="22"/>
              <w:lang w:eastAsia="en-AU"/>
            </w:rPr>
          </w:pPr>
          <w:hyperlink w:anchor="_Toc387644742" w:history="1">
            <w:r w:rsidR="00D166D7" w:rsidRPr="00470B2B">
              <w:rPr>
                <w:rStyle w:val="Hyperlink"/>
              </w:rPr>
              <w:t>3</w:t>
            </w:r>
            <w:r w:rsidR="00D166D7">
              <w:rPr>
                <w:rFonts w:asciiTheme="minorHAnsi" w:hAnsiTheme="minorHAnsi" w:cstheme="minorBidi"/>
                <w:sz w:val="22"/>
                <w:szCs w:val="22"/>
                <w:lang w:eastAsia="en-AU"/>
              </w:rPr>
              <w:tab/>
            </w:r>
            <w:r w:rsidR="00D166D7" w:rsidRPr="00470B2B">
              <w:rPr>
                <w:rStyle w:val="Hyperlink"/>
              </w:rPr>
              <w:t>Discussion and Recommendations</w:t>
            </w:r>
            <w:r w:rsidR="00D166D7">
              <w:rPr>
                <w:webHidden/>
              </w:rPr>
              <w:tab/>
            </w:r>
            <w:r w:rsidR="00D166D7">
              <w:rPr>
                <w:webHidden/>
              </w:rPr>
              <w:fldChar w:fldCharType="begin"/>
            </w:r>
            <w:r w:rsidR="00D166D7">
              <w:rPr>
                <w:webHidden/>
              </w:rPr>
              <w:instrText xml:space="preserve"> PAGEREF _Toc387644742 \h </w:instrText>
            </w:r>
            <w:r w:rsidR="00D166D7">
              <w:rPr>
                <w:webHidden/>
              </w:rPr>
            </w:r>
            <w:r w:rsidR="00D166D7">
              <w:rPr>
                <w:webHidden/>
              </w:rPr>
              <w:fldChar w:fldCharType="separate"/>
            </w:r>
            <w:r w:rsidR="00B07B46">
              <w:rPr>
                <w:webHidden/>
              </w:rPr>
              <w:t>9</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43" w:history="1">
            <w:r w:rsidR="00D166D7" w:rsidRPr="00470B2B">
              <w:rPr>
                <w:rStyle w:val="Hyperlink"/>
              </w:rPr>
              <w:t>3.1</w:t>
            </w:r>
            <w:r w:rsidR="00D166D7">
              <w:rPr>
                <w:rFonts w:asciiTheme="minorHAnsi" w:hAnsiTheme="minorHAnsi" w:cstheme="minorBidi"/>
                <w:sz w:val="22"/>
                <w:szCs w:val="22"/>
                <w:lang w:eastAsia="en-AU"/>
              </w:rPr>
              <w:tab/>
            </w:r>
            <w:r w:rsidR="00D166D7" w:rsidRPr="00470B2B">
              <w:rPr>
                <w:rStyle w:val="Hyperlink"/>
              </w:rPr>
              <w:t>Patient outcomes can be improved through better integration of health care</w:t>
            </w:r>
            <w:r w:rsidR="00D166D7">
              <w:rPr>
                <w:webHidden/>
              </w:rPr>
              <w:tab/>
            </w:r>
            <w:r w:rsidR="00D166D7">
              <w:rPr>
                <w:webHidden/>
              </w:rPr>
              <w:fldChar w:fldCharType="begin"/>
            </w:r>
            <w:r w:rsidR="00D166D7">
              <w:rPr>
                <w:webHidden/>
              </w:rPr>
              <w:instrText xml:space="preserve"> PAGEREF _Toc387644743 \h </w:instrText>
            </w:r>
            <w:r w:rsidR="00D166D7">
              <w:rPr>
                <w:webHidden/>
              </w:rPr>
            </w:r>
            <w:r w:rsidR="00D166D7">
              <w:rPr>
                <w:webHidden/>
              </w:rPr>
              <w:fldChar w:fldCharType="separate"/>
            </w:r>
            <w:r w:rsidR="00B07B46">
              <w:rPr>
                <w:webHidden/>
              </w:rPr>
              <w:t>9</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44" w:history="1">
            <w:r w:rsidR="00D166D7" w:rsidRPr="00470B2B">
              <w:rPr>
                <w:rStyle w:val="Hyperlink"/>
              </w:rPr>
              <w:t>3.2</w:t>
            </w:r>
            <w:r w:rsidR="00D166D7">
              <w:rPr>
                <w:rFonts w:asciiTheme="minorHAnsi" w:hAnsiTheme="minorHAnsi" w:cstheme="minorBidi"/>
                <w:sz w:val="22"/>
                <w:szCs w:val="22"/>
                <w:lang w:eastAsia="en-AU"/>
              </w:rPr>
              <w:tab/>
            </w:r>
            <w:r w:rsidR="00D166D7" w:rsidRPr="00470B2B">
              <w:rPr>
                <w:rStyle w:val="Hyperlink"/>
              </w:rPr>
              <w:t>General practice engagement is paramount</w:t>
            </w:r>
            <w:r w:rsidR="00D166D7">
              <w:rPr>
                <w:webHidden/>
              </w:rPr>
              <w:tab/>
            </w:r>
            <w:r w:rsidR="00D166D7">
              <w:rPr>
                <w:webHidden/>
              </w:rPr>
              <w:fldChar w:fldCharType="begin"/>
            </w:r>
            <w:r w:rsidR="00D166D7">
              <w:rPr>
                <w:webHidden/>
              </w:rPr>
              <w:instrText xml:space="preserve"> PAGEREF _Toc387644744 \h </w:instrText>
            </w:r>
            <w:r w:rsidR="00D166D7">
              <w:rPr>
                <w:webHidden/>
              </w:rPr>
            </w:r>
            <w:r w:rsidR="00D166D7">
              <w:rPr>
                <w:webHidden/>
              </w:rPr>
              <w:fldChar w:fldCharType="separate"/>
            </w:r>
            <w:r w:rsidR="00B07B46">
              <w:rPr>
                <w:webHidden/>
              </w:rPr>
              <w:t>10</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45" w:history="1">
            <w:r w:rsidR="00D166D7" w:rsidRPr="00470B2B">
              <w:rPr>
                <w:rStyle w:val="Hyperlink"/>
              </w:rPr>
              <w:t>3.3</w:t>
            </w:r>
            <w:r w:rsidR="00D166D7">
              <w:rPr>
                <w:rFonts w:asciiTheme="minorHAnsi" w:hAnsiTheme="minorHAnsi" w:cstheme="minorBidi"/>
                <w:sz w:val="22"/>
                <w:szCs w:val="22"/>
                <w:lang w:eastAsia="en-AU"/>
              </w:rPr>
              <w:tab/>
            </w:r>
            <w:r w:rsidR="00D166D7" w:rsidRPr="00470B2B">
              <w:rPr>
                <w:rStyle w:val="Hyperlink"/>
              </w:rPr>
              <w:t>Vision and design principles</w:t>
            </w:r>
            <w:r w:rsidR="00D166D7">
              <w:rPr>
                <w:webHidden/>
              </w:rPr>
              <w:tab/>
            </w:r>
            <w:r w:rsidR="00D166D7">
              <w:rPr>
                <w:webHidden/>
              </w:rPr>
              <w:fldChar w:fldCharType="begin"/>
            </w:r>
            <w:r w:rsidR="00D166D7">
              <w:rPr>
                <w:webHidden/>
              </w:rPr>
              <w:instrText xml:space="preserve"> PAGEREF _Toc387644745 \h </w:instrText>
            </w:r>
            <w:r w:rsidR="00D166D7">
              <w:rPr>
                <w:webHidden/>
              </w:rPr>
            </w:r>
            <w:r w:rsidR="00D166D7">
              <w:rPr>
                <w:webHidden/>
              </w:rPr>
              <w:fldChar w:fldCharType="separate"/>
            </w:r>
            <w:r w:rsidR="00B07B46">
              <w:rPr>
                <w:webHidden/>
              </w:rPr>
              <w:t>10</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46" w:history="1">
            <w:r w:rsidR="00D166D7" w:rsidRPr="00470B2B">
              <w:rPr>
                <w:rStyle w:val="Hyperlink"/>
              </w:rPr>
              <w:t>3.4</w:t>
            </w:r>
            <w:r w:rsidR="00D166D7">
              <w:rPr>
                <w:rFonts w:asciiTheme="minorHAnsi" w:hAnsiTheme="minorHAnsi" w:cstheme="minorBidi"/>
                <w:sz w:val="22"/>
                <w:szCs w:val="22"/>
                <w:lang w:eastAsia="en-AU"/>
              </w:rPr>
              <w:tab/>
            </w:r>
            <w:r w:rsidR="00D166D7" w:rsidRPr="00470B2B">
              <w:rPr>
                <w:rStyle w:val="Hyperlink"/>
              </w:rPr>
              <w:t>Achieving an effective and efficient PHO</w:t>
            </w:r>
            <w:r w:rsidR="00D166D7">
              <w:rPr>
                <w:webHidden/>
              </w:rPr>
              <w:tab/>
            </w:r>
            <w:r w:rsidR="00D166D7">
              <w:rPr>
                <w:webHidden/>
              </w:rPr>
              <w:fldChar w:fldCharType="begin"/>
            </w:r>
            <w:r w:rsidR="00D166D7">
              <w:rPr>
                <w:webHidden/>
              </w:rPr>
              <w:instrText xml:space="preserve"> PAGEREF _Toc387644746 \h </w:instrText>
            </w:r>
            <w:r w:rsidR="00D166D7">
              <w:rPr>
                <w:webHidden/>
              </w:rPr>
            </w:r>
            <w:r w:rsidR="00D166D7">
              <w:rPr>
                <w:webHidden/>
              </w:rPr>
              <w:fldChar w:fldCharType="separate"/>
            </w:r>
            <w:r w:rsidR="00B07B46">
              <w:rPr>
                <w:webHidden/>
              </w:rPr>
              <w:t>12</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47" w:history="1">
            <w:r w:rsidR="00D166D7" w:rsidRPr="00470B2B">
              <w:rPr>
                <w:rStyle w:val="Hyperlink"/>
                <w:lang w:val="en-US"/>
              </w:rPr>
              <w:t>3.5</w:t>
            </w:r>
            <w:r w:rsidR="00D166D7">
              <w:rPr>
                <w:rFonts w:asciiTheme="minorHAnsi" w:hAnsiTheme="minorHAnsi" w:cstheme="minorBidi"/>
                <w:sz w:val="22"/>
                <w:szCs w:val="22"/>
                <w:lang w:eastAsia="en-AU"/>
              </w:rPr>
              <w:tab/>
            </w:r>
            <w:r w:rsidR="00D166D7" w:rsidRPr="00470B2B">
              <w:rPr>
                <w:rStyle w:val="Hyperlink"/>
                <w:lang w:val="en-US"/>
              </w:rPr>
              <w:t>Funding and purchasing role</w:t>
            </w:r>
            <w:r w:rsidR="00D166D7">
              <w:rPr>
                <w:webHidden/>
              </w:rPr>
              <w:tab/>
            </w:r>
            <w:r w:rsidR="00D166D7">
              <w:rPr>
                <w:webHidden/>
              </w:rPr>
              <w:fldChar w:fldCharType="begin"/>
            </w:r>
            <w:r w:rsidR="00D166D7">
              <w:rPr>
                <w:webHidden/>
              </w:rPr>
              <w:instrText xml:space="preserve"> PAGEREF _Toc387644747 \h </w:instrText>
            </w:r>
            <w:r w:rsidR="00D166D7">
              <w:rPr>
                <w:webHidden/>
              </w:rPr>
            </w:r>
            <w:r w:rsidR="00D166D7">
              <w:rPr>
                <w:webHidden/>
              </w:rPr>
              <w:fldChar w:fldCharType="separate"/>
            </w:r>
            <w:r w:rsidR="00B07B46">
              <w:rPr>
                <w:webHidden/>
              </w:rPr>
              <w:t>13</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48" w:history="1">
            <w:r w:rsidR="00D166D7" w:rsidRPr="00470B2B">
              <w:rPr>
                <w:rStyle w:val="Hyperlink"/>
              </w:rPr>
              <w:t>3.6</w:t>
            </w:r>
            <w:r w:rsidR="00D166D7">
              <w:rPr>
                <w:rFonts w:asciiTheme="minorHAnsi" w:hAnsiTheme="minorHAnsi" w:cstheme="minorBidi"/>
                <w:sz w:val="22"/>
                <w:szCs w:val="22"/>
                <w:lang w:eastAsia="en-AU"/>
              </w:rPr>
              <w:tab/>
            </w:r>
            <w:r w:rsidR="00D166D7" w:rsidRPr="00470B2B">
              <w:rPr>
                <w:rStyle w:val="Hyperlink"/>
              </w:rPr>
              <w:t>Performance information and monitoring</w:t>
            </w:r>
            <w:r w:rsidR="00D166D7">
              <w:rPr>
                <w:webHidden/>
              </w:rPr>
              <w:tab/>
            </w:r>
            <w:r w:rsidR="00D166D7">
              <w:rPr>
                <w:webHidden/>
              </w:rPr>
              <w:fldChar w:fldCharType="begin"/>
            </w:r>
            <w:r w:rsidR="00D166D7">
              <w:rPr>
                <w:webHidden/>
              </w:rPr>
              <w:instrText xml:space="preserve"> PAGEREF _Toc387644748 \h </w:instrText>
            </w:r>
            <w:r w:rsidR="00D166D7">
              <w:rPr>
                <w:webHidden/>
              </w:rPr>
            </w:r>
            <w:r w:rsidR="00D166D7">
              <w:rPr>
                <w:webHidden/>
              </w:rPr>
              <w:fldChar w:fldCharType="separate"/>
            </w:r>
            <w:r w:rsidR="00B07B46">
              <w:rPr>
                <w:webHidden/>
              </w:rPr>
              <w:t>14</w:t>
            </w:r>
            <w:r w:rsidR="00D166D7">
              <w:rPr>
                <w:webHidden/>
              </w:rPr>
              <w:fldChar w:fldCharType="end"/>
            </w:r>
          </w:hyperlink>
        </w:p>
        <w:p w:rsidR="00D166D7" w:rsidRDefault="00A4144A">
          <w:pPr>
            <w:pStyle w:val="TOC2"/>
            <w:rPr>
              <w:rFonts w:asciiTheme="minorHAnsi" w:hAnsiTheme="minorHAnsi" w:cstheme="minorBidi"/>
              <w:sz w:val="22"/>
              <w:szCs w:val="22"/>
              <w:lang w:eastAsia="en-AU"/>
            </w:rPr>
          </w:pPr>
          <w:hyperlink w:anchor="_Toc387644749" w:history="1">
            <w:r w:rsidR="00D166D7" w:rsidRPr="00470B2B">
              <w:rPr>
                <w:rStyle w:val="Hyperlink"/>
              </w:rPr>
              <w:t>3.7</w:t>
            </w:r>
            <w:r w:rsidR="00D166D7">
              <w:rPr>
                <w:rFonts w:asciiTheme="minorHAnsi" w:hAnsiTheme="minorHAnsi" w:cstheme="minorBidi"/>
                <w:sz w:val="22"/>
                <w:szCs w:val="22"/>
                <w:lang w:eastAsia="en-AU"/>
              </w:rPr>
              <w:tab/>
            </w:r>
            <w:r w:rsidR="00D166D7" w:rsidRPr="00470B2B">
              <w:rPr>
                <w:rStyle w:val="Hyperlink"/>
              </w:rPr>
              <w:t>Implementation risks and strategies to deal with these</w:t>
            </w:r>
            <w:r w:rsidR="00D166D7">
              <w:rPr>
                <w:webHidden/>
              </w:rPr>
              <w:tab/>
            </w:r>
            <w:r w:rsidR="00D166D7">
              <w:rPr>
                <w:webHidden/>
              </w:rPr>
              <w:fldChar w:fldCharType="begin"/>
            </w:r>
            <w:r w:rsidR="00D166D7">
              <w:rPr>
                <w:webHidden/>
              </w:rPr>
              <w:instrText xml:space="preserve"> PAGEREF _Toc387644749 \h </w:instrText>
            </w:r>
            <w:r w:rsidR="00D166D7">
              <w:rPr>
                <w:webHidden/>
              </w:rPr>
            </w:r>
            <w:r w:rsidR="00D166D7">
              <w:rPr>
                <w:webHidden/>
              </w:rPr>
              <w:fldChar w:fldCharType="separate"/>
            </w:r>
            <w:r w:rsidR="00B07B46">
              <w:rPr>
                <w:webHidden/>
              </w:rPr>
              <w:t>15</w:t>
            </w:r>
            <w:r w:rsidR="00D166D7">
              <w:rPr>
                <w:webHidden/>
              </w:rPr>
              <w:fldChar w:fldCharType="end"/>
            </w:r>
          </w:hyperlink>
        </w:p>
        <w:p w:rsidR="00D166D7" w:rsidRDefault="00A4144A">
          <w:pPr>
            <w:pStyle w:val="TOC1"/>
            <w:rPr>
              <w:rFonts w:asciiTheme="minorHAnsi" w:hAnsiTheme="minorHAnsi" w:cstheme="minorBidi"/>
              <w:sz w:val="22"/>
              <w:szCs w:val="22"/>
              <w:lang w:eastAsia="en-AU"/>
            </w:rPr>
          </w:pPr>
          <w:hyperlink w:anchor="_Toc387644750" w:history="1">
            <w:r w:rsidR="00D166D7" w:rsidRPr="00470B2B">
              <w:rPr>
                <w:rStyle w:val="Hyperlink"/>
              </w:rPr>
              <w:t>4</w:t>
            </w:r>
            <w:r w:rsidR="00D166D7">
              <w:rPr>
                <w:rFonts w:asciiTheme="minorHAnsi" w:hAnsiTheme="minorHAnsi" w:cstheme="minorBidi"/>
                <w:sz w:val="22"/>
                <w:szCs w:val="22"/>
                <w:lang w:eastAsia="en-AU"/>
              </w:rPr>
              <w:tab/>
            </w:r>
            <w:r w:rsidR="00D166D7" w:rsidRPr="00470B2B">
              <w:rPr>
                <w:rStyle w:val="Hyperlink"/>
              </w:rPr>
              <w:t>Concluding Comments</w:t>
            </w:r>
            <w:r w:rsidR="00D166D7">
              <w:rPr>
                <w:webHidden/>
              </w:rPr>
              <w:tab/>
            </w:r>
            <w:r w:rsidR="00D166D7">
              <w:rPr>
                <w:webHidden/>
              </w:rPr>
              <w:fldChar w:fldCharType="begin"/>
            </w:r>
            <w:r w:rsidR="00D166D7">
              <w:rPr>
                <w:webHidden/>
              </w:rPr>
              <w:instrText xml:space="preserve"> PAGEREF _Toc387644750 \h </w:instrText>
            </w:r>
            <w:r w:rsidR="00D166D7">
              <w:rPr>
                <w:webHidden/>
              </w:rPr>
            </w:r>
            <w:r w:rsidR="00D166D7">
              <w:rPr>
                <w:webHidden/>
              </w:rPr>
              <w:fldChar w:fldCharType="separate"/>
            </w:r>
            <w:r w:rsidR="00B07B46">
              <w:rPr>
                <w:webHidden/>
              </w:rPr>
              <w:t>16</w:t>
            </w:r>
            <w:r w:rsidR="00D166D7">
              <w:rPr>
                <w:webHidden/>
              </w:rPr>
              <w:fldChar w:fldCharType="end"/>
            </w:r>
          </w:hyperlink>
        </w:p>
        <w:p w:rsidR="00115C91" w:rsidRPr="007F7E0C" w:rsidRDefault="00C10817" w:rsidP="007F7E0C">
          <w:pPr>
            <w:pStyle w:val="EYBodytextwithparaspace"/>
            <w:numPr>
              <w:ilvl w:val="7"/>
              <w:numId w:val="3"/>
            </w:numPr>
            <w:sectPr w:rsidR="00115C91" w:rsidRPr="007F7E0C">
              <w:headerReference w:type="default" r:id="rId14"/>
              <w:footerReference w:type="default" r:id="rId15"/>
              <w:pgSz w:w="11906" w:h="16838"/>
              <w:pgMar w:top="1134" w:right="1440" w:bottom="851" w:left="1440" w:header="708" w:footer="708" w:gutter="0"/>
              <w:pgNumType w:fmt="lowerRoman" w:start="1"/>
              <w:cols w:space="708"/>
              <w:docGrid w:linePitch="360"/>
            </w:sectPr>
          </w:pPr>
          <w:r w:rsidRPr="005B6DD4">
            <w:rPr>
              <w:b/>
              <w:bCs/>
            </w:rPr>
            <w:fldChar w:fldCharType="end"/>
          </w:r>
        </w:p>
      </w:sdtContent>
    </w:sdt>
    <w:p w:rsidR="00115C91" w:rsidRPr="001025EA" w:rsidRDefault="00115C91" w:rsidP="00EE67FB">
      <w:pPr>
        <w:pStyle w:val="Heading1"/>
        <w:numPr>
          <w:ilvl w:val="0"/>
          <w:numId w:val="0"/>
        </w:numPr>
        <w:ind w:left="432" w:hanging="432"/>
      </w:pPr>
      <w:bookmarkStart w:id="1" w:name="_Toc387644718"/>
      <w:r w:rsidRPr="001025EA">
        <w:lastRenderedPageBreak/>
        <w:t>Executive Summary</w:t>
      </w:r>
      <w:bookmarkEnd w:id="1"/>
    </w:p>
    <w:p w:rsidR="008117FE" w:rsidRPr="001025EA" w:rsidRDefault="008117FE" w:rsidP="008117FE">
      <w:pPr>
        <w:pStyle w:val="Heading2"/>
        <w:numPr>
          <w:ilvl w:val="0"/>
          <w:numId w:val="0"/>
        </w:numPr>
        <w:ind w:left="576" w:hanging="576"/>
      </w:pPr>
      <w:bookmarkStart w:id="2" w:name="_Toc380481343"/>
      <w:bookmarkStart w:id="3" w:name="_Toc387644719"/>
      <w:r w:rsidRPr="001025EA">
        <w:t>Background</w:t>
      </w:r>
      <w:bookmarkEnd w:id="2"/>
      <w:bookmarkEnd w:id="3"/>
    </w:p>
    <w:p w:rsidR="00386477" w:rsidRDefault="008117FE" w:rsidP="008117FE">
      <w:pPr>
        <w:pStyle w:val="EYBodytextwithparaspace"/>
      </w:pPr>
      <w:r w:rsidRPr="001025EA">
        <w:t xml:space="preserve">The Minister for Health asked me to </w:t>
      </w:r>
      <w:r w:rsidR="00B72B82" w:rsidRPr="001025EA">
        <w:t>conduct a review of Medicare Locals to consider all aspects of their structure, operation and functions</w:t>
      </w:r>
      <w:r w:rsidR="00633F7B" w:rsidRPr="001025EA">
        <w:t>,</w:t>
      </w:r>
      <w:r w:rsidRPr="001025EA">
        <w:t xml:space="preserve"> and </w:t>
      </w:r>
      <w:r w:rsidR="00633F7B" w:rsidRPr="001025EA">
        <w:t xml:space="preserve">to </w:t>
      </w:r>
      <w:r w:rsidRPr="001025EA">
        <w:t xml:space="preserve">provide advice on future directions.  </w:t>
      </w:r>
    </w:p>
    <w:p w:rsidR="00386477" w:rsidRPr="00E47332" w:rsidRDefault="00386477" w:rsidP="00386477">
      <w:pPr>
        <w:pStyle w:val="EYBodytextwithparaspace"/>
      </w:pPr>
      <w:r w:rsidRPr="00E47332">
        <w:t>The Australian health care system consists of universal access to the PBS, the MBS and the public hospital system; reflecting the pattern of illness and the medical knowledge of the time they were established – 40 years ago.</w:t>
      </w:r>
    </w:p>
    <w:p w:rsidR="00386477" w:rsidRPr="00E47332" w:rsidRDefault="00386477" w:rsidP="00386477">
      <w:pPr>
        <w:pStyle w:val="EYBodytextwithparaspace"/>
      </w:pPr>
      <w:r w:rsidRPr="00E47332">
        <w:t>While the system has remained as a frozen snapshot of that moment when episodic care prevailed, today’s health</w:t>
      </w:r>
      <w:r w:rsidR="002A3C26">
        <w:t xml:space="preserve"> </w:t>
      </w:r>
      <w:r w:rsidRPr="00E47332">
        <w:t>care needs are very different. The burden of disease has shifted to chronic illnesses - which call for a continuum of care – and fundamental changes in the health</w:t>
      </w:r>
      <w:r w:rsidR="002A3C26">
        <w:t xml:space="preserve"> </w:t>
      </w:r>
      <w:r w:rsidRPr="00E47332">
        <w:t xml:space="preserve">care workforce have emerged to deal with these. </w:t>
      </w:r>
    </w:p>
    <w:p w:rsidR="00386477" w:rsidRPr="00E47332" w:rsidRDefault="00386477" w:rsidP="00386477">
      <w:pPr>
        <w:pStyle w:val="EYBodytextwithparaspace"/>
      </w:pPr>
      <w:r w:rsidRPr="00E47332">
        <w:t xml:space="preserve">It is axiomatic that </w:t>
      </w:r>
      <w:r w:rsidR="00E47332">
        <w:t xml:space="preserve">form </w:t>
      </w:r>
      <w:r w:rsidRPr="00E47332">
        <w:t xml:space="preserve">should follow </w:t>
      </w:r>
      <w:r w:rsidR="00E47332">
        <w:t>function</w:t>
      </w:r>
      <w:r w:rsidRPr="00E47332">
        <w:t xml:space="preserve">. </w:t>
      </w:r>
      <w:r w:rsidR="004359E0" w:rsidRPr="00E47332">
        <w:t xml:space="preserve"> </w:t>
      </w:r>
      <w:proofErr w:type="spellStart"/>
      <w:r w:rsidRPr="00E47332">
        <w:t>Organisational</w:t>
      </w:r>
      <w:proofErr w:type="spellEnd"/>
      <w:r w:rsidRPr="00E47332">
        <w:t xml:space="preserve"> structures and funding in health need to align with the clinical outcomes that are expected today – in 2014. </w:t>
      </w:r>
    </w:p>
    <w:p w:rsidR="008117FE" w:rsidRDefault="008117FE" w:rsidP="008117FE">
      <w:pPr>
        <w:pStyle w:val="EYBodytextwithparaspace"/>
      </w:pPr>
      <w:r w:rsidRPr="001025EA">
        <w:t>This is my Report on the Review</w:t>
      </w:r>
      <w:r w:rsidR="00143977" w:rsidRPr="001025EA">
        <w:t>.</w:t>
      </w:r>
    </w:p>
    <w:p w:rsidR="008117FE" w:rsidRPr="001025EA" w:rsidRDefault="008117FE" w:rsidP="008117FE">
      <w:pPr>
        <w:pStyle w:val="Heading2"/>
        <w:numPr>
          <w:ilvl w:val="0"/>
          <w:numId w:val="0"/>
        </w:numPr>
        <w:ind w:left="576" w:hanging="576"/>
      </w:pPr>
      <w:bookmarkStart w:id="4" w:name="_Toc380481344"/>
      <w:bookmarkStart w:id="5" w:name="_Toc387644720"/>
      <w:r w:rsidRPr="001025EA">
        <w:t>Methods</w:t>
      </w:r>
      <w:bookmarkEnd w:id="4"/>
      <w:bookmarkEnd w:id="5"/>
    </w:p>
    <w:p w:rsidR="008117FE" w:rsidRPr="001025EA" w:rsidRDefault="008117FE" w:rsidP="008117FE">
      <w:pPr>
        <w:pStyle w:val="EYBodytextwithparaspace"/>
        <w:numPr>
          <w:ilvl w:val="0"/>
          <w:numId w:val="0"/>
        </w:numPr>
        <w:spacing w:before="60" w:after="60"/>
      </w:pPr>
      <w:r w:rsidRPr="001025EA">
        <w:t xml:space="preserve">To inform my conclusions and recommendations I considered: a review on the functioning of Medicare Locals conducted by Ernst &amp; Young; an independent financial </w:t>
      </w:r>
      <w:r w:rsidR="00F06665">
        <w:t>assessment</w:t>
      </w:r>
      <w:r w:rsidRPr="001025EA">
        <w:t xml:space="preserve"> of Medicare Locals performed by Deloitte </w:t>
      </w:r>
      <w:proofErr w:type="spellStart"/>
      <w:r w:rsidRPr="001025EA">
        <w:t>Touche</w:t>
      </w:r>
      <w:proofErr w:type="spellEnd"/>
      <w:r w:rsidRPr="001025EA">
        <w:t xml:space="preserve"> Tohmatsu; over 2</w:t>
      </w:r>
      <w:r w:rsidR="005A4191" w:rsidRPr="001025EA">
        <w:t>7</w:t>
      </w:r>
      <w:r w:rsidRPr="001025EA">
        <w:t xml:space="preserve">0 stakeholder submissions; and, information </w:t>
      </w:r>
      <w:r w:rsidR="006D2339" w:rsidRPr="001025EA">
        <w:t xml:space="preserve">gathered </w:t>
      </w:r>
      <w:r w:rsidRPr="001025EA">
        <w:t xml:space="preserve">from interviews with </w:t>
      </w:r>
      <w:r w:rsidR="00CB4169" w:rsidRPr="001025EA">
        <w:t>key stakeholders.</w:t>
      </w:r>
    </w:p>
    <w:p w:rsidR="008117FE" w:rsidRPr="001025EA" w:rsidRDefault="008117FE" w:rsidP="008117FE">
      <w:pPr>
        <w:pStyle w:val="Heading2"/>
        <w:numPr>
          <w:ilvl w:val="0"/>
          <w:numId w:val="0"/>
        </w:numPr>
        <w:ind w:left="576" w:hanging="576"/>
      </w:pPr>
      <w:bookmarkStart w:id="6" w:name="_Toc380481345"/>
      <w:bookmarkStart w:id="7" w:name="_Toc387644721"/>
      <w:r w:rsidRPr="001025EA">
        <w:t xml:space="preserve">Findings </w:t>
      </w:r>
      <w:bookmarkEnd w:id="6"/>
      <w:r w:rsidR="00FC5D53" w:rsidRPr="001025EA">
        <w:t>and discussion</w:t>
      </w:r>
      <w:bookmarkEnd w:id="7"/>
    </w:p>
    <w:p w:rsidR="008117FE" w:rsidRPr="00F1290F" w:rsidRDefault="008117FE" w:rsidP="00F1290F">
      <w:pPr>
        <w:pStyle w:val="Heading3"/>
      </w:pPr>
      <w:r w:rsidRPr="00F1290F">
        <w:t xml:space="preserve">Patient outcomes can be improved by an </w:t>
      </w:r>
      <w:proofErr w:type="spellStart"/>
      <w:r w:rsidRPr="00F1290F">
        <w:t>organisation</w:t>
      </w:r>
      <w:proofErr w:type="spellEnd"/>
      <w:r w:rsidRPr="00F1290F">
        <w:t xml:space="preserve"> that </w:t>
      </w:r>
      <w:r w:rsidRPr="00F1290F">
        <w:rPr>
          <w:rStyle w:val="Strong"/>
          <w:b/>
          <w:bCs w:val="0"/>
        </w:rPr>
        <w:t>reduces</w:t>
      </w:r>
      <w:r w:rsidRPr="00F1290F">
        <w:t xml:space="preserve"> fragmentation</w:t>
      </w:r>
      <w:r w:rsidR="00A83B00" w:rsidRPr="00F1290F">
        <w:t xml:space="preserve"> of care</w:t>
      </w:r>
    </w:p>
    <w:p w:rsidR="008117FE" w:rsidRPr="001025EA" w:rsidRDefault="008117FE" w:rsidP="008117FE">
      <w:pPr>
        <w:pStyle w:val="EYBodytextwithparaspace"/>
        <w:numPr>
          <w:ilvl w:val="2"/>
          <w:numId w:val="3"/>
        </w:numPr>
      </w:pPr>
      <w:r w:rsidRPr="001025EA">
        <w:t xml:space="preserve">It is clear that </w:t>
      </w:r>
      <w:r w:rsidR="004B7BF0" w:rsidRPr="001025EA">
        <w:t xml:space="preserve">many </w:t>
      </w:r>
      <w:r w:rsidRPr="001025EA">
        <w:t>patients continue to experience fragmented health care</w:t>
      </w:r>
      <w:r w:rsidR="00DB41B1" w:rsidRPr="001025EA">
        <w:t xml:space="preserve"> that </w:t>
      </w:r>
      <w:r w:rsidR="00734B09" w:rsidRPr="001025EA">
        <w:t xml:space="preserve">negatively </w:t>
      </w:r>
      <w:r w:rsidRPr="001025EA">
        <w:t xml:space="preserve">impacts on </w:t>
      </w:r>
      <w:r w:rsidR="006D3189">
        <w:t xml:space="preserve">individual </w:t>
      </w:r>
      <w:r w:rsidRPr="001025EA">
        <w:t xml:space="preserve">health outcomes </w:t>
      </w:r>
      <w:r w:rsidR="00734B09" w:rsidRPr="001025EA">
        <w:t xml:space="preserve">and increases </w:t>
      </w:r>
      <w:r w:rsidRPr="001025EA">
        <w:t xml:space="preserve">health system costs.  There is a genuine need for an </w:t>
      </w:r>
      <w:proofErr w:type="spellStart"/>
      <w:r w:rsidRPr="001025EA">
        <w:t>organisation</w:t>
      </w:r>
      <w:proofErr w:type="spellEnd"/>
      <w:r w:rsidRPr="001025EA">
        <w:t xml:space="preserve"> to be charged with improving patient outcomes through</w:t>
      </w:r>
      <w:r w:rsidR="0085498A" w:rsidRPr="001025EA">
        <w:t xml:space="preserve"> working </w:t>
      </w:r>
      <w:r w:rsidRPr="001025EA">
        <w:t xml:space="preserve">collaboratively with health professionals and services to integrate and facilitate a seamless patient experience.  </w:t>
      </w:r>
      <w:r w:rsidR="00F06665">
        <w:t xml:space="preserve">While there are a few high performing Medicare Locals, </w:t>
      </w:r>
      <w:r w:rsidR="006D3189">
        <w:t xml:space="preserve">a great </w:t>
      </w:r>
      <w:r w:rsidR="00F06665">
        <w:t>many are not fulfilling their intended role.</w:t>
      </w:r>
      <w:r w:rsidRPr="001025EA">
        <w:t xml:space="preserve">  To be effective</w:t>
      </w:r>
      <w:r w:rsidR="00E07CAB" w:rsidRPr="001025EA">
        <w:t>,</w:t>
      </w:r>
      <w:r w:rsidRPr="001025EA">
        <w:t xml:space="preserve"> boundary alignment with Local Hospital Networks </w:t>
      </w:r>
      <w:r w:rsidR="0085498A" w:rsidRPr="001025EA">
        <w:t>(LHNs)</w:t>
      </w:r>
      <w:r w:rsidR="00E07CAB" w:rsidRPr="001025EA">
        <w:t xml:space="preserve"> </w:t>
      </w:r>
      <w:r w:rsidRPr="001025EA">
        <w:t>is critical</w:t>
      </w:r>
      <w:r w:rsidR="00E07CAB" w:rsidRPr="001025EA">
        <w:t xml:space="preserve"> for engagement</w:t>
      </w:r>
      <w:r w:rsidR="006D3189">
        <w:t>;</w:t>
      </w:r>
      <w:r w:rsidRPr="001025EA">
        <w:t xml:space="preserve"> and flexibility is require</w:t>
      </w:r>
      <w:r w:rsidR="0085498A" w:rsidRPr="001025EA">
        <w:t>d</w:t>
      </w:r>
      <w:r w:rsidRPr="001025EA">
        <w:t xml:space="preserve"> to accommodate local circumstances – a </w:t>
      </w:r>
      <w:r w:rsidR="00755913">
        <w:t>‘</w:t>
      </w:r>
      <w:r w:rsidRPr="001025EA">
        <w:t>one size fits all</w:t>
      </w:r>
      <w:r w:rsidR="00755913">
        <w:t>’</w:t>
      </w:r>
      <w:r w:rsidRPr="001025EA">
        <w:t xml:space="preserve"> </w:t>
      </w:r>
      <w:r w:rsidR="0085498A" w:rsidRPr="001025EA">
        <w:t xml:space="preserve">approach </w:t>
      </w:r>
      <w:r w:rsidR="005A4191" w:rsidRPr="001025EA">
        <w:t>will not work</w:t>
      </w:r>
      <w:r w:rsidRPr="001025EA">
        <w:t>.</w:t>
      </w:r>
    </w:p>
    <w:p w:rsidR="008117FE" w:rsidRPr="001025EA" w:rsidRDefault="008117FE" w:rsidP="008117FE">
      <w:pPr>
        <w:pStyle w:val="EYBodytextwithparaspace"/>
      </w:pPr>
      <w:r w:rsidRPr="001025EA">
        <w:t xml:space="preserve">The name Medicare Local is confusing and without contextual meaning.  I have considered what such </w:t>
      </w:r>
      <w:proofErr w:type="spellStart"/>
      <w:r w:rsidRPr="001025EA">
        <w:t>organisations</w:t>
      </w:r>
      <w:proofErr w:type="spellEnd"/>
      <w:r w:rsidRPr="001025EA">
        <w:t xml:space="preserve"> could appropriately </w:t>
      </w:r>
      <w:r w:rsidR="006D3189">
        <w:t xml:space="preserve">be </w:t>
      </w:r>
      <w:r w:rsidRPr="001025EA">
        <w:t xml:space="preserve">called and conclude that Primary Health </w:t>
      </w:r>
      <w:proofErr w:type="spellStart"/>
      <w:r w:rsidRPr="001025EA">
        <w:t>Organisations</w:t>
      </w:r>
      <w:proofErr w:type="spellEnd"/>
      <w:r w:rsidRPr="001025EA">
        <w:t xml:space="preserve"> (PHOs) is more appropriate</w:t>
      </w:r>
      <w:r w:rsidR="004F0E80">
        <w:t xml:space="preserve">.  This name </w:t>
      </w:r>
      <w:r w:rsidRPr="001025EA">
        <w:t>reflect</w:t>
      </w:r>
      <w:r w:rsidR="0085498A" w:rsidRPr="001025EA">
        <w:t>s</w:t>
      </w:r>
      <w:r w:rsidRPr="001025EA">
        <w:t xml:space="preserve"> </w:t>
      </w:r>
      <w:r w:rsidR="00E07CAB" w:rsidRPr="001025EA">
        <w:t>a</w:t>
      </w:r>
      <w:r w:rsidRPr="001025EA">
        <w:t xml:space="preserve"> focus o</w:t>
      </w:r>
      <w:r w:rsidR="002B5B91" w:rsidRPr="001025EA">
        <w:t>n</w:t>
      </w:r>
      <w:r w:rsidRPr="001025EA">
        <w:t xml:space="preserve"> primary health care and captur</w:t>
      </w:r>
      <w:r w:rsidR="0085498A" w:rsidRPr="001025EA">
        <w:t xml:space="preserve">es a </w:t>
      </w:r>
      <w:r w:rsidRPr="001025EA">
        <w:t xml:space="preserve">broader </w:t>
      </w:r>
      <w:r w:rsidR="00E07CAB" w:rsidRPr="001025EA">
        <w:t>wellness perspective</w:t>
      </w:r>
      <w:r w:rsidRPr="001025EA">
        <w:t>.</w:t>
      </w:r>
    </w:p>
    <w:p w:rsidR="008117FE" w:rsidRPr="001025EA" w:rsidRDefault="0085498A" w:rsidP="00F1290F">
      <w:pPr>
        <w:pStyle w:val="Heading3"/>
      </w:pPr>
      <w:r w:rsidRPr="001025EA">
        <w:t>The role of g</w:t>
      </w:r>
      <w:r w:rsidR="008117FE" w:rsidRPr="001025EA">
        <w:t xml:space="preserve">eneral practice </w:t>
      </w:r>
      <w:r w:rsidRPr="001025EA">
        <w:t>is paramount</w:t>
      </w:r>
    </w:p>
    <w:p w:rsidR="008117FE" w:rsidRPr="001025EA" w:rsidRDefault="0085498A" w:rsidP="008117FE">
      <w:pPr>
        <w:pStyle w:val="EYBodytextwithparaspace"/>
        <w:numPr>
          <w:ilvl w:val="1"/>
          <w:numId w:val="3"/>
        </w:numPr>
      </w:pPr>
      <w:r w:rsidRPr="001025EA">
        <w:t xml:space="preserve">GPs have reflected on disempowerment because of Medicare Local governance structures that have generally failed to appropriately involve and engage GPs.  </w:t>
      </w:r>
      <w:r w:rsidR="008117FE" w:rsidRPr="001025EA">
        <w:t xml:space="preserve">It is essential GPs have a significant presence within the corporate structures of </w:t>
      </w:r>
      <w:r w:rsidRPr="001025EA">
        <w:t>PHOs</w:t>
      </w:r>
      <w:r w:rsidR="008117FE" w:rsidRPr="001025EA">
        <w:t xml:space="preserve">.  Broader and deeper </w:t>
      </w:r>
      <w:r w:rsidR="001949BE" w:rsidRPr="001025EA">
        <w:t>GP</w:t>
      </w:r>
      <w:r w:rsidR="008117FE" w:rsidRPr="001025EA">
        <w:t xml:space="preserve"> involvement can be achieved through establishing local Clinical Councils.  I see these Councils as influenc</w:t>
      </w:r>
      <w:r w:rsidR="008134A3" w:rsidRPr="001025EA">
        <w:t>ing</w:t>
      </w:r>
      <w:r w:rsidR="008117FE" w:rsidRPr="001025EA">
        <w:t xml:space="preserve"> inter-sector collaboration, developing and monitoring integrated care pathways, and identifying solutions for service gaps.  </w:t>
      </w:r>
      <w:r w:rsidR="007A30D7" w:rsidRPr="001025EA">
        <w:t xml:space="preserve">GPs </w:t>
      </w:r>
      <w:r w:rsidR="007A30D7" w:rsidRPr="00E47332">
        <w:t xml:space="preserve">need to </w:t>
      </w:r>
      <w:r w:rsidR="00A83B00" w:rsidRPr="00E47332">
        <w:t>buy-in to</w:t>
      </w:r>
      <w:r w:rsidR="00F06665" w:rsidRPr="00E47332">
        <w:t xml:space="preserve"> </w:t>
      </w:r>
      <w:r w:rsidR="008117FE" w:rsidRPr="00E47332">
        <w:t>PHO</w:t>
      </w:r>
      <w:r w:rsidR="00A83B00" w:rsidRPr="00E47332">
        <w:t>s</w:t>
      </w:r>
      <w:r w:rsidR="00F06665" w:rsidRPr="00E47332">
        <w:t xml:space="preserve"> </w:t>
      </w:r>
      <w:r w:rsidR="008117FE" w:rsidRPr="001025EA">
        <w:t>and see benefits from their involvement.</w:t>
      </w:r>
    </w:p>
    <w:p w:rsidR="008117FE" w:rsidRPr="001025EA" w:rsidRDefault="00BF1351" w:rsidP="00F1290F">
      <w:pPr>
        <w:pStyle w:val="Heading3"/>
      </w:pPr>
      <w:r w:rsidRPr="001025EA">
        <w:t>A clear vision and purpose is a critical success factor</w:t>
      </w:r>
    </w:p>
    <w:p w:rsidR="008117FE" w:rsidRPr="001025EA" w:rsidRDefault="008117FE" w:rsidP="008117FE">
      <w:pPr>
        <w:pStyle w:val="EYBodytextwithparaspace"/>
        <w:rPr>
          <w:b/>
        </w:rPr>
      </w:pPr>
      <w:r w:rsidRPr="001025EA">
        <w:t xml:space="preserve">I found </w:t>
      </w:r>
      <w:r w:rsidR="00DB41B1" w:rsidRPr="001025EA">
        <w:t>lack of clarity</w:t>
      </w:r>
      <w:r w:rsidRPr="001025EA">
        <w:t xml:space="preserve"> in what many Medicare Locals are trying to achieve, with considerable variability in both the scope </w:t>
      </w:r>
      <w:r w:rsidR="00E07CAB" w:rsidRPr="001025EA">
        <w:t xml:space="preserve">and delivery of </w:t>
      </w:r>
      <w:r w:rsidRPr="001025EA">
        <w:t>activities</w:t>
      </w:r>
      <w:r w:rsidR="00E07CAB" w:rsidRPr="001025EA">
        <w:t xml:space="preserve">.  This has resulted in inconsistent outcomes across Medicare Locals, </w:t>
      </w:r>
      <w:r w:rsidRPr="001025EA">
        <w:t>dispirited stakeholder engagement, poor network cohesion, and reduced secto</w:t>
      </w:r>
      <w:r w:rsidR="00E07CAB" w:rsidRPr="001025EA">
        <w:t>r influenc</w:t>
      </w:r>
      <w:r w:rsidR="00AC3099" w:rsidRPr="001025EA">
        <w:t xml:space="preserve">e.  This lack of clear purpose has perpetuated a sense of confusion and relevance with service sectors, governments and the community. </w:t>
      </w:r>
    </w:p>
    <w:p w:rsidR="008117FE" w:rsidRPr="001025EA" w:rsidRDefault="000520C9" w:rsidP="008117FE">
      <w:pPr>
        <w:pStyle w:val="EYBodytextwithparaspace"/>
        <w:numPr>
          <w:ilvl w:val="8"/>
          <w:numId w:val="3"/>
        </w:numPr>
      </w:pPr>
      <w:r w:rsidRPr="001025EA">
        <w:t xml:space="preserve">PHOs must be patient focused.  To achieve this, </w:t>
      </w:r>
      <w:r w:rsidR="008117FE" w:rsidRPr="001025EA">
        <w:t>PHO</w:t>
      </w:r>
      <w:r w:rsidRPr="001025EA">
        <w:t>s</w:t>
      </w:r>
      <w:r w:rsidR="008117FE" w:rsidRPr="001025EA">
        <w:t xml:space="preserve"> should work </w:t>
      </w:r>
      <w:r w:rsidRPr="001025EA">
        <w:t xml:space="preserve">collaboratively </w:t>
      </w:r>
      <w:r w:rsidR="008117FE" w:rsidRPr="001025EA">
        <w:t>wit</w:t>
      </w:r>
      <w:r w:rsidR="00E07CAB" w:rsidRPr="001025EA">
        <w:t xml:space="preserve">h GPs, </w:t>
      </w:r>
      <w:r w:rsidR="008117FE" w:rsidRPr="001025EA">
        <w:t xml:space="preserve">LHNs and other providers to establish care pathways that facilitate appropriate </w:t>
      </w:r>
      <w:r w:rsidR="001949BE" w:rsidRPr="001025EA">
        <w:t xml:space="preserve">and innovative </w:t>
      </w:r>
      <w:r w:rsidR="008117FE" w:rsidRPr="001025EA">
        <w:t xml:space="preserve">health </w:t>
      </w:r>
      <w:r w:rsidR="001949BE" w:rsidRPr="001025EA">
        <w:t xml:space="preserve">care </w:t>
      </w:r>
      <w:r w:rsidR="008117FE" w:rsidRPr="001025EA">
        <w:t xml:space="preserve">to ensure better </w:t>
      </w:r>
      <w:r w:rsidR="001949BE" w:rsidRPr="001025EA">
        <w:t xml:space="preserve">patient </w:t>
      </w:r>
      <w:r w:rsidR="006D3189">
        <w:t>experience and outcomes</w:t>
      </w:r>
      <w:r w:rsidR="008117FE" w:rsidRPr="001025EA">
        <w:t xml:space="preserve">.  PHOs </w:t>
      </w:r>
      <w:r w:rsidRPr="001025EA">
        <w:t xml:space="preserve">should be </w:t>
      </w:r>
      <w:r w:rsidR="008117FE" w:rsidRPr="001025EA">
        <w:t>design</w:t>
      </w:r>
      <w:r w:rsidRPr="001025EA">
        <w:t xml:space="preserve">ed on a series of </w:t>
      </w:r>
      <w:r w:rsidR="008117FE" w:rsidRPr="001025EA">
        <w:t xml:space="preserve">principles that facilitate their establishment as effective and efficient </w:t>
      </w:r>
      <w:proofErr w:type="spellStart"/>
      <w:r w:rsidR="008117FE" w:rsidRPr="001025EA">
        <w:t>organisations</w:t>
      </w:r>
      <w:proofErr w:type="spellEnd"/>
      <w:r w:rsidRPr="001025EA">
        <w:t xml:space="preserve">, including strong skills based Boards, clear performance expectations, flexibility to respond to </w:t>
      </w:r>
      <w:r w:rsidR="002B5B91" w:rsidRPr="001025EA">
        <w:t xml:space="preserve">their </w:t>
      </w:r>
      <w:r w:rsidRPr="001025EA">
        <w:t xml:space="preserve">regional </w:t>
      </w:r>
      <w:r w:rsidR="002B5B91" w:rsidRPr="001025EA">
        <w:t xml:space="preserve">and local </w:t>
      </w:r>
      <w:r w:rsidRPr="001025EA">
        <w:t>context, and broad and meaningful engagement across sectors.</w:t>
      </w:r>
    </w:p>
    <w:p w:rsidR="008117FE" w:rsidRPr="001025EA" w:rsidRDefault="008117FE" w:rsidP="008117FE">
      <w:pPr>
        <w:pStyle w:val="EYBodytextwithparaspace"/>
        <w:spacing w:before="120"/>
      </w:pPr>
      <w:r w:rsidRPr="001025EA">
        <w:t>The AML Alliance appears to have struggled to understand its role and fulfil its mandate</w:t>
      </w:r>
      <w:r w:rsidR="000520C9" w:rsidRPr="001025EA">
        <w:t>,</w:t>
      </w:r>
      <w:r w:rsidRPr="001025EA">
        <w:t xml:space="preserve"> particularly in relation to building the capacity of the network and addressing jurisdictional-specific supports.  It appears to have adopted a stronger role as a national </w:t>
      </w:r>
      <w:proofErr w:type="spellStart"/>
      <w:r w:rsidRPr="001025EA">
        <w:t>program</w:t>
      </w:r>
      <w:r w:rsidR="00BF1351" w:rsidRPr="001025EA">
        <w:t>me</w:t>
      </w:r>
      <w:proofErr w:type="spellEnd"/>
      <w:r w:rsidRPr="001025EA">
        <w:t xml:space="preserve"> coordinator</w:t>
      </w:r>
      <w:r w:rsidR="003D30C9" w:rsidRPr="001025EA">
        <w:t xml:space="preserve">.  I </w:t>
      </w:r>
      <w:r w:rsidR="006D3189">
        <w:t>have been unable to</w:t>
      </w:r>
      <w:r w:rsidR="003D30C9" w:rsidRPr="001025EA">
        <w:t xml:space="preserve"> see the need for a national body funded by the </w:t>
      </w:r>
      <w:r w:rsidR="003D30C9" w:rsidRPr="00E47332">
        <w:t xml:space="preserve">Commonwealth.  </w:t>
      </w:r>
      <w:r w:rsidR="007D142D" w:rsidRPr="00E47332">
        <w:t xml:space="preserve">There are existing national bodies, such as </w:t>
      </w:r>
      <w:r w:rsidR="008314A7" w:rsidRPr="00E47332">
        <w:t xml:space="preserve">the </w:t>
      </w:r>
      <w:r w:rsidR="007D142D" w:rsidRPr="00E47332">
        <w:t>Nation</w:t>
      </w:r>
      <w:r w:rsidR="00D32649" w:rsidRPr="00E47332">
        <w:t>al Health and Medical Research C</w:t>
      </w:r>
      <w:r w:rsidR="007D142D" w:rsidRPr="00E47332">
        <w:t>ouncil (NHMRC)</w:t>
      </w:r>
      <w:r w:rsidR="00657F22">
        <w:t xml:space="preserve"> and </w:t>
      </w:r>
      <w:r w:rsidR="007D142D" w:rsidRPr="00E47332">
        <w:t xml:space="preserve">the Australian Commission on Safety and Quality in Health Care that </w:t>
      </w:r>
      <w:r w:rsidRPr="00E47332">
        <w:t xml:space="preserve">could </w:t>
      </w:r>
      <w:r w:rsidR="003D30C9" w:rsidRPr="00E47332">
        <w:t>provide PHOs</w:t>
      </w:r>
      <w:r w:rsidR="003D30C9" w:rsidRPr="001025EA">
        <w:t xml:space="preserve"> with the </w:t>
      </w:r>
      <w:r w:rsidRPr="001025EA">
        <w:t xml:space="preserve">clinical </w:t>
      </w:r>
      <w:r w:rsidR="003D30C9" w:rsidRPr="001025EA">
        <w:t>expertise and share innovations, successes and failures across PHOs</w:t>
      </w:r>
      <w:r w:rsidRPr="001025EA">
        <w:t xml:space="preserve">. </w:t>
      </w:r>
    </w:p>
    <w:p w:rsidR="00BD6674" w:rsidRPr="00E47332" w:rsidRDefault="002B5B91" w:rsidP="00F1290F">
      <w:pPr>
        <w:pStyle w:val="Heading3"/>
      </w:pPr>
      <w:r w:rsidRPr="00E47332">
        <w:t xml:space="preserve">An </w:t>
      </w:r>
      <w:r w:rsidR="00BD6674" w:rsidRPr="00E47332">
        <w:t>effective and efficient PHO</w:t>
      </w:r>
    </w:p>
    <w:p w:rsidR="008117FE" w:rsidRPr="001025EA" w:rsidRDefault="007D142D" w:rsidP="00F06665">
      <w:pPr>
        <w:pStyle w:val="EYBodytextwithparaspace"/>
      </w:pPr>
      <w:r w:rsidRPr="00E47332">
        <w:t>There is an opportunit</w:t>
      </w:r>
      <w:r w:rsidR="008314A7" w:rsidRPr="00E47332">
        <w:t>y to implement a new system of r</w:t>
      </w:r>
      <w:r w:rsidRPr="00E47332">
        <w:t xml:space="preserve">egional PHOs to reduce fragmentation of services and improve integration between health </w:t>
      </w:r>
      <w:r w:rsidR="00E47332" w:rsidRPr="00E47332">
        <w:t>professionals</w:t>
      </w:r>
      <w:r w:rsidRPr="00E47332">
        <w:t xml:space="preserve">, by establishing clinical pathways of care that arise from the needs of patients (not </w:t>
      </w:r>
      <w:proofErr w:type="spellStart"/>
      <w:r w:rsidRPr="00E47332">
        <w:t>organisations</w:t>
      </w:r>
      <w:proofErr w:type="spellEnd"/>
      <w:r w:rsidRPr="00E47332">
        <w:t>)</w:t>
      </w:r>
      <w:r w:rsidR="007E06B9" w:rsidRPr="00E47332">
        <w:t>, that will necessarily cross</w:t>
      </w:r>
      <w:r w:rsidR="00CD0F0E">
        <w:t xml:space="preserve"> </w:t>
      </w:r>
      <w:r w:rsidRPr="00E47332">
        <w:t xml:space="preserve">over </w:t>
      </w:r>
      <w:r w:rsidR="002A3C26">
        <w:t xml:space="preserve">sectors </w:t>
      </w:r>
      <w:r w:rsidRPr="00E47332">
        <w:t>to improve patient outcomes.</w:t>
      </w:r>
      <w:r w:rsidR="002B5B91" w:rsidRPr="00E47332">
        <w:t xml:space="preserve">  Th</w:t>
      </w:r>
      <w:r w:rsidR="0097411B" w:rsidRPr="00E47332">
        <w:t>ese</w:t>
      </w:r>
      <w:r w:rsidR="002B5B91" w:rsidRPr="001025EA">
        <w:t xml:space="preserve"> would represent a fundamental restructure, with </w:t>
      </w:r>
      <w:r w:rsidR="00B05975" w:rsidRPr="001025EA">
        <w:t xml:space="preserve">new PHO entities established </w:t>
      </w:r>
      <w:r w:rsidR="00B05975">
        <w:t xml:space="preserve">to </w:t>
      </w:r>
      <w:r w:rsidR="00657F22">
        <w:t xml:space="preserve">replace </w:t>
      </w:r>
      <w:r w:rsidR="002B5B91" w:rsidRPr="001025EA">
        <w:t>Medicare Locals.  These entities would align with LHNs</w:t>
      </w:r>
      <w:r w:rsidR="00ED2E4F" w:rsidRPr="001025EA">
        <w:t xml:space="preserve">, be </w:t>
      </w:r>
      <w:r w:rsidR="002B5B91" w:rsidRPr="001025EA">
        <w:t>selected through contestable processes</w:t>
      </w:r>
      <w:r w:rsidR="00ED2E4F" w:rsidRPr="001025EA">
        <w:t>,</w:t>
      </w:r>
      <w:r w:rsidR="002B5B91" w:rsidRPr="001025EA">
        <w:t xml:space="preserve"> and </w:t>
      </w:r>
      <w:r w:rsidR="00FF74C9" w:rsidRPr="005D4FB8">
        <w:t xml:space="preserve">have </w:t>
      </w:r>
      <w:r w:rsidR="002B5B91" w:rsidRPr="005D4FB8">
        <w:t>contract</w:t>
      </w:r>
      <w:r w:rsidR="00FF74C9" w:rsidRPr="005D4FB8">
        <w:t>s with t</w:t>
      </w:r>
      <w:r w:rsidR="002B5B91" w:rsidRPr="005D4FB8">
        <w:t xml:space="preserve">he Department of Health </w:t>
      </w:r>
      <w:r w:rsidR="00FF74C9" w:rsidRPr="005D4FB8">
        <w:t xml:space="preserve">that contain </w:t>
      </w:r>
      <w:r w:rsidR="0097411B" w:rsidRPr="005D4FB8">
        <w:t xml:space="preserve">clear </w:t>
      </w:r>
      <w:r w:rsidR="002B5B91" w:rsidRPr="005D4FB8">
        <w:t>performance expectation</w:t>
      </w:r>
      <w:r w:rsidR="002A3C26">
        <w:t>s</w:t>
      </w:r>
      <w:r w:rsidR="007B54CE">
        <w:t>.</w:t>
      </w:r>
      <w:r w:rsidR="002B5B91" w:rsidRPr="001025EA">
        <w:t xml:space="preserve">  </w:t>
      </w:r>
    </w:p>
    <w:p w:rsidR="00316DC6" w:rsidRPr="001025EA" w:rsidRDefault="00960CA9" w:rsidP="00960CA9">
      <w:pPr>
        <w:pStyle w:val="EYBodytextwithparaspace"/>
        <w:numPr>
          <w:ilvl w:val="0"/>
          <w:numId w:val="3"/>
        </w:numPr>
      </w:pPr>
      <w:r w:rsidRPr="001025EA">
        <w:t xml:space="preserve">The scale of PHOs </w:t>
      </w:r>
      <w:r w:rsidR="00B05975">
        <w:t>sh</w:t>
      </w:r>
      <w:r w:rsidRPr="001025EA">
        <w:t xml:space="preserve">ould be such that they would have significant leverage and influence within their region and more broadly within their jurisdiction, less </w:t>
      </w:r>
      <w:proofErr w:type="spellStart"/>
      <w:r w:rsidRPr="001025EA">
        <w:t>organisational</w:t>
      </w:r>
      <w:proofErr w:type="spellEnd"/>
      <w:r w:rsidRPr="001025EA">
        <w:t xml:space="preserve"> variability and increased purchasing power.  </w:t>
      </w:r>
      <w:r w:rsidR="00316DC6" w:rsidRPr="001025EA">
        <w:t>The increased scale is also designed to improve administrative efficiency by consolidating all corporate, financial and administrative functions.  These efficiencies will free up a higher proportion of funding for frontline services.</w:t>
      </w:r>
    </w:p>
    <w:p w:rsidR="00960CA9" w:rsidRPr="001025EA" w:rsidRDefault="00960CA9" w:rsidP="00316DC6">
      <w:pPr>
        <w:pStyle w:val="EYBodytextwithparaspace"/>
        <w:numPr>
          <w:ilvl w:val="0"/>
          <w:numId w:val="3"/>
        </w:numPr>
      </w:pPr>
      <w:r w:rsidRPr="001025EA">
        <w:t xml:space="preserve">The exact number of PHOs should be decided following discussions with state and territory governments to ensure effective alignment with LHNs and other service sectors, and careful consideration of jurisdictional regional </w:t>
      </w:r>
      <w:r w:rsidR="000817ED" w:rsidRPr="001025EA">
        <w:t>characteristics</w:t>
      </w:r>
      <w:r w:rsidRPr="001025EA">
        <w:t>.  I anticipate far fewer PHOs compared to the current network of 61 Medicare Locals. At the local level</w:t>
      </w:r>
      <w:r w:rsidR="000B7FAB" w:rsidRPr="001025EA">
        <w:t>,</w:t>
      </w:r>
      <w:r w:rsidRPr="001025EA">
        <w:t xml:space="preserve"> </w:t>
      </w:r>
      <w:r w:rsidR="00556657" w:rsidRPr="001025EA">
        <w:t>Clinical Councils</w:t>
      </w:r>
      <w:r w:rsidRPr="001025EA">
        <w:t xml:space="preserve"> and Community Advisory Committees would be responsible</w:t>
      </w:r>
      <w:r w:rsidR="00A87680" w:rsidRPr="001025EA">
        <w:t xml:space="preserve"> for</w:t>
      </w:r>
      <w:r w:rsidRPr="001025EA">
        <w:t xml:space="preserve"> ensuring </w:t>
      </w:r>
      <w:r w:rsidR="000B7FAB" w:rsidRPr="001025EA">
        <w:t xml:space="preserve">each </w:t>
      </w:r>
      <w:r w:rsidRPr="001025EA">
        <w:t>PHO is accountable and relevant</w:t>
      </w:r>
      <w:r w:rsidR="00F06665">
        <w:t>,</w:t>
      </w:r>
      <w:r w:rsidR="000B7FAB" w:rsidRPr="001025EA">
        <w:t xml:space="preserve"> </w:t>
      </w:r>
      <w:r w:rsidR="00F06665">
        <w:t>working</w:t>
      </w:r>
      <w:r w:rsidR="00E17951" w:rsidRPr="001025EA">
        <w:t xml:space="preserve"> to identify local </w:t>
      </w:r>
      <w:r w:rsidR="00B05975" w:rsidRPr="001025EA">
        <w:t xml:space="preserve">health </w:t>
      </w:r>
      <w:r w:rsidR="000B7FAB" w:rsidRPr="001025EA">
        <w:t xml:space="preserve">care </w:t>
      </w:r>
      <w:r w:rsidR="00E17951" w:rsidRPr="001025EA">
        <w:t xml:space="preserve">needs and gaps in </w:t>
      </w:r>
      <w:r w:rsidR="00985A77" w:rsidRPr="001025EA">
        <w:t>services</w:t>
      </w:r>
      <w:r w:rsidR="000B7FAB" w:rsidRPr="001025EA">
        <w:t xml:space="preserve"> and </w:t>
      </w:r>
      <w:r w:rsidRPr="001025EA">
        <w:t xml:space="preserve">implement local pathways and </w:t>
      </w:r>
      <w:r w:rsidR="00B05975">
        <w:t xml:space="preserve">explore </w:t>
      </w:r>
      <w:r w:rsidRPr="001025EA">
        <w:t xml:space="preserve">innovative solutions to improve health outcomes. </w:t>
      </w:r>
    </w:p>
    <w:p w:rsidR="00F1290F" w:rsidRDefault="00F1290F" w:rsidP="00F1290F">
      <w:pPr>
        <w:pStyle w:val="Heading3"/>
      </w:pPr>
    </w:p>
    <w:p w:rsidR="008117FE" w:rsidRPr="001025EA" w:rsidRDefault="00FB12C2" w:rsidP="00F1290F">
      <w:pPr>
        <w:pStyle w:val="Heading3"/>
      </w:pPr>
      <w:r w:rsidRPr="001025EA">
        <w:t>Increasing leverage as f</w:t>
      </w:r>
      <w:r w:rsidR="008117FE" w:rsidRPr="001025EA">
        <w:t>acilitators and purchasers</w:t>
      </w:r>
    </w:p>
    <w:p w:rsidR="00063E4A" w:rsidRPr="001025EA" w:rsidRDefault="00063E4A" w:rsidP="007B64E7">
      <w:pPr>
        <w:pStyle w:val="EYBodytextwithparaspace"/>
        <w:keepNext/>
        <w:keepLines/>
      </w:pPr>
      <w:r w:rsidRPr="001025EA">
        <w:t xml:space="preserve">Medicare Locals have adopted a variety of </w:t>
      </w:r>
      <w:r w:rsidR="008F1D7E" w:rsidRPr="001025EA">
        <w:t>approaches to discharge their responsibilities</w:t>
      </w:r>
      <w:r w:rsidR="00B72B82" w:rsidRPr="001025EA">
        <w:t xml:space="preserve">, </w:t>
      </w:r>
      <w:r w:rsidR="00431D6A" w:rsidRPr="001025EA">
        <w:t xml:space="preserve">including </w:t>
      </w:r>
      <w:r w:rsidR="00F06665">
        <w:t>as</w:t>
      </w:r>
      <w:r w:rsidRPr="001025EA">
        <w:t xml:space="preserve"> coordinator</w:t>
      </w:r>
      <w:r w:rsidR="00DA2012" w:rsidRPr="001025EA">
        <w:t>s</w:t>
      </w:r>
      <w:r w:rsidRPr="001025EA">
        <w:t xml:space="preserve"> or facilitator</w:t>
      </w:r>
      <w:r w:rsidR="008F1D7E" w:rsidRPr="001025EA">
        <w:t>s</w:t>
      </w:r>
      <w:r w:rsidRPr="001025EA">
        <w:t xml:space="preserve"> of services, purchaser</w:t>
      </w:r>
      <w:r w:rsidR="00DA2012" w:rsidRPr="001025EA">
        <w:t>s</w:t>
      </w:r>
      <w:r w:rsidR="00B72B82" w:rsidRPr="001025EA">
        <w:t xml:space="preserve">, </w:t>
      </w:r>
      <w:r w:rsidR="00431D6A" w:rsidRPr="001025EA">
        <w:t xml:space="preserve">and/or </w:t>
      </w:r>
      <w:r w:rsidRPr="001025EA">
        <w:t>direct service providers.</w:t>
      </w:r>
      <w:r w:rsidR="00DA2012" w:rsidRPr="001025EA">
        <w:t xml:space="preserve">  </w:t>
      </w:r>
      <w:r w:rsidRPr="001025EA">
        <w:t xml:space="preserve">I found it </w:t>
      </w:r>
      <w:r w:rsidR="00B05975">
        <w:t xml:space="preserve">particularly </w:t>
      </w:r>
      <w:r w:rsidRPr="001025EA">
        <w:t>concerning that a number of stakeholders described to me instances where Medicare Locals</w:t>
      </w:r>
      <w:r w:rsidR="00CB7729">
        <w:t xml:space="preserve"> </w:t>
      </w:r>
      <w:r w:rsidRPr="001025EA">
        <w:t>established services in direct competition to existing services</w:t>
      </w:r>
      <w:r w:rsidR="004F0E80">
        <w:t xml:space="preserve">.  </w:t>
      </w:r>
      <w:r w:rsidRPr="001025EA">
        <w:t xml:space="preserve">I consider this to be outside the Medicare Local mandate.  </w:t>
      </w:r>
      <w:r w:rsidR="00D268A6" w:rsidRPr="001025EA">
        <w:t xml:space="preserve">The role of </w:t>
      </w:r>
      <w:r w:rsidRPr="001025EA">
        <w:t xml:space="preserve">PHOs </w:t>
      </w:r>
      <w:r w:rsidR="007B60A9" w:rsidRPr="001025EA">
        <w:t xml:space="preserve">should </w:t>
      </w:r>
      <w:r w:rsidR="00D268A6" w:rsidRPr="001025EA">
        <w:t xml:space="preserve">be </w:t>
      </w:r>
      <w:r w:rsidR="00DA2012" w:rsidRPr="001025EA">
        <w:t xml:space="preserve">restricted to facilitators and purchasers </w:t>
      </w:r>
      <w:r w:rsidR="00D268A6" w:rsidRPr="001025EA">
        <w:t>and not to directly deliver service</w:t>
      </w:r>
      <w:r w:rsidR="0018413B" w:rsidRPr="001025EA">
        <w:t>,</w:t>
      </w:r>
      <w:r w:rsidR="00D35DEE">
        <w:t xml:space="preserve"> except </w:t>
      </w:r>
      <w:r w:rsidRPr="001025EA">
        <w:t xml:space="preserve">where there is </w:t>
      </w:r>
      <w:r w:rsidR="002A3C26">
        <w:t xml:space="preserve">demonstrable </w:t>
      </w:r>
      <w:r w:rsidRPr="001025EA">
        <w:t>market failure</w:t>
      </w:r>
      <w:r w:rsidR="002A3C26">
        <w:t xml:space="preserve">, </w:t>
      </w:r>
      <w:r w:rsidR="0001662B">
        <w:t xml:space="preserve">significant </w:t>
      </w:r>
      <w:r w:rsidR="002A3C26">
        <w:t>economies of scale or absence of services</w:t>
      </w:r>
      <w:r w:rsidR="00DA2012" w:rsidRPr="001025EA">
        <w:t xml:space="preserve"> and patient care would be compromised</w:t>
      </w:r>
      <w:r w:rsidR="0001662B">
        <w:t>.</w:t>
      </w:r>
    </w:p>
    <w:p w:rsidR="008117FE" w:rsidRPr="001025EA" w:rsidRDefault="008117FE" w:rsidP="008117FE">
      <w:pPr>
        <w:pStyle w:val="EYBodytextwithparaspace"/>
      </w:pPr>
      <w:r w:rsidRPr="001025EA">
        <w:t xml:space="preserve">To </w:t>
      </w:r>
      <w:r w:rsidRPr="001025EA">
        <w:rPr>
          <w:lang w:val="en-AU"/>
        </w:rPr>
        <w:t>maximise</w:t>
      </w:r>
      <w:r w:rsidRPr="001025EA">
        <w:t xml:space="preserve"> the return on investment in PHOs, the Commonwealth </w:t>
      </w:r>
      <w:r w:rsidR="007B60A9" w:rsidRPr="001025EA">
        <w:t xml:space="preserve">may </w:t>
      </w:r>
      <w:r w:rsidRPr="001025EA">
        <w:rPr>
          <w:lang w:val="en-AU"/>
        </w:rPr>
        <w:t>utilise</w:t>
      </w:r>
      <w:r w:rsidRPr="001025EA">
        <w:t xml:space="preserve"> PHOs to</w:t>
      </w:r>
      <w:r w:rsidR="00734B09" w:rsidRPr="001025EA">
        <w:t xml:space="preserve"> a </w:t>
      </w:r>
      <w:r w:rsidR="007B60A9" w:rsidRPr="001025EA">
        <w:t>greater</w:t>
      </w:r>
      <w:r w:rsidRPr="001025EA">
        <w:t xml:space="preserve"> extent to administer both flexible and </w:t>
      </w:r>
      <w:proofErr w:type="spellStart"/>
      <w:r w:rsidRPr="001025EA">
        <w:t>programme</w:t>
      </w:r>
      <w:proofErr w:type="spellEnd"/>
      <w:r w:rsidRPr="001025EA">
        <w:t xml:space="preserve"> funding</w:t>
      </w:r>
      <w:r w:rsidR="00BF1351" w:rsidRPr="001025EA">
        <w:t>.</w:t>
      </w:r>
      <w:r w:rsidRPr="001025EA">
        <w:t xml:space="preserve">  This will provide PHOs with increased leverage to effectively engage with the primary health care sector, LHNs and jurisdictions, and further support local decision</w:t>
      </w:r>
      <w:r w:rsidR="00BF1351" w:rsidRPr="001025EA">
        <w:t>-</w:t>
      </w:r>
      <w:r w:rsidRPr="001025EA">
        <w:t xml:space="preserve">making to deliver greater benefits to patients.  </w:t>
      </w:r>
    </w:p>
    <w:p w:rsidR="008117FE" w:rsidRPr="001025EA" w:rsidRDefault="00FB12C2" w:rsidP="008117FE">
      <w:pPr>
        <w:pStyle w:val="EYBodytextwithparaspace"/>
      </w:pPr>
      <w:r w:rsidRPr="001025EA">
        <w:t xml:space="preserve">It is critical that lessons </w:t>
      </w:r>
      <w:r w:rsidR="00BE7CC2">
        <w:t xml:space="preserve">learned </w:t>
      </w:r>
      <w:r w:rsidRPr="001025EA">
        <w:t xml:space="preserve">from the activities of Medicare Locals inform </w:t>
      </w:r>
      <w:r w:rsidR="00BE7CC2">
        <w:t xml:space="preserve">the establishment of </w:t>
      </w:r>
      <w:r w:rsidRPr="001025EA">
        <w:t>PHOs</w:t>
      </w:r>
      <w:r w:rsidR="00253515" w:rsidRPr="001025EA">
        <w:t xml:space="preserve">. </w:t>
      </w:r>
      <w:r w:rsidR="004B7BF0" w:rsidRPr="001025EA">
        <w:t xml:space="preserve"> </w:t>
      </w:r>
      <w:r w:rsidR="00253515" w:rsidRPr="001025EA">
        <w:t xml:space="preserve">I encountered </w:t>
      </w:r>
      <w:r w:rsidR="00BE7CC2">
        <w:t xml:space="preserve">widespread </w:t>
      </w:r>
      <w:r w:rsidR="00253515" w:rsidRPr="001025EA">
        <w:t xml:space="preserve">frustration in how the Medicare Locals </w:t>
      </w:r>
      <w:r w:rsidR="00A83B00">
        <w:t>‘</w:t>
      </w:r>
      <w:r w:rsidR="00253515" w:rsidRPr="001025EA">
        <w:t>after hours</w:t>
      </w:r>
      <w:r w:rsidR="00A83B00">
        <w:t>’</w:t>
      </w:r>
      <w:r w:rsidR="00253515" w:rsidRPr="001025EA">
        <w:t xml:space="preserve"> </w:t>
      </w:r>
      <w:proofErr w:type="spellStart"/>
      <w:r w:rsidR="00253515" w:rsidRPr="001025EA">
        <w:t>programme</w:t>
      </w:r>
      <w:proofErr w:type="spellEnd"/>
      <w:r w:rsidR="00253515" w:rsidRPr="001025EA">
        <w:t xml:space="preserve"> has been handled.  </w:t>
      </w:r>
      <w:r w:rsidR="007B60A9" w:rsidRPr="001025EA">
        <w:t xml:space="preserve">The </w:t>
      </w:r>
      <w:r w:rsidRPr="001025EA">
        <w:t xml:space="preserve">Government should </w:t>
      </w:r>
      <w:r w:rsidR="007B60A9" w:rsidRPr="001025EA">
        <w:t xml:space="preserve">consider reviewing </w:t>
      </w:r>
      <w:r w:rsidRPr="001025EA">
        <w:t xml:space="preserve">the </w:t>
      </w:r>
      <w:r w:rsidR="004B04EA" w:rsidRPr="001025EA">
        <w:t xml:space="preserve">appropriateness </w:t>
      </w:r>
      <w:r w:rsidR="007D61A6">
        <w:t xml:space="preserve">and effectiveness </w:t>
      </w:r>
      <w:r w:rsidR="004B04EA" w:rsidRPr="001025EA">
        <w:t>of</w:t>
      </w:r>
      <w:r w:rsidR="008D6041" w:rsidRPr="001025EA">
        <w:t xml:space="preserve"> </w:t>
      </w:r>
      <w:r w:rsidR="007D61A6">
        <w:t xml:space="preserve">the current delivery strategy. </w:t>
      </w:r>
      <w:r w:rsidR="00253515" w:rsidRPr="001025EA">
        <w:t xml:space="preserve"> A</w:t>
      </w:r>
      <w:r w:rsidR="004B04EA" w:rsidRPr="001025EA">
        <w:t xml:space="preserve"> review would </w:t>
      </w:r>
      <w:r w:rsidR="00BE7CC2">
        <w:t xml:space="preserve">garner </w:t>
      </w:r>
      <w:r w:rsidR="004B04EA" w:rsidRPr="001025EA">
        <w:t xml:space="preserve">considerable </w:t>
      </w:r>
      <w:r w:rsidR="00253515" w:rsidRPr="001025EA">
        <w:t xml:space="preserve">support and </w:t>
      </w:r>
      <w:r w:rsidR="008D6041" w:rsidRPr="001025EA">
        <w:t xml:space="preserve">contribute to </w:t>
      </w:r>
      <w:r w:rsidR="004B04EA" w:rsidRPr="001025EA">
        <w:t xml:space="preserve">goodwill </w:t>
      </w:r>
      <w:r w:rsidR="00253515" w:rsidRPr="001025EA">
        <w:t xml:space="preserve">from </w:t>
      </w:r>
      <w:r w:rsidR="004B7BF0" w:rsidRPr="001025EA">
        <w:t>general practice</w:t>
      </w:r>
      <w:r w:rsidR="004B04EA" w:rsidRPr="001025EA">
        <w:t>.</w:t>
      </w:r>
      <w:r w:rsidR="007B60A9" w:rsidRPr="001025EA">
        <w:t xml:space="preserve">  It would also </w:t>
      </w:r>
      <w:r w:rsidR="00A67EA1">
        <w:t xml:space="preserve">inform the </w:t>
      </w:r>
      <w:r w:rsidR="007B60A9" w:rsidRPr="001025EA">
        <w:t xml:space="preserve">implementation of other </w:t>
      </w:r>
      <w:proofErr w:type="spellStart"/>
      <w:r w:rsidR="007B60A9" w:rsidRPr="001025EA">
        <w:t>program</w:t>
      </w:r>
      <w:r w:rsidR="00A67EA1">
        <w:t>mes</w:t>
      </w:r>
      <w:proofErr w:type="spellEnd"/>
      <w:r w:rsidR="007B60A9" w:rsidRPr="001025EA">
        <w:t xml:space="preserve"> in this sector.</w:t>
      </w:r>
    </w:p>
    <w:p w:rsidR="008117FE" w:rsidRPr="001025EA" w:rsidRDefault="008117FE" w:rsidP="00F1290F">
      <w:pPr>
        <w:pStyle w:val="Heading3"/>
      </w:pPr>
      <w:r w:rsidRPr="001025EA">
        <w:t xml:space="preserve">Improving financial performance </w:t>
      </w:r>
    </w:p>
    <w:p w:rsidR="008117FE" w:rsidRPr="001025EA" w:rsidRDefault="008117FE" w:rsidP="005C338C">
      <w:pPr>
        <w:pStyle w:val="EYBodytextwithparaspace"/>
      </w:pPr>
      <w:r w:rsidRPr="001025EA">
        <w:t xml:space="preserve">The Deloitte audit into Medicare Locals </w:t>
      </w:r>
      <w:r w:rsidR="002A3C26">
        <w:t xml:space="preserve">did not identify significant issues or uncover any </w:t>
      </w:r>
      <w:r w:rsidRPr="001025EA">
        <w:t>fraud</w:t>
      </w:r>
      <w:r w:rsidR="004F0E80">
        <w:t>.  A</w:t>
      </w:r>
      <w:r w:rsidRPr="001025EA">
        <w:t xml:space="preserve"> number of anomalies were identified in their findings including: variability in expenditure on administration, varying levels of funds allocated to frontline services, inconsistencies between planned and actual budgets, cross </w:t>
      </w:r>
      <w:proofErr w:type="spellStart"/>
      <w:r w:rsidRPr="001025EA">
        <w:t>programme</w:t>
      </w:r>
      <w:proofErr w:type="spellEnd"/>
      <w:r w:rsidRPr="001025EA">
        <w:t xml:space="preserve"> funding, and </w:t>
      </w:r>
      <w:r w:rsidR="00F439BC" w:rsidRPr="001025EA">
        <w:t xml:space="preserve">variable </w:t>
      </w:r>
      <w:r w:rsidRPr="001025EA">
        <w:t xml:space="preserve">accounting practices.  These all point to the mixed financial capabilities across Medicare Locals. </w:t>
      </w:r>
      <w:r w:rsidR="002B1273" w:rsidRPr="001025EA">
        <w:t xml:space="preserve"> M</w:t>
      </w:r>
      <w:r w:rsidR="001960C5" w:rsidRPr="001025EA">
        <w:t xml:space="preserve">any of these issues can be overcome through </w:t>
      </w:r>
      <w:r w:rsidRPr="001025EA">
        <w:t>hav</w:t>
      </w:r>
      <w:r w:rsidR="001960C5" w:rsidRPr="001025EA">
        <w:t xml:space="preserve">ing </w:t>
      </w:r>
      <w:r w:rsidRPr="001025EA">
        <w:t xml:space="preserve">fewer, larger </w:t>
      </w:r>
      <w:proofErr w:type="spellStart"/>
      <w:r w:rsidRPr="001025EA">
        <w:t>organisations</w:t>
      </w:r>
      <w:proofErr w:type="spellEnd"/>
      <w:r w:rsidRPr="001025EA">
        <w:t xml:space="preserve"> with consolidated corporate functions to improve efficiency and obtain economies of scale.</w:t>
      </w:r>
    </w:p>
    <w:p w:rsidR="008117FE" w:rsidRPr="001025EA" w:rsidRDefault="008117FE" w:rsidP="008117FE">
      <w:pPr>
        <w:pStyle w:val="EYBodytextwithparaspace"/>
      </w:pPr>
      <w:r w:rsidRPr="001025EA">
        <w:t xml:space="preserve">To enable PHOs to perform effectively, reporting requirements and processes need to be </w:t>
      </w:r>
      <w:r w:rsidR="00BE7CC2">
        <w:t xml:space="preserve">pruned and </w:t>
      </w:r>
      <w:r w:rsidRPr="001025EA">
        <w:t>streamlined, with a</w:t>
      </w:r>
      <w:r w:rsidR="00BE7CC2">
        <w:t xml:space="preserve"> major</w:t>
      </w:r>
      <w:r w:rsidRPr="001025EA">
        <w:t xml:space="preserve"> focus on measureable outcomes.  I</w:t>
      </w:r>
      <w:r w:rsidR="00CD0F0E">
        <w:t xml:space="preserve"> am advised </w:t>
      </w:r>
      <w:r w:rsidRPr="001025EA">
        <w:t>the Department</w:t>
      </w:r>
      <w:r w:rsidR="0092176B" w:rsidRPr="001025EA">
        <w:t xml:space="preserve"> of Health </w:t>
      </w:r>
      <w:r w:rsidR="007B60A9" w:rsidRPr="001025EA">
        <w:t xml:space="preserve">has been </w:t>
      </w:r>
      <w:r w:rsidR="0092176B" w:rsidRPr="001025EA">
        <w:t xml:space="preserve">engaged in </w:t>
      </w:r>
      <w:r w:rsidR="002F7D05" w:rsidRPr="001025EA">
        <w:t xml:space="preserve">a </w:t>
      </w:r>
      <w:r w:rsidRPr="001025EA">
        <w:t xml:space="preserve">significant grants reform process and enterprise technology solution agenda to address these issues.  Aligning PHO performance reporting to LHN outcomes and national priorities will go a long way to ensure a real sense of purpose and collaboration within local health care services.  </w:t>
      </w:r>
    </w:p>
    <w:p w:rsidR="008117FE" w:rsidRPr="001025EA" w:rsidRDefault="008117FE" w:rsidP="008117FE">
      <w:pPr>
        <w:pStyle w:val="Heading2"/>
        <w:numPr>
          <w:ilvl w:val="0"/>
          <w:numId w:val="0"/>
        </w:numPr>
        <w:ind w:left="576" w:hanging="576"/>
      </w:pPr>
      <w:bookmarkStart w:id="8" w:name="_Toc380481346"/>
      <w:bookmarkStart w:id="9" w:name="_Toc387644722"/>
      <w:r w:rsidRPr="001025EA">
        <w:t>Implementation</w:t>
      </w:r>
      <w:bookmarkEnd w:id="8"/>
      <w:bookmarkEnd w:id="9"/>
    </w:p>
    <w:p w:rsidR="006178BE" w:rsidRPr="00E47332" w:rsidRDefault="006178BE" w:rsidP="006178BE">
      <w:pPr>
        <w:pStyle w:val="EYBodytextwithparaspace"/>
        <w:numPr>
          <w:ilvl w:val="0"/>
          <w:numId w:val="3"/>
        </w:numPr>
      </w:pPr>
      <w:r w:rsidRPr="00E834B0">
        <w:t>Large</w:t>
      </w:r>
      <w:r>
        <w:t xml:space="preserve"> r</w:t>
      </w:r>
      <w:r w:rsidR="00573FF1" w:rsidRPr="001025EA">
        <w:t xml:space="preserve">egional PHOs should be selected through </w:t>
      </w:r>
      <w:r w:rsidR="00BE7CC2">
        <w:t xml:space="preserve">contestable </w:t>
      </w:r>
      <w:r w:rsidR="00573FF1" w:rsidRPr="001025EA">
        <w:t xml:space="preserve">and transparent processes that </w:t>
      </w:r>
      <w:r w:rsidR="00573FF1" w:rsidRPr="00E47332">
        <w:t xml:space="preserve">support the establishment of cost effective entities.  </w:t>
      </w:r>
    </w:p>
    <w:p w:rsidR="006178BE" w:rsidRDefault="006178BE" w:rsidP="006178BE">
      <w:pPr>
        <w:pStyle w:val="EYBodytextwithparaspace"/>
        <w:numPr>
          <w:ilvl w:val="0"/>
          <w:numId w:val="0"/>
        </w:numPr>
      </w:pPr>
      <w:r w:rsidRPr="00E47332">
        <w:t>The setting up of these PHOs will need an effective strategy to ensure all stakeholders are properly informed, and are involved in establishing the different parts of the PHOs relevant to their roles. This should ensure the positive relationships and goodwill essential to their success.</w:t>
      </w:r>
    </w:p>
    <w:p w:rsidR="00CA1B2C" w:rsidRPr="001025EA" w:rsidRDefault="00CA1B2C" w:rsidP="006178BE">
      <w:pPr>
        <w:pStyle w:val="EYBodytextwithparaspace"/>
        <w:numPr>
          <w:ilvl w:val="0"/>
          <w:numId w:val="0"/>
        </w:numPr>
      </w:pPr>
      <w:r w:rsidRPr="001025EA">
        <w:br w:type="page"/>
      </w:r>
    </w:p>
    <w:p w:rsidR="00C84CED" w:rsidRPr="00874887" w:rsidRDefault="00C84CED" w:rsidP="00C84CED">
      <w:pPr>
        <w:pStyle w:val="Heading2"/>
        <w:numPr>
          <w:ilvl w:val="0"/>
          <w:numId w:val="0"/>
        </w:numPr>
        <w:ind w:left="578" w:hanging="578"/>
      </w:pPr>
      <w:bookmarkStart w:id="10" w:name="_Toc387644723"/>
      <w:r w:rsidRPr="00874887">
        <w:t>Recommendations</w:t>
      </w:r>
      <w:bookmarkEnd w:id="10"/>
    </w:p>
    <w:p w:rsidR="00C84CED" w:rsidRPr="00874887" w:rsidRDefault="00C84CED" w:rsidP="00C84CED">
      <w:r w:rsidRPr="00874887">
        <w:t>The following recommendations support the establishment of an organisation to improve health outcomes through integrating and coordinating health services.</w:t>
      </w:r>
    </w:p>
    <w:p w:rsidR="00C84CED" w:rsidRPr="00874887" w:rsidRDefault="00C84CED" w:rsidP="00C84CED">
      <w:pPr>
        <w:spacing w:before="120"/>
        <w:rPr>
          <w:sz w:val="22"/>
          <w:szCs w:val="22"/>
        </w:rPr>
      </w:pPr>
      <w:r w:rsidRPr="00874887">
        <w:rPr>
          <w:b/>
          <w:i/>
          <w:sz w:val="22"/>
          <w:szCs w:val="22"/>
        </w:rPr>
        <w:t>Recommendation 1:</w:t>
      </w:r>
      <w:r w:rsidRPr="00874887">
        <w:rPr>
          <w:sz w:val="22"/>
          <w:szCs w:val="22"/>
        </w:rPr>
        <w:t xml:space="preserve">  The government should establish organisations tasked to integrate the care of patients across the entire health system in order to improve patient outcomes.</w:t>
      </w:r>
    </w:p>
    <w:p w:rsidR="00C84CED" w:rsidRPr="00874887" w:rsidRDefault="00C84CED" w:rsidP="00C84CED">
      <w:pPr>
        <w:spacing w:before="120"/>
        <w:rPr>
          <w:sz w:val="22"/>
          <w:szCs w:val="22"/>
        </w:rPr>
      </w:pPr>
      <w:r w:rsidRPr="00874887">
        <w:rPr>
          <w:b/>
          <w:i/>
          <w:sz w:val="22"/>
          <w:szCs w:val="22"/>
        </w:rPr>
        <w:t>Recommendation 2:</w:t>
      </w:r>
      <w:r w:rsidRPr="00874887">
        <w:rPr>
          <w:sz w:val="22"/>
          <w:szCs w:val="22"/>
        </w:rPr>
        <w:t xml:space="preserve">  The government should consider calling these organisations Primary Health Organisations (PHOs).</w:t>
      </w:r>
    </w:p>
    <w:p w:rsidR="00C84CED" w:rsidRPr="00874887" w:rsidRDefault="00C84CED" w:rsidP="00C84CED">
      <w:pPr>
        <w:spacing w:before="120"/>
        <w:rPr>
          <w:sz w:val="22"/>
          <w:szCs w:val="22"/>
        </w:rPr>
      </w:pPr>
      <w:r w:rsidRPr="00874887">
        <w:rPr>
          <w:b/>
          <w:i/>
          <w:sz w:val="22"/>
          <w:szCs w:val="22"/>
        </w:rPr>
        <w:t>Recommendation 3:</w:t>
      </w:r>
      <w:r w:rsidRPr="00874887">
        <w:rPr>
          <w:sz w:val="22"/>
          <w:szCs w:val="22"/>
        </w:rPr>
        <w:t xml:space="preserve">  The government should reinforce general practice as the cornerstone of integrated primary health care, to ensure patient care is optimal. </w:t>
      </w:r>
    </w:p>
    <w:p w:rsidR="00C84CED" w:rsidRDefault="00C84CED" w:rsidP="00C84CED">
      <w:pPr>
        <w:spacing w:before="120"/>
        <w:rPr>
          <w:sz w:val="22"/>
          <w:szCs w:val="22"/>
        </w:rPr>
      </w:pPr>
      <w:r w:rsidRPr="00874887">
        <w:rPr>
          <w:b/>
          <w:i/>
          <w:sz w:val="22"/>
          <w:szCs w:val="22"/>
        </w:rPr>
        <w:t>Recommendation 4:</w:t>
      </w:r>
      <w:r w:rsidRPr="00874887">
        <w:rPr>
          <w:sz w:val="22"/>
          <w:szCs w:val="22"/>
        </w:rPr>
        <w:t xml:space="preserve">  The principles for the establishment of PHOs should include:</w:t>
      </w:r>
    </w:p>
    <w:p w:rsidR="00C84CED" w:rsidRPr="00874887" w:rsidRDefault="00C84CED" w:rsidP="00C84CED">
      <w:pPr>
        <w:pStyle w:val="ListParagraph"/>
        <w:numPr>
          <w:ilvl w:val="0"/>
          <w:numId w:val="6"/>
        </w:numPr>
        <w:ind w:left="777" w:hanging="357"/>
        <w:contextualSpacing w:val="0"/>
        <w:rPr>
          <w:sz w:val="22"/>
          <w:szCs w:val="22"/>
        </w:rPr>
      </w:pPr>
      <w:r w:rsidRPr="00874887">
        <w:rPr>
          <w:sz w:val="22"/>
          <w:szCs w:val="22"/>
        </w:rPr>
        <w:t>contestable processes for their establishment;</w:t>
      </w:r>
    </w:p>
    <w:p w:rsidR="00C84CED" w:rsidRPr="00874887" w:rsidRDefault="00C84CED" w:rsidP="00C84CED">
      <w:pPr>
        <w:pStyle w:val="ListParagraph"/>
        <w:numPr>
          <w:ilvl w:val="0"/>
          <w:numId w:val="6"/>
        </w:numPr>
        <w:ind w:left="777" w:hanging="357"/>
        <w:contextualSpacing w:val="0"/>
        <w:rPr>
          <w:sz w:val="22"/>
          <w:szCs w:val="22"/>
        </w:rPr>
      </w:pPr>
      <w:r w:rsidRPr="00874887">
        <w:rPr>
          <w:sz w:val="22"/>
          <w:szCs w:val="22"/>
        </w:rPr>
        <w:t>strong skills based regional Boards, each advised by a number of Clinical Councils, responsible for developing and monitoring clinical care pathways, and Community Advisory Committees;</w:t>
      </w:r>
    </w:p>
    <w:p w:rsidR="00C84CED" w:rsidRPr="00874887" w:rsidRDefault="00C84CED" w:rsidP="00C84CED">
      <w:pPr>
        <w:pStyle w:val="ListParagraph"/>
        <w:numPr>
          <w:ilvl w:val="0"/>
          <w:numId w:val="6"/>
        </w:numPr>
        <w:ind w:left="777" w:hanging="357"/>
        <w:contextualSpacing w:val="0"/>
        <w:rPr>
          <w:sz w:val="22"/>
          <w:szCs w:val="22"/>
        </w:rPr>
      </w:pPr>
      <w:r w:rsidRPr="00874887">
        <w:rPr>
          <w:sz w:val="22"/>
          <w:szCs w:val="22"/>
        </w:rPr>
        <w:t xml:space="preserve">flexibility of structure to reflect the differing characteristics of regions; </w:t>
      </w:r>
    </w:p>
    <w:p w:rsidR="00C84CED" w:rsidRPr="00874887" w:rsidRDefault="00C84CED" w:rsidP="00C84CED">
      <w:pPr>
        <w:pStyle w:val="ListParagraph"/>
        <w:numPr>
          <w:ilvl w:val="0"/>
          <w:numId w:val="6"/>
        </w:numPr>
        <w:ind w:left="777" w:hanging="357"/>
        <w:contextualSpacing w:val="0"/>
        <w:rPr>
          <w:sz w:val="22"/>
          <w:szCs w:val="22"/>
        </w:rPr>
      </w:pPr>
      <w:r w:rsidRPr="00874887">
        <w:rPr>
          <w:sz w:val="22"/>
          <w:szCs w:val="22"/>
        </w:rPr>
        <w:t>engagement with jurisdictions to develop PHO structures most appropriate for each region;</w:t>
      </w:r>
    </w:p>
    <w:p w:rsidR="00C84CED" w:rsidRPr="00874887" w:rsidRDefault="00C84CED" w:rsidP="00C84CED">
      <w:pPr>
        <w:pStyle w:val="ListParagraph"/>
        <w:numPr>
          <w:ilvl w:val="0"/>
          <w:numId w:val="6"/>
        </w:numPr>
        <w:ind w:left="777" w:hanging="357"/>
        <w:contextualSpacing w:val="0"/>
        <w:rPr>
          <w:sz w:val="22"/>
          <w:szCs w:val="22"/>
        </w:rPr>
      </w:pPr>
      <w:r w:rsidRPr="00874887">
        <w:rPr>
          <w:sz w:val="22"/>
          <w:szCs w:val="22"/>
        </w:rPr>
        <w:t>broad and meaningful engagement across the health system, including public, private, Indigenous, aged care and NGO sectors; and</w:t>
      </w:r>
    </w:p>
    <w:p w:rsidR="00C84CED" w:rsidRPr="00874887" w:rsidRDefault="00C84CED" w:rsidP="00C84CED">
      <w:pPr>
        <w:pStyle w:val="ListParagraph"/>
        <w:numPr>
          <w:ilvl w:val="0"/>
          <w:numId w:val="6"/>
        </w:numPr>
        <w:ind w:left="777" w:hanging="357"/>
        <w:contextualSpacing w:val="0"/>
        <w:rPr>
          <w:sz w:val="22"/>
          <w:szCs w:val="22"/>
        </w:rPr>
      </w:pPr>
      <w:proofErr w:type="gramStart"/>
      <w:r w:rsidRPr="00874887">
        <w:rPr>
          <w:sz w:val="22"/>
          <w:szCs w:val="22"/>
        </w:rPr>
        <w:t>clear</w:t>
      </w:r>
      <w:proofErr w:type="gramEnd"/>
      <w:r w:rsidRPr="00874887">
        <w:rPr>
          <w:sz w:val="22"/>
          <w:szCs w:val="22"/>
        </w:rPr>
        <w:t xml:space="preserve"> performance expectations.</w:t>
      </w:r>
    </w:p>
    <w:p w:rsidR="00C84CED" w:rsidRPr="00874887" w:rsidRDefault="00C84CED" w:rsidP="00C84CED">
      <w:pPr>
        <w:spacing w:before="120"/>
        <w:rPr>
          <w:sz w:val="22"/>
          <w:szCs w:val="22"/>
        </w:rPr>
      </w:pPr>
      <w:r w:rsidRPr="00874887">
        <w:rPr>
          <w:b/>
          <w:i/>
          <w:sz w:val="22"/>
          <w:szCs w:val="22"/>
        </w:rPr>
        <w:t>Recommendation 5:</w:t>
      </w:r>
      <w:r w:rsidRPr="00874887">
        <w:rPr>
          <w:sz w:val="22"/>
          <w:szCs w:val="22"/>
        </w:rPr>
        <w:t xml:space="preserve">  PHOs must engage with established local and national clinical bodies. </w:t>
      </w:r>
    </w:p>
    <w:p w:rsidR="00C84CED" w:rsidRPr="00874887" w:rsidRDefault="00C84CED" w:rsidP="00C84CED">
      <w:pPr>
        <w:spacing w:before="120"/>
        <w:rPr>
          <w:sz w:val="22"/>
          <w:szCs w:val="22"/>
        </w:rPr>
      </w:pPr>
      <w:r w:rsidRPr="00874887">
        <w:rPr>
          <w:b/>
          <w:i/>
          <w:sz w:val="22"/>
          <w:szCs w:val="22"/>
        </w:rPr>
        <w:t>Recommendation 6:</w:t>
      </w:r>
      <w:r w:rsidRPr="00874887">
        <w:rPr>
          <w:sz w:val="22"/>
          <w:szCs w:val="22"/>
        </w:rPr>
        <w:t xml:space="preserve">  Government should not fund a national alliance for PHOs.</w:t>
      </w:r>
    </w:p>
    <w:p w:rsidR="00C84CED" w:rsidRPr="00874887" w:rsidRDefault="00C84CED" w:rsidP="00C84CED">
      <w:pPr>
        <w:spacing w:before="120"/>
        <w:rPr>
          <w:sz w:val="22"/>
          <w:szCs w:val="22"/>
        </w:rPr>
      </w:pPr>
      <w:r w:rsidRPr="00874887">
        <w:rPr>
          <w:b/>
          <w:i/>
          <w:sz w:val="22"/>
          <w:szCs w:val="22"/>
        </w:rPr>
        <w:t>Recommendation 7:</w:t>
      </w:r>
      <w:r w:rsidRPr="00874887">
        <w:rPr>
          <w:sz w:val="22"/>
          <w:szCs w:val="22"/>
        </w:rPr>
        <w:t xml:space="preserve">  The government should establish a limited number of high performing regional PHOs whose operational units, comprising pairs of Clinical Councils and Community Advisory Committees, are aligned to LHNs.  These organisations would replace and enhance the role of Medicare Locals. </w:t>
      </w:r>
    </w:p>
    <w:p w:rsidR="00C84CED" w:rsidRPr="00874887" w:rsidRDefault="00C84CED" w:rsidP="00C84CED">
      <w:pPr>
        <w:spacing w:before="120"/>
        <w:rPr>
          <w:sz w:val="22"/>
          <w:szCs w:val="22"/>
        </w:rPr>
      </w:pPr>
      <w:r w:rsidRPr="00874887">
        <w:rPr>
          <w:b/>
          <w:i/>
          <w:sz w:val="22"/>
          <w:szCs w:val="22"/>
        </w:rPr>
        <w:t>Recommendation 8:</w:t>
      </w:r>
      <w:r w:rsidRPr="00874887">
        <w:rPr>
          <w:sz w:val="22"/>
          <w:szCs w:val="22"/>
        </w:rPr>
        <w:t xml:space="preserve">  Government should review the current Medicare Locals’ after hours programme to determine how it can be effectively administered.  </w:t>
      </w:r>
    </w:p>
    <w:p w:rsidR="00C84CED" w:rsidRPr="00874887" w:rsidRDefault="00C84CED" w:rsidP="00C84CED">
      <w:pPr>
        <w:spacing w:before="120"/>
        <w:rPr>
          <w:sz w:val="22"/>
          <w:szCs w:val="22"/>
        </w:rPr>
      </w:pPr>
      <w:r w:rsidRPr="00874887">
        <w:rPr>
          <w:sz w:val="22"/>
          <w:szCs w:val="22"/>
        </w:rPr>
        <w:t>The government should also consider how PHOs, once they are fully established, would be best able to administer a range of additional Commonwealth funded programmes.</w:t>
      </w:r>
    </w:p>
    <w:p w:rsidR="00C84CED" w:rsidRPr="00874887" w:rsidRDefault="00C84CED" w:rsidP="00C84CED">
      <w:pPr>
        <w:spacing w:before="120"/>
        <w:rPr>
          <w:sz w:val="22"/>
          <w:szCs w:val="22"/>
        </w:rPr>
      </w:pPr>
      <w:r w:rsidRPr="00874887">
        <w:rPr>
          <w:b/>
          <w:i/>
          <w:sz w:val="22"/>
          <w:szCs w:val="22"/>
        </w:rPr>
        <w:t>Recommendation 9:</w:t>
      </w:r>
      <w:r w:rsidRPr="00874887">
        <w:rPr>
          <w:sz w:val="22"/>
          <w:szCs w:val="22"/>
        </w:rPr>
        <w:t xml:space="preserve">  PHOs should only provide services where there is demonstrable market failure, significant economies of scale or absence of services.</w:t>
      </w:r>
    </w:p>
    <w:p w:rsidR="00C84CED" w:rsidRPr="00874887" w:rsidRDefault="00C84CED" w:rsidP="00C84CED">
      <w:pPr>
        <w:spacing w:before="120"/>
        <w:rPr>
          <w:sz w:val="22"/>
          <w:szCs w:val="22"/>
        </w:rPr>
      </w:pPr>
      <w:r w:rsidRPr="00874887">
        <w:rPr>
          <w:b/>
          <w:i/>
          <w:sz w:val="22"/>
          <w:szCs w:val="22"/>
        </w:rPr>
        <w:t>Recommendation 10:</w:t>
      </w:r>
      <w:r w:rsidRPr="00874887">
        <w:rPr>
          <w:sz w:val="22"/>
          <w:szCs w:val="22"/>
        </w:rPr>
        <w:t xml:space="preserve">  PHO performance indicators should reflect outcomes that are aligned with national priorities and contribute to a broader primary health care data strategy.</w:t>
      </w:r>
    </w:p>
    <w:p w:rsidR="00C84CED" w:rsidRDefault="00C84CED" w:rsidP="00C84CED">
      <w:pPr>
        <w:spacing w:before="120"/>
      </w:pPr>
    </w:p>
    <w:p w:rsidR="00663163" w:rsidRPr="001025EA" w:rsidRDefault="00663163"/>
    <w:p w:rsidR="00663163" w:rsidRPr="001025EA" w:rsidRDefault="00663163">
      <w:pPr>
        <w:sectPr w:rsidR="00663163" w:rsidRPr="001025EA">
          <w:footerReference w:type="default" r:id="rId16"/>
          <w:pgSz w:w="11906" w:h="16838"/>
          <w:pgMar w:top="1440" w:right="1440" w:bottom="1440" w:left="1440" w:header="708" w:footer="708" w:gutter="0"/>
          <w:pgNumType w:fmt="lowerRoman"/>
          <w:cols w:space="708"/>
          <w:docGrid w:linePitch="360"/>
        </w:sectPr>
      </w:pPr>
    </w:p>
    <w:p w:rsidR="00115C91" w:rsidRPr="001025EA" w:rsidRDefault="00115C91" w:rsidP="00115C91">
      <w:pPr>
        <w:pStyle w:val="Heading1"/>
      </w:pPr>
      <w:bookmarkStart w:id="11" w:name="_Toc387644724"/>
      <w:r w:rsidRPr="001025EA">
        <w:t>Introduction</w:t>
      </w:r>
      <w:bookmarkEnd w:id="11"/>
    </w:p>
    <w:p w:rsidR="007D1BC4" w:rsidRPr="001025EA" w:rsidRDefault="007D1BC4" w:rsidP="007D1BC4">
      <w:r w:rsidRPr="001025EA">
        <w:t xml:space="preserve">The Minister for Health asked me to </w:t>
      </w:r>
      <w:r w:rsidR="0068745A" w:rsidRPr="001025EA">
        <w:t xml:space="preserve">conduct a review of Medicare Locals (the Review) to consider all aspects of their structure, operation and functions, and to </w:t>
      </w:r>
      <w:r w:rsidRPr="001025EA">
        <w:t>provide advice on future directions.  This is my Report</w:t>
      </w:r>
      <w:r w:rsidR="00BA0661">
        <w:t xml:space="preserve"> which is </w:t>
      </w:r>
      <w:r w:rsidRPr="001025EA">
        <w:t xml:space="preserve">presented to the Minister for consideration.  It contains my findings, discusses key themes and issues and </w:t>
      </w:r>
      <w:r w:rsidR="00BA0661">
        <w:t xml:space="preserve">offers </w:t>
      </w:r>
      <w:r w:rsidR="002239FA" w:rsidRPr="001025EA">
        <w:t>1</w:t>
      </w:r>
      <w:r w:rsidR="00BA0661">
        <w:t>0</w:t>
      </w:r>
      <w:r w:rsidRPr="001025EA">
        <w:t xml:space="preserve"> recommendations. </w:t>
      </w:r>
    </w:p>
    <w:p w:rsidR="00421F64" w:rsidRPr="001025EA" w:rsidRDefault="00421F64" w:rsidP="00421F64">
      <w:pPr>
        <w:pStyle w:val="Heading2"/>
      </w:pPr>
      <w:bookmarkStart w:id="12" w:name="_Toc387644725"/>
      <w:r w:rsidRPr="001025EA">
        <w:t>Background</w:t>
      </w:r>
      <w:bookmarkEnd w:id="12"/>
    </w:p>
    <w:p w:rsidR="00DD38AA" w:rsidRPr="001025EA" w:rsidRDefault="00017CC5" w:rsidP="007D529D">
      <w:pPr>
        <w:pStyle w:val="EYBodytextwithparaspace"/>
        <w:rPr>
          <w:color w:val="808080" w:themeColor="background1" w:themeShade="80"/>
        </w:rPr>
      </w:pPr>
      <w:r w:rsidRPr="001025EA">
        <w:t>Australia has a high quality health system that performs well by world standards</w:t>
      </w:r>
      <w:r w:rsidR="0030488F" w:rsidRPr="001025EA">
        <w:t>.  C</w:t>
      </w:r>
      <w:r w:rsidR="00FC3BC2" w:rsidRPr="001025EA">
        <w:t xml:space="preserve">ompared to </w:t>
      </w:r>
      <w:r w:rsidR="007D1BC4" w:rsidRPr="001025EA">
        <w:t xml:space="preserve">the </w:t>
      </w:r>
      <w:proofErr w:type="spellStart"/>
      <w:r w:rsidR="007D1BC4" w:rsidRPr="001025EA">
        <w:t>Organisation</w:t>
      </w:r>
      <w:proofErr w:type="spellEnd"/>
      <w:r w:rsidR="007D1BC4" w:rsidRPr="001025EA">
        <w:t xml:space="preserve"> for Economic Co-operation and Development (</w:t>
      </w:r>
      <w:r w:rsidR="00FC3BC2" w:rsidRPr="001025EA">
        <w:t>OECD</w:t>
      </w:r>
      <w:r w:rsidR="007D1BC4" w:rsidRPr="001025EA">
        <w:t>)</w:t>
      </w:r>
      <w:r w:rsidR="00FC3BC2" w:rsidRPr="001025EA">
        <w:t xml:space="preserve"> </w:t>
      </w:r>
      <w:r w:rsidR="0030488F" w:rsidRPr="001025EA">
        <w:t xml:space="preserve">averages, Australia’s </w:t>
      </w:r>
      <w:r w:rsidR="00FC3BC2" w:rsidRPr="001025EA">
        <w:t xml:space="preserve">expenditure </w:t>
      </w:r>
      <w:r w:rsidRPr="001025EA">
        <w:t xml:space="preserve">on health is below average; life expectancy at birth is two years higher; </w:t>
      </w:r>
      <w:r w:rsidR="00E964E6" w:rsidRPr="001025EA">
        <w:t xml:space="preserve">the </w:t>
      </w:r>
      <w:r w:rsidRPr="001025EA">
        <w:t>infant mortality rate is lower;</w:t>
      </w:r>
      <w:r w:rsidR="0030488F" w:rsidRPr="001025EA">
        <w:t xml:space="preserve"> and </w:t>
      </w:r>
      <w:r w:rsidRPr="001025EA">
        <w:t>rates of chronic</w:t>
      </w:r>
      <w:r w:rsidR="007D1BC4" w:rsidRPr="001025EA">
        <w:t xml:space="preserve">, </w:t>
      </w:r>
      <w:r w:rsidRPr="001025EA">
        <w:t>non-communicable</w:t>
      </w:r>
      <w:r w:rsidR="007D1BC4" w:rsidRPr="001025EA">
        <w:t>,</w:t>
      </w:r>
      <w:r w:rsidRPr="001025EA">
        <w:t xml:space="preserve"> disease mortality </w:t>
      </w:r>
      <w:r w:rsidR="007D1BC4" w:rsidRPr="001025EA">
        <w:t>(</w:t>
      </w:r>
      <w:r w:rsidRPr="001025EA">
        <w:t>including cancer, cardiovascular diseases, chronic respiratory conditions and diabetes</w:t>
      </w:r>
      <w:r w:rsidR="007D1BC4" w:rsidRPr="001025EA">
        <w:t>)</w:t>
      </w:r>
      <w:r w:rsidRPr="001025EA">
        <w:t xml:space="preserve"> </w:t>
      </w:r>
      <w:r w:rsidR="0030488F" w:rsidRPr="001025EA">
        <w:t xml:space="preserve">are lower.  In addition, Australia’s </w:t>
      </w:r>
      <w:r w:rsidRPr="001025EA">
        <w:t>smoking rates are amongst the lowest in the world.</w:t>
      </w:r>
    </w:p>
    <w:p w:rsidR="004D3DAF" w:rsidRPr="001025EA" w:rsidRDefault="00017CC5" w:rsidP="00494DD4">
      <w:pPr>
        <w:spacing w:after="180"/>
      </w:pPr>
      <w:r w:rsidRPr="001025EA">
        <w:t>However, the health system does face major challenges</w:t>
      </w:r>
      <w:r w:rsidR="004D3DAF" w:rsidRPr="001025EA">
        <w:t>:</w:t>
      </w:r>
    </w:p>
    <w:p w:rsidR="004D3DAF" w:rsidRPr="001025EA" w:rsidRDefault="001B3F30" w:rsidP="00647297">
      <w:pPr>
        <w:pStyle w:val="ListParagraph"/>
        <w:numPr>
          <w:ilvl w:val="0"/>
          <w:numId w:val="6"/>
        </w:numPr>
        <w:spacing w:before="60" w:after="60"/>
        <w:contextualSpacing w:val="0"/>
      </w:pPr>
      <w:r w:rsidRPr="001025EA">
        <w:t xml:space="preserve">lower </w:t>
      </w:r>
      <w:r w:rsidR="00017CC5" w:rsidRPr="001025EA">
        <w:t xml:space="preserve">life expectancy and </w:t>
      </w:r>
      <w:r w:rsidR="004F5EE2" w:rsidRPr="001025EA">
        <w:t xml:space="preserve">poorer </w:t>
      </w:r>
      <w:r w:rsidR="00017CC5" w:rsidRPr="001025EA">
        <w:t>health outcomes for Aboriginal and Torres Strait Islander peoples, people living with severe mental illness, people living in rural and remote Australia, and people in lower socio economic circumstances</w:t>
      </w:r>
      <w:r w:rsidR="004D3DAF" w:rsidRPr="001025EA">
        <w:t>;</w:t>
      </w:r>
    </w:p>
    <w:p w:rsidR="004D3DAF" w:rsidRPr="001025EA" w:rsidRDefault="004D3DAF" w:rsidP="00DE26AF">
      <w:pPr>
        <w:pStyle w:val="ListParagraph"/>
        <w:numPr>
          <w:ilvl w:val="0"/>
          <w:numId w:val="6"/>
        </w:numPr>
        <w:spacing w:before="60" w:after="60"/>
        <w:contextualSpacing w:val="0"/>
      </w:pPr>
      <w:r w:rsidRPr="001025EA">
        <w:t>n</w:t>
      </w:r>
      <w:r w:rsidR="00017CC5" w:rsidRPr="001025EA">
        <w:t xml:space="preserve">ew technologies and medical advances support longer life, combatting and managing what were previously fatal </w:t>
      </w:r>
      <w:r w:rsidR="00CD2EA3" w:rsidRPr="001025EA">
        <w:t>and debilitating conditions</w:t>
      </w:r>
      <w:r w:rsidR="00DB1E69" w:rsidRPr="001025EA">
        <w:t xml:space="preserve"> meaning </w:t>
      </w:r>
      <w:r w:rsidR="00DE26AF" w:rsidRPr="001025EA">
        <w:t xml:space="preserve">the health system is increasingly having to manage increasing life expectancy </w:t>
      </w:r>
      <w:r w:rsidR="00EC0B1B" w:rsidRPr="001025EA">
        <w:t xml:space="preserve">but </w:t>
      </w:r>
      <w:r w:rsidR="00DE26AF" w:rsidRPr="001025EA">
        <w:t>not necessarily healthy years</w:t>
      </w:r>
      <w:r w:rsidR="00017CC5" w:rsidRPr="001025EA">
        <w:t xml:space="preserve">; </w:t>
      </w:r>
    </w:p>
    <w:p w:rsidR="004D3DAF" w:rsidRPr="001025EA" w:rsidRDefault="00017CC5" w:rsidP="00647297">
      <w:pPr>
        <w:pStyle w:val="ListParagraph"/>
        <w:numPr>
          <w:ilvl w:val="0"/>
          <w:numId w:val="6"/>
        </w:numPr>
        <w:spacing w:before="60" w:after="60"/>
        <w:contextualSpacing w:val="0"/>
      </w:pPr>
      <w:r w:rsidRPr="001025EA">
        <w:t>significant funding and capacity pressure is being felt across the entire health system associated with the increasing prevalence of non-communicable diseases, in</w:t>
      </w:r>
      <w:r w:rsidR="00E964E6" w:rsidRPr="001025EA">
        <w:t xml:space="preserve">cluding an </w:t>
      </w:r>
      <w:r w:rsidRPr="001025EA">
        <w:t xml:space="preserve">increasing number of people living with multiple chronic conditions; and </w:t>
      </w:r>
    </w:p>
    <w:p w:rsidR="00017CC5" w:rsidRPr="001025EA" w:rsidRDefault="00017CC5" w:rsidP="00647297">
      <w:pPr>
        <w:pStyle w:val="ListParagraph"/>
        <w:numPr>
          <w:ilvl w:val="0"/>
          <w:numId w:val="6"/>
        </w:numPr>
        <w:spacing w:before="60" w:after="60"/>
        <w:ind w:left="777" w:hanging="357"/>
        <w:contextualSpacing w:val="0"/>
      </w:pPr>
      <w:proofErr w:type="gramStart"/>
      <w:r w:rsidRPr="001025EA">
        <w:t>unwarranted</w:t>
      </w:r>
      <w:proofErr w:type="gramEnd"/>
      <w:r w:rsidRPr="001025EA">
        <w:t xml:space="preserve"> variations in clinical practice between clinicians, services and geographic locations </w:t>
      </w:r>
      <w:r w:rsidR="00E964E6" w:rsidRPr="001025EA">
        <w:t xml:space="preserve">is </w:t>
      </w:r>
      <w:r w:rsidRPr="001025EA">
        <w:t>leading to variable patient outcomes and poor quality care.</w:t>
      </w:r>
    </w:p>
    <w:p w:rsidR="00D703E3" w:rsidRPr="00E47332" w:rsidRDefault="00985B23" w:rsidP="00494DD4">
      <w:pPr>
        <w:pStyle w:val="EYBodytextwithparaspace"/>
        <w:spacing w:before="180"/>
      </w:pPr>
      <w:r w:rsidRPr="001025EA">
        <w:t>Despite the dynamic and ever-changing health and health care environment, the three pillars of the Australian health care system – the Pharmaceutical Benefits Scheme (PBS); Medicare</w:t>
      </w:r>
      <w:r w:rsidR="00A40638" w:rsidRPr="001025EA">
        <w:t xml:space="preserve"> (Medicare Benefits Schedule)</w:t>
      </w:r>
      <w:r w:rsidRPr="001025EA">
        <w:t xml:space="preserve">, </w:t>
      </w:r>
      <w:r w:rsidR="001B3F30" w:rsidRPr="001025EA">
        <w:t xml:space="preserve">which facilitate </w:t>
      </w:r>
      <w:r w:rsidRPr="001025EA">
        <w:t xml:space="preserve">access to GP and specialist medical services and </w:t>
      </w:r>
      <w:r w:rsidRPr="001025EA">
        <w:rPr>
          <w:lang w:val="en-AU"/>
        </w:rPr>
        <w:t>subsidised</w:t>
      </w:r>
      <w:r w:rsidRPr="001025EA">
        <w:t xml:space="preserve"> pharmaceuticals; and universal access to free public hospital care – have remained relatively </w:t>
      </w:r>
      <w:r w:rsidR="0099220F" w:rsidRPr="00E47332">
        <w:t>unchanged</w:t>
      </w:r>
      <w:r w:rsidR="00CD2EA3" w:rsidRPr="00E47332">
        <w:t xml:space="preserve"> for over 40 years</w:t>
      </w:r>
      <w:r w:rsidR="00BA0661" w:rsidRPr="00E47332">
        <w:t xml:space="preserve"> (reflecting the pattern of illness and the medical knowledge of the time they were established).</w:t>
      </w:r>
      <w:r w:rsidR="00A532D5" w:rsidRPr="00E47332">
        <w:t xml:space="preserve">  </w:t>
      </w:r>
      <w:r w:rsidR="00D703E3" w:rsidRPr="00E47332">
        <w:t xml:space="preserve">Further, the </w:t>
      </w:r>
      <w:r w:rsidR="00C26E59" w:rsidRPr="00E47332">
        <w:t xml:space="preserve">mixed public/private </w:t>
      </w:r>
      <w:r w:rsidR="00D703E3" w:rsidRPr="00E47332">
        <w:t>health system</w:t>
      </w:r>
      <w:r w:rsidR="00C26E59" w:rsidRPr="00E47332">
        <w:t xml:space="preserve"> with delineated roles and responsibilities split across Commonwealth and </w:t>
      </w:r>
      <w:r w:rsidR="00DF6945" w:rsidRPr="00E47332">
        <w:t>s</w:t>
      </w:r>
      <w:r w:rsidR="00C26E59" w:rsidRPr="00E47332">
        <w:t>tate/</w:t>
      </w:r>
      <w:r w:rsidR="00DF6945" w:rsidRPr="00E47332">
        <w:t>t</w:t>
      </w:r>
      <w:r w:rsidR="00C26E59" w:rsidRPr="00E47332">
        <w:t>erritory governments</w:t>
      </w:r>
      <w:r w:rsidR="00213BA9" w:rsidRPr="00E47332">
        <w:t xml:space="preserve"> has strengths but can also </w:t>
      </w:r>
      <w:r w:rsidR="00D703E3" w:rsidRPr="00E47332">
        <w:t>complicate</w:t>
      </w:r>
      <w:r w:rsidR="00C26E59" w:rsidRPr="00E47332">
        <w:t xml:space="preserve"> </w:t>
      </w:r>
      <w:r w:rsidR="007D1BC4" w:rsidRPr="00E47332">
        <w:t xml:space="preserve">opportunities for </w:t>
      </w:r>
      <w:r w:rsidR="00C26E59" w:rsidRPr="00E47332">
        <w:t>a unified</w:t>
      </w:r>
      <w:r w:rsidR="007D1BC4" w:rsidRPr="00E47332">
        <w:t xml:space="preserve"> and </w:t>
      </w:r>
      <w:r w:rsidR="00C26E59" w:rsidRPr="00E47332">
        <w:t xml:space="preserve">systematic </w:t>
      </w:r>
      <w:r w:rsidR="00D703E3" w:rsidRPr="00E47332">
        <w:t>response to challenges</w:t>
      </w:r>
      <w:r w:rsidR="007D1BC4" w:rsidRPr="00E47332">
        <w:t xml:space="preserve"> at hand</w:t>
      </w:r>
      <w:r w:rsidR="00C26E59" w:rsidRPr="00E47332">
        <w:t>.</w:t>
      </w:r>
      <w:r w:rsidR="00D703E3" w:rsidRPr="00E47332">
        <w:t xml:space="preserve"> </w:t>
      </w:r>
    </w:p>
    <w:p w:rsidR="00BA0661" w:rsidRPr="00E47332" w:rsidRDefault="00BA0661" w:rsidP="00BA0661">
      <w:pPr>
        <w:pStyle w:val="EYBodytextwithparaspace"/>
      </w:pPr>
      <w:r w:rsidRPr="00E47332">
        <w:t>While the system has remained as a frozen snapshot of that moment when episodic care prevailed, today’s health</w:t>
      </w:r>
      <w:r w:rsidR="002A3C26">
        <w:t xml:space="preserve"> </w:t>
      </w:r>
      <w:r w:rsidRPr="00E47332">
        <w:t>care needs are very different. The burden of disease has shifted to chronic illnesses - which call for a continuum of care – and fundamental changes in the health</w:t>
      </w:r>
      <w:r w:rsidR="002A3C26">
        <w:t xml:space="preserve"> </w:t>
      </w:r>
      <w:r w:rsidRPr="00E47332">
        <w:t xml:space="preserve">care workforce have emerged to deal with these. </w:t>
      </w:r>
    </w:p>
    <w:p w:rsidR="00BA0661" w:rsidRPr="00E47332" w:rsidRDefault="00BA0661" w:rsidP="00BA0661">
      <w:pPr>
        <w:pStyle w:val="EYBodytextwithparaspace"/>
      </w:pPr>
      <w:r w:rsidRPr="00E47332">
        <w:t xml:space="preserve">It is axiomatic that </w:t>
      </w:r>
      <w:r w:rsidR="00E47332" w:rsidRPr="00E47332">
        <w:t xml:space="preserve">form </w:t>
      </w:r>
      <w:r w:rsidRPr="00E47332">
        <w:t xml:space="preserve">should follow </w:t>
      </w:r>
      <w:r w:rsidR="00E47332" w:rsidRPr="00E47332">
        <w:t>function</w:t>
      </w:r>
      <w:r w:rsidRPr="00E47332">
        <w:t xml:space="preserve">. </w:t>
      </w:r>
      <w:r w:rsidR="004359E0" w:rsidRPr="00E47332">
        <w:t xml:space="preserve"> </w:t>
      </w:r>
      <w:proofErr w:type="spellStart"/>
      <w:r w:rsidRPr="00E47332">
        <w:t>Organisational</w:t>
      </w:r>
      <w:proofErr w:type="spellEnd"/>
      <w:r w:rsidRPr="00E47332">
        <w:t xml:space="preserve"> structures and funding in health need to align with the clinical outcomes that are expected today – in 2014. </w:t>
      </w:r>
    </w:p>
    <w:p w:rsidR="00BD3373" w:rsidRPr="001025EA" w:rsidRDefault="00A9039C" w:rsidP="007D529D">
      <w:pPr>
        <w:pStyle w:val="EYBodytextwithparaspace"/>
      </w:pPr>
      <w:r w:rsidRPr="001025EA">
        <w:t xml:space="preserve">For many individuals, the health care services they access and the quality of care received depends on where they live, and the service providers involved, as much as their clinical needs and circumstances. </w:t>
      </w:r>
      <w:r w:rsidR="00291790" w:rsidRPr="001025EA">
        <w:t xml:space="preserve"> </w:t>
      </w:r>
      <w:r w:rsidR="007D1BC4" w:rsidRPr="001025EA">
        <w:t>P</w:t>
      </w:r>
      <w:r w:rsidRPr="001025EA">
        <w:t xml:space="preserve">atients, particularly those with complex conditions that require multiple </w:t>
      </w:r>
      <w:r w:rsidR="00291790" w:rsidRPr="001025EA">
        <w:t xml:space="preserve">integrated </w:t>
      </w:r>
      <w:r w:rsidRPr="001025EA">
        <w:t>services have either been left to navigate the health system on their own or</w:t>
      </w:r>
      <w:r w:rsidR="0094321D" w:rsidRPr="001025EA">
        <w:t>,</w:t>
      </w:r>
      <w:r w:rsidRPr="001025EA">
        <w:t xml:space="preserve"> even when supported by their GP, have been affected by information gaps, </w:t>
      </w:r>
      <w:r w:rsidR="00A40638" w:rsidRPr="001025EA">
        <w:t xml:space="preserve">fragmented </w:t>
      </w:r>
      <w:r w:rsidRPr="001025EA">
        <w:t>services</w:t>
      </w:r>
      <w:r w:rsidR="00291790" w:rsidRPr="001025EA">
        <w:t xml:space="preserve"> and </w:t>
      </w:r>
      <w:r w:rsidRPr="001025EA">
        <w:t>duplication</w:t>
      </w:r>
      <w:r w:rsidR="006D2E00">
        <w:t xml:space="preserve"> of clinical interventions</w:t>
      </w:r>
      <w:r w:rsidR="00291790" w:rsidRPr="001025EA">
        <w:t>.</w:t>
      </w:r>
      <w:r w:rsidRPr="001025EA">
        <w:t xml:space="preserve">  </w:t>
      </w:r>
      <w:r w:rsidR="00213BA9" w:rsidRPr="001025EA">
        <w:t>To deliver improved value to patients</w:t>
      </w:r>
      <w:r w:rsidR="0094321D" w:rsidRPr="001025EA">
        <w:t xml:space="preserve"> and </w:t>
      </w:r>
      <w:proofErr w:type="spellStart"/>
      <w:r w:rsidR="0094321D" w:rsidRPr="001025EA">
        <w:t>carers</w:t>
      </w:r>
      <w:proofErr w:type="spellEnd"/>
      <w:r w:rsidR="0094321D" w:rsidRPr="001025EA">
        <w:t xml:space="preserve">, </w:t>
      </w:r>
      <w:r w:rsidR="00017CC5" w:rsidRPr="001025EA">
        <w:t xml:space="preserve">the health care system must move from an episodic, </w:t>
      </w:r>
      <w:proofErr w:type="spellStart"/>
      <w:r w:rsidR="00017CC5" w:rsidRPr="001025EA">
        <w:t>siloed</w:t>
      </w:r>
      <w:proofErr w:type="spellEnd"/>
      <w:r w:rsidR="00017CC5" w:rsidRPr="001025EA">
        <w:t xml:space="preserve"> system to an integrated</w:t>
      </w:r>
      <w:r w:rsidR="009800EA" w:rsidRPr="001025EA">
        <w:t>, coordinated, patient</w:t>
      </w:r>
      <w:r w:rsidR="007D1BC4" w:rsidRPr="001025EA">
        <w:t>-</w:t>
      </w:r>
      <w:proofErr w:type="spellStart"/>
      <w:r w:rsidR="009800EA" w:rsidRPr="001025EA">
        <w:t>centred</w:t>
      </w:r>
      <w:proofErr w:type="spellEnd"/>
      <w:r w:rsidR="009800EA" w:rsidRPr="001025EA">
        <w:t xml:space="preserve"> </w:t>
      </w:r>
      <w:r w:rsidR="00017CC5" w:rsidRPr="001025EA">
        <w:t>system</w:t>
      </w:r>
      <w:r w:rsidR="009800EA" w:rsidRPr="001025EA">
        <w:t>,</w:t>
      </w:r>
      <w:r w:rsidR="00017CC5" w:rsidRPr="001025EA">
        <w:t xml:space="preserve"> </w:t>
      </w:r>
      <w:r w:rsidRPr="001025EA">
        <w:t xml:space="preserve">that </w:t>
      </w:r>
      <w:r w:rsidR="009800EA" w:rsidRPr="001025EA">
        <w:t>f</w:t>
      </w:r>
      <w:r w:rsidRPr="001025EA">
        <w:t xml:space="preserve">acilitates </w:t>
      </w:r>
      <w:r w:rsidR="009800EA" w:rsidRPr="001025EA">
        <w:t xml:space="preserve">access to appropriate, cost-effective </w:t>
      </w:r>
      <w:r w:rsidRPr="001025EA">
        <w:t>health care</w:t>
      </w:r>
      <w:r w:rsidR="009800EA" w:rsidRPr="001025EA">
        <w:t>, when and where patients need it.</w:t>
      </w:r>
    </w:p>
    <w:p w:rsidR="0005471B" w:rsidRPr="001025EA" w:rsidRDefault="007850AC" w:rsidP="007D529D">
      <w:pPr>
        <w:pStyle w:val="EYBodytextwithparaspace"/>
        <w:rPr>
          <w:rFonts w:cs="Garamond"/>
          <w:color w:val="000000"/>
        </w:rPr>
      </w:pPr>
      <w:r w:rsidRPr="001025EA">
        <w:rPr>
          <w:rFonts w:cs="Garamond"/>
          <w:color w:val="000000"/>
        </w:rPr>
        <w:t xml:space="preserve">Australia </w:t>
      </w:r>
      <w:r w:rsidR="007D1BC4" w:rsidRPr="001025EA">
        <w:rPr>
          <w:rFonts w:cs="Garamond"/>
          <w:color w:val="000000"/>
        </w:rPr>
        <w:t xml:space="preserve">is </w:t>
      </w:r>
      <w:r w:rsidRPr="001025EA">
        <w:rPr>
          <w:rFonts w:cs="Garamond"/>
          <w:color w:val="000000"/>
        </w:rPr>
        <w:t xml:space="preserve">not alone in seeking to maintain strong population health outcomes in the face of </w:t>
      </w:r>
      <w:r w:rsidR="009D53C1" w:rsidRPr="001025EA">
        <w:rPr>
          <w:rFonts w:cs="Garamond"/>
          <w:color w:val="000000"/>
        </w:rPr>
        <w:t xml:space="preserve">current and expected </w:t>
      </w:r>
      <w:r w:rsidRPr="001025EA">
        <w:rPr>
          <w:rFonts w:cs="Garamond"/>
          <w:color w:val="000000"/>
        </w:rPr>
        <w:t xml:space="preserve">future challenges. </w:t>
      </w:r>
      <w:r w:rsidR="00E20C62" w:rsidRPr="001025EA">
        <w:rPr>
          <w:rFonts w:cs="Garamond"/>
          <w:color w:val="000000"/>
        </w:rPr>
        <w:t xml:space="preserve"> </w:t>
      </w:r>
      <w:r w:rsidRPr="001025EA">
        <w:rPr>
          <w:rFonts w:cs="Garamond"/>
          <w:color w:val="000000"/>
        </w:rPr>
        <w:t>International evidence indicates health systems with a strong primary health care approach improve health equity and produce better health outcomes</w:t>
      </w:r>
      <w:r w:rsidR="009D53C1" w:rsidRPr="001025EA">
        <w:rPr>
          <w:rFonts w:cs="Garamond"/>
          <w:color w:val="000000"/>
        </w:rPr>
        <w:t xml:space="preserve"> at a lower cost</w:t>
      </w:r>
      <w:r w:rsidR="00EB3037">
        <w:rPr>
          <w:rFonts w:cs="Garamond"/>
          <w:color w:val="000000"/>
        </w:rPr>
        <w:t>.</w:t>
      </w:r>
      <w:r w:rsidR="007F7E0C">
        <w:rPr>
          <w:rStyle w:val="FootnoteReference"/>
          <w:rFonts w:cs="Garamond"/>
          <w:color w:val="000000"/>
        </w:rPr>
        <w:footnoteReference w:id="1"/>
      </w:r>
      <w:r w:rsidRPr="001025EA">
        <w:rPr>
          <w:rFonts w:cs="Garamond"/>
          <w:color w:val="000000"/>
        </w:rPr>
        <w:t xml:space="preserve"> </w:t>
      </w:r>
      <w:r w:rsidR="00E20C62" w:rsidRPr="001025EA">
        <w:rPr>
          <w:rFonts w:cs="Garamond"/>
          <w:color w:val="000000"/>
        </w:rPr>
        <w:t xml:space="preserve"> </w:t>
      </w:r>
      <w:r w:rsidRPr="001025EA">
        <w:rPr>
          <w:rFonts w:cs="Garamond"/>
          <w:color w:val="000000"/>
        </w:rPr>
        <w:t>A number of countries</w:t>
      </w:r>
      <w:r w:rsidR="00CD620D" w:rsidRPr="001025EA">
        <w:rPr>
          <w:rFonts w:cs="Garamond"/>
          <w:color w:val="000000"/>
        </w:rPr>
        <w:t xml:space="preserve"> have establish</w:t>
      </w:r>
      <w:r w:rsidR="00EC0B1B" w:rsidRPr="001025EA">
        <w:rPr>
          <w:rFonts w:cs="Garamond"/>
          <w:color w:val="000000"/>
        </w:rPr>
        <w:t>ed</w:t>
      </w:r>
      <w:r w:rsidR="00CD620D" w:rsidRPr="001025EA">
        <w:rPr>
          <w:rFonts w:cs="Garamond"/>
          <w:color w:val="000000"/>
        </w:rPr>
        <w:t xml:space="preserve"> </w:t>
      </w:r>
      <w:r w:rsidR="00A83B00">
        <w:rPr>
          <w:rFonts w:cs="Garamond"/>
          <w:color w:val="000000"/>
        </w:rPr>
        <w:t xml:space="preserve">structures </w:t>
      </w:r>
      <w:r w:rsidR="00CD620D" w:rsidRPr="001025EA">
        <w:rPr>
          <w:rFonts w:cs="Garamond"/>
          <w:color w:val="000000"/>
        </w:rPr>
        <w:t xml:space="preserve">to </w:t>
      </w:r>
      <w:r w:rsidRPr="001025EA">
        <w:rPr>
          <w:rFonts w:cs="Garamond"/>
          <w:color w:val="000000"/>
        </w:rPr>
        <w:t>support the primary health care sector</w:t>
      </w:r>
      <w:r w:rsidR="00CD620D" w:rsidRPr="001025EA">
        <w:rPr>
          <w:rFonts w:cs="Garamond"/>
          <w:color w:val="000000"/>
        </w:rPr>
        <w:t xml:space="preserve"> </w:t>
      </w:r>
      <w:r w:rsidR="00EC0B1B" w:rsidRPr="001025EA">
        <w:rPr>
          <w:rFonts w:cs="Garamond"/>
          <w:color w:val="000000"/>
        </w:rPr>
        <w:t>to better engage, integrate and facilitate patient care</w:t>
      </w:r>
      <w:r w:rsidR="006545C7">
        <w:rPr>
          <w:rFonts w:cs="Garamond"/>
          <w:color w:val="000000"/>
        </w:rPr>
        <w:t xml:space="preserve"> –</w:t>
      </w:r>
      <w:r w:rsidR="00EC0B1B" w:rsidRPr="001025EA">
        <w:rPr>
          <w:rFonts w:cs="Garamond"/>
          <w:color w:val="000000"/>
        </w:rPr>
        <w:t xml:space="preserve"> in particular at the interface with the acute care sector. </w:t>
      </w:r>
      <w:r w:rsidRPr="001025EA">
        <w:rPr>
          <w:rFonts w:cs="Garamond"/>
          <w:color w:val="000000"/>
        </w:rPr>
        <w:t xml:space="preserve"> </w:t>
      </w:r>
      <w:r w:rsidR="003C1B94" w:rsidRPr="001025EA">
        <w:rPr>
          <w:rFonts w:cs="Garamond"/>
          <w:color w:val="000000"/>
        </w:rPr>
        <w:t xml:space="preserve">The governance, structure and funding arrangements for these </w:t>
      </w:r>
      <w:proofErr w:type="spellStart"/>
      <w:r w:rsidR="003C1B94" w:rsidRPr="001025EA">
        <w:rPr>
          <w:rFonts w:cs="Garamond"/>
          <w:color w:val="000000"/>
        </w:rPr>
        <w:t>organisations</w:t>
      </w:r>
      <w:proofErr w:type="spellEnd"/>
      <w:r w:rsidR="003C1B94" w:rsidRPr="001025EA">
        <w:rPr>
          <w:rFonts w:cs="Garamond"/>
          <w:color w:val="000000"/>
        </w:rPr>
        <w:t xml:space="preserve"> differ</w:t>
      </w:r>
      <w:r w:rsidR="00717423" w:rsidRPr="001025EA">
        <w:rPr>
          <w:rFonts w:cs="Garamond"/>
          <w:color w:val="000000"/>
        </w:rPr>
        <w:t xml:space="preserve"> significantly</w:t>
      </w:r>
      <w:r w:rsidR="007D1BC4" w:rsidRPr="001025EA">
        <w:rPr>
          <w:rFonts w:cs="Garamond"/>
          <w:color w:val="000000"/>
        </w:rPr>
        <w:t xml:space="preserve"> and </w:t>
      </w:r>
      <w:r w:rsidR="00717423" w:rsidRPr="001025EA">
        <w:rPr>
          <w:rFonts w:cs="Garamond"/>
          <w:color w:val="000000"/>
        </w:rPr>
        <w:t xml:space="preserve">in some instances the </w:t>
      </w:r>
      <w:proofErr w:type="spellStart"/>
      <w:r w:rsidR="00717423" w:rsidRPr="001025EA">
        <w:rPr>
          <w:rFonts w:cs="Garamond"/>
          <w:color w:val="000000"/>
        </w:rPr>
        <w:t>organisations</w:t>
      </w:r>
      <w:proofErr w:type="spellEnd"/>
      <w:r w:rsidR="00717423" w:rsidRPr="001025EA">
        <w:rPr>
          <w:rFonts w:cs="Garamond"/>
          <w:color w:val="000000"/>
        </w:rPr>
        <w:t xml:space="preserve"> have significant purchasing and commissioning roles.</w:t>
      </w:r>
      <w:r w:rsidR="003C1B94" w:rsidRPr="001025EA">
        <w:rPr>
          <w:rFonts w:cs="Garamond"/>
          <w:color w:val="000000"/>
        </w:rPr>
        <w:t xml:space="preserve">  </w:t>
      </w:r>
      <w:r w:rsidRPr="001025EA">
        <w:rPr>
          <w:rFonts w:cs="Garamond"/>
          <w:color w:val="000000"/>
        </w:rPr>
        <w:t xml:space="preserve">Experience from the UK, Canada and New Zealand has </w:t>
      </w:r>
      <w:r w:rsidR="00A83B00">
        <w:rPr>
          <w:rFonts w:cs="Garamond"/>
          <w:color w:val="000000"/>
        </w:rPr>
        <w:t>shown</w:t>
      </w:r>
      <w:r w:rsidRPr="001025EA">
        <w:rPr>
          <w:rFonts w:cs="Garamond"/>
          <w:color w:val="000000"/>
        </w:rPr>
        <w:t xml:space="preserve"> that a </w:t>
      </w:r>
      <w:r w:rsidRPr="001025EA">
        <w:rPr>
          <w:rFonts w:cs="Garamond"/>
          <w:color w:val="000000"/>
          <w:lang w:val="en-AU"/>
        </w:rPr>
        <w:t>decentralised</w:t>
      </w:r>
      <w:r w:rsidRPr="001025EA">
        <w:rPr>
          <w:rFonts w:cs="Garamond"/>
          <w:color w:val="000000"/>
        </w:rPr>
        <w:t xml:space="preserve"> regional approach can drive improvements in </w:t>
      </w:r>
      <w:r w:rsidR="0094321D" w:rsidRPr="001025EA">
        <w:rPr>
          <w:rFonts w:cs="Garamond"/>
          <w:color w:val="000000"/>
        </w:rPr>
        <w:t xml:space="preserve">the </w:t>
      </w:r>
      <w:r w:rsidRPr="001025EA">
        <w:rPr>
          <w:rFonts w:cs="Garamond"/>
          <w:color w:val="000000"/>
        </w:rPr>
        <w:t xml:space="preserve">quality of care and facilitate a more efficient and integrated health care system. </w:t>
      </w:r>
      <w:r w:rsidR="00B256E0" w:rsidRPr="001025EA">
        <w:rPr>
          <w:rFonts w:cs="Garamond"/>
          <w:color w:val="000000"/>
        </w:rPr>
        <w:t xml:space="preserve"> </w:t>
      </w:r>
      <w:r w:rsidR="0005471B" w:rsidRPr="001025EA">
        <w:rPr>
          <w:rFonts w:cs="Garamond"/>
          <w:color w:val="000000"/>
        </w:rPr>
        <w:t>In most count</w:t>
      </w:r>
      <w:r w:rsidR="00A83B00">
        <w:rPr>
          <w:rFonts w:cs="Garamond"/>
          <w:color w:val="000000"/>
        </w:rPr>
        <w:t>r</w:t>
      </w:r>
      <w:r w:rsidR="0005471B" w:rsidRPr="001025EA">
        <w:rPr>
          <w:rFonts w:cs="Garamond"/>
          <w:color w:val="000000"/>
        </w:rPr>
        <w:t>ies these approaches have evolved over time</w:t>
      </w:r>
      <w:r w:rsidR="00A83B00">
        <w:rPr>
          <w:rFonts w:cs="Garamond"/>
          <w:color w:val="000000"/>
        </w:rPr>
        <w:t xml:space="preserve"> as learnings take place</w:t>
      </w:r>
      <w:r w:rsidR="0005471B" w:rsidRPr="001025EA">
        <w:rPr>
          <w:rFonts w:cs="Garamond"/>
          <w:color w:val="000000"/>
        </w:rPr>
        <w:t>.</w:t>
      </w:r>
      <w:r w:rsidR="007D1BC4" w:rsidRPr="001025EA">
        <w:rPr>
          <w:rFonts w:cs="Garamond"/>
          <w:color w:val="000000"/>
        </w:rPr>
        <w:t xml:space="preserve">  System change takes time</w:t>
      </w:r>
      <w:r w:rsidR="0094321D" w:rsidRPr="001025EA">
        <w:rPr>
          <w:rFonts w:cs="Garamond"/>
          <w:color w:val="000000"/>
        </w:rPr>
        <w:t>,</w:t>
      </w:r>
      <w:r w:rsidR="007D1BC4" w:rsidRPr="001025EA">
        <w:rPr>
          <w:rFonts w:cs="Garamond"/>
          <w:color w:val="000000"/>
        </w:rPr>
        <w:t xml:space="preserve"> and for most of these countries</w:t>
      </w:r>
      <w:r w:rsidR="0094321D" w:rsidRPr="001025EA">
        <w:rPr>
          <w:rFonts w:cs="Garamond"/>
          <w:color w:val="000000"/>
        </w:rPr>
        <w:t>,</w:t>
      </w:r>
      <w:r w:rsidR="007D1BC4" w:rsidRPr="001025EA">
        <w:rPr>
          <w:rFonts w:cs="Garamond"/>
          <w:color w:val="000000"/>
        </w:rPr>
        <w:t xml:space="preserve"> </w:t>
      </w:r>
      <w:r w:rsidR="00A83B00">
        <w:rPr>
          <w:rFonts w:cs="Garamond"/>
          <w:color w:val="000000"/>
        </w:rPr>
        <w:t xml:space="preserve">effective </w:t>
      </w:r>
      <w:r w:rsidR="007D1BC4" w:rsidRPr="001025EA">
        <w:rPr>
          <w:rFonts w:cs="Garamond"/>
          <w:color w:val="000000"/>
        </w:rPr>
        <w:t xml:space="preserve">primary health care </w:t>
      </w:r>
      <w:proofErr w:type="spellStart"/>
      <w:r w:rsidR="007D1BC4" w:rsidRPr="001025EA">
        <w:rPr>
          <w:rFonts w:cs="Garamond"/>
          <w:color w:val="000000"/>
        </w:rPr>
        <w:t>organisations</w:t>
      </w:r>
      <w:proofErr w:type="spellEnd"/>
      <w:r w:rsidR="007D1BC4" w:rsidRPr="001025EA">
        <w:rPr>
          <w:rFonts w:cs="Garamond"/>
          <w:color w:val="000000"/>
        </w:rPr>
        <w:t xml:space="preserve"> are </w:t>
      </w:r>
      <w:r w:rsidR="00A83B00">
        <w:rPr>
          <w:rFonts w:cs="Garamond"/>
          <w:color w:val="000000"/>
        </w:rPr>
        <w:t xml:space="preserve">continually </w:t>
      </w:r>
      <w:r w:rsidR="007D1BC4" w:rsidRPr="001025EA">
        <w:rPr>
          <w:rFonts w:cs="Garamond"/>
          <w:color w:val="000000"/>
        </w:rPr>
        <w:t>evolving entities.</w:t>
      </w:r>
    </w:p>
    <w:p w:rsidR="00B256E0" w:rsidRPr="001025EA" w:rsidRDefault="00B256E0" w:rsidP="0005471B">
      <w:pPr>
        <w:pStyle w:val="Heading2"/>
      </w:pPr>
      <w:bookmarkStart w:id="13" w:name="_Toc380667426"/>
      <w:bookmarkStart w:id="14" w:name="_Toc387644726"/>
      <w:bookmarkEnd w:id="13"/>
      <w:r w:rsidRPr="001025EA">
        <w:t>Medicare Locals</w:t>
      </w:r>
      <w:bookmarkEnd w:id="14"/>
    </w:p>
    <w:p w:rsidR="00DD3801" w:rsidRPr="001025EA" w:rsidRDefault="00DD3801" w:rsidP="007D529D">
      <w:pPr>
        <w:pStyle w:val="EYBodytextwithparaspace"/>
      </w:pPr>
      <w:r w:rsidRPr="001025EA">
        <w:t>As part of the Council of Australian Governments’ (COAG) National Health Reform Agreement (2011), the Commonwealth Government agreed to fund Medicare Locals</w:t>
      </w:r>
      <w:r w:rsidRPr="001025EA">
        <w:rPr>
          <w:rFonts w:cs="Calibri"/>
          <w:color w:val="000000"/>
        </w:rPr>
        <w:t xml:space="preserve"> to improve coordination and integration of primary health care in local communities, address service gaps, and make it easier for patients to navigate their local health care system.  </w:t>
      </w:r>
      <w:r w:rsidRPr="001025EA">
        <w:t xml:space="preserve">Medicare Locals are expected to fully engage with the primary health care sector, </w:t>
      </w:r>
      <w:r w:rsidRPr="001025EA">
        <w:rPr>
          <w:lang w:eastAsia="en-AU"/>
        </w:rPr>
        <w:t xml:space="preserve">communities, the Aboriginal Community Controlled Health Service (ACCHS) </w:t>
      </w:r>
      <w:r w:rsidR="006A7070" w:rsidRPr="001025EA">
        <w:rPr>
          <w:lang w:eastAsia="en-AU"/>
        </w:rPr>
        <w:t>s</w:t>
      </w:r>
      <w:r w:rsidRPr="001025EA">
        <w:rPr>
          <w:lang w:eastAsia="en-AU"/>
        </w:rPr>
        <w:t xml:space="preserve">ector, and Local Hospital Networks (LHNs).  Their establishment was built on the </w:t>
      </w:r>
      <w:r w:rsidRPr="001025EA">
        <w:rPr>
          <w:rFonts w:cs="Calibri"/>
          <w:color w:val="000000"/>
        </w:rPr>
        <w:t>foundations of Divisions of General Practice (DGPs).</w:t>
      </w:r>
    </w:p>
    <w:p w:rsidR="00DD3801" w:rsidRPr="001025EA" w:rsidRDefault="00DD3801" w:rsidP="007D529D">
      <w:pPr>
        <w:pStyle w:val="EYBodytextwithparaspace"/>
        <w:rPr>
          <w:rFonts w:cs="Calibri"/>
          <w:color w:val="000000"/>
        </w:rPr>
      </w:pPr>
      <w:r w:rsidRPr="001025EA">
        <w:rPr>
          <w:rFonts w:cs="Calibri"/>
          <w:color w:val="000000"/>
        </w:rPr>
        <w:t>Medicare Locals were established as no</w:t>
      </w:r>
      <w:r w:rsidR="006A7070" w:rsidRPr="001025EA">
        <w:rPr>
          <w:rFonts w:cs="Calibri"/>
          <w:color w:val="000000"/>
        </w:rPr>
        <w:t>t</w:t>
      </w:r>
      <w:r w:rsidRPr="001025EA">
        <w:rPr>
          <w:rFonts w:cs="Calibri"/>
          <w:color w:val="000000"/>
        </w:rPr>
        <w:t xml:space="preserve">-for-profit companies in three ‘tranches’ in July 2011 </w:t>
      </w:r>
      <w:r w:rsidR="006A7070" w:rsidRPr="001025EA">
        <w:rPr>
          <w:rFonts w:cs="Calibri"/>
          <w:color w:val="000000"/>
        </w:rPr>
        <w:br/>
      </w:r>
      <w:r w:rsidRPr="001025EA">
        <w:rPr>
          <w:rFonts w:cs="Calibri"/>
          <w:color w:val="000000"/>
        </w:rPr>
        <w:t xml:space="preserve">(19 Medicare Locals), January 2012 (18) and July 2012 (24).  The Commonwealth also established the Australian Medicare Local Alliance (AML Alliance) in July 2012 as </w:t>
      </w:r>
      <w:r w:rsidR="006A7070" w:rsidRPr="001025EA">
        <w:rPr>
          <w:rFonts w:cs="Calibri"/>
          <w:color w:val="000000"/>
        </w:rPr>
        <w:t xml:space="preserve">the </w:t>
      </w:r>
      <w:r w:rsidRPr="001025EA">
        <w:rPr>
          <w:rFonts w:cs="Calibri"/>
          <w:color w:val="000000"/>
        </w:rPr>
        <w:t>peak body to support the network of 61 Medicare Locals.</w:t>
      </w:r>
    </w:p>
    <w:p w:rsidR="00DD3801" w:rsidRPr="001025EA" w:rsidRDefault="00DD3801" w:rsidP="007D529D">
      <w:pPr>
        <w:pStyle w:val="EYBodytextwithparaspace"/>
        <w:rPr>
          <w:rFonts w:eastAsia="Calibri" w:cstheme="minorHAnsi"/>
        </w:rPr>
      </w:pPr>
      <w:r w:rsidRPr="001025EA">
        <w:rPr>
          <w:rFonts w:eastAsia="Calibri" w:cstheme="minorHAnsi"/>
        </w:rPr>
        <w:t xml:space="preserve">The Department of </w:t>
      </w:r>
      <w:r w:rsidRPr="00CB7729">
        <w:rPr>
          <w:rFonts w:eastAsia="Calibri" w:cstheme="minorHAnsi"/>
        </w:rPr>
        <w:t xml:space="preserve">Health is </w:t>
      </w:r>
      <w:r w:rsidR="00CB7729" w:rsidRPr="00CB7729">
        <w:rPr>
          <w:rFonts w:eastAsia="Calibri" w:cstheme="minorHAnsi"/>
        </w:rPr>
        <w:t xml:space="preserve">generally </w:t>
      </w:r>
      <w:r w:rsidRPr="00CB7729">
        <w:rPr>
          <w:rFonts w:eastAsia="Calibri" w:cstheme="minorHAnsi"/>
        </w:rPr>
        <w:t>the principal funder of Medicare Locals, with funding provided under a Deed for Funding (the Deed) amounting to over</w:t>
      </w:r>
      <w:r w:rsidRPr="001025EA">
        <w:rPr>
          <w:rFonts w:eastAsia="Calibri" w:cstheme="minorHAnsi"/>
        </w:rPr>
        <w:t xml:space="preserve"> $1.8 billion (GST exclusive) over five years (2011/12 to 2015/16) through the </w:t>
      </w:r>
      <w:r w:rsidRPr="001025EA">
        <w:rPr>
          <w:rFonts w:eastAsia="Calibri" w:cstheme="minorHAnsi"/>
          <w:i/>
        </w:rPr>
        <w:t>Regionally Tailored Primary Health Care Initiatives through Medicare Locals Fund</w:t>
      </w:r>
      <w:r w:rsidR="002A42A3" w:rsidRPr="001025EA">
        <w:rPr>
          <w:rFonts w:eastAsia="Calibri" w:cstheme="minorHAnsi"/>
        </w:rPr>
        <w:t xml:space="preserve">; </w:t>
      </w:r>
      <w:r w:rsidRPr="001025EA">
        <w:rPr>
          <w:rFonts w:eastAsia="Calibri" w:cstheme="minorHAnsi"/>
        </w:rPr>
        <w:t>and</w:t>
      </w:r>
      <w:r w:rsidR="002A42A3" w:rsidRPr="001025EA">
        <w:rPr>
          <w:rFonts w:eastAsia="Calibri" w:cstheme="minorHAnsi"/>
        </w:rPr>
        <w:t xml:space="preserve">, </w:t>
      </w:r>
      <w:r w:rsidR="000C3A83" w:rsidRPr="001025EA">
        <w:rPr>
          <w:rFonts w:eastAsia="Calibri" w:cstheme="minorHAnsi"/>
        </w:rPr>
        <w:t xml:space="preserve">around </w:t>
      </w:r>
      <w:r w:rsidRPr="001025EA">
        <w:rPr>
          <w:rFonts w:eastAsia="Calibri" w:cstheme="minorHAnsi"/>
        </w:rPr>
        <w:t>$</w:t>
      </w:r>
      <w:r w:rsidR="000C3A83" w:rsidRPr="001025EA">
        <w:rPr>
          <w:rFonts w:eastAsia="Calibri" w:cstheme="minorHAnsi"/>
        </w:rPr>
        <w:t xml:space="preserve">800 million </w:t>
      </w:r>
      <w:r w:rsidRPr="001025EA">
        <w:rPr>
          <w:rFonts w:eastAsia="Calibri" w:cstheme="minorHAnsi"/>
        </w:rPr>
        <w:t xml:space="preserve">(GST exclusive) </w:t>
      </w:r>
      <w:r w:rsidR="002A42A3" w:rsidRPr="001025EA">
        <w:rPr>
          <w:rFonts w:eastAsia="Calibri" w:cstheme="minorHAnsi"/>
        </w:rPr>
        <w:t xml:space="preserve">over </w:t>
      </w:r>
      <w:r w:rsidR="002A42A3" w:rsidRPr="001025EA">
        <w:rPr>
          <w:rFonts w:cs="Garamond"/>
          <w:color w:val="000000"/>
        </w:rPr>
        <w:t xml:space="preserve">five years (2011/12 to 2015/16) </w:t>
      </w:r>
      <w:r w:rsidRPr="001025EA">
        <w:rPr>
          <w:rFonts w:eastAsia="Calibri" w:cstheme="minorHAnsi"/>
        </w:rPr>
        <w:t>through 31</w:t>
      </w:r>
      <w:r w:rsidR="001D0A9B">
        <w:rPr>
          <w:rFonts w:eastAsia="Calibri" w:cstheme="minorHAnsi"/>
        </w:rPr>
        <w:t xml:space="preserve"> current</w:t>
      </w:r>
      <w:r w:rsidRPr="001025EA">
        <w:rPr>
          <w:rFonts w:eastAsia="Calibri" w:cstheme="minorHAnsi"/>
        </w:rPr>
        <w:t xml:space="preserve"> </w:t>
      </w:r>
      <w:proofErr w:type="spellStart"/>
      <w:r w:rsidRPr="001025EA">
        <w:rPr>
          <w:rFonts w:eastAsia="Calibri" w:cstheme="minorHAnsi"/>
        </w:rPr>
        <w:t>Programme</w:t>
      </w:r>
      <w:proofErr w:type="spellEnd"/>
      <w:r w:rsidRPr="001025EA">
        <w:rPr>
          <w:rFonts w:eastAsia="Calibri" w:cstheme="minorHAnsi"/>
        </w:rPr>
        <w:t xml:space="preserve"> Schedules.  </w:t>
      </w:r>
      <w:r w:rsidR="000C3A83" w:rsidRPr="001025EA">
        <w:rPr>
          <w:rFonts w:eastAsia="Calibri" w:cstheme="minorHAnsi"/>
        </w:rPr>
        <w:t xml:space="preserve">The number of </w:t>
      </w:r>
      <w:proofErr w:type="spellStart"/>
      <w:r w:rsidR="000C3A83" w:rsidRPr="001025EA">
        <w:rPr>
          <w:rFonts w:eastAsia="Calibri" w:cstheme="minorHAnsi"/>
        </w:rPr>
        <w:t>p</w:t>
      </w:r>
      <w:r w:rsidRPr="001025EA">
        <w:rPr>
          <w:rFonts w:eastAsia="Calibri" w:cstheme="minorHAnsi"/>
        </w:rPr>
        <w:t>rogramme</w:t>
      </w:r>
      <w:proofErr w:type="spellEnd"/>
      <w:r w:rsidRPr="001025EA">
        <w:rPr>
          <w:rFonts w:eastAsia="Calibri" w:cstheme="minorHAnsi"/>
        </w:rPr>
        <w:t xml:space="preserve"> schedule</w:t>
      </w:r>
      <w:r w:rsidR="000C3A83" w:rsidRPr="001025EA">
        <w:rPr>
          <w:rFonts w:eastAsia="Calibri" w:cstheme="minorHAnsi"/>
        </w:rPr>
        <w:t>s</w:t>
      </w:r>
      <w:r w:rsidRPr="001025EA">
        <w:rPr>
          <w:rFonts w:eastAsia="Calibri" w:cstheme="minorHAnsi"/>
        </w:rPr>
        <w:t xml:space="preserve"> </w:t>
      </w:r>
      <w:r w:rsidR="000C3A83" w:rsidRPr="001025EA">
        <w:rPr>
          <w:rFonts w:eastAsia="Calibri" w:cstheme="minorHAnsi"/>
        </w:rPr>
        <w:t>across Medicare Locals is v</w:t>
      </w:r>
      <w:r w:rsidRPr="001025EA">
        <w:rPr>
          <w:rFonts w:eastAsia="Calibri" w:cstheme="minorHAnsi"/>
        </w:rPr>
        <w:t>ariable and range</w:t>
      </w:r>
      <w:r w:rsidR="000C3A83" w:rsidRPr="001025EA">
        <w:rPr>
          <w:rFonts w:eastAsia="Calibri" w:cstheme="minorHAnsi"/>
        </w:rPr>
        <w:t>s</w:t>
      </w:r>
      <w:r w:rsidRPr="001025EA">
        <w:rPr>
          <w:rFonts w:eastAsia="Calibri" w:cstheme="minorHAnsi"/>
        </w:rPr>
        <w:t xml:space="preserve"> from four to 13.</w:t>
      </w:r>
    </w:p>
    <w:p w:rsidR="00DD3801" w:rsidRPr="001025EA" w:rsidRDefault="00DD3801" w:rsidP="007D529D">
      <w:pPr>
        <w:pStyle w:val="EYBodytextwithparaspace"/>
      </w:pPr>
      <w:r w:rsidRPr="001025EA">
        <w:t xml:space="preserve">The Department of Health funds the AML Alliance to around $4 million (GST exclusive) per annum to coordinate and support state functions and assist Medicare Locals achieve their objectives.  This funding is committed until June 2016.  The AML Alliance also receives additional </w:t>
      </w:r>
      <w:proofErr w:type="spellStart"/>
      <w:r w:rsidRPr="001025EA">
        <w:t>programme</w:t>
      </w:r>
      <w:proofErr w:type="spellEnd"/>
      <w:r w:rsidRPr="001025EA">
        <w:t xml:space="preserve"> funding of around $31.8 million (2013/14 and 2014/15) to support the national roll out of </w:t>
      </w:r>
      <w:proofErr w:type="spellStart"/>
      <w:r w:rsidRPr="001025EA">
        <w:t>programmes</w:t>
      </w:r>
      <w:proofErr w:type="spellEnd"/>
      <w:r w:rsidRPr="001025EA">
        <w:t xml:space="preserve"> through the network (such as Closing the Gap initiatives) and broader workforce, </w:t>
      </w:r>
      <w:proofErr w:type="spellStart"/>
      <w:r w:rsidRPr="001025EA">
        <w:t>immunisation</w:t>
      </w:r>
      <w:proofErr w:type="spellEnd"/>
      <w:r w:rsidRPr="001025EA">
        <w:t xml:space="preserve"> and capacity development. </w:t>
      </w:r>
    </w:p>
    <w:p w:rsidR="0042315F" w:rsidRPr="001025EA" w:rsidRDefault="00BA0661" w:rsidP="007D529D">
      <w:pPr>
        <w:pStyle w:val="EYBodytextwithparaspace"/>
        <w:rPr>
          <w:lang w:eastAsia="en-AU"/>
        </w:rPr>
      </w:pPr>
      <w:r w:rsidRPr="00E47332">
        <w:t xml:space="preserve">The government of the day mandated in-depth reporting of processes.  </w:t>
      </w:r>
      <w:r w:rsidR="00DD3801" w:rsidRPr="00E47332">
        <w:t xml:space="preserve">The Deed </w:t>
      </w:r>
      <w:r w:rsidR="00AC182B" w:rsidRPr="00E47332">
        <w:t xml:space="preserve">is </w:t>
      </w:r>
      <w:r w:rsidR="00DD3801" w:rsidRPr="00E47332">
        <w:t>common to all Medicare Locals</w:t>
      </w:r>
      <w:r w:rsidR="00AC182B" w:rsidRPr="00E47332">
        <w:t xml:space="preserve"> with</w:t>
      </w:r>
      <w:r w:rsidR="00187C08" w:rsidRPr="00E47332">
        <w:t xml:space="preserve"> </w:t>
      </w:r>
      <w:proofErr w:type="spellStart"/>
      <w:r w:rsidR="00DD3801" w:rsidRPr="00E47332">
        <w:t>programme</w:t>
      </w:r>
      <w:proofErr w:type="spellEnd"/>
      <w:r w:rsidR="00DD3801" w:rsidRPr="00E47332">
        <w:t xml:space="preserve"> schedules </w:t>
      </w:r>
      <w:r w:rsidR="00AC182B" w:rsidRPr="00E47332">
        <w:t xml:space="preserve">that specify </w:t>
      </w:r>
      <w:r w:rsidR="00DD3801" w:rsidRPr="00E47332">
        <w:t>reporting requirements.</w:t>
      </w:r>
      <w:r w:rsidR="00DD3801" w:rsidRPr="001025EA">
        <w:t xml:space="preserve">  Reporting is generally six monthly, however the type and quantity of information varies according to each schedule.  A Medicare Locals Accreditation Scheme </w:t>
      </w:r>
      <w:r w:rsidR="006A7070" w:rsidRPr="001025EA">
        <w:t xml:space="preserve">is </w:t>
      </w:r>
      <w:r w:rsidR="00DD3801" w:rsidRPr="001025EA">
        <w:t>be</w:t>
      </w:r>
      <w:r w:rsidR="006A7070" w:rsidRPr="001025EA">
        <w:t xml:space="preserve">ing </w:t>
      </w:r>
      <w:r w:rsidR="00DD3801" w:rsidRPr="001025EA">
        <w:t xml:space="preserve">implemented to ensure Medicare Locals adhere to best practice </w:t>
      </w:r>
      <w:proofErr w:type="spellStart"/>
      <w:r w:rsidR="00DD3801" w:rsidRPr="001025EA">
        <w:t>organisational</w:t>
      </w:r>
      <w:proofErr w:type="spellEnd"/>
      <w:r w:rsidR="00DD3801" w:rsidRPr="001025EA">
        <w:t xml:space="preserve"> management and service delivery processes.  The National Health Performance Authority (NHPA) is responsible for reporting on the outcome performance of Medicare Locals in Healthy Communities Reports that detail performance against a Commonwealth-state agreed Performance and Accountability Framework.</w:t>
      </w:r>
    </w:p>
    <w:p w:rsidR="00421F64" w:rsidRPr="001025EA" w:rsidRDefault="00421F64" w:rsidP="00421F64">
      <w:pPr>
        <w:pStyle w:val="Heading2"/>
      </w:pPr>
      <w:bookmarkStart w:id="15" w:name="_Toc387644727"/>
      <w:r w:rsidRPr="001025EA">
        <w:t>Terms of Reference</w:t>
      </w:r>
      <w:bookmarkEnd w:id="15"/>
    </w:p>
    <w:p w:rsidR="00017CC5" w:rsidRPr="001025EA" w:rsidRDefault="002A2C5C" w:rsidP="00494DD4">
      <w:pPr>
        <w:pStyle w:val="EYBodytextwithparaspace"/>
        <w:spacing w:after="180"/>
      </w:pPr>
      <w:r w:rsidRPr="001025EA">
        <w:t xml:space="preserve">The Minister for Health announced on </w:t>
      </w:r>
      <w:r w:rsidR="00E20C62" w:rsidRPr="001025EA">
        <w:t xml:space="preserve">16 December 2013 </w:t>
      </w:r>
      <w:r w:rsidR="00017CC5" w:rsidRPr="001025EA">
        <w:t>Terms of Reference for</w:t>
      </w:r>
      <w:r w:rsidRPr="001025EA">
        <w:t xml:space="preserve"> the Review to </w:t>
      </w:r>
      <w:r w:rsidR="00017CC5" w:rsidRPr="001025EA">
        <w:t>consider:</w:t>
      </w:r>
    </w:p>
    <w:p w:rsidR="009357ED" w:rsidRPr="001025EA" w:rsidRDefault="00720284" w:rsidP="00647297">
      <w:pPr>
        <w:pStyle w:val="ListParagraph"/>
        <w:numPr>
          <w:ilvl w:val="0"/>
          <w:numId w:val="5"/>
        </w:numPr>
        <w:autoSpaceDE w:val="0"/>
        <w:autoSpaceDN w:val="0"/>
        <w:adjustRightInd w:val="0"/>
        <w:spacing w:before="60" w:after="60"/>
        <w:ind w:left="714" w:hanging="357"/>
        <w:contextualSpacing w:val="0"/>
        <w:rPr>
          <w:color w:val="000000"/>
        </w:rPr>
      </w:pPr>
      <w:r w:rsidRPr="001025EA">
        <w:rPr>
          <w:color w:val="000000"/>
        </w:rPr>
        <w:t>T</w:t>
      </w:r>
      <w:r w:rsidR="009357ED" w:rsidRPr="001025EA">
        <w:rPr>
          <w:color w:val="000000"/>
        </w:rPr>
        <w:t>he role of Medicare Locals and their performance against stated objectives</w:t>
      </w:r>
      <w:r w:rsidRPr="001025EA">
        <w:rPr>
          <w:color w:val="000000"/>
        </w:rPr>
        <w:t>.</w:t>
      </w:r>
    </w:p>
    <w:p w:rsidR="009357ED" w:rsidRPr="001025EA" w:rsidRDefault="00720284" w:rsidP="00647297">
      <w:pPr>
        <w:pStyle w:val="ListParagraph"/>
        <w:numPr>
          <w:ilvl w:val="0"/>
          <w:numId w:val="5"/>
        </w:numPr>
        <w:autoSpaceDE w:val="0"/>
        <w:autoSpaceDN w:val="0"/>
        <w:adjustRightInd w:val="0"/>
        <w:spacing w:before="60" w:after="60"/>
        <w:ind w:left="714" w:hanging="357"/>
        <w:contextualSpacing w:val="0"/>
        <w:rPr>
          <w:color w:val="000000"/>
        </w:rPr>
      </w:pPr>
      <w:r w:rsidRPr="001025EA">
        <w:rPr>
          <w:color w:val="000000"/>
        </w:rPr>
        <w:t>T</w:t>
      </w:r>
      <w:r w:rsidR="009357ED" w:rsidRPr="001025EA">
        <w:rPr>
          <w:color w:val="000000"/>
        </w:rPr>
        <w:t>he performance of Medicare Locals in administering existing programmes, including after-hours</w:t>
      </w:r>
      <w:r w:rsidRPr="001025EA">
        <w:rPr>
          <w:color w:val="000000"/>
        </w:rPr>
        <w:t>.</w:t>
      </w:r>
    </w:p>
    <w:p w:rsidR="009357ED" w:rsidRPr="001025EA" w:rsidRDefault="00720284" w:rsidP="00647297">
      <w:pPr>
        <w:pStyle w:val="ListParagraph"/>
        <w:numPr>
          <w:ilvl w:val="0"/>
          <w:numId w:val="5"/>
        </w:numPr>
        <w:autoSpaceDE w:val="0"/>
        <w:autoSpaceDN w:val="0"/>
        <w:adjustRightInd w:val="0"/>
        <w:spacing w:before="60" w:after="60"/>
        <w:ind w:left="714" w:hanging="357"/>
        <w:contextualSpacing w:val="0"/>
        <w:rPr>
          <w:color w:val="000000"/>
        </w:rPr>
      </w:pPr>
      <w:r w:rsidRPr="001025EA">
        <w:rPr>
          <w:color w:val="000000"/>
        </w:rPr>
        <w:t>R</w:t>
      </w:r>
      <w:r w:rsidR="009357ED" w:rsidRPr="001025EA">
        <w:rPr>
          <w:color w:val="000000"/>
        </w:rPr>
        <w:t>ecognising general practice as the cornerstone of primary care in the functions and governance structures of Medicare Locals</w:t>
      </w:r>
      <w:r w:rsidRPr="001025EA">
        <w:rPr>
          <w:color w:val="000000"/>
        </w:rPr>
        <w:t>.</w:t>
      </w:r>
    </w:p>
    <w:p w:rsidR="009357ED" w:rsidRPr="001025EA" w:rsidRDefault="00720284" w:rsidP="00647297">
      <w:pPr>
        <w:pStyle w:val="ListParagraph"/>
        <w:numPr>
          <w:ilvl w:val="0"/>
          <w:numId w:val="5"/>
        </w:numPr>
        <w:autoSpaceDE w:val="0"/>
        <w:autoSpaceDN w:val="0"/>
        <w:adjustRightInd w:val="0"/>
        <w:spacing w:before="60" w:after="60"/>
        <w:ind w:left="714" w:hanging="357"/>
        <w:contextualSpacing w:val="0"/>
        <w:rPr>
          <w:color w:val="000000"/>
        </w:rPr>
      </w:pPr>
      <w:r w:rsidRPr="001025EA">
        <w:rPr>
          <w:color w:val="000000"/>
        </w:rPr>
        <w:t>E</w:t>
      </w:r>
      <w:r w:rsidR="009357ED" w:rsidRPr="001025EA">
        <w:rPr>
          <w:color w:val="000000"/>
        </w:rPr>
        <w:t>nsuring Commonwealth funding supports clinical services, rather than administration</w:t>
      </w:r>
      <w:r w:rsidRPr="001025EA">
        <w:rPr>
          <w:color w:val="000000"/>
        </w:rPr>
        <w:t>.</w:t>
      </w:r>
    </w:p>
    <w:p w:rsidR="009357ED" w:rsidRPr="001025EA" w:rsidRDefault="00720284" w:rsidP="00647297">
      <w:pPr>
        <w:pStyle w:val="ListParagraph"/>
        <w:numPr>
          <w:ilvl w:val="0"/>
          <w:numId w:val="5"/>
        </w:numPr>
        <w:autoSpaceDE w:val="0"/>
        <w:autoSpaceDN w:val="0"/>
        <w:adjustRightInd w:val="0"/>
        <w:spacing w:before="60" w:after="60"/>
        <w:ind w:left="714" w:hanging="357"/>
        <w:contextualSpacing w:val="0"/>
        <w:rPr>
          <w:color w:val="000000"/>
        </w:rPr>
      </w:pPr>
      <w:r w:rsidRPr="001025EA">
        <w:rPr>
          <w:color w:val="000000"/>
        </w:rPr>
        <w:t>A</w:t>
      </w:r>
      <w:r w:rsidR="009357ED" w:rsidRPr="001025EA">
        <w:rPr>
          <w:color w:val="000000"/>
        </w:rPr>
        <w:t>ssessing processes for determining market failure and service intervention, so existing clinical services a</w:t>
      </w:r>
      <w:r w:rsidRPr="001025EA">
        <w:rPr>
          <w:color w:val="000000"/>
        </w:rPr>
        <w:t>re not disrupted or discouraged.</w:t>
      </w:r>
    </w:p>
    <w:p w:rsidR="009357ED" w:rsidRPr="001025EA" w:rsidRDefault="00720284" w:rsidP="00647297">
      <w:pPr>
        <w:pStyle w:val="ListParagraph"/>
        <w:numPr>
          <w:ilvl w:val="0"/>
          <w:numId w:val="5"/>
        </w:numPr>
        <w:autoSpaceDE w:val="0"/>
        <w:autoSpaceDN w:val="0"/>
        <w:adjustRightInd w:val="0"/>
        <w:spacing w:before="60" w:after="60"/>
        <w:ind w:left="714" w:hanging="357"/>
        <w:contextualSpacing w:val="0"/>
        <w:rPr>
          <w:color w:val="000000"/>
        </w:rPr>
      </w:pPr>
      <w:r w:rsidRPr="001025EA">
        <w:rPr>
          <w:color w:val="000000"/>
        </w:rPr>
        <w:t>E</w:t>
      </w:r>
      <w:r w:rsidR="009357ED" w:rsidRPr="001025EA">
        <w:rPr>
          <w:color w:val="000000"/>
        </w:rPr>
        <w:t xml:space="preserve">valuating the practical interaction with Local Hospital Networks and health </w:t>
      </w:r>
      <w:r w:rsidRPr="001025EA">
        <w:rPr>
          <w:color w:val="000000"/>
        </w:rPr>
        <w:t>services, including boundaries.</w:t>
      </w:r>
    </w:p>
    <w:p w:rsidR="009357ED" w:rsidRPr="001025EA" w:rsidRDefault="00720284" w:rsidP="00647297">
      <w:pPr>
        <w:pStyle w:val="ListParagraph"/>
        <w:numPr>
          <w:ilvl w:val="0"/>
          <w:numId w:val="5"/>
        </w:numPr>
        <w:autoSpaceDE w:val="0"/>
        <w:autoSpaceDN w:val="0"/>
        <w:adjustRightInd w:val="0"/>
        <w:spacing w:before="60" w:after="60"/>
        <w:ind w:left="714" w:hanging="357"/>
        <w:contextualSpacing w:val="0"/>
        <w:rPr>
          <w:color w:val="000000"/>
        </w:rPr>
      </w:pPr>
      <w:r w:rsidRPr="001025EA">
        <w:rPr>
          <w:color w:val="000000"/>
        </w:rPr>
        <w:t>T</w:t>
      </w:r>
      <w:r w:rsidR="009357ED" w:rsidRPr="001025EA">
        <w:rPr>
          <w:color w:val="000000"/>
        </w:rPr>
        <w:t>endering a</w:t>
      </w:r>
      <w:r w:rsidRPr="001025EA">
        <w:rPr>
          <w:color w:val="000000"/>
        </w:rPr>
        <w:t>nd contracting arrangements.</w:t>
      </w:r>
    </w:p>
    <w:p w:rsidR="009357ED" w:rsidRPr="001025EA" w:rsidRDefault="00720284" w:rsidP="00647297">
      <w:pPr>
        <w:pStyle w:val="ListParagraph"/>
        <w:numPr>
          <w:ilvl w:val="0"/>
          <w:numId w:val="5"/>
        </w:numPr>
        <w:spacing w:before="60" w:after="60"/>
        <w:ind w:left="714" w:hanging="357"/>
        <w:contextualSpacing w:val="0"/>
      </w:pPr>
      <w:r w:rsidRPr="001025EA">
        <w:rPr>
          <w:color w:val="000000"/>
        </w:rPr>
        <w:t>A</w:t>
      </w:r>
      <w:r w:rsidR="009357ED" w:rsidRPr="001025EA">
        <w:rPr>
          <w:color w:val="000000"/>
        </w:rPr>
        <w:t>ny other related matters.</w:t>
      </w:r>
    </w:p>
    <w:p w:rsidR="00DD3801" w:rsidRPr="001025EA" w:rsidRDefault="00DD3801" w:rsidP="00227F9D">
      <w:pPr>
        <w:spacing w:beforeLines="60" w:before="144" w:after="60"/>
        <w:rPr>
          <w:color w:val="000000"/>
          <w:sz w:val="22"/>
        </w:rPr>
      </w:pPr>
      <w:r w:rsidRPr="001025EA">
        <w:t xml:space="preserve">He subsequently appointed me to </w:t>
      </w:r>
      <w:r w:rsidRPr="001025EA">
        <w:rPr>
          <w:color w:val="000000"/>
        </w:rPr>
        <w:t>consider the information gathered and provide independent advice to the Government.</w:t>
      </w:r>
    </w:p>
    <w:p w:rsidR="00421F64" w:rsidRPr="001025EA" w:rsidRDefault="00421F64" w:rsidP="00421F64">
      <w:pPr>
        <w:pStyle w:val="Heading2"/>
      </w:pPr>
      <w:bookmarkStart w:id="16" w:name="_Toc387644728"/>
      <w:r w:rsidRPr="001025EA">
        <w:t>Methods of the Review</w:t>
      </w:r>
      <w:bookmarkEnd w:id="16"/>
    </w:p>
    <w:p w:rsidR="00DD3801" w:rsidRPr="001025EA" w:rsidRDefault="00DD3801" w:rsidP="00494DD4">
      <w:pPr>
        <w:pStyle w:val="EYBodytextwithparaspace"/>
        <w:spacing w:after="180"/>
      </w:pPr>
      <w:r w:rsidRPr="001025EA">
        <w:t>The Review incorporates four distinct and independent components, all of which I have considered in forming my conclusions:</w:t>
      </w:r>
    </w:p>
    <w:p w:rsidR="00C073FF" w:rsidRPr="001025EA" w:rsidRDefault="00E87EE9" w:rsidP="00647297">
      <w:pPr>
        <w:pStyle w:val="ListParagraph"/>
        <w:numPr>
          <w:ilvl w:val="0"/>
          <w:numId w:val="6"/>
        </w:numPr>
        <w:spacing w:before="60" w:after="60"/>
        <w:ind w:left="777" w:hanging="357"/>
        <w:contextualSpacing w:val="0"/>
      </w:pPr>
      <w:r w:rsidRPr="001025EA">
        <w:rPr>
          <w:i/>
        </w:rPr>
        <w:t>A</w:t>
      </w:r>
      <w:r w:rsidR="006A06BC" w:rsidRPr="001025EA">
        <w:rPr>
          <w:i/>
        </w:rPr>
        <w:t xml:space="preserve"> </w:t>
      </w:r>
      <w:r w:rsidR="000A44CA" w:rsidRPr="001025EA">
        <w:rPr>
          <w:i/>
        </w:rPr>
        <w:t>r</w:t>
      </w:r>
      <w:r w:rsidR="00D255CF" w:rsidRPr="001025EA">
        <w:rPr>
          <w:i/>
        </w:rPr>
        <w:t>eview</w:t>
      </w:r>
      <w:r w:rsidR="00E20C62" w:rsidRPr="001025EA">
        <w:rPr>
          <w:i/>
        </w:rPr>
        <w:t xml:space="preserve"> </w:t>
      </w:r>
      <w:r w:rsidR="00D255CF" w:rsidRPr="001025EA">
        <w:rPr>
          <w:i/>
        </w:rPr>
        <w:t>on the f</w:t>
      </w:r>
      <w:r w:rsidR="000A44CA" w:rsidRPr="001025EA">
        <w:rPr>
          <w:i/>
        </w:rPr>
        <w:t>unctioning of Medicare Locals</w:t>
      </w:r>
      <w:r w:rsidRPr="001025EA">
        <w:t>:</w:t>
      </w:r>
      <w:r w:rsidR="009E1050" w:rsidRPr="001025EA">
        <w:t xml:space="preserve">  </w:t>
      </w:r>
      <w:r w:rsidRPr="001025EA">
        <w:t>Conducted by Ernst &amp; Young</w:t>
      </w:r>
      <w:r w:rsidR="00DD3801" w:rsidRPr="001025EA">
        <w:t xml:space="preserve"> (EY)</w:t>
      </w:r>
      <w:r w:rsidR="00A50C29" w:rsidRPr="001025EA">
        <w:t xml:space="preserve"> th</w:t>
      </w:r>
      <w:r w:rsidR="009E1050" w:rsidRPr="001025EA">
        <w:t>is</w:t>
      </w:r>
      <w:r w:rsidR="00A50C29" w:rsidRPr="001025EA">
        <w:t xml:space="preserve"> review </w:t>
      </w:r>
      <w:r w:rsidR="009E1050" w:rsidRPr="001025EA">
        <w:t xml:space="preserve">provided </w:t>
      </w:r>
      <w:r w:rsidR="00A50C29" w:rsidRPr="001025EA">
        <w:t xml:space="preserve">analysis and opinion on </w:t>
      </w:r>
      <w:r w:rsidR="00DD3801" w:rsidRPr="001025EA">
        <w:t xml:space="preserve">current </w:t>
      </w:r>
      <w:r w:rsidR="00A50C29" w:rsidRPr="001025EA">
        <w:t>Medicare Locals operations and potential</w:t>
      </w:r>
      <w:r w:rsidR="00DD3801" w:rsidRPr="001025EA">
        <w:t xml:space="preserve"> future</w:t>
      </w:r>
      <w:r w:rsidR="00A50C29" w:rsidRPr="001025EA">
        <w:t xml:space="preserve"> governance options.</w:t>
      </w:r>
      <w:r w:rsidR="009E1050" w:rsidRPr="001025EA">
        <w:t xml:space="preserve">  </w:t>
      </w:r>
    </w:p>
    <w:p w:rsidR="00C073FF" w:rsidRPr="001025EA" w:rsidRDefault="00E87EE9" w:rsidP="00647297">
      <w:pPr>
        <w:pStyle w:val="ListParagraph"/>
        <w:numPr>
          <w:ilvl w:val="0"/>
          <w:numId w:val="6"/>
        </w:numPr>
        <w:spacing w:before="60" w:after="60"/>
        <w:contextualSpacing w:val="0"/>
      </w:pPr>
      <w:r w:rsidRPr="001025EA">
        <w:rPr>
          <w:i/>
        </w:rPr>
        <w:t>An independent financial audit of Medicare Locals</w:t>
      </w:r>
      <w:r w:rsidR="009E1050" w:rsidRPr="001025EA">
        <w:t xml:space="preserve">:  </w:t>
      </w:r>
      <w:r w:rsidRPr="001025EA">
        <w:t xml:space="preserve">Undertaken by Deloitte </w:t>
      </w:r>
      <w:proofErr w:type="spellStart"/>
      <w:r w:rsidRPr="001025EA">
        <w:t>Touche</w:t>
      </w:r>
      <w:proofErr w:type="spellEnd"/>
      <w:r w:rsidRPr="001025EA">
        <w:t xml:space="preserve"> Tohmatsu (Deloitte)</w:t>
      </w:r>
      <w:r w:rsidR="00A50C29" w:rsidRPr="001025EA">
        <w:t>, the audit</w:t>
      </w:r>
      <w:r w:rsidR="009E1050" w:rsidRPr="001025EA">
        <w:t xml:space="preserve"> provided an a</w:t>
      </w:r>
      <w:r w:rsidR="00A50C29" w:rsidRPr="001025EA">
        <w:t>ssess</w:t>
      </w:r>
      <w:r w:rsidR="009E1050" w:rsidRPr="001025EA">
        <w:t xml:space="preserve">ment of </w:t>
      </w:r>
      <w:r w:rsidR="00A50C29" w:rsidRPr="001025EA">
        <w:t xml:space="preserve">Medicare Locals compliance to their Deed </w:t>
      </w:r>
      <w:r w:rsidR="00DD3801" w:rsidRPr="001025EA">
        <w:t>a</w:t>
      </w:r>
      <w:r w:rsidR="00A50C29" w:rsidRPr="001025EA">
        <w:t xml:space="preserve">nd </w:t>
      </w:r>
      <w:r w:rsidR="009E1050" w:rsidRPr="001025EA">
        <w:t xml:space="preserve">financial performance.  </w:t>
      </w:r>
    </w:p>
    <w:p w:rsidR="00C073FF" w:rsidRPr="001025EA" w:rsidRDefault="00C073FF" w:rsidP="00647297">
      <w:pPr>
        <w:pStyle w:val="ListParagraph"/>
        <w:numPr>
          <w:ilvl w:val="0"/>
          <w:numId w:val="6"/>
        </w:numPr>
        <w:spacing w:before="60" w:after="60"/>
        <w:contextualSpacing w:val="0"/>
      </w:pPr>
      <w:r w:rsidRPr="001025EA">
        <w:rPr>
          <w:i/>
        </w:rPr>
        <w:t>Stakeholder s</w:t>
      </w:r>
      <w:r w:rsidR="006A06BC" w:rsidRPr="001025EA">
        <w:rPr>
          <w:i/>
        </w:rPr>
        <w:t>ubmissions</w:t>
      </w:r>
      <w:r w:rsidR="009E1050" w:rsidRPr="001025EA">
        <w:t xml:space="preserve">:  </w:t>
      </w:r>
      <w:r w:rsidR="00A50C29" w:rsidRPr="001025EA">
        <w:t xml:space="preserve">The Department of Health </w:t>
      </w:r>
      <w:r w:rsidR="009E1050" w:rsidRPr="001025EA">
        <w:t xml:space="preserve">invited </w:t>
      </w:r>
      <w:r w:rsidR="005945AF" w:rsidRPr="001025EA">
        <w:t xml:space="preserve">selected </w:t>
      </w:r>
      <w:r w:rsidR="00A50C29" w:rsidRPr="001025EA">
        <w:t>stakeholder</w:t>
      </w:r>
      <w:r w:rsidR="005945AF" w:rsidRPr="001025EA">
        <w:t>s</w:t>
      </w:r>
      <w:r w:rsidR="00A50C29" w:rsidRPr="001025EA">
        <w:t xml:space="preserve"> </w:t>
      </w:r>
      <w:r w:rsidR="009E1050" w:rsidRPr="001025EA">
        <w:t xml:space="preserve">to make </w:t>
      </w:r>
      <w:r w:rsidR="00A50C29" w:rsidRPr="001025EA">
        <w:t>submission</w:t>
      </w:r>
      <w:r w:rsidR="009E1050" w:rsidRPr="001025EA">
        <w:t>s to inform the Review</w:t>
      </w:r>
      <w:r w:rsidR="00A50C29" w:rsidRPr="001025EA">
        <w:t xml:space="preserve">.  </w:t>
      </w:r>
      <w:r w:rsidR="009E1050" w:rsidRPr="001025EA">
        <w:t xml:space="preserve">Over </w:t>
      </w:r>
      <w:r w:rsidR="00303344" w:rsidRPr="001025EA">
        <w:t>2</w:t>
      </w:r>
      <w:r w:rsidR="006A7070" w:rsidRPr="001025EA">
        <w:t>7</w:t>
      </w:r>
      <w:r w:rsidR="00303344" w:rsidRPr="001025EA">
        <w:t xml:space="preserve">0 submissions </w:t>
      </w:r>
      <w:r w:rsidR="009E1050" w:rsidRPr="001025EA">
        <w:t>were received</w:t>
      </w:r>
      <w:r w:rsidR="005945AF" w:rsidRPr="001025EA">
        <w:t>.  O</w:t>
      </w:r>
      <w:r w:rsidR="00921DFA" w:rsidRPr="001025EA">
        <w:t xml:space="preserve">ver half </w:t>
      </w:r>
      <w:r w:rsidR="005945AF" w:rsidRPr="001025EA">
        <w:t xml:space="preserve">of these submissions were </w:t>
      </w:r>
      <w:r w:rsidR="00921DFA" w:rsidRPr="001025EA">
        <w:t>unsolicited</w:t>
      </w:r>
      <w:r w:rsidR="005945AF" w:rsidRPr="001025EA">
        <w:t xml:space="preserve">, </w:t>
      </w:r>
      <w:r w:rsidR="00921DFA" w:rsidRPr="001025EA">
        <w:t>highlight</w:t>
      </w:r>
      <w:r w:rsidR="005945AF" w:rsidRPr="001025EA">
        <w:t>ing</w:t>
      </w:r>
      <w:r w:rsidR="00921DFA" w:rsidRPr="001025EA">
        <w:t xml:space="preserve"> the </w:t>
      </w:r>
      <w:r w:rsidR="00325814" w:rsidRPr="001025EA">
        <w:t xml:space="preserve">significant </w:t>
      </w:r>
      <w:r w:rsidR="00921DFA" w:rsidRPr="001025EA">
        <w:t>interest in the Review.</w:t>
      </w:r>
      <w:r w:rsidR="00303344" w:rsidRPr="001025EA">
        <w:t xml:space="preserve"> </w:t>
      </w:r>
    </w:p>
    <w:p w:rsidR="00C073FF" w:rsidRPr="001025EA" w:rsidRDefault="00E87EE9" w:rsidP="00647297">
      <w:pPr>
        <w:pStyle w:val="ListParagraph"/>
        <w:numPr>
          <w:ilvl w:val="0"/>
          <w:numId w:val="6"/>
        </w:numPr>
        <w:spacing w:before="60" w:after="60"/>
        <w:contextualSpacing w:val="0"/>
      </w:pPr>
      <w:r w:rsidRPr="001025EA">
        <w:rPr>
          <w:i/>
        </w:rPr>
        <w:t>I</w:t>
      </w:r>
      <w:r w:rsidR="00645932" w:rsidRPr="001025EA">
        <w:rPr>
          <w:i/>
        </w:rPr>
        <w:t>nterview</w:t>
      </w:r>
      <w:r w:rsidR="006A06BC" w:rsidRPr="001025EA">
        <w:rPr>
          <w:i/>
        </w:rPr>
        <w:t xml:space="preserve">s with </w:t>
      </w:r>
      <w:r w:rsidR="00645932" w:rsidRPr="001025EA">
        <w:rPr>
          <w:i/>
        </w:rPr>
        <w:t>key s</w:t>
      </w:r>
      <w:r w:rsidR="00202989" w:rsidRPr="001025EA">
        <w:rPr>
          <w:i/>
        </w:rPr>
        <w:t>takeholders</w:t>
      </w:r>
      <w:r w:rsidR="00325814" w:rsidRPr="001025EA">
        <w:t xml:space="preserve">: </w:t>
      </w:r>
      <w:r w:rsidR="00921DFA" w:rsidRPr="001025EA">
        <w:t xml:space="preserve">I </w:t>
      </w:r>
      <w:r w:rsidR="005945AF" w:rsidRPr="001025EA">
        <w:t xml:space="preserve">personally </w:t>
      </w:r>
      <w:r w:rsidR="00921DFA" w:rsidRPr="001025EA">
        <w:t>held</w:t>
      </w:r>
      <w:r w:rsidR="005945AF" w:rsidRPr="001025EA">
        <w:t xml:space="preserve"> </w:t>
      </w:r>
      <w:r w:rsidR="00A50C29" w:rsidRPr="001025EA">
        <w:t xml:space="preserve">interviews </w:t>
      </w:r>
      <w:r w:rsidR="00325814" w:rsidRPr="001025EA">
        <w:t xml:space="preserve">with </w:t>
      </w:r>
      <w:r w:rsidR="006A7070" w:rsidRPr="001025EA">
        <w:t xml:space="preserve">a number of </w:t>
      </w:r>
      <w:r w:rsidR="00A50C29" w:rsidRPr="001025EA">
        <w:t>key stakeholders</w:t>
      </w:r>
      <w:r w:rsidR="00921DFA" w:rsidRPr="001025EA">
        <w:t xml:space="preserve"> and opinion leaders</w:t>
      </w:r>
      <w:r w:rsidR="00325814" w:rsidRPr="001025EA">
        <w:t xml:space="preserve">.  </w:t>
      </w:r>
    </w:p>
    <w:p w:rsidR="00B243A4" w:rsidRPr="001025EA" w:rsidRDefault="00AA16FE" w:rsidP="00494DD4">
      <w:pPr>
        <w:pStyle w:val="EYBodytextwithparaspace"/>
        <w:spacing w:before="180"/>
      </w:pPr>
      <w:r w:rsidRPr="001025EA">
        <w:t>A</w:t>
      </w:r>
      <w:r w:rsidR="00645932" w:rsidRPr="001025EA">
        <w:t>dministrative support</w:t>
      </w:r>
      <w:r w:rsidRPr="001025EA">
        <w:t xml:space="preserve"> to the Review </w:t>
      </w:r>
      <w:r w:rsidR="00645932" w:rsidRPr="001025EA">
        <w:t xml:space="preserve">was provided by </w:t>
      </w:r>
      <w:r w:rsidR="005744D6" w:rsidRPr="001025EA">
        <w:t xml:space="preserve">the </w:t>
      </w:r>
      <w:r w:rsidR="00645932" w:rsidRPr="001025EA">
        <w:t xml:space="preserve">Department of Health. </w:t>
      </w:r>
      <w:r w:rsidR="006A06BC" w:rsidRPr="001025EA">
        <w:t xml:space="preserve"> </w:t>
      </w:r>
    </w:p>
    <w:p w:rsidR="00134F7E" w:rsidRPr="001025EA" w:rsidRDefault="00134F7E">
      <w:pPr>
        <w:sectPr w:rsidR="00134F7E" w:rsidRPr="001025EA">
          <w:footerReference w:type="default" r:id="rId17"/>
          <w:pgSz w:w="11906" w:h="16838"/>
          <w:pgMar w:top="1440" w:right="1440" w:bottom="1440" w:left="1440" w:header="708" w:footer="708" w:gutter="0"/>
          <w:pgNumType w:start="1"/>
          <w:cols w:space="708"/>
          <w:docGrid w:linePitch="360"/>
        </w:sectPr>
      </w:pPr>
    </w:p>
    <w:p w:rsidR="006A06BC" w:rsidRPr="001025EA" w:rsidRDefault="00921D4A" w:rsidP="006A06BC">
      <w:pPr>
        <w:pStyle w:val="Heading1"/>
      </w:pPr>
      <w:bookmarkStart w:id="17" w:name="_Toc387644729"/>
      <w:bookmarkStart w:id="18" w:name="_Ref378844059"/>
      <w:r w:rsidRPr="001025EA">
        <w:t>Key F</w:t>
      </w:r>
      <w:r w:rsidR="006A06BC" w:rsidRPr="001025EA">
        <w:t>indings</w:t>
      </w:r>
      <w:bookmarkEnd w:id="17"/>
    </w:p>
    <w:p w:rsidR="009339BC" w:rsidRPr="001025EA" w:rsidRDefault="009339BC" w:rsidP="009339BC">
      <w:r w:rsidRPr="001025EA">
        <w:t>Overall, I found there to be considerable agreement across a number of themes relevant to the Terms of Reference for the Review.</w:t>
      </w:r>
    </w:p>
    <w:p w:rsidR="000167AC" w:rsidRPr="001025EA" w:rsidRDefault="000167AC" w:rsidP="00C44EAE">
      <w:pPr>
        <w:pStyle w:val="Heading2"/>
      </w:pPr>
      <w:bookmarkStart w:id="19" w:name="_Toc387644730"/>
      <w:r w:rsidRPr="001025EA">
        <w:t xml:space="preserve">Recognition of </w:t>
      </w:r>
      <w:r w:rsidR="00D171D3" w:rsidRPr="001025EA">
        <w:t xml:space="preserve">the need for </w:t>
      </w:r>
      <w:r w:rsidRPr="001025EA">
        <w:t xml:space="preserve">an organisation to </w:t>
      </w:r>
      <w:r w:rsidR="00D171D3" w:rsidRPr="001025EA">
        <w:t>reduce fragmentation</w:t>
      </w:r>
      <w:bookmarkEnd w:id="19"/>
    </w:p>
    <w:p w:rsidR="007D529D" w:rsidRPr="001025EA" w:rsidRDefault="007D529D" w:rsidP="007D529D">
      <w:pPr>
        <w:pStyle w:val="EYBodytextwithparaspace"/>
      </w:pPr>
      <w:r w:rsidRPr="001025EA">
        <w:t xml:space="preserve">It is clear that </w:t>
      </w:r>
      <w:r w:rsidR="005C74EC" w:rsidRPr="001025EA">
        <w:t xml:space="preserve">many </w:t>
      </w:r>
      <w:r w:rsidRPr="001025EA">
        <w:t>patients continue to experience fragmented</w:t>
      </w:r>
      <w:r w:rsidR="00F462EA" w:rsidRPr="001025EA">
        <w:t xml:space="preserve"> and </w:t>
      </w:r>
      <w:r w:rsidRPr="001025EA">
        <w:t>disjointed health care</w:t>
      </w:r>
      <w:r w:rsidR="00053EDB" w:rsidRPr="001025EA">
        <w:t xml:space="preserve"> that negatively </w:t>
      </w:r>
      <w:r w:rsidRPr="001025EA">
        <w:t xml:space="preserve">impacts on health outcomes and </w:t>
      </w:r>
      <w:r w:rsidR="00053EDB" w:rsidRPr="001025EA">
        <w:t xml:space="preserve">increases </w:t>
      </w:r>
      <w:r w:rsidR="008C41FD">
        <w:t xml:space="preserve">their </w:t>
      </w:r>
      <w:r w:rsidR="00053EDB" w:rsidRPr="001025EA">
        <w:t>health</w:t>
      </w:r>
      <w:r w:rsidR="008C41FD">
        <w:t xml:space="preserve"> </w:t>
      </w:r>
      <w:r w:rsidRPr="001025EA">
        <w:t>costs</w:t>
      </w:r>
      <w:r w:rsidR="007B60A9" w:rsidRPr="001025EA">
        <w:t>.</w:t>
      </w:r>
      <w:r w:rsidRPr="001025EA">
        <w:t xml:space="preserve">  </w:t>
      </w:r>
      <w:r w:rsidR="003641C1" w:rsidRPr="001025EA">
        <w:t xml:space="preserve">This fragmentation is in part an artifact of the health system operating in silos </w:t>
      </w:r>
      <w:r w:rsidR="0079412E">
        <w:t xml:space="preserve">arising from </w:t>
      </w:r>
      <w:r w:rsidR="003641C1" w:rsidRPr="001025EA">
        <w:t xml:space="preserve">its orientation towards </w:t>
      </w:r>
      <w:r w:rsidR="0079412E">
        <w:t xml:space="preserve">the </w:t>
      </w:r>
      <w:r w:rsidR="003641C1" w:rsidRPr="001025EA">
        <w:t>episodic health care</w:t>
      </w:r>
      <w:r w:rsidR="0079412E">
        <w:t xml:space="preserve"> </w:t>
      </w:r>
      <w:r w:rsidR="008C41FD">
        <w:t xml:space="preserve">that was </w:t>
      </w:r>
      <w:r w:rsidR="0079412E">
        <w:t>needed at its inception 40 years ago</w:t>
      </w:r>
      <w:r w:rsidR="003641C1" w:rsidRPr="001025EA">
        <w:t xml:space="preserve">.  It </w:t>
      </w:r>
      <w:r w:rsidR="0079412E">
        <w:t xml:space="preserve">now </w:t>
      </w:r>
      <w:r w:rsidR="003641C1" w:rsidRPr="001025EA">
        <w:t xml:space="preserve">represents </w:t>
      </w:r>
      <w:r w:rsidR="008D6F42">
        <w:t xml:space="preserve">a </w:t>
      </w:r>
      <w:r w:rsidR="003641C1" w:rsidRPr="001025EA">
        <w:t>significant systemic failing</w:t>
      </w:r>
      <w:r w:rsidR="00F84501" w:rsidRPr="001025EA">
        <w:t xml:space="preserve"> in </w:t>
      </w:r>
      <w:r w:rsidR="00014F7F" w:rsidRPr="001025EA">
        <w:t>both</w:t>
      </w:r>
      <w:r w:rsidR="00F84501" w:rsidRPr="001025EA">
        <w:t xml:space="preserve"> the </w:t>
      </w:r>
      <w:r w:rsidR="003641C1" w:rsidRPr="001025EA">
        <w:t xml:space="preserve">primary health care sector and the wider health care system </w:t>
      </w:r>
      <w:r w:rsidR="00014F7F" w:rsidRPr="001025EA">
        <w:t xml:space="preserve">and </w:t>
      </w:r>
      <w:r w:rsidR="003641C1" w:rsidRPr="001025EA">
        <w:t xml:space="preserve">undermines </w:t>
      </w:r>
      <w:r w:rsidR="00F84501" w:rsidRPr="001025EA">
        <w:t xml:space="preserve">health system </w:t>
      </w:r>
      <w:r w:rsidR="003641C1" w:rsidRPr="001025EA">
        <w:t>productivity</w:t>
      </w:r>
      <w:r w:rsidR="00F84501" w:rsidRPr="001025EA">
        <w:t xml:space="preserve">.  </w:t>
      </w:r>
      <w:r w:rsidRPr="001025EA">
        <w:t xml:space="preserve">There is a genuine need for an </w:t>
      </w:r>
      <w:proofErr w:type="spellStart"/>
      <w:r w:rsidRPr="001025EA">
        <w:t>organisation</w:t>
      </w:r>
      <w:proofErr w:type="spellEnd"/>
      <w:r w:rsidRPr="001025EA">
        <w:t xml:space="preserve"> to be charged with addressing this problem within the primary health care sector, and with patient experience and outcomes in mind, across the secondary</w:t>
      </w:r>
      <w:r w:rsidR="0079412E">
        <w:t>,</w:t>
      </w:r>
      <w:r w:rsidRPr="001025EA">
        <w:t xml:space="preserve"> acute, public and private, sectors </w:t>
      </w:r>
      <w:r w:rsidR="0079412E">
        <w:t xml:space="preserve">(siloes) </w:t>
      </w:r>
      <w:r w:rsidRPr="001025EA">
        <w:t>that comprise our health system.</w:t>
      </w:r>
    </w:p>
    <w:p w:rsidR="007D529D" w:rsidRPr="001025EA" w:rsidRDefault="007D529D" w:rsidP="007D529D">
      <w:pPr>
        <w:pStyle w:val="EYBodytextwithparaspace"/>
      </w:pPr>
      <w:r w:rsidRPr="001025EA">
        <w:t>Medicare Locals were</w:t>
      </w:r>
      <w:r w:rsidR="007561EE" w:rsidRPr="001025EA">
        <w:t xml:space="preserve"> </w:t>
      </w:r>
      <w:r w:rsidRPr="001025EA">
        <w:t>a response to this issue of fragmentation and some have been quite successful in integrating care for patients and improving the effectiveness of primary</w:t>
      </w:r>
      <w:r w:rsidR="00F2674E" w:rsidRPr="001025EA">
        <w:t xml:space="preserve"> health</w:t>
      </w:r>
      <w:r w:rsidRPr="001025EA">
        <w:t xml:space="preserve"> care</w:t>
      </w:r>
      <w:r w:rsidR="00F2674E" w:rsidRPr="001025EA">
        <w:t xml:space="preserve"> services</w:t>
      </w:r>
      <w:r w:rsidRPr="001025EA">
        <w:t xml:space="preserve">.  </w:t>
      </w:r>
      <w:r w:rsidR="00BC648C" w:rsidRPr="001025EA">
        <w:t xml:space="preserve">However, </w:t>
      </w:r>
      <w:r w:rsidR="00296085" w:rsidRPr="001025EA">
        <w:t>overall</w:t>
      </w:r>
      <w:r w:rsidRPr="001025EA">
        <w:t xml:space="preserve"> the</w:t>
      </w:r>
      <w:r w:rsidR="00F2674E" w:rsidRPr="001025EA">
        <w:t>ir</w:t>
      </w:r>
      <w:r w:rsidRPr="001025EA">
        <w:t xml:space="preserve"> effort has been mixed</w:t>
      </w:r>
      <w:r w:rsidR="00BC648C" w:rsidRPr="001025EA">
        <w:t>,</w:t>
      </w:r>
      <w:r w:rsidR="007561EE" w:rsidRPr="001025EA">
        <w:t xml:space="preserve"> associated with an </w:t>
      </w:r>
      <w:r w:rsidR="00FA05E5" w:rsidRPr="001025EA">
        <w:t>absence</w:t>
      </w:r>
      <w:r w:rsidRPr="001025EA">
        <w:t xml:space="preserve"> of a focused mandate and </w:t>
      </w:r>
      <w:r w:rsidR="00A43D7C" w:rsidRPr="001025EA">
        <w:t>variations in the</w:t>
      </w:r>
      <w:r w:rsidR="00F2674E" w:rsidRPr="001025EA">
        <w:t>ir</w:t>
      </w:r>
      <w:r w:rsidR="00A43D7C" w:rsidRPr="001025EA">
        <w:t xml:space="preserve"> interpretation of </w:t>
      </w:r>
      <w:r w:rsidRPr="001025EA">
        <w:t>role</w:t>
      </w:r>
      <w:r w:rsidR="00A43D7C" w:rsidRPr="001025EA">
        <w:t>s</w:t>
      </w:r>
      <w:r w:rsidRPr="001025EA">
        <w:t xml:space="preserve">.  Whether it is a refocused Medicare Local, or a new </w:t>
      </w:r>
      <w:proofErr w:type="spellStart"/>
      <w:r w:rsidRPr="001025EA">
        <w:t>organisation</w:t>
      </w:r>
      <w:proofErr w:type="spellEnd"/>
      <w:r w:rsidRPr="001025EA">
        <w:t xml:space="preserve">, there is unanimous support for an entity </w:t>
      </w:r>
      <w:r w:rsidR="00BC648C" w:rsidRPr="001025EA">
        <w:t xml:space="preserve">to be </w:t>
      </w:r>
      <w:r w:rsidRPr="001025EA">
        <w:t xml:space="preserve">tasked </w:t>
      </w:r>
      <w:r w:rsidR="00296085" w:rsidRPr="001025EA">
        <w:t xml:space="preserve">with </w:t>
      </w:r>
      <w:r w:rsidRPr="001025EA">
        <w:t xml:space="preserve">working to improve service integration and reduce fragmentation to </w:t>
      </w:r>
      <w:r w:rsidR="00523CD6" w:rsidRPr="001025EA">
        <w:t xml:space="preserve">deliver </w:t>
      </w:r>
      <w:r w:rsidR="00BC648C" w:rsidRPr="001025EA">
        <w:t xml:space="preserve">improved health outcomes and </w:t>
      </w:r>
      <w:r w:rsidR="00523CD6" w:rsidRPr="001025EA">
        <w:t xml:space="preserve">ensure </w:t>
      </w:r>
      <w:r w:rsidRPr="001025EA">
        <w:t>the health system is more productive.</w:t>
      </w:r>
    </w:p>
    <w:p w:rsidR="006A06BC" w:rsidRPr="001025EA" w:rsidRDefault="00D171D3" w:rsidP="00C44EAE">
      <w:pPr>
        <w:pStyle w:val="Heading2"/>
      </w:pPr>
      <w:bookmarkStart w:id="20" w:name="_Toc387644731"/>
      <w:r w:rsidRPr="001025EA">
        <w:t xml:space="preserve">The </w:t>
      </w:r>
      <w:r w:rsidR="006A06BC" w:rsidRPr="001025EA">
        <w:t>‘Medicare Local’ name</w:t>
      </w:r>
      <w:r w:rsidRPr="001025EA">
        <w:t xml:space="preserve"> is inappropriate and confusing</w:t>
      </w:r>
      <w:bookmarkEnd w:id="20"/>
    </w:p>
    <w:p w:rsidR="007D529D" w:rsidRPr="001025EA" w:rsidRDefault="007D529D" w:rsidP="00494DD4">
      <w:pPr>
        <w:pStyle w:val="EYBodytextwithparaspace"/>
        <w:spacing w:after="180"/>
      </w:pPr>
      <w:r w:rsidRPr="001025EA">
        <w:t>I found three general themes relating to the name ‘Medicare Locals’:</w:t>
      </w:r>
    </w:p>
    <w:p w:rsidR="007D529D" w:rsidRPr="001025EA" w:rsidRDefault="00494DD4" w:rsidP="00647297">
      <w:pPr>
        <w:pStyle w:val="ListParagraph"/>
        <w:numPr>
          <w:ilvl w:val="0"/>
          <w:numId w:val="6"/>
        </w:numPr>
        <w:spacing w:before="60" w:after="60"/>
        <w:ind w:left="777" w:hanging="357"/>
        <w:contextualSpacing w:val="0"/>
      </w:pPr>
      <w:r w:rsidRPr="001025EA">
        <w:t>t</w:t>
      </w:r>
      <w:r w:rsidR="007D529D" w:rsidRPr="001025EA">
        <w:t>he name fails to appropriately reflect the intent and activities of the organisations</w:t>
      </w:r>
      <w:r w:rsidRPr="001025EA">
        <w:t xml:space="preserve">; </w:t>
      </w:r>
    </w:p>
    <w:p w:rsidR="007D529D" w:rsidRPr="001025EA" w:rsidRDefault="007D529D" w:rsidP="00647297">
      <w:pPr>
        <w:pStyle w:val="ListParagraph"/>
        <w:numPr>
          <w:ilvl w:val="0"/>
          <w:numId w:val="6"/>
        </w:numPr>
        <w:spacing w:before="60" w:after="60"/>
        <w:ind w:left="777" w:hanging="357"/>
        <w:contextualSpacing w:val="0"/>
      </w:pPr>
      <w:r w:rsidRPr="001025EA">
        <w:t xml:space="preserve">there is </w:t>
      </w:r>
      <w:r w:rsidR="009562A9">
        <w:t>no functional relationship</w:t>
      </w:r>
      <w:r w:rsidRPr="001025EA">
        <w:t xml:space="preserve"> between Medicare Locals and ‘Medicare’</w:t>
      </w:r>
      <w:r w:rsidR="00494DD4" w:rsidRPr="001025EA">
        <w:t>; and</w:t>
      </w:r>
    </w:p>
    <w:p w:rsidR="00494DD4" w:rsidRPr="001025EA" w:rsidRDefault="007D529D" w:rsidP="00647297">
      <w:pPr>
        <w:pStyle w:val="ListParagraph"/>
        <w:numPr>
          <w:ilvl w:val="0"/>
          <w:numId w:val="6"/>
        </w:numPr>
        <w:spacing w:before="60" w:after="60"/>
        <w:ind w:left="777" w:hanging="357"/>
        <w:contextualSpacing w:val="0"/>
      </w:pPr>
      <w:proofErr w:type="gramStart"/>
      <w:r w:rsidRPr="001025EA">
        <w:t>the</w:t>
      </w:r>
      <w:proofErr w:type="gramEnd"/>
      <w:r w:rsidRPr="001025EA">
        <w:t xml:space="preserve"> general public frequently confuses Medicare Locals for Medicare Offices.  </w:t>
      </w:r>
    </w:p>
    <w:p w:rsidR="007D529D" w:rsidRPr="00E47332" w:rsidRDefault="007D529D" w:rsidP="00494DD4">
      <w:pPr>
        <w:pStyle w:val="EYBodytextwithparaspace"/>
        <w:spacing w:before="180"/>
      </w:pPr>
      <w:r w:rsidRPr="001025EA">
        <w:t xml:space="preserve">This last issue is </w:t>
      </w:r>
      <w:r w:rsidR="00593458" w:rsidRPr="001025EA">
        <w:t>an ongoing problem</w:t>
      </w:r>
      <w:r w:rsidR="00AF74DB" w:rsidRPr="001025EA">
        <w:t xml:space="preserve"> for Medicare Locals, </w:t>
      </w:r>
      <w:r w:rsidRPr="001025EA">
        <w:t>with members of the public frequently turn</w:t>
      </w:r>
      <w:r w:rsidR="00593458" w:rsidRPr="001025EA">
        <w:t>ing</w:t>
      </w:r>
      <w:r w:rsidRPr="001025EA">
        <w:t xml:space="preserve"> up at the</w:t>
      </w:r>
      <w:r w:rsidR="00AF74DB" w:rsidRPr="001025EA">
        <w:t xml:space="preserve">ir </w:t>
      </w:r>
      <w:r w:rsidRPr="001025EA">
        <w:t>front</w:t>
      </w:r>
      <w:r w:rsidR="00AF74DB" w:rsidRPr="001025EA">
        <w:t xml:space="preserve"> </w:t>
      </w:r>
      <w:r w:rsidRPr="001025EA">
        <w:t xml:space="preserve">door expecting to have their Medicare claims addressed.  I </w:t>
      </w:r>
      <w:r w:rsidR="007B60A9" w:rsidRPr="001025EA">
        <w:t>observed</w:t>
      </w:r>
      <w:r w:rsidRPr="001025EA">
        <w:t xml:space="preserve"> signs on the doors of </w:t>
      </w:r>
      <w:r w:rsidRPr="00E47332">
        <w:t xml:space="preserve">Medicare Locals </w:t>
      </w:r>
      <w:r w:rsidR="009562A9" w:rsidRPr="00E47332">
        <w:t>advis</w:t>
      </w:r>
      <w:r w:rsidRPr="00E47332">
        <w:t>ing they were not a claim</w:t>
      </w:r>
      <w:r w:rsidR="009562A9" w:rsidRPr="00E47332">
        <w:t>s</w:t>
      </w:r>
      <w:r w:rsidRPr="00E47332">
        <w:t xml:space="preserve"> office.</w:t>
      </w:r>
    </w:p>
    <w:p w:rsidR="007D529D" w:rsidRPr="001025EA" w:rsidRDefault="007D529D" w:rsidP="00494DD4">
      <w:pPr>
        <w:pStyle w:val="EYBodytextwithparaspace"/>
      </w:pPr>
      <w:r w:rsidRPr="00E47332">
        <w:t xml:space="preserve">A number of submissions, principally from Medicare Locals, supported </w:t>
      </w:r>
      <w:r w:rsidR="00221657" w:rsidRPr="00E47332">
        <w:t>continu</w:t>
      </w:r>
      <w:r w:rsidR="00766D30" w:rsidRPr="00E47332">
        <w:t xml:space="preserve">ing with </w:t>
      </w:r>
      <w:r w:rsidRPr="00E47332">
        <w:t>the Medicare Local name and branding.  Indeed</w:t>
      </w:r>
      <w:r w:rsidR="00593458" w:rsidRPr="00E47332">
        <w:t>,</w:t>
      </w:r>
      <w:r w:rsidR="008A6BFC" w:rsidRPr="00E47332">
        <w:t xml:space="preserve"> there was some </w:t>
      </w:r>
      <w:r w:rsidRPr="00E47332">
        <w:t>evidence of natural traction associated with the name.  However, such arguments were overwhelmingly</w:t>
      </w:r>
      <w:r w:rsidRPr="001025EA">
        <w:t xml:space="preserve"> outweighed by a mounting stakeholder sentiment that a name change is essential to better reflect the strategic intent of these</w:t>
      </w:r>
      <w:r w:rsidR="00766D30" w:rsidRPr="001025EA">
        <w:t>,</w:t>
      </w:r>
      <w:r w:rsidRPr="001025EA">
        <w:t xml:space="preserve"> or </w:t>
      </w:r>
      <w:r w:rsidR="00766D30" w:rsidRPr="001025EA">
        <w:t>alternative</w:t>
      </w:r>
      <w:r w:rsidRPr="001025EA">
        <w:t xml:space="preserve"> </w:t>
      </w:r>
      <w:proofErr w:type="spellStart"/>
      <w:r w:rsidRPr="001025EA">
        <w:t>organisations</w:t>
      </w:r>
      <w:proofErr w:type="spellEnd"/>
      <w:r w:rsidR="00766D30" w:rsidRPr="001025EA">
        <w:t>,</w:t>
      </w:r>
      <w:r w:rsidRPr="001025EA">
        <w:t xml:space="preserve"> moving forward.</w:t>
      </w:r>
    </w:p>
    <w:p w:rsidR="00085626" w:rsidRPr="001025EA" w:rsidRDefault="00085626" w:rsidP="00085626">
      <w:pPr>
        <w:pStyle w:val="Heading2"/>
      </w:pPr>
      <w:bookmarkStart w:id="21" w:name="_Toc387644732"/>
      <w:r w:rsidRPr="001025EA">
        <w:t>LHN boundary alignment and engagement is essential</w:t>
      </w:r>
      <w:bookmarkEnd w:id="21"/>
    </w:p>
    <w:p w:rsidR="00085626" w:rsidRPr="001025EA" w:rsidRDefault="00085626" w:rsidP="00085626">
      <w:pPr>
        <w:pStyle w:val="EYBodytextwithparaspace"/>
      </w:pPr>
      <w:r w:rsidRPr="001025EA">
        <w:t xml:space="preserve">The relationship between Medicare Locals and LHNs is undoubtedly one of the most important to address health system productivity, to </w:t>
      </w:r>
      <w:r w:rsidR="009562A9">
        <w:t xml:space="preserve">enable the </w:t>
      </w:r>
      <w:r w:rsidRPr="001025EA">
        <w:t xml:space="preserve">shift </w:t>
      </w:r>
      <w:r w:rsidR="009562A9">
        <w:t xml:space="preserve">of </w:t>
      </w:r>
      <w:r w:rsidRPr="001025EA">
        <w:t xml:space="preserve">health care away from high cost hospital </w:t>
      </w:r>
      <w:r w:rsidR="007561EE" w:rsidRPr="001025EA">
        <w:t xml:space="preserve">services </w:t>
      </w:r>
      <w:r w:rsidRPr="001025EA">
        <w:t>towards</w:t>
      </w:r>
      <w:r w:rsidR="009562A9">
        <w:t xml:space="preserve"> increasingly</w:t>
      </w:r>
      <w:r w:rsidRPr="001025EA">
        <w:t xml:space="preserve"> appropriate</w:t>
      </w:r>
      <w:r w:rsidR="007561EE" w:rsidRPr="001025EA">
        <w:t xml:space="preserve">, lower cost, </w:t>
      </w:r>
      <w:r w:rsidRPr="001025EA">
        <w:t>primary health care solutions.</w:t>
      </w:r>
    </w:p>
    <w:p w:rsidR="00085626" w:rsidRPr="001025EA" w:rsidRDefault="00085626" w:rsidP="00085626">
      <w:pPr>
        <w:pStyle w:val="EYBodytextwithparaspace"/>
      </w:pPr>
      <w:r w:rsidRPr="001025EA">
        <w:t>The original intent of the N</w:t>
      </w:r>
      <w:r w:rsidR="00221657" w:rsidRPr="001025EA">
        <w:t>ational Health Reform Agreem</w:t>
      </w:r>
      <w:r w:rsidR="00C51B2D" w:rsidRPr="001025EA">
        <w:t>e</w:t>
      </w:r>
      <w:r w:rsidR="00221657" w:rsidRPr="001025EA">
        <w:t xml:space="preserve">nt </w:t>
      </w:r>
      <w:r w:rsidRPr="001025EA">
        <w:t xml:space="preserve">appears to have </w:t>
      </w:r>
      <w:r w:rsidR="009562A9">
        <w:t>sought</w:t>
      </w:r>
      <w:r w:rsidRPr="001025EA">
        <w:t xml:space="preserve"> this collaboration, however relationships were not mandated and boundary negotiations resulted in Medicare Local and LHN misalignment.  </w:t>
      </w:r>
    </w:p>
    <w:p w:rsidR="00085626" w:rsidRPr="00E47332" w:rsidRDefault="00C51B2D" w:rsidP="00085626">
      <w:pPr>
        <w:pStyle w:val="EYBodytextwithparaspace"/>
      </w:pPr>
      <w:r w:rsidRPr="00E47332">
        <w:t>I found that Medicare Locals</w:t>
      </w:r>
      <w:r w:rsidR="0021200B" w:rsidRPr="00E47332">
        <w:t xml:space="preserve">, having been established as 61 separate </w:t>
      </w:r>
      <w:proofErr w:type="spellStart"/>
      <w:r w:rsidR="0021200B" w:rsidRPr="00E47332">
        <w:t>organisations</w:t>
      </w:r>
      <w:proofErr w:type="spellEnd"/>
      <w:r w:rsidR="0021200B" w:rsidRPr="00E47332">
        <w:t>, l</w:t>
      </w:r>
      <w:r w:rsidRPr="00E47332">
        <w:t xml:space="preserve">acked the power and </w:t>
      </w:r>
      <w:r w:rsidR="0021200B" w:rsidRPr="00E47332">
        <w:t xml:space="preserve">moral </w:t>
      </w:r>
      <w:r w:rsidRPr="00E47332">
        <w:t>authority to effectively engage</w:t>
      </w:r>
      <w:r w:rsidR="0021200B" w:rsidRPr="00E47332">
        <w:t xml:space="preserve"> and negotiate with </w:t>
      </w:r>
      <w:r w:rsidRPr="00E47332">
        <w:t>LHNs</w:t>
      </w:r>
      <w:r w:rsidR="003E7A7C" w:rsidRPr="00E47332">
        <w:t>, let alone jurisdictions</w:t>
      </w:r>
      <w:r w:rsidRPr="00E47332">
        <w:t>.</w:t>
      </w:r>
      <w:r w:rsidR="0037301F" w:rsidRPr="00E47332">
        <w:t xml:space="preserve"> </w:t>
      </w:r>
      <w:r w:rsidR="0021200B" w:rsidRPr="00E47332">
        <w:t xml:space="preserve"> </w:t>
      </w:r>
      <w:r w:rsidR="00085626" w:rsidRPr="00E47332">
        <w:t>There are undoubtedly instances where Medicare Locals and LHNs have proactively engaged and successfully collaborated.  However,</w:t>
      </w:r>
      <w:r w:rsidR="004F2136" w:rsidRPr="00E47332">
        <w:t xml:space="preserve"> both</w:t>
      </w:r>
      <w:r w:rsidR="00085626" w:rsidRPr="00E47332">
        <w:t xml:space="preserve"> the extent and scope of engagement has varied significantly</w:t>
      </w:r>
      <w:r w:rsidR="001D0A9B" w:rsidRPr="00E47332">
        <w:t>.  F</w:t>
      </w:r>
      <w:r w:rsidR="004F2136" w:rsidRPr="00E47332">
        <w:t xml:space="preserve">or example, </w:t>
      </w:r>
      <w:r w:rsidR="00085626" w:rsidRPr="00E47332">
        <w:t>I found energetic engagement at senior levels which, unfortunately, w</w:t>
      </w:r>
      <w:r w:rsidR="009562A9" w:rsidRPr="00E47332">
        <w:t>as</w:t>
      </w:r>
      <w:r w:rsidR="00085626" w:rsidRPr="00E47332">
        <w:t xml:space="preserve"> not replicated at the grass roots level.  Relationships that pre-date Medicare Locals appear to be one of the key facilitators for productive engagement, highlighting that Medicare Locals as entities are not sufficient to achieve traction and leverage with LHNs.</w:t>
      </w:r>
    </w:p>
    <w:p w:rsidR="00085626" w:rsidRPr="00E47332" w:rsidRDefault="00085626" w:rsidP="00085626">
      <w:pPr>
        <w:pStyle w:val="EYBodytextwithparaspace"/>
      </w:pPr>
      <w:r w:rsidRPr="00E47332">
        <w:t xml:space="preserve">The lack of alignment has hindered </w:t>
      </w:r>
      <w:r w:rsidR="0072535C" w:rsidRPr="00E47332">
        <w:t xml:space="preserve">governance, shared purpose and </w:t>
      </w:r>
      <w:r w:rsidRPr="00E47332">
        <w:t xml:space="preserve">collaboration, and </w:t>
      </w:r>
      <w:r w:rsidR="0072535C" w:rsidRPr="00E47332">
        <w:t xml:space="preserve">stymied </w:t>
      </w:r>
      <w:r w:rsidRPr="00E47332">
        <w:t xml:space="preserve">effective strategies to integrate care, for example hindering multi-disciplinary clinical engagement to create locally relevant clinical health care pathways.  </w:t>
      </w:r>
      <w:r w:rsidR="009562A9" w:rsidRPr="00E47332">
        <w:t>Alignment of</w:t>
      </w:r>
      <w:r w:rsidRPr="00E47332">
        <w:t xml:space="preserve"> geographical boundaries </w:t>
      </w:r>
      <w:r w:rsidR="009562A9" w:rsidRPr="00E47332">
        <w:t>is</w:t>
      </w:r>
      <w:r w:rsidRPr="00E47332">
        <w:t xml:space="preserve"> a necessity </w:t>
      </w:r>
      <w:r w:rsidR="004F2136" w:rsidRPr="00E47332">
        <w:t xml:space="preserve">for </w:t>
      </w:r>
      <w:r w:rsidRPr="00E47332">
        <w:t xml:space="preserve">clinical alignment and </w:t>
      </w:r>
      <w:r w:rsidR="0072535C" w:rsidRPr="00E47332">
        <w:t xml:space="preserve">to </w:t>
      </w:r>
      <w:r w:rsidR="004F2136" w:rsidRPr="00E47332">
        <w:t xml:space="preserve">support </w:t>
      </w:r>
      <w:r w:rsidRPr="00E47332">
        <w:t>patient flows, as most submission</w:t>
      </w:r>
      <w:r w:rsidR="001D0A9B" w:rsidRPr="00E47332">
        <w:t>s</w:t>
      </w:r>
      <w:r w:rsidRPr="00E47332">
        <w:t xml:space="preserve"> and stakeholders agreed.  In some jurisdictions creative approaches may be required to achieve alignment.</w:t>
      </w:r>
    </w:p>
    <w:p w:rsidR="003E7A7C" w:rsidRPr="00E47332" w:rsidRDefault="003E7A7C" w:rsidP="003E7A7C">
      <w:pPr>
        <w:pStyle w:val="EYBodytextwithparaspace"/>
      </w:pPr>
      <w:r w:rsidRPr="00E47332">
        <w:t xml:space="preserve">Furthermore, I found a disproportionate number of staff </w:t>
      </w:r>
      <w:proofErr w:type="gramStart"/>
      <w:r w:rsidRPr="00E47332">
        <w:t>were</w:t>
      </w:r>
      <w:proofErr w:type="gramEnd"/>
      <w:r w:rsidRPr="00E47332">
        <w:t xml:space="preserve"> involved in corporate </w:t>
      </w:r>
      <w:r w:rsidR="0049443D" w:rsidRPr="00E47332">
        <w:t xml:space="preserve">and </w:t>
      </w:r>
      <w:r w:rsidRPr="00E47332">
        <w:t xml:space="preserve">reporting functions in each of the 61 incorporated entities. Problems were emerging because of inability to recruit sufficiently skilled staff in these areas, which could be overcome by significantly reducing the number of these companies (say to 1, 2 or 3 per state jurisdiction); while pursuing the local agendas via pairs of Clinical Councils </w:t>
      </w:r>
      <w:r w:rsidR="0049443D" w:rsidRPr="00E47332">
        <w:t xml:space="preserve">and </w:t>
      </w:r>
      <w:r w:rsidRPr="00E47332">
        <w:t>C</w:t>
      </w:r>
      <w:r w:rsidR="00B33CDB">
        <w:t xml:space="preserve">ommunity </w:t>
      </w:r>
      <w:r w:rsidRPr="00E47332">
        <w:t>Advisory Committees.</w:t>
      </w:r>
    </w:p>
    <w:p w:rsidR="00085626" w:rsidRPr="001025EA" w:rsidRDefault="00085626" w:rsidP="00085626">
      <w:pPr>
        <w:pStyle w:val="Heading2"/>
      </w:pPr>
      <w:bookmarkStart w:id="22" w:name="_Toc387644733"/>
      <w:r w:rsidRPr="001025EA">
        <w:t>General practice has a critical role</w:t>
      </w:r>
      <w:bookmarkEnd w:id="22"/>
    </w:p>
    <w:p w:rsidR="00085626" w:rsidRPr="001025EA" w:rsidRDefault="00085626" w:rsidP="000E61B4">
      <w:pPr>
        <w:pStyle w:val="EYBodytextwithparaspace"/>
        <w:numPr>
          <w:ilvl w:val="4"/>
          <w:numId w:val="21"/>
        </w:numPr>
      </w:pPr>
      <w:r w:rsidRPr="001025EA">
        <w:t>Clearly, the tran</w:t>
      </w:r>
      <w:r w:rsidR="001D0A9B">
        <w:t xml:space="preserve">sition to Medicare Locals from </w:t>
      </w:r>
      <w:r w:rsidR="004F2136" w:rsidRPr="001025EA">
        <w:t>D</w:t>
      </w:r>
      <w:r w:rsidRPr="001025EA">
        <w:t xml:space="preserve">GPs with restrictions on Board membership and </w:t>
      </w:r>
      <w:r w:rsidR="00F27E35" w:rsidRPr="001025EA">
        <w:t xml:space="preserve">with a </w:t>
      </w:r>
      <w:r w:rsidRPr="001025EA">
        <w:t>mandate for broader engagement</w:t>
      </w:r>
      <w:r w:rsidR="00F27E35" w:rsidRPr="001025EA">
        <w:t xml:space="preserve"> beyond general practice </w:t>
      </w:r>
      <w:r w:rsidRPr="001025EA">
        <w:t>has affected relationship</w:t>
      </w:r>
      <w:r w:rsidR="001D0A9B">
        <w:t>s</w:t>
      </w:r>
      <w:r w:rsidRPr="001025EA">
        <w:t xml:space="preserve"> with </w:t>
      </w:r>
      <w:r w:rsidR="004F2136" w:rsidRPr="001025EA">
        <w:t>GPs</w:t>
      </w:r>
      <w:r w:rsidRPr="001025EA">
        <w:t>.</w:t>
      </w:r>
      <w:r w:rsidR="0010709B" w:rsidRPr="001025EA">
        <w:t xml:space="preserve"> </w:t>
      </w:r>
      <w:r w:rsidRPr="001025EA">
        <w:t xml:space="preserve"> GPs have </w:t>
      </w:r>
      <w:r w:rsidR="001D0A9B">
        <w:t>felt</w:t>
      </w:r>
      <w:r w:rsidRPr="001025EA">
        <w:t xml:space="preserve"> disempower</w:t>
      </w:r>
      <w:r w:rsidR="001D0A9B">
        <w:t>ed</w:t>
      </w:r>
      <w:r w:rsidRPr="001025EA">
        <w:t xml:space="preserve"> through governance structures that have generally failed to appropriately involve and engage </w:t>
      </w:r>
      <w:r w:rsidR="001D5E25" w:rsidRPr="001025EA">
        <w:t>them</w:t>
      </w:r>
      <w:r w:rsidRPr="001025EA">
        <w:t xml:space="preserve">.  </w:t>
      </w:r>
      <w:r w:rsidR="001D5E25" w:rsidRPr="001025EA">
        <w:t xml:space="preserve">In some Medicare Locals, relationships with GPs have further been eroded through Medicare Locals pursuing an </w:t>
      </w:r>
      <w:r w:rsidR="00F27E35" w:rsidRPr="001025EA">
        <w:t>operation</w:t>
      </w:r>
      <w:r w:rsidR="001D5E25" w:rsidRPr="001025EA">
        <w:t>al</w:t>
      </w:r>
      <w:r w:rsidR="00F27E35" w:rsidRPr="001025EA">
        <w:t xml:space="preserve"> focus </w:t>
      </w:r>
      <w:r w:rsidR="00F27E35" w:rsidRPr="001025EA">
        <w:rPr>
          <w:lang w:val="en-AU"/>
        </w:rPr>
        <w:t>centred</w:t>
      </w:r>
      <w:r w:rsidR="00F27E35" w:rsidRPr="001025EA">
        <w:t xml:space="preserve"> </w:t>
      </w:r>
      <w:r w:rsidR="001D5E25" w:rsidRPr="001025EA">
        <w:t xml:space="preserve">on </w:t>
      </w:r>
      <w:r w:rsidRPr="001025EA">
        <w:t xml:space="preserve">practice nurses and practice managers rather than </w:t>
      </w:r>
      <w:r w:rsidR="00B71AB2">
        <w:t xml:space="preserve">engaging the </w:t>
      </w:r>
      <w:r w:rsidR="001D5E25" w:rsidRPr="001025EA">
        <w:t>GP</w:t>
      </w:r>
      <w:r w:rsidR="00B71AB2">
        <w:t>s themselves</w:t>
      </w:r>
      <w:r w:rsidRPr="001025EA">
        <w:t xml:space="preserve">. </w:t>
      </w:r>
    </w:p>
    <w:p w:rsidR="00085626" w:rsidRPr="001025EA" w:rsidRDefault="00085626" w:rsidP="00085626">
      <w:pPr>
        <w:pStyle w:val="EYBodytextwithparaspace"/>
      </w:pPr>
      <w:r w:rsidRPr="001025EA">
        <w:t xml:space="preserve">General practice is critical for a high performing, cost effective, primary health care system to orientate health care away from expensive hospital services.  It is paramount that relationships with general practice are rebuilt and GPs are appropriately engaged.  </w:t>
      </w:r>
      <w:r w:rsidR="001D0A9B">
        <w:t xml:space="preserve">There needs to </w:t>
      </w:r>
      <w:r w:rsidR="00B71AB2">
        <w:t xml:space="preserve">be </w:t>
      </w:r>
      <w:r w:rsidR="001D0A9B">
        <w:t xml:space="preserve">GP </w:t>
      </w:r>
      <w:r w:rsidRPr="001025EA">
        <w:t>buy</w:t>
      </w:r>
      <w:r w:rsidR="001D0A9B">
        <w:t>-</w:t>
      </w:r>
      <w:r w:rsidRPr="001025EA">
        <w:t xml:space="preserve">in </w:t>
      </w:r>
      <w:r w:rsidR="00752A01" w:rsidRPr="001025EA">
        <w:t xml:space="preserve">at both the governance and operational levels </w:t>
      </w:r>
      <w:r w:rsidRPr="001025EA">
        <w:t xml:space="preserve">and </w:t>
      </w:r>
      <w:r w:rsidR="00067CA1">
        <w:t xml:space="preserve">for them </w:t>
      </w:r>
      <w:r w:rsidR="00B71AB2">
        <w:t xml:space="preserve">to be able to </w:t>
      </w:r>
      <w:r w:rsidR="003E7A7C">
        <w:t>see benefit of</w:t>
      </w:r>
      <w:r w:rsidRPr="001025EA">
        <w:t xml:space="preserve"> their involvement.</w:t>
      </w:r>
    </w:p>
    <w:p w:rsidR="006A06BC" w:rsidRPr="001025EA" w:rsidRDefault="00270890" w:rsidP="00696FC1">
      <w:pPr>
        <w:pStyle w:val="Heading2"/>
      </w:pPr>
      <w:bookmarkStart w:id="23" w:name="_Toc387644734"/>
      <w:r w:rsidRPr="001025EA">
        <w:t>An a</w:t>
      </w:r>
      <w:r w:rsidR="006A06BC" w:rsidRPr="001025EA">
        <w:t xml:space="preserve">bsence of a clear purpose </w:t>
      </w:r>
      <w:r w:rsidR="001B6EE4" w:rsidRPr="001025EA">
        <w:t xml:space="preserve">for Medicare Locals </w:t>
      </w:r>
      <w:r w:rsidR="003E3C87" w:rsidRPr="001025EA">
        <w:t>compounded by variability across the country</w:t>
      </w:r>
      <w:bookmarkEnd w:id="23"/>
    </w:p>
    <w:p w:rsidR="00EE1186" w:rsidRPr="001025EA" w:rsidRDefault="00EE1186" w:rsidP="00E836ED">
      <w:pPr>
        <w:pStyle w:val="EYBodytextwithparaspace"/>
      </w:pPr>
      <w:r w:rsidRPr="001025EA">
        <w:t xml:space="preserve">I found </w:t>
      </w:r>
      <w:r w:rsidR="007B60A9" w:rsidRPr="001025EA">
        <w:t xml:space="preserve">lack of clarity </w:t>
      </w:r>
      <w:r w:rsidRPr="001025EA">
        <w:t xml:space="preserve">in what many Medicare Locals are trying to achieve, with considerable variability in both the scope of activities performed and </w:t>
      </w:r>
      <w:r w:rsidR="00FB3110">
        <w:t xml:space="preserve">catchment </w:t>
      </w:r>
      <w:r w:rsidRPr="001025EA">
        <w:t>deliver</w:t>
      </w:r>
      <w:r w:rsidR="00FB3110">
        <w:t>y strategies</w:t>
      </w:r>
      <w:r w:rsidR="004A6827" w:rsidRPr="001025EA">
        <w:t>.  This</w:t>
      </w:r>
      <w:r w:rsidRPr="001025EA">
        <w:t xml:space="preserve"> has resulted in </w:t>
      </w:r>
      <w:r w:rsidR="004A6827" w:rsidRPr="001025EA">
        <w:t>in</w:t>
      </w:r>
      <w:r w:rsidRPr="001025EA">
        <w:t>consistent outcomes</w:t>
      </w:r>
      <w:r w:rsidR="004A6827" w:rsidRPr="001025EA">
        <w:t xml:space="preserve"> across Medicare Locals</w:t>
      </w:r>
      <w:r w:rsidRPr="001025EA">
        <w:t>, dispirit</w:t>
      </w:r>
      <w:r w:rsidR="004A6827" w:rsidRPr="001025EA">
        <w:t>ed</w:t>
      </w:r>
      <w:r w:rsidRPr="001025EA">
        <w:t xml:space="preserve"> stakeholder engagement, poor network cohesion, and reduced sector influence.  I found at the time of commencement that many Medicare Locals themselves did not have a clear or consistent understanding of what to do, and other entities did not know what to do with them</w:t>
      </w:r>
      <w:r w:rsidR="00FB3110">
        <w:t>.  T</w:t>
      </w:r>
      <w:r w:rsidRPr="001025EA">
        <w:t xml:space="preserve">his lack of clear purpose perpetuated a sense of confusion and relevance with service sectors, governments and the community. </w:t>
      </w:r>
    </w:p>
    <w:p w:rsidR="00EE1186" w:rsidRPr="001025EA" w:rsidRDefault="00EE1186" w:rsidP="00E836ED">
      <w:pPr>
        <w:pStyle w:val="EYBodytextwithparaspace"/>
      </w:pPr>
      <w:r w:rsidRPr="001025EA">
        <w:t xml:space="preserve">To some extent, this finding is not surprising.  The original mandate for Medicare Locals was relatively </w:t>
      </w:r>
      <w:r w:rsidR="00F5360C" w:rsidRPr="001025EA">
        <w:t>broad and provided Medicare Locals with considerable flexibility</w:t>
      </w:r>
      <w:r w:rsidRPr="001025EA">
        <w:t xml:space="preserve">.  </w:t>
      </w:r>
      <w:r w:rsidR="00F5360C" w:rsidRPr="001025EA">
        <w:t xml:space="preserve">Such flexibility became increasingly important with increased </w:t>
      </w:r>
      <w:r w:rsidRPr="001025EA">
        <w:t>flexible funding</w:t>
      </w:r>
      <w:r w:rsidR="00FB3110">
        <w:t>,</w:t>
      </w:r>
      <w:r w:rsidR="00F5360C" w:rsidRPr="001025EA">
        <w:t xml:space="preserve"> which resulted in Medicare Locals pursuing a diverse range of activities. </w:t>
      </w:r>
      <w:r w:rsidRPr="001025EA">
        <w:t xml:space="preserve"> </w:t>
      </w:r>
      <w:r w:rsidR="00F5360C" w:rsidRPr="001025EA">
        <w:t>In many instances, this result</w:t>
      </w:r>
      <w:r w:rsidR="002A382A" w:rsidRPr="001025EA">
        <w:t>ed</w:t>
      </w:r>
      <w:r w:rsidR="00F5360C" w:rsidRPr="001025EA">
        <w:t xml:space="preserve"> in </w:t>
      </w:r>
      <w:r w:rsidRPr="001025EA">
        <w:t>duplication of effort, in particular around jurisdictional initiatives and state-based population health planning and</w:t>
      </w:r>
      <w:r w:rsidR="00752A01" w:rsidRPr="001025EA">
        <w:t>,</w:t>
      </w:r>
      <w:r w:rsidRPr="001025EA">
        <w:t xml:space="preserve"> </w:t>
      </w:r>
      <w:r w:rsidR="00752A01" w:rsidRPr="001025EA">
        <w:t xml:space="preserve">of </w:t>
      </w:r>
      <w:proofErr w:type="gramStart"/>
      <w:r w:rsidR="006C1DEC" w:rsidRPr="001025EA">
        <w:rPr>
          <w:lang w:val="en-AU"/>
        </w:rPr>
        <w:t>concern,</w:t>
      </w:r>
      <w:proofErr w:type="gramEnd"/>
      <w:r w:rsidR="006C1DEC" w:rsidRPr="001025EA">
        <w:rPr>
          <w:lang w:val="en-AU"/>
        </w:rPr>
        <w:t xml:space="preserve"> </w:t>
      </w:r>
      <w:r w:rsidR="006C1DEC" w:rsidRPr="001025EA">
        <w:t xml:space="preserve">there </w:t>
      </w:r>
      <w:r w:rsidRPr="001025EA">
        <w:t>are instances where Medicare Locals are regarded as competitors rather than collaborators</w:t>
      </w:r>
      <w:r w:rsidR="00E836ED" w:rsidRPr="001025EA">
        <w:t xml:space="preserve">.  </w:t>
      </w:r>
    </w:p>
    <w:p w:rsidR="00C51B2D" w:rsidRPr="001025EA" w:rsidRDefault="00EE1186" w:rsidP="00C51B2D">
      <w:pPr>
        <w:pStyle w:val="EYBodytextwithparaspace"/>
      </w:pPr>
      <w:r w:rsidRPr="001025EA">
        <w:t xml:space="preserve">Variability within the context of flexibility to respond to local issues is acceptable.  However, variability in intent and performance </w:t>
      </w:r>
      <w:r w:rsidR="00E836ED" w:rsidRPr="001025EA">
        <w:t xml:space="preserve">is </w:t>
      </w:r>
      <w:r w:rsidRPr="001025EA">
        <w:t>not.  Some described variability as a product of immaturity</w:t>
      </w:r>
      <w:r w:rsidR="006C1DEC" w:rsidRPr="001025EA">
        <w:t>, b</w:t>
      </w:r>
      <w:r w:rsidRPr="001025EA">
        <w:t xml:space="preserve">ut I think it has more to do with a lack of clear purpose and associated agenda to accomplish something.  </w:t>
      </w:r>
    </w:p>
    <w:p w:rsidR="00085626" w:rsidRPr="001025EA" w:rsidRDefault="00085626" w:rsidP="00085626">
      <w:pPr>
        <w:pStyle w:val="Heading2"/>
      </w:pPr>
      <w:bookmarkStart w:id="24" w:name="_Toc387644735"/>
      <w:r w:rsidRPr="001025EA">
        <w:t>One model does not fit all</w:t>
      </w:r>
      <w:bookmarkEnd w:id="24"/>
    </w:p>
    <w:p w:rsidR="00085626" w:rsidRPr="001025EA" w:rsidRDefault="00085626" w:rsidP="00085626">
      <w:pPr>
        <w:pStyle w:val="EYBodytextwithparaspace"/>
      </w:pPr>
      <w:r w:rsidRPr="001025EA">
        <w:t xml:space="preserve">Considering the vast range </w:t>
      </w:r>
      <w:r w:rsidR="009E24D8" w:rsidRPr="001025EA">
        <w:t xml:space="preserve">of </w:t>
      </w:r>
      <w:r w:rsidRPr="001025EA">
        <w:t xml:space="preserve">environments </w:t>
      </w:r>
      <w:r w:rsidR="009E24D8" w:rsidRPr="001025EA">
        <w:t xml:space="preserve">in which </w:t>
      </w:r>
      <w:r w:rsidRPr="001025EA">
        <w:t xml:space="preserve">Medicare Locals operate </w:t>
      </w:r>
      <w:r w:rsidR="00B71AB2">
        <w:t xml:space="preserve">together with </w:t>
      </w:r>
      <w:r w:rsidRPr="001025EA">
        <w:t>disparities in performance</w:t>
      </w:r>
      <w:r w:rsidR="009E24D8" w:rsidRPr="001025EA">
        <w:t>,</w:t>
      </w:r>
      <w:r w:rsidRPr="001025EA">
        <w:t xml:space="preserve"> I conclude that a single </w:t>
      </w:r>
      <w:proofErr w:type="spellStart"/>
      <w:r w:rsidR="00FB3110">
        <w:t>organisational</w:t>
      </w:r>
      <w:proofErr w:type="spellEnd"/>
      <w:r w:rsidR="00FB3110">
        <w:t xml:space="preserve"> model</w:t>
      </w:r>
      <w:r w:rsidRPr="001025EA">
        <w:t xml:space="preserve"> is not suitable for all circumstances and environments.  For example, I found in </w:t>
      </w:r>
      <w:r w:rsidR="00B71AB2">
        <w:t xml:space="preserve">some </w:t>
      </w:r>
      <w:r w:rsidRPr="001025EA">
        <w:t xml:space="preserve">rural and remote areas, Medicare Locals provide limited additional value, particularly where established provider </w:t>
      </w:r>
      <w:r w:rsidR="009E24D8" w:rsidRPr="001025EA">
        <w:t xml:space="preserve">and service </w:t>
      </w:r>
      <w:r w:rsidRPr="001025EA">
        <w:t>relationships exist</w:t>
      </w:r>
      <w:r w:rsidR="00B71AB2">
        <w:t xml:space="preserve"> or</w:t>
      </w:r>
      <w:r w:rsidRPr="001025EA">
        <w:t xml:space="preserve"> where there are few private primary</w:t>
      </w:r>
      <w:r w:rsidR="00BD4DA0">
        <w:t xml:space="preserve"> health</w:t>
      </w:r>
      <w:r w:rsidRPr="001025EA">
        <w:t xml:space="preserve"> care providers.</w:t>
      </w:r>
    </w:p>
    <w:p w:rsidR="00085626" w:rsidRPr="001025EA" w:rsidRDefault="00085626" w:rsidP="00085626">
      <w:pPr>
        <w:pStyle w:val="EYBodytextwithparaspace"/>
      </w:pPr>
      <w:r w:rsidRPr="001025EA">
        <w:t xml:space="preserve">It </w:t>
      </w:r>
      <w:r w:rsidR="009E24D8" w:rsidRPr="001025EA">
        <w:t xml:space="preserve">is </w:t>
      </w:r>
      <w:r w:rsidRPr="001025EA">
        <w:t>apparent that some model differentiation is required t</w:t>
      </w:r>
      <w:r w:rsidR="00FB3110">
        <w:t xml:space="preserve">o improve </w:t>
      </w:r>
      <w:r w:rsidRPr="001025EA">
        <w:t>community responsiveness. The catchment spread</w:t>
      </w:r>
      <w:r w:rsidR="00B71AB2">
        <w:t xml:space="preserve"> and</w:t>
      </w:r>
      <w:r w:rsidRPr="001025EA">
        <w:t xml:space="preserve"> resource intensity would be different depending on the primary health care provider market, workforce dynamics and LHN service distribution.  </w:t>
      </w:r>
    </w:p>
    <w:p w:rsidR="00085626" w:rsidRPr="001025EA" w:rsidRDefault="00085626" w:rsidP="00085626">
      <w:pPr>
        <w:pStyle w:val="Heading2"/>
      </w:pPr>
      <w:bookmarkStart w:id="25" w:name="_Toc387644736"/>
      <w:r w:rsidRPr="001025EA">
        <w:t>Selective engagement across sectors</w:t>
      </w:r>
      <w:bookmarkEnd w:id="25"/>
    </w:p>
    <w:p w:rsidR="00085626" w:rsidRPr="001025EA" w:rsidRDefault="00352922" w:rsidP="00085626">
      <w:pPr>
        <w:pStyle w:val="EYBodytextwithparaspace"/>
      </w:pPr>
      <w:r w:rsidRPr="001025EA">
        <w:t>Our health system is a complex mix of public and private providers</w:t>
      </w:r>
      <w:r w:rsidR="008B4472" w:rsidRPr="001025EA">
        <w:t xml:space="preserve">, indeed the primary health care sector is dominated by private providers.  </w:t>
      </w:r>
      <w:r w:rsidR="00085626" w:rsidRPr="001025EA">
        <w:t>I consistently heard that Medicare Locals have avoided engagement with private hospitals and the private health insurance industry.  Failure to engage the private sector or incorporate equitable provisions for private patients in planning and activities is a lost opportunity and further compounds fragmentation.</w:t>
      </w:r>
    </w:p>
    <w:p w:rsidR="00085626" w:rsidRPr="001025EA" w:rsidRDefault="00085626" w:rsidP="00085626">
      <w:pPr>
        <w:pStyle w:val="EYBodytextwithparaspace"/>
      </w:pPr>
      <w:r w:rsidRPr="001025EA">
        <w:t xml:space="preserve">Patients </w:t>
      </w:r>
      <w:r w:rsidR="00452E5A">
        <w:t>discharged from</w:t>
      </w:r>
      <w:r w:rsidR="005C620B">
        <w:t xml:space="preserve"> </w:t>
      </w:r>
      <w:r w:rsidRPr="001025EA">
        <w:t xml:space="preserve">private hospitals are generally unlikely to see any contribution from Medicare Locals to improve their transition into the community or </w:t>
      </w:r>
      <w:r w:rsidR="006B0885" w:rsidRPr="001025EA">
        <w:t xml:space="preserve">meet </w:t>
      </w:r>
      <w:r w:rsidRPr="001025EA">
        <w:t>their ongoing health care needs.  Additionally, privately practicing community specialists</w:t>
      </w:r>
      <w:r w:rsidR="00352922" w:rsidRPr="001025EA">
        <w:t xml:space="preserve"> and allied health professionals </w:t>
      </w:r>
      <w:r w:rsidRPr="001025EA">
        <w:t>who play a significant role in ensuring patients can be appropriately cared for in the community</w:t>
      </w:r>
      <w:r w:rsidR="00452E5A">
        <w:t>,</w:t>
      </w:r>
      <w:r w:rsidR="006B0885" w:rsidRPr="001025EA">
        <w:t xml:space="preserve"> must be engaged by Medicare Locals</w:t>
      </w:r>
      <w:r w:rsidRPr="001025EA">
        <w:t>.  Increasingly we are seeing</w:t>
      </w:r>
      <w:r w:rsidR="006B0885" w:rsidRPr="001025EA">
        <w:t xml:space="preserve"> health </w:t>
      </w:r>
      <w:r w:rsidRPr="001025EA">
        <w:t xml:space="preserve">insurers </w:t>
      </w:r>
      <w:r w:rsidR="006B0885" w:rsidRPr="001025EA">
        <w:t xml:space="preserve">seeking to </w:t>
      </w:r>
      <w:r w:rsidRPr="001025EA">
        <w:t>provi</w:t>
      </w:r>
      <w:r w:rsidR="006B0885" w:rsidRPr="001025EA">
        <w:t xml:space="preserve">de </w:t>
      </w:r>
      <w:r w:rsidRPr="001025EA">
        <w:t>selected interventions and support frameworks for patients</w:t>
      </w:r>
      <w:r w:rsidR="006B0885" w:rsidRPr="001025EA">
        <w:t xml:space="preserve"> in the community</w:t>
      </w:r>
      <w:r w:rsidRPr="001025EA">
        <w:t>.  Moving forward</w:t>
      </w:r>
      <w:r w:rsidR="006B0885" w:rsidRPr="001025EA">
        <w:t>,</w:t>
      </w:r>
      <w:r w:rsidRPr="001025EA">
        <w:t xml:space="preserve"> </w:t>
      </w:r>
      <w:proofErr w:type="spellStart"/>
      <w:r w:rsidRPr="001025EA">
        <w:t>organisations</w:t>
      </w:r>
      <w:proofErr w:type="spellEnd"/>
      <w:r w:rsidRPr="001025EA">
        <w:t xml:space="preserve"> such as Medicare Locals cannot afford to ignore the opportunities for innovative integration with the private sector.  </w:t>
      </w:r>
    </w:p>
    <w:p w:rsidR="00085626" w:rsidRPr="001025EA" w:rsidRDefault="00085626" w:rsidP="00085626">
      <w:pPr>
        <w:pStyle w:val="Heading2"/>
      </w:pPr>
      <w:bookmarkStart w:id="26" w:name="_Toc387644737"/>
      <w:r w:rsidRPr="001025EA">
        <w:t>Commonwealth funding for a lead change agent for Medicare Locals</w:t>
      </w:r>
      <w:bookmarkEnd w:id="26"/>
    </w:p>
    <w:p w:rsidR="00085626" w:rsidRPr="001025EA" w:rsidRDefault="00085626" w:rsidP="00085626">
      <w:pPr>
        <w:pStyle w:val="EYBodytextwithparaspace"/>
      </w:pPr>
      <w:r w:rsidRPr="001025EA">
        <w:t>The uncertainty surrounding the role of Medicare Locals can be extended to the AML Alliance.  Despite the AML Alliance receiving considerable funding from the Department of Health to perform the role of lead change agent for the national network</w:t>
      </w:r>
      <w:r w:rsidR="00FB3110">
        <w:t xml:space="preserve"> </w:t>
      </w:r>
      <w:r w:rsidRPr="001025EA">
        <w:t>many stakeholders reflected they experienced limited engagement</w:t>
      </w:r>
      <w:r w:rsidR="00085009">
        <w:t>.</w:t>
      </w:r>
      <w:r w:rsidRPr="001025EA">
        <w:t xml:space="preserve">  The AML Alliance appears to have struggled to fulfil its mandate particular</w:t>
      </w:r>
      <w:r w:rsidR="00352922" w:rsidRPr="001025EA">
        <w:t>ly</w:t>
      </w:r>
      <w:r w:rsidRPr="001025EA">
        <w:t xml:space="preserve"> in relation to building the capacity of the network and addressing jurisdictional-specific </w:t>
      </w:r>
      <w:r w:rsidR="00452E5A">
        <w:t>issues</w:t>
      </w:r>
      <w:r w:rsidRPr="001025EA">
        <w:t xml:space="preserve">.  </w:t>
      </w:r>
    </w:p>
    <w:p w:rsidR="00FB47A0" w:rsidRPr="001025EA" w:rsidRDefault="00085626" w:rsidP="00085626">
      <w:pPr>
        <w:pStyle w:val="EYBodytextwithparaspace"/>
      </w:pPr>
      <w:r w:rsidRPr="001025EA">
        <w:t xml:space="preserve">I support the view that national bodies are best generated </w:t>
      </w:r>
      <w:r w:rsidR="00452E5A">
        <w:t>by</w:t>
      </w:r>
      <w:r w:rsidR="00452E5A" w:rsidRPr="001025EA">
        <w:t xml:space="preserve"> </w:t>
      </w:r>
      <w:r w:rsidRPr="001025EA">
        <w:t>the members they serve.  In the current network space it appears to me that the greatest need is around the consolidation of system-wide functions and the evaluation and dissemination of good practice</w:t>
      </w:r>
      <w:r w:rsidR="00BD4DA0">
        <w:t>,</w:t>
      </w:r>
      <w:r w:rsidR="00CA79FF" w:rsidRPr="001025EA">
        <w:t xml:space="preserve"> </w:t>
      </w:r>
      <w:r w:rsidR="00085009">
        <w:t>and</w:t>
      </w:r>
      <w:r w:rsidR="00CA79FF" w:rsidRPr="001025EA">
        <w:t xml:space="preserve"> </w:t>
      </w:r>
      <w:r w:rsidR="00BD4DA0">
        <w:t xml:space="preserve">that </w:t>
      </w:r>
      <w:r w:rsidRPr="001025EA">
        <w:t>numerous existing clinical and professional bodies could fulfil th</w:t>
      </w:r>
      <w:r w:rsidR="00CA79FF" w:rsidRPr="001025EA">
        <w:t>is</w:t>
      </w:r>
      <w:r w:rsidRPr="001025EA">
        <w:t xml:space="preserve"> role.  </w:t>
      </w:r>
    </w:p>
    <w:p w:rsidR="00085626" w:rsidRPr="001025EA" w:rsidRDefault="00085626" w:rsidP="00085626">
      <w:pPr>
        <w:pStyle w:val="EYBodytextwithparaspace"/>
      </w:pPr>
      <w:r w:rsidRPr="001025EA">
        <w:t>The need for effective engagement with state</w:t>
      </w:r>
      <w:r w:rsidR="00FB47A0" w:rsidRPr="001025EA">
        <w:t xml:space="preserve">/territory </w:t>
      </w:r>
      <w:r w:rsidRPr="001025EA">
        <w:t>governments is paramount and key to fostering increase</w:t>
      </w:r>
      <w:r w:rsidR="00352922" w:rsidRPr="001025EA">
        <w:t>d</w:t>
      </w:r>
      <w:r w:rsidRPr="001025EA">
        <w:t xml:space="preserve"> </w:t>
      </w:r>
      <w:r w:rsidR="00FB47A0" w:rsidRPr="001025EA">
        <w:t xml:space="preserve">productive engagement with </w:t>
      </w:r>
      <w:r w:rsidRPr="001025EA">
        <w:t>LHN</w:t>
      </w:r>
      <w:r w:rsidR="00FB47A0" w:rsidRPr="001025EA">
        <w:t>s</w:t>
      </w:r>
      <w:r w:rsidRPr="001025EA">
        <w:t xml:space="preserve">.  </w:t>
      </w:r>
      <w:r w:rsidR="00452E5A">
        <w:t>Rationally</w:t>
      </w:r>
      <w:r w:rsidR="00FB47A0" w:rsidRPr="001025EA">
        <w:t xml:space="preserve">, </w:t>
      </w:r>
      <w:r w:rsidRPr="001025EA">
        <w:t xml:space="preserve">a </w:t>
      </w:r>
      <w:r w:rsidR="00452E5A">
        <w:t>smaller</w:t>
      </w:r>
      <w:r w:rsidRPr="001025EA">
        <w:t xml:space="preserve"> number of</w:t>
      </w:r>
      <w:r w:rsidR="00FB47A0" w:rsidRPr="001025EA">
        <w:t xml:space="preserve"> empowered </w:t>
      </w:r>
      <w:proofErr w:type="spellStart"/>
      <w:r w:rsidRPr="001025EA">
        <w:t>organisations</w:t>
      </w:r>
      <w:proofErr w:type="spellEnd"/>
      <w:r w:rsidR="00FB47A0" w:rsidRPr="001025EA">
        <w:t xml:space="preserve"> could engage in </w:t>
      </w:r>
      <w:r w:rsidRPr="001025EA">
        <w:t xml:space="preserve">conversations and </w:t>
      </w:r>
      <w:r w:rsidR="002604E4" w:rsidRPr="001025EA">
        <w:t xml:space="preserve">negotiations </w:t>
      </w:r>
      <w:r w:rsidRPr="001025EA">
        <w:t>with state</w:t>
      </w:r>
      <w:r w:rsidR="00FB47A0" w:rsidRPr="001025EA">
        <w:t xml:space="preserve">/territory </w:t>
      </w:r>
      <w:r w:rsidRPr="001025EA">
        <w:t xml:space="preserve">governments </w:t>
      </w:r>
      <w:r w:rsidR="00FB47A0" w:rsidRPr="001025EA">
        <w:t xml:space="preserve">that are </w:t>
      </w:r>
      <w:r w:rsidRPr="001025EA">
        <w:t xml:space="preserve">more </w:t>
      </w:r>
      <w:r w:rsidR="00085009">
        <w:t>effective</w:t>
      </w:r>
      <w:r w:rsidRPr="001025EA">
        <w:t>, targeted and authoritative.</w:t>
      </w:r>
    </w:p>
    <w:p w:rsidR="00085626" w:rsidRPr="001025EA" w:rsidRDefault="00085626" w:rsidP="00085626">
      <w:pPr>
        <w:rPr>
          <w:rFonts w:cs="Garamond"/>
          <w:color w:val="000000"/>
        </w:rPr>
      </w:pPr>
      <w:r w:rsidRPr="001025EA">
        <w:rPr>
          <w:rFonts w:cs="Garamond"/>
          <w:color w:val="000000"/>
        </w:rPr>
        <w:t xml:space="preserve">I can see no rationale for continuing to provide </w:t>
      </w:r>
      <w:r w:rsidR="00452E5A">
        <w:rPr>
          <w:rFonts w:cs="Garamond"/>
          <w:color w:val="000000"/>
        </w:rPr>
        <w:t xml:space="preserve">government </w:t>
      </w:r>
      <w:r w:rsidRPr="001025EA">
        <w:rPr>
          <w:rFonts w:cs="Garamond"/>
          <w:color w:val="000000"/>
        </w:rPr>
        <w:t xml:space="preserve">financial support to the AML Alliance.  If the </w:t>
      </w:r>
      <w:r w:rsidR="003E7A7C" w:rsidRPr="001025EA">
        <w:rPr>
          <w:rFonts w:cs="Garamond"/>
          <w:color w:val="000000"/>
        </w:rPr>
        <w:t>members</w:t>
      </w:r>
      <w:r w:rsidR="003E7A7C">
        <w:rPr>
          <w:rFonts w:cs="Garamond"/>
          <w:color w:val="000000"/>
        </w:rPr>
        <w:t>hip</w:t>
      </w:r>
      <w:r w:rsidR="003E7A7C" w:rsidRPr="001025EA">
        <w:rPr>
          <w:rFonts w:cs="Garamond"/>
          <w:color w:val="000000"/>
        </w:rPr>
        <w:t xml:space="preserve"> of the Alliance deems</w:t>
      </w:r>
      <w:r w:rsidRPr="001025EA">
        <w:rPr>
          <w:rFonts w:cs="Garamond"/>
          <w:color w:val="000000"/>
        </w:rPr>
        <w:t xml:space="preserve"> it adds sufficient value to their activities then it should seek funding through appropriate membership fees and other charges. </w:t>
      </w:r>
    </w:p>
    <w:p w:rsidR="006A06BC" w:rsidRPr="001025EA" w:rsidRDefault="006A06BC" w:rsidP="00696FC1">
      <w:pPr>
        <w:pStyle w:val="Heading2"/>
      </w:pPr>
      <w:bookmarkStart w:id="27" w:name="_Toc387644738"/>
      <w:r w:rsidRPr="001025EA">
        <w:t>Facilitators and purchasers of health care</w:t>
      </w:r>
      <w:bookmarkEnd w:id="27"/>
    </w:p>
    <w:p w:rsidR="009912BD" w:rsidRPr="001025EA" w:rsidRDefault="002604E4" w:rsidP="002F74A1">
      <w:pPr>
        <w:pStyle w:val="EYBodytextwithparaspace"/>
      </w:pPr>
      <w:r w:rsidRPr="001025EA">
        <w:t>There is considerable variability in the approach to service delivery a</w:t>
      </w:r>
      <w:r w:rsidR="009912BD" w:rsidRPr="001025EA">
        <w:t>cross the Medicare Local network</w:t>
      </w:r>
      <w:r w:rsidR="0033448A" w:rsidRPr="001025EA">
        <w:t xml:space="preserve"> including </w:t>
      </w:r>
      <w:r w:rsidR="00085009">
        <w:t>as</w:t>
      </w:r>
      <w:r w:rsidR="0033448A" w:rsidRPr="001025EA">
        <w:t xml:space="preserve"> coordinators or facilitators of services, purchasers, and/or direct service providers</w:t>
      </w:r>
      <w:r w:rsidR="00620095" w:rsidRPr="001025EA">
        <w:t>.</w:t>
      </w:r>
      <w:r w:rsidR="009912BD" w:rsidRPr="001025EA">
        <w:t xml:space="preserve">  Medicare Locals have not had clear direction on how to approach the implementation of their multiple </w:t>
      </w:r>
      <w:proofErr w:type="spellStart"/>
      <w:r w:rsidR="009912BD" w:rsidRPr="001025EA">
        <w:t>programme</w:t>
      </w:r>
      <w:proofErr w:type="spellEnd"/>
      <w:r w:rsidR="009912BD" w:rsidRPr="001025EA">
        <w:t xml:space="preserve"> schedules.  </w:t>
      </w:r>
    </w:p>
    <w:p w:rsidR="009912BD" w:rsidRPr="001025EA" w:rsidRDefault="009912BD" w:rsidP="009F2736">
      <w:pPr>
        <w:pStyle w:val="EYBodytextwithparaspace"/>
      </w:pPr>
      <w:r w:rsidRPr="001025EA">
        <w:t>Tranche one (July 2011) Medicare Locals appear to have started with more of a purchasing intent</w:t>
      </w:r>
      <w:r w:rsidRPr="00CB7729">
        <w:t xml:space="preserve">, but </w:t>
      </w:r>
      <w:r w:rsidR="009F2736" w:rsidRPr="00CB7729">
        <w:t>over</w:t>
      </w:r>
      <w:r w:rsidR="0020005A" w:rsidRPr="00CB7729">
        <w:t xml:space="preserve"> </w:t>
      </w:r>
      <w:r w:rsidR="009F2736" w:rsidRPr="00CB7729">
        <w:t xml:space="preserve">time </w:t>
      </w:r>
      <w:r w:rsidRPr="00CB7729">
        <w:t xml:space="preserve">this has eroded into a </w:t>
      </w:r>
      <w:r w:rsidR="009F2736" w:rsidRPr="00CB7729">
        <w:t>greater</w:t>
      </w:r>
      <w:r w:rsidRPr="00CB7729">
        <w:t xml:space="preserve"> focus on direct service delivery.  </w:t>
      </w:r>
      <w:r w:rsidR="009F2736" w:rsidRPr="00CB7729">
        <w:t xml:space="preserve">The majority of </w:t>
      </w:r>
      <w:r w:rsidRPr="00CB7729">
        <w:t xml:space="preserve">Medicare Locals </w:t>
      </w:r>
      <w:r w:rsidRPr="00CB7729">
        <w:rPr>
          <w:lang w:val="en-AU"/>
        </w:rPr>
        <w:t>utilise</w:t>
      </w:r>
      <w:r w:rsidRPr="00CB7729">
        <w:t xml:space="preserve"> a combine</w:t>
      </w:r>
      <w:r w:rsidR="002604E4" w:rsidRPr="00CB7729">
        <w:t>d</w:t>
      </w:r>
      <w:r w:rsidRPr="00CB7729">
        <w:t xml:space="preserve"> approach to services delivery, which adds to the confusion among providers about their purpose.  A number of stakeholders described to me instances where Medicare Locals</w:t>
      </w:r>
      <w:r w:rsidR="00CB7729" w:rsidRPr="00CB7729">
        <w:t xml:space="preserve"> </w:t>
      </w:r>
      <w:r w:rsidRPr="00CB7729">
        <w:t xml:space="preserve">established services in direct competition to existing services.  </w:t>
      </w:r>
      <w:r w:rsidR="007B60A9" w:rsidRPr="00CB7729">
        <w:t xml:space="preserve">This </w:t>
      </w:r>
      <w:r w:rsidR="00085009" w:rsidRPr="00CB7729">
        <w:t xml:space="preserve">has </w:t>
      </w:r>
      <w:r w:rsidR="007B60A9" w:rsidRPr="00CB7729">
        <w:t xml:space="preserve">further eroded </w:t>
      </w:r>
      <w:r w:rsidR="003B2347" w:rsidRPr="00CB7729">
        <w:t>relation</w:t>
      </w:r>
      <w:r w:rsidR="007B60A9" w:rsidRPr="00CB7729">
        <w:t>ship</w:t>
      </w:r>
      <w:r w:rsidR="00085009" w:rsidRPr="00CB7729">
        <w:t>s with</w:t>
      </w:r>
      <w:r w:rsidR="00085009">
        <w:t xml:space="preserve"> </w:t>
      </w:r>
      <w:r w:rsidR="007B60A9" w:rsidRPr="001025EA">
        <w:t>general practice</w:t>
      </w:r>
      <w:r w:rsidR="006F7015" w:rsidRPr="001025EA">
        <w:t>.</w:t>
      </w:r>
    </w:p>
    <w:p w:rsidR="009912BD" w:rsidRPr="001025EA" w:rsidRDefault="009912BD" w:rsidP="009F2736">
      <w:pPr>
        <w:pStyle w:val="EYBodytextwithparaspace"/>
      </w:pPr>
      <w:r w:rsidRPr="001025EA">
        <w:t xml:space="preserve">Significantly, I identified stakeholder support for Medicare Locals to facilitate and/or purchase services to meet local needs, but not for them to provide services.  Without exception, I have heard that Medicare Locals should only be services providers when there is demonstrable market failure, where services do not exist or where there is insufficient access to services </w:t>
      </w:r>
      <w:r w:rsidR="00085009">
        <w:t>(</w:t>
      </w:r>
      <w:r w:rsidRPr="001025EA">
        <w:t>i.e.</w:t>
      </w:r>
      <w:r w:rsidR="00085009">
        <w:t>,</w:t>
      </w:r>
      <w:r w:rsidRPr="001025EA">
        <w:t xml:space="preserve"> performing a gap filling role</w:t>
      </w:r>
      <w:r w:rsidR="00085009">
        <w:t>)</w:t>
      </w:r>
      <w:r w:rsidRPr="001025EA">
        <w:t xml:space="preserve">. </w:t>
      </w:r>
      <w:r w:rsidR="007F6985" w:rsidRPr="001025EA">
        <w:t xml:space="preserve"> </w:t>
      </w:r>
      <w:r w:rsidR="00147B6B" w:rsidRPr="001025EA">
        <w:t xml:space="preserve">I note the importance of </w:t>
      </w:r>
      <w:proofErr w:type="spellStart"/>
      <w:r w:rsidR="00147B6B" w:rsidRPr="001025EA">
        <w:t>organisations</w:t>
      </w:r>
      <w:proofErr w:type="spellEnd"/>
      <w:r w:rsidR="00147B6B" w:rsidRPr="001025EA">
        <w:t xml:space="preserve"> being service providers in some remote locations in order to get a seat at the table to effectively engage ‘local’ stakeholders, but even in these situations, services should complement and add value to existing services rather than compete.</w:t>
      </w:r>
    </w:p>
    <w:p w:rsidR="00085626" w:rsidRPr="001025EA" w:rsidRDefault="00085626" w:rsidP="00085626">
      <w:pPr>
        <w:pStyle w:val="Heading2"/>
      </w:pPr>
      <w:bookmarkStart w:id="28" w:name="_Toc387644739"/>
      <w:r w:rsidRPr="001025EA">
        <w:t xml:space="preserve">Implementation of </w:t>
      </w:r>
      <w:proofErr w:type="spellStart"/>
      <w:r w:rsidRPr="001025EA">
        <w:t>after hours</w:t>
      </w:r>
      <w:proofErr w:type="spellEnd"/>
      <w:r w:rsidRPr="001025EA">
        <w:t xml:space="preserve"> incentive payments</w:t>
      </w:r>
      <w:bookmarkEnd w:id="28"/>
    </w:p>
    <w:p w:rsidR="00085626" w:rsidRPr="001025EA" w:rsidRDefault="00085009" w:rsidP="00085626">
      <w:pPr>
        <w:pStyle w:val="EYBodytextwithparaspace"/>
      </w:pPr>
      <w:r>
        <w:t xml:space="preserve">A common theme among </w:t>
      </w:r>
      <w:r w:rsidR="00085626" w:rsidRPr="001025EA">
        <w:t>stakeholders</w:t>
      </w:r>
      <w:r>
        <w:t xml:space="preserve"> is </w:t>
      </w:r>
      <w:r w:rsidR="00085626" w:rsidRPr="001025EA">
        <w:t xml:space="preserve">frustration </w:t>
      </w:r>
      <w:r>
        <w:t xml:space="preserve">associated with the </w:t>
      </w:r>
      <w:r w:rsidR="00085626" w:rsidRPr="001025EA">
        <w:t>implementation of the Medicare Locals</w:t>
      </w:r>
      <w:r w:rsidR="0020005A">
        <w:t>’</w:t>
      </w:r>
      <w:r w:rsidR="00085626" w:rsidRPr="001025EA">
        <w:t xml:space="preserve"> </w:t>
      </w:r>
      <w:r w:rsidR="006224F3" w:rsidRPr="001025EA">
        <w:t>a</w:t>
      </w:r>
      <w:r w:rsidR="00085626" w:rsidRPr="001025EA">
        <w:t xml:space="preserve">fter </w:t>
      </w:r>
      <w:r w:rsidR="006224F3" w:rsidRPr="001025EA">
        <w:t>h</w:t>
      </w:r>
      <w:r w:rsidR="00085626" w:rsidRPr="001025EA">
        <w:t xml:space="preserve">ours </w:t>
      </w:r>
      <w:proofErr w:type="spellStart"/>
      <w:r w:rsidR="00085626" w:rsidRPr="001025EA">
        <w:t>programme</w:t>
      </w:r>
      <w:proofErr w:type="spellEnd"/>
      <w:r w:rsidR="00085626" w:rsidRPr="001025EA">
        <w:t>.  Issues raised included: service contract complexity and conditions; excessive additional reporting burdens for general practices; and</w:t>
      </w:r>
      <w:r w:rsidR="00702615">
        <w:t>,</w:t>
      </w:r>
      <w:r w:rsidR="00085626" w:rsidRPr="001025EA">
        <w:t xml:space="preserve"> instances where Medicare Locals established services to operate in direct competition with existing </w:t>
      </w:r>
      <w:r w:rsidR="0020005A">
        <w:t xml:space="preserve">general </w:t>
      </w:r>
      <w:r w:rsidR="00085626" w:rsidRPr="001025EA">
        <w:t>practices or duplicated state</w:t>
      </w:r>
      <w:r w:rsidR="0020005A">
        <w:t>-</w:t>
      </w:r>
      <w:r w:rsidR="00085626" w:rsidRPr="001025EA">
        <w:t xml:space="preserve">funded services. </w:t>
      </w:r>
    </w:p>
    <w:p w:rsidR="00085626" w:rsidRPr="001025EA" w:rsidRDefault="00085626" w:rsidP="00085626">
      <w:pPr>
        <w:pStyle w:val="EYBodytextwithparaspace"/>
      </w:pPr>
      <w:r w:rsidRPr="001025EA">
        <w:t>Each Medicare Local approached the task of funding after hours services differently.  Some adopt</w:t>
      </w:r>
      <w:r w:rsidR="006F7015" w:rsidRPr="001025EA">
        <w:t>ed</w:t>
      </w:r>
      <w:r w:rsidRPr="001025EA">
        <w:t xml:space="preserve"> a mock-Practice Incentive Payment methodology, others us</w:t>
      </w:r>
      <w:r w:rsidR="006F7015" w:rsidRPr="001025EA">
        <w:t>ed</w:t>
      </w:r>
      <w:r w:rsidRPr="001025EA">
        <w:t xml:space="preserve"> simple grants, and others applied regional approaches </w:t>
      </w:r>
      <w:r w:rsidR="006F7015" w:rsidRPr="001025EA">
        <w:t>that negated the need for specific practice support</w:t>
      </w:r>
      <w:r w:rsidR="006F7015" w:rsidRPr="001025EA" w:rsidDel="006F7015">
        <w:t xml:space="preserve"> </w:t>
      </w:r>
      <w:r w:rsidR="00085009">
        <w:t>(</w:t>
      </w:r>
      <w:r w:rsidRPr="001025EA">
        <w:t>i.e.</w:t>
      </w:r>
      <w:r w:rsidR="00085009">
        <w:t>,</w:t>
      </w:r>
      <w:r w:rsidRPr="001025EA">
        <w:t xml:space="preserve"> via Medica</w:t>
      </w:r>
      <w:r w:rsidR="006F7015" w:rsidRPr="001025EA">
        <w:t>l</w:t>
      </w:r>
      <w:r w:rsidRPr="001025EA">
        <w:t xml:space="preserve"> </w:t>
      </w:r>
      <w:r w:rsidRPr="001025EA">
        <w:rPr>
          <w:lang w:val="en-AU"/>
        </w:rPr>
        <w:t>Deputising</w:t>
      </w:r>
      <w:r w:rsidRPr="001025EA">
        <w:t xml:space="preserve"> Services</w:t>
      </w:r>
      <w:r w:rsidR="00085009">
        <w:t>)</w:t>
      </w:r>
      <w:r w:rsidRPr="001025EA">
        <w:t>.  Some national or jurisdictional corporate service providers struggled to keep up with the different after hours solutions in each catchment.</w:t>
      </w:r>
      <w:r w:rsidR="0075724A" w:rsidRPr="001025EA">
        <w:t xml:space="preserve"> </w:t>
      </w:r>
    </w:p>
    <w:p w:rsidR="00085626" w:rsidRPr="001025EA" w:rsidRDefault="00085626" w:rsidP="00085626">
      <w:pPr>
        <w:pStyle w:val="EYBodytextwithparaspace"/>
      </w:pPr>
      <w:r w:rsidRPr="001025EA">
        <w:t xml:space="preserve">I consider the timing of the transition of this </w:t>
      </w:r>
      <w:proofErr w:type="spellStart"/>
      <w:r w:rsidRPr="001025EA">
        <w:t>programme</w:t>
      </w:r>
      <w:proofErr w:type="spellEnd"/>
      <w:r w:rsidRPr="001025EA">
        <w:t xml:space="preserve"> to Medicare Locals </w:t>
      </w:r>
      <w:r w:rsidR="0020005A">
        <w:t>to be a significant issue</w:t>
      </w:r>
      <w:r w:rsidRPr="001025EA">
        <w:t>, with the majority of Medicare Locals en</w:t>
      </w:r>
      <w:r w:rsidR="0020005A">
        <w:t>meshed</w:t>
      </w:r>
      <w:r w:rsidRPr="001025EA">
        <w:t xml:space="preserve"> in establishment activities </w:t>
      </w:r>
      <w:r w:rsidR="0020005A">
        <w:t>while</w:t>
      </w:r>
      <w:r w:rsidRPr="001025EA">
        <w:t xml:space="preserve"> at the same time attempting to implement a complex and controversial reform.  For many Medicare Locals this was their first </w:t>
      </w:r>
      <w:r w:rsidR="006224F3" w:rsidRPr="001025EA">
        <w:t xml:space="preserve">significant </w:t>
      </w:r>
      <w:r w:rsidRPr="001025EA">
        <w:t>attempt at purchasing and</w:t>
      </w:r>
      <w:r w:rsidR="006224F3" w:rsidRPr="001025EA">
        <w:t>,</w:t>
      </w:r>
      <w:r w:rsidRPr="001025EA">
        <w:t xml:space="preserve"> </w:t>
      </w:r>
      <w:r w:rsidR="006224F3" w:rsidRPr="001025EA">
        <w:t xml:space="preserve">with the benefit of hindsight, </w:t>
      </w:r>
      <w:r w:rsidRPr="001025EA">
        <w:t>given the sensitivities attached to the issue</w:t>
      </w:r>
      <w:r w:rsidR="0020005A">
        <w:t xml:space="preserve"> it</w:t>
      </w:r>
      <w:r w:rsidRPr="001025EA">
        <w:t xml:space="preserve"> </w:t>
      </w:r>
      <w:r w:rsidR="006F7015" w:rsidRPr="001025EA">
        <w:t xml:space="preserve">was </w:t>
      </w:r>
      <w:r w:rsidRPr="001025EA">
        <w:t xml:space="preserve">probably not </w:t>
      </w:r>
      <w:r w:rsidR="005F2E8F" w:rsidRPr="001025EA">
        <w:t xml:space="preserve">an </w:t>
      </w:r>
      <w:r w:rsidR="006F7015" w:rsidRPr="001025EA">
        <w:t>ideal</w:t>
      </w:r>
      <w:r w:rsidR="005F2E8F" w:rsidRPr="001025EA">
        <w:t xml:space="preserve"> starting point</w:t>
      </w:r>
      <w:r w:rsidRPr="001025EA">
        <w:t xml:space="preserve">.  The outcome for some catchments appears to have been further damage to GP goodwill, something that </w:t>
      </w:r>
      <w:proofErr w:type="spellStart"/>
      <w:r w:rsidRPr="001025EA">
        <w:t>organisations</w:t>
      </w:r>
      <w:proofErr w:type="spellEnd"/>
      <w:r w:rsidRPr="001025EA">
        <w:t xml:space="preserve"> tasked with strengthening primary health care cannot afford.  It is within this context that I consider it reasonable to reflect on</w:t>
      </w:r>
      <w:r w:rsidR="00702615">
        <w:t xml:space="preserve"> the appropriate</w:t>
      </w:r>
      <w:r w:rsidR="00B20108">
        <w:t>ness and effectiveness of the current delivery strategy.</w:t>
      </w:r>
    </w:p>
    <w:p w:rsidR="009748DF" w:rsidRPr="001025EA" w:rsidRDefault="009748DF" w:rsidP="009748DF">
      <w:pPr>
        <w:pStyle w:val="Heading2"/>
      </w:pPr>
      <w:bookmarkStart w:id="29" w:name="_Toc387644740"/>
      <w:r w:rsidRPr="001025EA">
        <w:t>Improving financial performance</w:t>
      </w:r>
      <w:bookmarkEnd w:id="29"/>
      <w:r w:rsidRPr="001025EA">
        <w:t xml:space="preserve"> </w:t>
      </w:r>
    </w:p>
    <w:p w:rsidR="004771DA" w:rsidRPr="001025EA" w:rsidRDefault="004771DA" w:rsidP="0058486D">
      <w:pPr>
        <w:pStyle w:val="EYBodytextwithparaspace"/>
      </w:pPr>
      <w:r w:rsidRPr="001025EA">
        <w:t xml:space="preserve">The Deloitte audit into Medicare Locals did not identify </w:t>
      </w:r>
      <w:r w:rsidRPr="00CB7729">
        <w:t xml:space="preserve">significant </w:t>
      </w:r>
      <w:r w:rsidR="002A3C26">
        <w:t xml:space="preserve">issues </w:t>
      </w:r>
      <w:r w:rsidRPr="00CB7729">
        <w:t xml:space="preserve">or </w:t>
      </w:r>
      <w:r w:rsidR="009D1C7D">
        <w:t>uncover any fraud</w:t>
      </w:r>
      <w:r w:rsidR="008350FF" w:rsidRPr="00CB7729">
        <w:t xml:space="preserve">.  However, </w:t>
      </w:r>
      <w:r w:rsidR="0020005A" w:rsidRPr="00CB7729">
        <w:t xml:space="preserve">a </w:t>
      </w:r>
      <w:r w:rsidRPr="00CB7729">
        <w:t xml:space="preserve">number of anomalies were identified in their findings.  There is evidence of </w:t>
      </w:r>
      <w:r w:rsidR="00FC7D85" w:rsidRPr="00CB7729">
        <w:t xml:space="preserve">variability in </w:t>
      </w:r>
      <w:r w:rsidRPr="00CB7729">
        <w:t xml:space="preserve">expenditure on administration, </w:t>
      </w:r>
      <w:r w:rsidR="00A2713E" w:rsidRPr="00CB7729">
        <w:t xml:space="preserve">with </w:t>
      </w:r>
      <w:r w:rsidRPr="00CB7729">
        <w:t>40 Medicare L</w:t>
      </w:r>
      <w:r w:rsidR="0022710B" w:rsidRPr="00CB7729">
        <w:t>ocals</w:t>
      </w:r>
      <w:r w:rsidR="0022710B">
        <w:t xml:space="preserve"> spending more than 25 per </w:t>
      </w:r>
      <w:r w:rsidRPr="001025EA">
        <w:t>cent of their core funding on ‘running’ costs.</w:t>
      </w:r>
      <w:r w:rsidR="00A2713E" w:rsidRPr="001025EA">
        <w:rPr>
          <w:rStyle w:val="FootnoteReference"/>
        </w:rPr>
        <w:footnoteReference w:id="2"/>
      </w:r>
      <w:r w:rsidRPr="001025EA">
        <w:t xml:space="preserve">  Also discovered were varying levels of funds allocated to frontline services, inconsistencies between planned and actual budgets, cross </w:t>
      </w:r>
      <w:proofErr w:type="spellStart"/>
      <w:r w:rsidRPr="001025EA">
        <w:t>programme</w:t>
      </w:r>
      <w:proofErr w:type="spellEnd"/>
      <w:r w:rsidRPr="001025EA">
        <w:t xml:space="preserve"> funding, and </w:t>
      </w:r>
      <w:r w:rsidR="00557F70" w:rsidRPr="001025EA">
        <w:t xml:space="preserve">variable </w:t>
      </w:r>
      <w:r w:rsidRPr="001025EA">
        <w:t>accounting practices (i.e.</w:t>
      </w:r>
      <w:r w:rsidR="00F56140">
        <w:t>,</w:t>
      </w:r>
      <w:r w:rsidRPr="001025EA">
        <w:t xml:space="preserve"> cash management, interest revenue, capital asset management).  </w:t>
      </w:r>
      <w:r w:rsidR="00891742" w:rsidRPr="001025EA">
        <w:t xml:space="preserve">This all </w:t>
      </w:r>
      <w:r w:rsidRPr="001025EA">
        <w:t>points to mixed financial capabilities</w:t>
      </w:r>
      <w:r w:rsidR="00891742" w:rsidRPr="001025EA">
        <w:t xml:space="preserve"> across Medicare Locals</w:t>
      </w:r>
      <w:r w:rsidRPr="001025EA">
        <w:t>.</w:t>
      </w:r>
    </w:p>
    <w:p w:rsidR="004771DA" w:rsidRPr="001025EA" w:rsidRDefault="004771DA" w:rsidP="0058486D">
      <w:pPr>
        <w:pStyle w:val="EYBodytextwithparaspace"/>
      </w:pPr>
      <w:r w:rsidRPr="001025EA">
        <w:t>I believe the</w:t>
      </w:r>
      <w:r w:rsidR="00891742" w:rsidRPr="001025EA">
        <w:t xml:space="preserve"> </w:t>
      </w:r>
      <w:r w:rsidR="007B60A9" w:rsidRPr="001025EA">
        <w:t xml:space="preserve">variability of </w:t>
      </w:r>
      <w:r w:rsidRPr="001025EA">
        <w:t>administration costs suggest</w:t>
      </w:r>
      <w:r w:rsidR="0020005A">
        <w:t>s</w:t>
      </w:r>
      <w:r w:rsidRPr="001025EA">
        <w:t xml:space="preserve"> </w:t>
      </w:r>
      <w:r w:rsidR="00C9041A">
        <w:rPr>
          <w:lang w:val="en-AU"/>
        </w:rPr>
        <w:t>that</w:t>
      </w:r>
      <w:r w:rsidRPr="001025EA">
        <w:t xml:space="preserve"> many Medicare Locals are below the minimum efficient size to deliver value for money to the Commonwealth.  It is the</w:t>
      </w:r>
      <w:r w:rsidR="00C9041A">
        <w:t xml:space="preserve">refore preferable to have fewer, </w:t>
      </w:r>
      <w:r w:rsidRPr="001025EA">
        <w:t xml:space="preserve">larger </w:t>
      </w:r>
      <w:proofErr w:type="spellStart"/>
      <w:r w:rsidRPr="001025EA">
        <w:t>organisations</w:t>
      </w:r>
      <w:proofErr w:type="spellEnd"/>
      <w:r w:rsidRPr="001025EA">
        <w:t xml:space="preserve"> to improve efficiency and obtain economies of scale.</w:t>
      </w:r>
    </w:p>
    <w:p w:rsidR="004771DA" w:rsidRPr="001025EA" w:rsidRDefault="004771DA" w:rsidP="0058486D">
      <w:pPr>
        <w:pStyle w:val="EYBodytextwithparaspace"/>
      </w:pPr>
      <w:r w:rsidRPr="001025EA">
        <w:t>I note that Deloitte made recommendations regarding Department of Health cont</w:t>
      </w:r>
      <w:r w:rsidR="000010AE" w:rsidRPr="001025EA">
        <w:t>r</w:t>
      </w:r>
      <w:r w:rsidRPr="001025EA">
        <w:t>acting and reporting requirements and that Medicare Local</w:t>
      </w:r>
      <w:r w:rsidR="00A45652" w:rsidRPr="001025EA">
        <w:t>s</w:t>
      </w:r>
      <w:r w:rsidRPr="001025EA">
        <w:t xml:space="preserve"> consisten</w:t>
      </w:r>
      <w:r w:rsidR="00A45652" w:rsidRPr="001025EA">
        <w:t>tl</w:t>
      </w:r>
      <w:r w:rsidRPr="001025EA">
        <w:t>y state that their reporting obligations under the current Deed are excessive both in qua</w:t>
      </w:r>
      <w:r w:rsidR="00B12573">
        <w:t>nt</w:t>
      </w:r>
      <w:r w:rsidRPr="001025EA">
        <w:t>ity and frequency</w:t>
      </w:r>
      <w:r w:rsidR="007B60A9" w:rsidRPr="001025EA">
        <w:t>.</w:t>
      </w:r>
      <w:r w:rsidRPr="001025EA">
        <w:t xml:space="preserve">  </w:t>
      </w:r>
      <w:r w:rsidR="0017091F" w:rsidRPr="001025EA">
        <w:t>I</w:t>
      </w:r>
      <w:r w:rsidR="00B12573">
        <w:t xml:space="preserve"> am advised </w:t>
      </w:r>
      <w:r w:rsidR="0017091F" w:rsidRPr="001025EA">
        <w:t xml:space="preserve">that </w:t>
      </w:r>
      <w:r w:rsidR="00B12573">
        <w:t>a</w:t>
      </w:r>
      <w:r w:rsidRPr="001025EA">
        <w:t xml:space="preserve"> grants reform process</w:t>
      </w:r>
      <w:r w:rsidR="00585D86" w:rsidRPr="001025EA">
        <w:t xml:space="preserve"> is </w:t>
      </w:r>
      <w:r w:rsidR="0017091F" w:rsidRPr="001025EA">
        <w:t xml:space="preserve">underway </w:t>
      </w:r>
      <w:r w:rsidR="00585D86" w:rsidRPr="001025EA">
        <w:t>i</w:t>
      </w:r>
      <w:r w:rsidR="0017091F" w:rsidRPr="001025EA">
        <w:t xml:space="preserve">n the </w:t>
      </w:r>
      <w:r w:rsidR="00585D86" w:rsidRPr="001025EA">
        <w:t xml:space="preserve">Department </w:t>
      </w:r>
      <w:r w:rsidR="00B12573">
        <w:t>of Health with</w:t>
      </w:r>
      <w:r w:rsidRPr="001025EA">
        <w:t xml:space="preserve"> </w:t>
      </w:r>
      <w:r w:rsidR="00585D86" w:rsidRPr="001025EA">
        <w:t xml:space="preserve">an </w:t>
      </w:r>
      <w:r w:rsidRPr="001025EA">
        <w:t xml:space="preserve">enterprise technology solution </w:t>
      </w:r>
      <w:r w:rsidR="000D7578">
        <w:t xml:space="preserve">that </w:t>
      </w:r>
      <w:r w:rsidR="0017091F" w:rsidRPr="001025EA">
        <w:t xml:space="preserve">is intended to address most of these </w:t>
      </w:r>
      <w:r w:rsidRPr="001025EA">
        <w:t xml:space="preserve">issues.  </w:t>
      </w:r>
    </w:p>
    <w:p w:rsidR="00181411" w:rsidRPr="001025EA" w:rsidRDefault="004523E3" w:rsidP="00181411">
      <w:pPr>
        <w:pStyle w:val="Heading2"/>
      </w:pPr>
      <w:bookmarkStart w:id="30" w:name="_Toc387644741"/>
      <w:r w:rsidRPr="001025EA">
        <w:t>Reporting and performance monitoring</w:t>
      </w:r>
      <w:bookmarkEnd w:id="30"/>
    </w:p>
    <w:p w:rsidR="0017091F" w:rsidRPr="001025EA" w:rsidRDefault="0017091F" w:rsidP="000E61B4">
      <w:pPr>
        <w:pStyle w:val="EYBodytextwithparaspace"/>
        <w:numPr>
          <w:ilvl w:val="2"/>
          <w:numId w:val="3"/>
        </w:numPr>
      </w:pPr>
      <w:r w:rsidRPr="001025EA">
        <w:t>Reporting requirements mandated by the Government at</w:t>
      </w:r>
      <w:r w:rsidR="001C4FFC" w:rsidRPr="001025EA">
        <w:t xml:space="preserve"> the establishment of Medicare L</w:t>
      </w:r>
      <w:r w:rsidRPr="001025EA">
        <w:t xml:space="preserve">ocals resulted in a complex and often burdensome situation.  Reporting requirements were directly related to single </w:t>
      </w:r>
      <w:proofErr w:type="spellStart"/>
      <w:r w:rsidR="006F7F6D">
        <w:t>programme</w:t>
      </w:r>
      <w:proofErr w:type="spellEnd"/>
      <w:r w:rsidR="006F7F6D">
        <w:t xml:space="preserve"> </w:t>
      </w:r>
      <w:r w:rsidRPr="001025EA">
        <w:t xml:space="preserve">schedules, which made </w:t>
      </w:r>
      <w:proofErr w:type="spellStart"/>
      <w:r w:rsidRPr="001025EA">
        <w:t>program</w:t>
      </w:r>
      <w:r w:rsidR="00755913">
        <w:t>me</w:t>
      </w:r>
      <w:proofErr w:type="spellEnd"/>
      <w:r w:rsidRPr="001025EA">
        <w:t xml:space="preserve"> integration more difficult and added to the complexity of reporting.  Performance measures were </w:t>
      </w:r>
      <w:r w:rsidR="00C9041A">
        <w:t xml:space="preserve">input and </w:t>
      </w:r>
      <w:r w:rsidRPr="001025EA">
        <w:t xml:space="preserve">process driven not outcome focused.  </w:t>
      </w:r>
      <w:r w:rsidR="00C9041A">
        <w:t>Reporting has become more complicated as an increasing number of program</w:t>
      </w:r>
      <w:r w:rsidR="00B12573">
        <w:t>s</w:t>
      </w:r>
      <w:r w:rsidR="00C9041A">
        <w:t xml:space="preserve"> were devolved to Medicare Locals.</w:t>
      </w:r>
    </w:p>
    <w:p w:rsidR="00354FFF" w:rsidRPr="001025EA" w:rsidRDefault="004267A7" w:rsidP="006A06BC">
      <w:r w:rsidRPr="001025EA">
        <w:t>G</w:t>
      </w:r>
      <w:proofErr w:type="spellStart"/>
      <w:r w:rsidR="0017091F" w:rsidRPr="001025EA">
        <w:rPr>
          <w:rFonts w:eastAsia="PMingLiU" w:cs="Arial"/>
          <w:kern w:val="12"/>
          <w:lang w:val="en-US" w:eastAsia="zh-TW" w:bidi="en-US"/>
        </w:rPr>
        <w:t>oing</w:t>
      </w:r>
      <w:proofErr w:type="spellEnd"/>
      <w:r w:rsidR="0017091F" w:rsidRPr="001025EA">
        <w:rPr>
          <w:rFonts w:eastAsia="PMingLiU" w:cs="Arial"/>
          <w:kern w:val="12"/>
          <w:lang w:val="en-US" w:eastAsia="zh-TW" w:bidi="en-US"/>
        </w:rPr>
        <w:t xml:space="preserve"> forward, </w:t>
      </w:r>
      <w:r w:rsidRPr="001025EA">
        <w:t>the use of process measures should be minimised, replaced by m</w:t>
      </w:r>
      <w:proofErr w:type="spellStart"/>
      <w:r w:rsidR="0017091F" w:rsidRPr="001025EA">
        <w:rPr>
          <w:rFonts w:eastAsia="PMingLiU" w:cs="Arial"/>
          <w:kern w:val="12"/>
          <w:lang w:val="en-US" w:eastAsia="zh-TW" w:bidi="en-US"/>
        </w:rPr>
        <w:t>ajor</w:t>
      </w:r>
      <w:proofErr w:type="spellEnd"/>
      <w:r w:rsidR="0017091F" w:rsidRPr="001025EA">
        <w:rPr>
          <w:rFonts w:eastAsia="PMingLiU" w:cs="Arial"/>
          <w:kern w:val="12"/>
          <w:lang w:val="en-US" w:eastAsia="zh-TW" w:bidi="en-US"/>
        </w:rPr>
        <w:t xml:space="preserve"> </w:t>
      </w:r>
      <w:r w:rsidR="007B4E29">
        <w:rPr>
          <w:rFonts w:eastAsia="PMingLiU" w:cs="Arial"/>
          <w:kern w:val="12"/>
          <w:lang w:val="en-US" w:eastAsia="zh-TW" w:bidi="en-US"/>
        </w:rPr>
        <w:t xml:space="preserve">health </w:t>
      </w:r>
      <w:r w:rsidR="0017091F" w:rsidRPr="001025EA">
        <w:rPr>
          <w:rFonts w:eastAsia="PMingLiU" w:cs="Arial"/>
          <w:kern w:val="12"/>
          <w:lang w:val="en-US" w:eastAsia="zh-TW" w:bidi="en-US"/>
        </w:rPr>
        <w:t xml:space="preserve">outcome measures </w:t>
      </w:r>
      <w:r w:rsidRPr="001025EA">
        <w:t xml:space="preserve">that should be used as </w:t>
      </w:r>
      <w:r w:rsidR="0017091F" w:rsidRPr="001025EA">
        <w:rPr>
          <w:rFonts w:eastAsia="PMingLiU" w:cs="Arial"/>
          <w:kern w:val="12"/>
          <w:lang w:val="en-US" w:eastAsia="zh-TW" w:bidi="en-US"/>
        </w:rPr>
        <w:t xml:space="preserve">dashboard indicators.  </w:t>
      </w:r>
      <w:r w:rsidRPr="001025EA">
        <w:t xml:space="preserve"> I</w:t>
      </w:r>
      <w:r w:rsidR="0017091F" w:rsidRPr="001025EA">
        <w:rPr>
          <w:rFonts w:eastAsia="PMingLiU" w:cs="Arial"/>
          <w:kern w:val="12"/>
          <w:lang w:val="en-US" w:eastAsia="zh-TW" w:bidi="en-US"/>
        </w:rPr>
        <w:t xml:space="preserve">n </w:t>
      </w:r>
      <w:r w:rsidRPr="001025EA">
        <w:t xml:space="preserve">an </w:t>
      </w:r>
      <w:r w:rsidR="0017091F" w:rsidRPr="001025EA">
        <w:rPr>
          <w:rFonts w:eastAsia="PMingLiU" w:cs="Arial"/>
          <w:kern w:val="12"/>
          <w:lang w:val="en-US" w:eastAsia="zh-TW" w:bidi="en-US"/>
        </w:rPr>
        <w:t xml:space="preserve">environment </w:t>
      </w:r>
      <w:r w:rsidRPr="001025EA">
        <w:t xml:space="preserve">where organisations are </w:t>
      </w:r>
      <w:r w:rsidR="0017091F" w:rsidRPr="001025EA">
        <w:rPr>
          <w:rFonts w:eastAsia="PMingLiU" w:cs="Arial"/>
          <w:kern w:val="12"/>
          <w:lang w:val="en-US" w:eastAsia="zh-TW" w:bidi="en-US"/>
        </w:rPr>
        <w:t>not responsible for service deliver</w:t>
      </w:r>
      <w:r w:rsidRPr="001025EA">
        <w:t xml:space="preserve">y, </w:t>
      </w:r>
      <w:r w:rsidR="0017091F" w:rsidRPr="001025EA">
        <w:rPr>
          <w:rFonts w:eastAsia="PMingLiU" w:cs="Arial"/>
          <w:kern w:val="12"/>
          <w:lang w:val="en-US" w:eastAsia="zh-TW" w:bidi="en-US"/>
        </w:rPr>
        <w:t xml:space="preserve">complex accreditation processes need not </w:t>
      </w:r>
      <w:r w:rsidR="008350FF" w:rsidRPr="001025EA">
        <w:rPr>
          <w:rFonts w:eastAsia="PMingLiU" w:cs="Arial"/>
          <w:kern w:val="12"/>
          <w:lang w:val="en-US" w:eastAsia="zh-TW" w:bidi="en-US"/>
        </w:rPr>
        <w:t>apply</w:t>
      </w:r>
      <w:r w:rsidRPr="001025EA">
        <w:t xml:space="preserve"> </w:t>
      </w:r>
      <w:r w:rsidR="008350FF">
        <w:t xml:space="preserve">and </w:t>
      </w:r>
      <w:r w:rsidR="0017091F" w:rsidRPr="001025EA">
        <w:rPr>
          <w:rFonts w:eastAsia="PMingLiU" w:cs="Arial"/>
          <w:kern w:val="12"/>
          <w:lang w:val="en-US" w:eastAsia="zh-TW" w:bidi="en-US"/>
        </w:rPr>
        <w:t>normal business standards and service related contracts with the Department</w:t>
      </w:r>
      <w:r w:rsidRPr="001025EA">
        <w:t xml:space="preserve"> </w:t>
      </w:r>
      <w:r w:rsidR="00B12573">
        <w:t xml:space="preserve">of Health </w:t>
      </w:r>
      <w:r w:rsidRPr="001025EA">
        <w:t>should be used</w:t>
      </w:r>
      <w:r w:rsidR="0017091F" w:rsidRPr="001025EA">
        <w:rPr>
          <w:rFonts w:eastAsia="PMingLiU" w:cs="Arial"/>
          <w:kern w:val="12"/>
          <w:lang w:val="en-US" w:eastAsia="zh-TW" w:bidi="en-US"/>
        </w:rPr>
        <w:t>.</w:t>
      </w:r>
      <w:r w:rsidRPr="001025EA">
        <w:t xml:space="preserve">  </w:t>
      </w:r>
      <w:r w:rsidR="0017091F" w:rsidRPr="001025EA">
        <w:rPr>
          <w:rFonts w:eastAsia="PMingLiU" w:cs="Arial"/>
          <w:kern w:val="12"/>
          <w:lang w:val="en-US" w:eastAsia="zh-TW" w:bidi="en-US"/>
        </w:rPr>
        <w:t xml:space="preserve">The rollout of </w:t>
      </w:r>
      <w:proofErr w:type="spellStart"/>
      <w:r w:rsidR="0017091F" w:rsidRPr="001025EA">
        <w:rPr>
          <w:rFonts w:eastAsia="PMingLiU" w:cs="Arial"/>
          <w:kern w:val="12"/>
          <w:lang w:val="en-US" w:eastAsia="zh-TW" w:bidi="en-US"/>
        </w:rPr>
        <w:t>eHealth</w:t>
      </w:r>
      <w:proofErr w:type="spellEnd"/>
      <w:r w:rsidR="0017091F" w:rsidRPr="001025EA">
        <w:rPr>
          <w:rFonts w:eastAsia="PMingLiU" w:cs="Arial"/>
          <w:kern w:val="12"/>
          <w:lang w:val="en-US" w:eastAsia="zh-TW" w:bidi="en-US"/>
        </w:rPr>
        <w:t xml:space="preserve"> across primary </w:t>
      </w:r>
      <w:r w:rsidRPr="001025EA">
        <w:t xml:space="preserve">health </w:t>
      </w:r>
      <w:r w:rsidR="0017091F" w:rsidRPr="001025EA">
        <w:rPr>
          <w:rFonts w:eastAsia="PMingLiU" w:cs="Arial"/>
          <w:kern w:val="12"/>
          <w:lang w:val="en-US" w:eastAsia="zh-TW" w:bidi="en-US"/>
        </w:rPr>
        <w:t>care and other sectors and the use of population data in cooperation with LHNs and state health authorities in the long term</w:t>
      </w:r>
      <w:r w:rsidR="00B12573">
        <w:rPr>
          <w:rFonts w:eastAsia="PMingLiU" w:cs="Arial"/>
          <w:kern w:val="12"/>
          <w:lang w:val="en-US" w:eastAsia="zh-TW" w:bidi="en-US"/>
        </w:rPr>
        <w:t>,</w:t>
      </w:r>
      <w:r w:rsidR="0017091F" w:rsidRPr="001025EA">
        <w:rPr>
          <w:rFonts w:eastAsia="PMingLiU" w:cs="Arial"/>
          <w:kern w:val="12"/>
          <w:lang w:val="en-US" w:eastAsia="zh-TW" w:bidi="en-US"/>
        </w:rPr>
        <w:t xml:space="preserve"> should provide more meaningful tools to measure health improvements and performance more generally.</w:t>
      </w:r>
      <w:r w:rsidR="00354FFF" w:rsidRPr="001025EA">
        <w:t xml:space="preserve">  This would further benefit from developing a national primary health care data strategy that includes indicators of integration.</w:t>
      </w:r>
    </w:p>
    <w:p w:rsidR="000F769B" w:rsidRPr="001025EA" w:rsidRDefault="000F769B" w:rsidP="006A06BC">
      <w:pPr>
        <w:sectPr w:rsidR="000F769B" w:rsidRPr="001025EA">
          <w:footerReference w:type="default" r:id="rId18"/>
          <w:pgSz w:w="11906" w:h="16838"/>
          <w:pgMar w:top="1440" w:right="1440" w:bottom="1440" w:left="1440" w:header="708" w:footer="708" w:gutter="0"/>
          <w:cols w:space="708"/>
          <w:docGrid w:linePitch="360"/>
        </w:sectPr>
      </w:pPr>
    </w:p>
    <w:p w:rsidR="006A06BC" w:rsidRPr="001025EA" w:rsidRDefault="006A06BC" w:rsidP="006A06BC">
      <w:pPr>
        <w:pStyle w:val="Heading1"/>
      </w:pPr>
      <w:bookmarkStart w:id="31" w:name="_Toc387644742"/>
      <w:r w:rsidRPr="001025EA">
        <w:t>Discussion</w:t>
      </w:r>
      <w:r w:rsidR="00921D4A" w:rsidRPr="001025EA">
        <w:t xml:space="preserve"> and R</w:t>
      </w:r>
      <w:r w:rsidR="001B50C4" w:rsidRPr="001025EA">
        <w:t>ecommendations</w:t>
      </w:r>
      <w:bookmarkEnd w:id="31"/>
      <w:r w:rsidR="001B50C4" w:rsidRPr="001025EA">
        <w:t xml:space="preserve"> </w:t>
      </w:r>
    </w:p>
    <w:p w:rsidR="00961E15" w:rsidRPr="001025EA" w:rsidRDefault="00961E15" w:rsidP="00961E15">
      <w:pPr>
        <w:pStyle w:val="EYBodytextwithparaspace"/>
      </w:pPr>
      <w:r w:rsidRPr="001025EA">
        <w:t xml:space="preserve">It is </w:t>
      </w:r>
      <w:r w:rsidR="0017091F" w:rsidRPr="001025EA">
        <w:t xml:space="preserve">my </w:t>
      </w:r>
      <w:r w:rsidR="00B12573">
        <w:t>considered opinion</w:t>
      </w:r>
      <w:r w:rsidR="0017091F" w:rsidRPr="001025EA">
        <w:t xml:space="preserve"> that </w:t>
      </w:r>
      <w:r w:rsidRPr="001025EA">
        <w:t xml:space="preserve">there is a demonstrable need to reduce fragmentation and improve integration across the health care </w:t>
      </w:r>
      <w:r w:rsidRPr="00E47332">
        <w:t>system</w:t>
      </w:r>
      <w:r w:rsidR="000D7578" w:rsidRPr="00E47332">
        <w:t xml:space="preserve">, using clinical pathways across </w:t>
      </w:r>
      <w:r w:rsidR="00E47332" w:rsidRPr="00E47332">
        <w:t xml:space="preserve">sectors </w:t>
      </w:r>
      <w:r w:rsidR="000D7578" w:rsidRPr="00E47332">
        <w:t>to improve individual patient outcomes</w:t>
      </w:r>
      <w:r w:rsidRPr="00E47332">
        <w:t>.  Our health</w:t>
      </w:r>
      <w:r w:rsidRPr="001025EA">
        <w:t xml:space="preserve"> system </w:t>
      </w:r>
      <w:r w:rsidR="009D1C7D">
        <w:t xml:space="preserve">is generally </w:t>
      </w:r>
      <w:r w:rsidRPr="001025EA">
        <w:t>designed for episodic care, whe</w:t>
      </w:r>
      <w:r w:rsidR="009D1C7D">
        <w:t xml:space="preserve">n </w:t>
      </w:r>
      <w:r w:rsidR="00B12573">
        <w:t xml:space="preserve">nowadays </w:t>
      </w:r>
      <w:r w:rsidRPr="001025EA">
        <w:t>many illnesses are chronic and complex</w:t>
      </w:r>
      <w:r w:rsidR="00B12573">
        <w:t>,</w:t>
      </w:r>
      <w:r w:rsidRPr="001025EA">
        <w:t xml:space="preserve"> requir</w:t>
      </w:r>
      <w:r w:rsidR="00B12573">
        <w:t>ing</w:t>
      </w:r>
      <w:r w:rsidRPr="001025EA">
        <w:t xml:space="preserve"> multiple integrated and coordinated services </w:t>
      </w:r>
      <w:r w:rsidRPr="001025EA">
        <w:rPr>
          <w:lang w:val="en-AU"/>
        </w:rPr>
        <w:t>centred</w:t>
      </w:r>
      <w:r w:rsidRPr="001025EA">
        <w:t xml:space="preserve"> on the </w:t>
      </w:r>
      <w:r w:rsidR="00B12573">
        <w:t xml:space="preserve">ongoing </w:t>
      </w:r>
      <w:r w:rsidRPr="001025EA">
        <w:t xml:space="preserve">needs of patients.  To enable this, we need </w:t>
      </w:r>
      <w:proofErr w:type="spellStart"/>
      <w:r w:rsidRPr="001025EA">
        <w:t>organisations</w:t>
      </w:r>
      <w:proofErr w:type="spellEnd"/>
      <w:r w:rsidRPr="001025EA">
        <w:t xml:space="preserve"> that can work in partnership with the broader health system and facilitate better integration, coordination, access and care pathways.  Medicare Locals </w:t>
      </w:r>
      <w:r w:rsidR="00855D97">
        <w:t>were</w:t>
      </w:r>
      <w:r w:rsidR="00855D97" w:rsidRPr="001025EA">
        <w:t xml:space="preserve"> </w:t>
      </w:r>
      <w:r w:rsidRPr="001025EA">
        <w:t xml:space="preserve">a response to this challenge.  However, in their current form, as a national network, I do not regard them as </w:t>
      </w:r>
      <w:r w:rsidRPr="001C1668">
        <w:t xml:space="preserve">appropriate or </w:t>
      </w:r>
      <w:r w:rsidR="000D7578" w:rsidRPr="001C1668">
        <w:t>effective</w:t>
      </w:r>
      <w:r w:rsidRPr="001025EA">
        <w:t xml:space="preserve"> to successfully achieve these outcomes.  </w:t>
      </w:r>
    </w:p>
    <w:p w:rsidR="00961E15" w:rsidRPr="001025EA" w:rsidRDefault="00961E15" w:rsidP="00961E15">
      <w:pPr>
        <w:pStyle w:val="EYBodytextwithparaspace"/>
      </w:pPr>
      <w:r w:rsidRPr="001025EA">
        <w:t>There are a number of design elements that I consider essential for an</w:t>
      </w:r>
      <w:r w:rsidR="00B12573">
        <w:t>y</w:t>
      </w:r>
      <w:r w:rsidRPr="001025EA">
        <w:t xml:space="preserve"> </w:t>
      </w:r>
      <w:proofErr w:type="spellStart"/>
      <w:r w:rsidRPr="001025EA">
        <w:t>organisation</w:t>
      </w:r>
      <w:proofErr w:type="spellEnd"/>
      <w:r w:rsidRPr="001025EA">
        <w:t xml:space="preserve"> </w:t>
      </w:r>
      <w:r w:rsidR="00B12573">
        <w:t xml:space="preserve">intended </w:t>
      </w:r>
      <w:r w:rsidRPr="001025EA">
        <w:t>to reduce fragmentation and improve the integration of patient care across the entire health system.</w:t>
      </w:r>
    </w:p>
    <w:p w:rsidR="00961E15" w:rsidRPr="001025EA" w:rsidRDefault="00961E15" w:rsidP="00961E15">
      <w:pPr>
        <w:pStyle w:val="Heading2"/>
      </w:pPr>
      <w:bookmarkStart w:id="32" w:name="_Toc387644743"/>
      <w:r w:rsidRPr="001025EA">
        <w:t>Patient outcomes can be improved through better integration</w:t>
      </w:r>
      <w:r w:rsidR="000D7578">
        <w:t xml:space="preserve"> of health care</w:t>
      </w:r>
      <w:bookmarkEnd w:id="32"/>
    </w:p>
    <w:p w:rsidR="007E1A27" w:rsidRPr="001025EA" w:rsidRDefault="0017091F" w:rsidP="00961E15">
      <w:pPr>
        <w:spacing w:after="240"/>
      </w:pPr>
      <w:r w:rsidRPr="001025EA">
        <w:t>Ma</w:t>
      </w:r>
      <w:r w:rsidR="0059205C" w:rsidRPr="001025EA">
        <w:t>ny of people I spoke to as part of this Review</w:t>
      </w:r>
      <w:r w:rsidRPr="001025EA">
        <w:t xml:space="preserve"> </w:t>
      </w:r>
      <w:r w:rsidR="00386F39" w:rsidRPr="001025EA">
        <w:t xml:space="preserve">held </w:t>
      </w:r>
      <w:r w:rsidRPr="001025EA">
        <w:t>the v</w:t>
      </w:r>
      <w:r w:rsidR="00386F39" w:rsidRPr="001025EA">
        <w:t>i</w:t>
      </w:r>
      <w:r w:rsidRPr="001025EA">
        <w:t xml:space="preserve">ew </w:t>
      </w:r>
      <w:r w:rsidR="0059205C" w:rsidRPr="001025EA">
        <w:t>that without addressing fragmentation</w:t>
      </w:r>
      <w:r w:rsidR="005770BE" w:rsidRPr="001025EA">
        <w:t xml:space="preserve"> </w:t>
      </w:r>
      <w:r w:rsidR="00386F39" w:rsidRPr="001025EA">
        <w:t>–</w:t>
      </w:r>
      <w:r w:rsidR="0059205C" w:rsidRPr="001025EA">
        <w:t xml:space="preserve"> both within the primary health care sector, and more broadly across </w:t>
      </w:r>
      <w:r w:rsidR="004F247D" w:rsidRPr="001025EA">
        <w:t xml:space="preserve">the </w:t>
      </w:r>
      <w:r w:rsidR="0059205C" w:rsidRPr="001025EA">
        <w:t>health care system</w:t>
      </w:r>
      <w:r w:rsidR="005770BE" w:rsidRPr="001025EA">
        <w:t xml:space="preserve"> </w:t>
      </w:r>
      <w:r w:rsidR="00386F39" w:rsidRPr="001025EA">
        <w:t>–</w:t>
      </w:r>
      <w:r w:rsidR="0059205C" w:rsidRPr="001025EA">
        <w:t xml:space="preserve"> patient</w:t>
      </w:r>
      <w:r w:rsidR="004F247D" w:rsidRPr="001025EA">
        <w:t xml:space="preserve"> care </w:t>
      </w:r>
      <w:r w:rsidR="00C833C7" w:rsidRPr="001025EA">
        <w:t xml:space="preserve">will continue to be </w:t>
      </w:r>
      <w:r w:rsidR="004F247D" w:rsidRPr="001C1668">
        <w:t xml:space="preserve">compromised and </w:t>
      </w:r>
      <w:r w:rsidR="00C833C7" w:rsidRPr="001C1668">
        <w:t xml:space="preserve">the </w:t>
      </w:r>
      <w:r w:rsidR="004F247D" w:rsidRPr="001C1668">
        <w:t>health system</w:t>
      </w:r>
      <w:r w:rsidR="005770BE" w:rsidRPr="001C1668">
        <w:t xml:space="preserve"> investment will not be </w:t>
      </w:r>
      <w:r w:rsidR="00386F39" w:rsidRPr="001C1668">
        <w:t>maximised</w:t>
      </w:r>
      <w:r w:rsidR="00C833C7" w:rsidRPr="001C1668">
        <w:t xml:space="preserve">.  The solution proffered is that </w:t>
      </w:r>
      <w:r w:rsidR="000D7578" w:rsidRPr="001C1668">
        <w:t>a small number of regional entities</w:t>
      </w:r>
      <w:r w:rsidR="000D7578" w:rsidRPr="001025EA">
        <w:t xml:space="preserve"> </w:t>
      </w:r>
      <w:proofErr w:type="gramStart"/>
      <w:r w:rsidR="000D7578" w:rsidRPr="001025EA">
        <w:t>is</w:t>
      </w:r>
      <w:proofErr w:type="gramEnd"/>
      <w:r w:rsidR="00C833C7" w:rsidRPr="001025EA">
        <w:t xml:space="preserve"> required to </w:t>
      </w:r>
      <w:r w:rsidR="00241724">
        <w:t xml:space="preserve">link up the parts of </w:t>
      </w:r>
      <w:r w:rsidR="00C833C7" w:rsidRPr="001025EA">
        <w:t xml:space="preserve">the health system to </w:t>
      </w:r>
      <w:r w:rsidR="000D7578">
        <w:t xml:space="preserve">allow it to </w:t>
      </w:r>
      <w:r w:rsidR="00C833C7" w:rsidRPr="001025EA">
        <w:t>operate more effectively and efficiently.  S</w:t>
      </w:r>
      <w:r w:rsidR="00961E15" w:rsidRPr="001025EA">
        <w:t>uch entit</w:t>
      </w:r>
      <w:r w:rsidR="000D7578">
        <w:t xml:space="preserve">ies </w:t>
      </w:r>
      <w:r w:rsidR="00961E15" w:rsidRPr="001025EA">
        <w:t xml:space="preserve">must </w:t>
      </w:r>
      <w:r w:rsidR="00C3294E" w:rsidRPr="001025EA">
        <w:t xml:space="preserve">focus </w:t>
      </w:r>
      <w:r w:rsidR="002E3364" w:rsidRPr="001025EA">
        <w:t xml:space="preserve">on </w:t>
      </w:r>
      <w:r w:rsidR="00961E15" w:rsidRPr="001025EA">
        <w:t xml:space="preserve">improving patient outcomes </w:t>
      </w:r>
      <w:r w:rsidR="002E3364" w:rsidRPr="001025EA">
        <w:t xml:space="preserve">through </w:t>
      </w:r>
      <w:r w:rsidR="00961E15" w:rsidRPr="001025EA">
        <w:t>collaborat</w:t>
      </w:r>
      <w:r w:rsidR="002E3364" w:rsidRPr="001025EA">
        <w:t xml:space="preserve">ively working with health professionals and services to </w:t>
      </w:r>
      <w:r w:rsidR="00961E15" w:rsidRPr="001025EA">
        <w:t>integrate and facilitate a seamless patient experience.  In their current form, Medicare Locals cannot fulfil this role.  They are constrained by their lack of clear purpose, variability, conflict</w:t>
      </w:r>
      <w:r w:rsidR="00241724">
        <w:t>s</w:t>
      </w:r>
      <w:r w:rsidR="00961E15" w:rsidRPr="001025EA">
        <w:t xml:space="preserve"> of interest (provider vs. purchaser) and lost goodwill with general practice.  New entities in this space </w:t>
      </w:r>
      <w:r w:rsidR="005770BE" w:rsidRPr="001025EA">
        <w:t>must</w:t>
      </w:r>
      <w:r w:rsidR="00961E15" w:rsidRPr="001025EA">
        <w:t xml:space="preserve"> have a clearer purpose and role</w:t>
      </w:r>
      <w:r w:rsidR="00386F39" w:rsidRPr="001025EA">
        <w:t xml:space="preserve">, </w:t>
      </w:r>
      <w:r w:rsidR="00D02A33">
        <w:t xml:space="preserve">and </w:t>
      </w:r>
      <w:r w:rsidR="00961E15" w:rsidRPr="001025EA">
        <w:t>focus on being system enabler</w:t>
      </w:r>
      <w:r w:rsidR="00D02A33">
        <w:t>s</w:t>
      </w:r>
      <w:r w:rsidR="00961E15" w:rsidRPr="001025EA">
        <w:t xml:space="preserve">.  </w:t>
      </w:r>
    </w:p>
    <w:p w:rsidR="00961E15" w:rsidRPr="00E47332" w:rsidRDefault="00961E15" w:rsidP="00961E15">
      <w:r w:rsidRPr="001025EA">
        <w:t xml:space="preserve">I have considered </w:t>
      </w:r>
      <w:r w:rsidRPr="00E47332">
        <w:t>what such organisations could be appropriately called.  Many ideas have been presented to me, but I keep coming back to Primary Health Organisations (PHOs).  I believe the name needs to reflect the organisations</w:t>
      </w:r>
      <w:r w:rsidR="00241724" w:rsidRPr="00E47332">
        <w:t>’</w:t>
      </w:r>
      <w:r w:rsidRPr="00E47332">
        <w:t xml:space="preserve"> focus, which is the primary health care sector</w:t>
      </w:r>
      <w:r w:rsidR="00C3294E" w:rsidRPr="00E47332">
        <w:t xml:space="preserve">, </w:t>
      </w:r>
      <w:r w:rsidR="005770BE" w:rsidRPr="00E47332">
        <w:t>as the starting point for integration, as this is the ‘</w:t>
      </w:r>
      <w:r w:rsidR="002C0D0A" w:rsidRPr="00E47332">
        <w:t xml:space="preserve">shop </w:t>
      </w:r>
      <w:r w:rsidR="005770BE" w:rsidRPr="00E47332">
        <w:t xml:space="preserve">front’ of the health care system. </w:t>
      </w:r>
      <w:r w:rsidRPr="00E47332">
        <w:t xml:space="preserve"> Such a name should inspire professional ownership within that sector, provide a sense of place within the</w:t>
      </w:r>
      <w:r w:rsidR="005770BE" w:rsidRPr="00E47332">
        <w:t xml:space="preserve"> broader</w:t>
      </w:r>
      <w:r w:rsidRPr="00E47332">
        <w:t xml:space="preserve"> health system and </w:t>
      </w:r>
      <w:r w:rsidR="00A821A7" w:rsidRPr="00E47332">
        <w:t xml:space="preserve">be understandable for </w:t>
      </w:r>
      <w:r w:rsidRPr="00E47332">
        <w:t>patients</w:t>
      </w:r>
      <w:r w:rsidR="00A821A7" w:rsidRPr="00E47332">
        <w:t>, carers and the broader community</w:t>
      </w:r>
      <w:r w:rsidRPr="00E47332">
        <w:t xml:space="preserve">.  The PHO name </w:t>
      </w:r>
      <w:r w:rsidR="002C0D0A" w:rsidRPr="00E47332">
        <w:t xml:space="preserve">also </w:t>
      </w:r>
      <w:r w:rsidR="00EE6FBA" w:rsidRPr="00E47332">
        <w:t xml:space="preserve">aligns with </w:t>
      </w:r>
      <w:r w:rsidRPr="00E47332">
        <w:t xml:space="preserve">common international nomenclature, which </w:t>
      </w:r>
      <w:r w:rsidR="00A821A7" w:rsidRPr="00E47332">
        <w:t xml:space="preserve">would </w:t>
      </w:r>
      <w:r w:rsidRPr="00E47332">
        <w:t xml:space="preserve">assist </w:t>
      </w:r>
      <w:r w:rsidR="005770BE" w:rsidRPr="00E47332">
        <w:t xml:space="preserve">Australia </w:t>
      </w:r>
      <w:r w:rsidR="00A821A7" w:rsidRPr="00E47332">
        <w:t xml:space="preserve">to </w:t>
      </w:r>
      <w:r w:rsidR="00241724" w:rsidRPr="00E47332">
        <w:t xml:space="preserve">engage in </w:t>
      </w:r>
      <w:r w:rsidR="00A821A7" w:rsidRPr="00E47332">
        <w:t xml:space="preserve">dialogue internationally on </w:t>
      </w:r>
      <w:r w:rsidRPr="00E47332">
        <w:t>lessons learnt.</w:t>
      </w:r>
    </w:p>
    <w:p w:rsidR="00520837" w:rsidRPr="00E47332" w:rsidRDefault="00520837" w:rsidP="00961E15"/>
    <w:p w:rsidR="002C0D0A" w:rsidRDefault="002C0D0A" w:rsidP="002C0D0A">
      <w:pPr>
        <w:pStyle w:val="EYBodytextwithparaspace"/>
      </w:pPr>
      <w:r w:rsidRPr="00E47332">
        <w:t xml:space="preserve">For PHOs to be effective, it is critical that their boundaries (or rather those of their Clinical Councils and </w:t>
      </w:r>
      <w:r w:rsidR="00E125BC">
        <w:t>Community</w:t>
      </w:r>
      <w:r w:rsidR="00E125BC" w:rsidRPr="00E47332">
        <w:t xml:space="preserve"> </w:t>
      </w:r>
      <w:r w:rsidRPr="00E47332">
        <w:t>Advisory Committees) are aligned with LHNs, while reflecting relevant local and community needs.  This will facilitate collaborative working relationships and reduce duplication of effort.</w:t>
      </w:r>
    </w:p>
    <w:p w:rsidR="005742B1" w:rsidRPr="005742B1" w:rsidRDefault="005742B1" w:rsidP="0043620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before="120"/>
        <w:rPr>
          <w:b/>
          <w:i/>
        </w:rPr>
      </w:pPr>
      <w:r w:rsidRPr="005742B1">
        <w:rPr>
          <w:b/>
          <w:i/>
        </w:rPr>
        <w:t>Recommendation 1</w:t>
      </w:r>
    </w:p>
    <w:p w:rsidR="005742B1" w:rsidRPr="001025EA" w:rsidRDefault="005742B1" w:rsidP="0043620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before="60"/>
        <w:contextualSpacing w:val="0"/>
      </w:pPr>
      <w:r>
        <w:t xml:space="preserve">The government should establish organisations tasked </w:t>
      </w:r>
      <w:r w:rsidRPr="001025EA">
        <w:t xml:space="preserve">to integrate the care of patients </w:t>
      </w:r>
      <w:r>
        <w:t>across the entire health system in order to improve patient outcomes</w:t>
      </w:r>
      <w:r w:rsidRPr="001025EA">
        <w:t>.</w:t>
      </w:r>
    </w:p>
    <w:p w:rsidR="005742B1" w:rsidRPr="005742B1" w:rsidRDefault="005742B1" w:rsidP="0043620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before="120"/>
        <w:contextualSpacing w:val="0"/>
        <w:rPr>
          <w:b/>
          <w:i/>
        </w:rPr>
      </w:pPr>
      <w:r w:rsidRPr="005742B1">
        <w:rPr>
          <w:b/>
          <w:i/>
        </w:rPr>
        <w:t>Recommendation 2</w:t>
      </w:r>
    </w:p>
    <w:p w:rsidR="005742B1" w:rsidRDefault="005742B1" w:rsidP="0043620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before="60"/>
        <w:contextualSpacing w:val="0"/>
      </w:pPr>
      <w:r>
        <w:t>The government</w:t>
      </w:r>
      <w:r w:rsidRPr="001025EA">
        <w:t xml:space="preserve"> </w:t>
      </w:r>
      <w:r>
        <w:t>should consider calling</w:t>
      </w:r>
      <w:r w:rsidRPr="001025EA">
        <w:t xml:space="preserve"> </w:t>
      </w:r>
      <w:r>
        <w:t>t</w:t>
      </w:r>
      <w:r w:rsidRPr="001025EA">
        <w:t>hese organisations Primary Health Organisations (PHOs)</w:t>
      </w:r>
      <w:r w:rsidRPr="00DD1586">
        <w:t>.</w:t>
      </w:r>
    </w:p>
    <w:p w:rsidR="005742B1" w:rsidRPr="00E47332" w:rsidRDefault="005742B1" w:rsidP="002C0D0A">
      <w:pPr>
        <w:pStyle w:val="EYBodytextwithparaspace"/>
      </w:pPr>
    </w:p>
    <w:p w:rsidR="00F335C8" w:rsidRPr="001025EA" w:rsidRDefault="0049358B" w:rsidP="00F335C8">
      <w:pPr>
        <w:pStyle w:val="Heading2"/>
      </w:pPr>
      <w:bookmarkStart w:id="33" w:name="_Toc387644744"/>
      <w:r w:rsidRPr="001025EA">
        <w:t xml:space="preserve">General </w:t>
      </w:r>
      <w:r w:rsidR="005B0FB1" w:rsidRPr="001025EA">
        <w:t>p</w:t>
      </w:r>
      <w:r w:rsidRPr="001025EA">
        <w:t xml:space="preserve">ractice </w:t>
      </w:r>
      <w:r w:rsidR="00F335C8" w:rsidRPr="001025EA">
        <w:t>engagement is paramount</w:t>
      </w:r>
      <w:bookmarkEnd w:id="33"/>
    </w:p>
    <w:p w:rsidR="007420F8" w:rsidRPr="001025EA" w:rsidRDefault="00396F01" w:rsidP="007420F8">
      <w:pPr>
        <w:pStyle w:val="EYBodytextwithparaspace"/>
      </w:pPr>
      <w:r w:rsidRPr="001025EA">
        <w:t>A</w:t>
      </w:r>
      <w:r w:rsidR="007420F8" w:rsidRPr="001025EA">
        <w:t xml:space="preserve">ny attempt to improve integration in the primary health care system requires general practice to be front and </w:t>
      </w:r>
      <w:proofErr w:type="spellStart"/>
      <w:r w:rsidR="007420F8" w:rsidRPr="001025EA">
        <w:t>centre</w:t>
      </w:r>
      <w:proofErr w:type="spellEnd"/>
      <w:r w:rsidR="007420F8" w:rsidRPr="001025EA">
        <w:t>.  I appreciate that the original intent of Medicare Locals was to broaden the net of professional engagement within the primary health care sector, but this appears to have come at the expense of</w:t>
      </w:r>
      <w:r w:rsidR="00E308A8" w:rsidRPr="001025EA">
        <w:t xml:space="preserve"> </w:t>
      </w:r>
      <w:r w:rsidR="005770BE" w:rsidRPr="001025EA">
        <w:t>GP</w:t>
      </w:r>
      <w:r w:rsidR="00E308A8" w:rsidRPr="001025EA">
        <w:t xml:space="preserve"> goodwill.  This good</w:t>
      </w:r>
      <w:r w:rsidR="007420F8" w:rsidRPr="001025EA">
        <w:t xml:space="preserve">will needs to be rebuilt if any future </w:t>
      </w:r>
      <w:proofErr w:type="spellStart"/>
      <w:r w:rsidR="007420F8" w:rsidRPr="001025EA">
        <w:t>organisation</w:t>
      </w:r>
      <w:proofErr w:type="spellEnd"/>
      <w:r w:rsidR="007420F8" w:rsidRPr="001025EA">
        <w:t xml:space="preserve"> is to be successful.  Comprehensive professional engagement is still required, however it must </w:t>
      </w:r>
      <w:r w:rsidR="00241724">
        <w:t xml:space="preserve">be </w:t>
      </w:r>
      <w:r w:rsidR="007420F8" w:rsidRPr="00241724">
        <w:rPr>
          <w:lang w:val="en-AU"/>
        </w:rPr>
        <w:t>recognise</w:t>
      </w:r>
      <w:r w:rsidR="00241724">
        <w:rPr>
          <w:lang w:val="en-AU"/>
        </w:rPr>
        <w:t>d</w:t>
      </w:r>
      <w:r w:rsidR="007420F8" w:rsidRPr="001025EA">
        <w:t xml:space="preserve"> that GPs are by their nature the first authoritative point of contact for</w:t>
      </w:r>
      <w:r w:rsidR="007C0D01" w:rsidRPr="001025EA">
        <w:t xml:space="preserve"> primary </w:t>
      </w:r>
      <w:r w:rsidR="007420F8" w:rsidRPr="001025EA">
        <w:t xml:space="preserve">health care, </w:t>
      </w:r>
      <w:r w:rsidR="00E308A8" w:rsidRPr="001025EA">
        <w:t xml:space="preserve">they </w:t>
      </w:r>
      <w:r w:rsidR="007420F8" w:rsidRPr="001025EA">
        <w:t>s</w:t>
      </w:r>
      <w:r w:rsidR="00241724">
        <w:t>tart</w:t>
      </w:r>
      <w:r w:rsidR="007420F8" w:rsidRPr="001025EA">
        <w:t xml:space="preserve"> the patient </w:t>
      </w:r>
      <w:r w:rsidR="00241724">
        <w:t>on the</w:t>
      </w:r>
      <w:r w:rsidR="002C0D0A">
        <w:t>ir</w:t>
      </w:r>
      <w:r w:rsidR="00241724">
        <w:t xml:space="preserve"> </w:t>
      </w:r>
      <w:r w:rsidR="007420F8" w:rsidRPr="001025EA">
        <w:t>care pathway</w:t>
      </w:r>
      <w:r w:rsidR="00241724">
        <w:t xml:space="preserve"> and </w:t>
      </w:r>
      <w:r w:rsidR="00547740">
        <w:t>remain critical to their ongoing care.</w:t>
      </w:r>
      <w:r w:rsidR="007420F8" w:rsidRPr="001025EA">
        <w:t xml:space="preserve"> </w:t>
      </w:r>
    </w:p>
    <w:p w:rsidR="007420F8" w:rsidRDefault="007420F8" w:rsidP="007420F8">
      <w:pPr>
        <w:pStyle w:val="EYBodytextwithparaspace"/>
      </w:pPr>
      <w:r w:rsidRPr="001025EA">
        <w:t>To this end, I consider it essential that GPs have a significant presence within the corporate structures of any future primary health care entity.  My preference is for locally relevant Clinical Councils to be established that have a significant GP presence</w:t>
      </w:r>
      <w:r w:rsidR="00307E1C" w:rsidRPr="001025EA">
        <w:t xml:space="preserve"> and broad clinical membership</w:t>
      </w:r>
      <w:r w:rsidR="00855D97">
        <w:t>,</w:t>
      </w:r>
      <w:r w:rsidR="00307E1C" w:rsidRPr="001025EA">
        <w:t xml:space="preserve"> including from LHNs</w:t>
      </w:r>
      <w:r w:rsidR="00855D97">
        <w:t>.  These Councils would</w:t>
      </w:r>
      <w:r w:rsidR="00307E1C" w:rsidRPr="001025EA">
        <w:t xml:space="preserve"> </w:t>
      </w:r>
      <w:r w:rsidR="0017091F" w:rsidRPr="001025EA">
        <w:t xml:space="preserve">interact directly with </w:t>
      </w:r>
      <w:r w:rsidRPr="001025EA">
        <w:t xml:space="preserve">the </w:t>
      </w:r>
      <w:r w:rsidR="005770BE" w:rsidRPr="001025EA">
        <w:t xml:space="preserve">PHO </w:t>
      </w:r>
      <w:r w:rsidRPr="001025EA">
        <w:t>Board.  I see these Councils as having influence in inter-</w:t>
      </w:r>
      <w:proofErr w:type="spellStart"/>
      <w:r w:rsidRPr="001025EA">
        <w:t>sector</w:t>
      </w:r>
      <w:r w:rsidR="00547740">
        <w:t>al</w:t>
      </w:r>
      <w:proofErr w:type="spellEnd"/>
      <w:r w:rsidRPr="001025EA">
        <w:t xml:space="preserve"> collaboration, developing and monitoring integrated care pathways, and identifying solutions for service gaps.</w:t>
      </w:r>
      <w:r w:rsidR="005770BE" w:rsidRPr="001025EA">
        <w:t xml:space="preserve">  Participation </w:t>
      </w:r>
      <w:r w:rsidR="00EB0494" w:rsidRPr="001025EA">
        <w:t xml:space="preserve">on Councils </w:t>
      </w:r>
      <w:r w:rsidR="005770BE" w:rsidRPr="001025EA">
        <w:t xml:space="preserve">should be voluntary.  The voice and opinions of the Council </w:t>
      </w:r>
      <w:r w:rsidR="00DE350D" w:rsidRPr="001025EA">
        <w:t xml:space="preserve">will directly inform the deliberations of the </w:t>
      </w:r>
      <w:r w:rsidR="000D1771" w:rsidRPr="001025EA">
        <w:t xml:space="preserve">PHO </w:t>
      </w:r>
      <w:r w:rsidR="00DE350D" w:rsidRPr="001025EA">
        <w:t xml:space="preserve">Board on matters </w:t>
      </w:r>
      <w:r w:rsidR="00EB0494" w:rsidRPr="001025EA">
        <w:t>such as</w:t>
      </w:r>
      <w:r w:rsidR="00DD11FA" w:rsidRPr="001025EA">
        <w:t>,</w:t>
      </w:r>
      <w:r w:rsidR="00EB0494" w:rsidRPr="001025EA">
        <w:t xml:space="preserve"> </w:t>
      </w:r>
      <w:r w:rsidR="00DE350D" w:rsidRPr="001025EA">
        <w:t xml:space="preserve">local and regional priorities, investment strategies, and primary health </w:t>
      </w:r>
      <w:r w:rsidR="00EB0494" w:rsidRPr="001025EA">
        <w:t xml:space="preserve">care </w:t>
      </w:r>
      <w:r w:rsidR="00DE350D" w:rsidRPr="001025EA">
        <w:t>professional and business support</w:t>
      </w:r>
      <w:r w:rsidR="00EB0494" w:rsidRPr="001025EA">
        <w:t xml:space="preserve"> needs</w:t>
      </w:r>
      <w:r w:rsidR="00DE350D" w:rsidRPr="001025EA">
        <w:t>.</w:t>
      </w:r>
    </w:p>
    <w:p w:rsidR="005742B1" w:rsidRPr="001025EA" w:rsidRDefault="005742B1" w:rsidP="0043620B">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before="120"/>
        <w:rPr>
          <w:b/>
          <w:i/>
        </w:rPr>
      </w:pPr>
      <w:r w:rsidRPr="001025EA">
        <w:rPr>
          <w:b/>
          <w:i/>
        </w:rPr>
        <w:t xml:space="preserve">Recommendation </w:t>
      </w:r>
      <w:r>
        <w:rPr>
          <w:b/>
          <w:i/>
        </w:rPr>
        <w:t>3</w:t>
      </w:r>
    </w:p>
    <w:p w:rsidR="005742B1" w:rsidRPr="001025EA" w:rsidRDefault="005742B1" w:rsidP="0043620B">
      <w:pPr>
        <w:pStyle w:val="EYBodytextwithparaspace"/>
        <w:pBdr>
          <w:top w:val="single" w:sz="4" w:space="1" w:color="auto"/>
          <w:left w:val="single" w:sz="4" w:space="4" w:color="auto"/>
          <w:bottom w:val="single" w:sz="4" w:space="1" w:color="auto"/>
          <w:right w:val="single" w:sz="4" w:space="4" w:color="auto"/>
        </w:pBdr>
        <w:shd w:val="clear" w:color="auto" w:fill="FFFFFF" w:themeFill="background1"/>
        <w:spacing w:before="60" w:after="0"/>
      </w:pPr>
      <w:r>
        <w:t>The government should reinforce</w:t>
      </w:r>
      <w:r w:rsidRPr="001025EA">
        <w:t xml:space="preserve"> general practice </w:t>
      </w:r>
      <w:r>
        <w:t>as</w:t>
      </w:r>
      <w:r w:rsidRPr="001025EA">
        <w:t xml:space="preserve"> the cornerstone of integrated primary health care</w:t>
      </w:r>
      <w:r>
        <w:t>,</w:t>
      </w:r>
      <w:r w:rsidRPr="001025EA">
        <w:t xml:space="preserve"> </w:t>
      </w:r>
      <w:r>
        <w:t>t</w:t>
      </w:r>
      <w:r w:rsidRPr="001025EA">
        <w:t xml:space="preserve">o ensure patient care is optimal.  </w:t>
      </w:r>
    </w:p>
    <w:p w:rsidR="006A06BC" w:rsidRPr="001025EA" w:rsidRDefault="006A06BC" w:rsidP="006A06BC">
      <w:pPr>
        <w:pStyle w:val="Heading2"/>
      </w:pPr>
      <w:bookmarkStart w:id="34" w:name="_Toc387644745"/>
      <w:r w:rsidRPr="001025EA">
        <w:t xml:space="preserve">Vision and </w:t>
      </w:r>
      <w:r w:rsidR="00511C96" w:rsidRPr="001025EA">
        <w:t>design principles</w:t>
      </w:r>
      <w:bookmarkEnd w:id="34"/>
    </w:p>
    <w:p w:rsidR="006A06BC" w:rsidRDefault="004C772E" w:rsidP="00272024">
      <w:pPr>
        <w:pStyle w:val="EYBodytextwithparaspace"/>
      </w:pPr>
      <w:r w:rsidRPr="001025EA">
        <w:t xml:space="preserve">I </w:t>
      </w:r>
      <w:r w:rsidR="00511C96" w:rsidRPr="001025EA">
        <w:t xml:space="preserve">put forward the following </w:t>
      </w:r>
      <w:r w:rsidR="000D1771" w:rsidRPr="001025EA">
        <w:t xml:space="preserve">as an overview of </w:t>
      </w:r>
      <w:r w:rsidRPr="001025EA">
        <w:t>PHOs.</w:t>
      </w:r>
      <w:r w:rsidR="000E0A83" w:rsidRPr="001025EA">
        <w:t xml:space="preserve"> </w:t>
      </w:r>
    </w:p>
    <w:p w:rsidR="008C3203" w:rsidRPr="00E47332" w:rsidRDefault="008C3203" w:rsidP="008C3203">
      <w:pPr>
        <w:pStyle w:val="EYBodytextwithparaspace"/>
        <w:numPr>
          <w:ilvl w:val="8"/>
          <w:numId w:val="3"/>
        </w:numPr>
        <w:pBdr>
          <w:top w:val="single" w:sz="4" w:space="1" w:color="auto"/>
          <w:left w:val="single" w:sz="4" w:space="4" w:color="auto"/>
          <w:bottom w:val="single" w:sz="4" w:space="1" w:color="auto"/>
          <w:right w:val="single" w:sz="4" w:space="4" w:color="auto"/>
        </w:pBdr>
        <w:shd w:val="clear" w:color="auto" w:fill="FFFFFF" w:themeFill="background1"/>
      </w:pPr>
      <w:r w:rsidRPr="001025EA">
        <w:t xml:space="preserve">Patients with chronic diseases such as cardiovascular disease and respiratory disease do </w:t>
      </w:r>
      <w:r w:rsidRPr="00E47332">
        <w:t xml:space="preserve">not receive optimal care in many instances due to the fragmentation of services.  The role of the PHO is to work with GPs, private specialists, Local Hospital Networks (LHNs), private hospitals, aged care facilities, </w:t>
      </w:r>
      <w:r>
        <w:t>I</w:t>
      </w:r>
      <w:r w:rsidRPr="00E47332">
        <w:t xml:space="preserve">ndigenous health services, NGOs and other providers to establish clinical pathways of care that arise from the needs of patients (not </w:t>
      </w:r>
      <w:proofErr w:type="spellStart"/>
      <w:r w:rsidRPr="00E47332">
        <w:t>organisations</w:t>
      </w:r>
      <w:proofErr w:type="spellEnd"/>
      <w:r w:rsidRPr="00E47332">
        <w:t>) that will necessarily cross</w:t>
      </w:r>
      <w:r>
        <w:t xml:space="preserve"> </w:t>
      </w:r>
      <w:r w:rsidRPr="00E47332">
        <w:t xml:space="preserve">over </w:t>
      </w:r>
      <w:r>
        <w:t>sector</w:t>
      </w:r>
      <w:r w:rsidRPr="00E47332">
        <w:t xml:space="preserve">s to improve patient outcomes.  </w:t>
      </w:r>
    </w:p>
    <w:p w:rsidR="008C3203" w:rsidRPr="00E47332" w:rsidRDefault="008C3203" w:rsidP="008C3203">
      <w:pPr>
        <w:pStyle w:val="EYBodytextwithparaspace"/>
        <w:numPr>
          <w:ilvl w:val="8"/>
          <w:numId w:val="3"/>
        </w:numPr>
        <w:pBdr>
          <w:top w:val="single" w:sz="4" w:space="1" w:color="auto"/>
          <w:left w:val="single" w:sz="4" w:space="4" w:color="auto"/>
          <w:bottom w:val="single" w:sz="4" w:space="1" w:color="auto"/>
          <w:right w:val="single" w:sz="4" w:space="4" w:color="auto"/>
        </w:pBdr>
        <w:shd w:val="clear" w:color="auto" w:fill="FFFFFF" w:themeFill="background1"/>
      </w:pPr>
      <w:r w:rsidRPr="00E47332">
        <w:t xml:space="preserve">The PHOs may well perform an important facilitating role in undergraduate and vocational medical and other clinical training. </w:t>
      </w:r>
    </w:p>
    <w:p w:rsidR="008C3203" w:rsidRPr="00E47332" w:rsidRDefault="008C3203" w:rsidP="008C3203">
      <w:pPr>
        <w:pStyle w:val="EYBodytextwithparaspace"/>
        <w:numPr>
          <w:ilvl w:val="7"/>
          <w:numId w:val="3"/>
        </w:numPr>
        <w:pBdr>
          <w:top w:val="single" w:sz="4" w:space="1" w:color="auto"/>
          <w:left w:val="single" w:sz="4" w:space="4" w:color="auto"/>
          <w:bottom w:val="single" w:sz="4" w:space="1" w:color="auto"/>
          <w:right w:val="single" w:sz="4" w:space="4" w:color="auto"/>
        </w:pBdr>
        <w:shd w:val="clear" w:color="auto" w:fill="FFFFFF" w:themeFill="background1"/>
      </w:pPr>
      <w:r w:rsidRPr="00E47332">
        <w:t xml:space="preserve">Evidence shows this will reduce unplanned hospital emergency department presentations, admissions and re-admissions and patients will benefit from better health care in the community rather than having to use hospital services inappropriately. </w:t>
      </w:r>
    </w:p>
    <w:p w:rsidR="008C3203" w:rsidRPr="001025EA" w:rsidRDefault="008C3203" w:rsidP="008C3203">
      <w:pPr>
        <w:pStyle w:val="EYBodytextwithparaspace"/>
        <w:numPr>
          <w:ilvl w:val="7"/>
          <w:numId w:val="3"/>
        </w:numPr>
        <w:pBdr>
          <w:top w:val="single" w:sz="4" w:space="1" w:color="auto"/>
          <w:left w:val="single" w:sz="4" w:space="4" w:color="auto"/>
          <w:bottom w:val="single" w:sz="4" w:space="1" w:color="auto"/>
          <w:right w:val="single" w:sz="4" w:space="4" w:color="auto"/>
        </w:pBdr>
        <w:shd w:val="clear" w:color="auto" w:fill="FFFFFF" w:themeFill="background1"/>
      </w:pPr>
      <w:r w:rsidRPr="00E47332">
        <w:t xml:space="preserve">Not all regions across Australia are </w:t>
      </w:r>
      <w:r w:rsidRPr="001025EA">
        <w:t xml:space="preserve">equally serviced.  The role of the PHO is to work with the GPs, Commonwealth and state health authorities, LHNs, and communities to identify gaps in health services and work in partnership with these </w:t>
      </w:r>
      <w:proofErr w:type="spellStart"/>
      <w:r w:rsidRPr="001025EA">
        <w:t>organisations</w:t>
      </w:r>
      <w:proofErr w:type="spellEnd"/>
      <w:r w:rsidRPr="001025EA">
        <w:t xml:space="preserve"> to source the appropriate services.</w:t>
      </w:r>
    </w:p>
    <w:p w:rsidR="008C3203" w:rsidRPr="001025EA" w:rsidRDefault="008C3203" w:rsidP="008C3203">
      <w:pPr>
        <w:pStyle w:val="EYBodytextwithparaspace"/>
        <w:numPr>
          <w:ilvl w:val="7"/>
          <w:numId w:val="3"/>
        </w:numPr>
        <w:pBdr>
          <w:top w:val="single" w:sz="4" w:space="1" w:color="auto"/>
          <w:left w:val="single" w:sz="4" w:space="4" w:color="auto"/>
          <w:bottom w:val="single" w:sz="4" w:space="1" w:color="auto"/>
          <w:right w:val="single" w:sz="4" w:space="4" w:color="auto"/>
        </w:pBdr>
        <w:shd w:val="clear" w:color="auto" w:fill="FFFFFF" w:themeFill="background1"/>
      </w:pPr>
      <w:r w:rsidRPr="001025EA">
        <w:t>PHOs will provide practice support to strengthen general p</w:t>
      </w:r>
      <w:r>
        <w:t xml:space="preserve">ractice to improve patient care, </w:t>
      </w:r>
      <w:r w:rsidRPr="001025EA">
        <w:t>including assisting general practice with the adoption of electronic health records.</w:t>
      </w:r>
    </w:p>
    <w:p w:rsidR="008C3203" w:rsidRPr="001025EA" w:rsidRDefault="008C3203" w:rsidP="008C3203">
      <w:pPr>
        <w:pStyle w:val="EYBodytextwithparaspace"/>
        <w:pBdr>
          <w:top w:val="single" w:sz="4" w:space="1" w:color="auto"/>
          <w:left w:val="single" w:sz="4" w:space="4" w:color="auto"/>
          <w:bottom w:val="single" w:sz="4" w:space="1" w:color="auto"/>
          <w:right w:val="single" w:sz="4" w:space="4" w:color="auto"/>
        </w:pBdr>
        <w:shd w:val="clear" w:color="auto" w:fill="FFFFFF" w:themeFill="background1"/>
      </w:pPr>
      <w:r w:rsidRPr="001025EA">
        <w:t>The success of PHOs will be known through a small number of outcome based indicators.</w:t>
      </w:r>
    </w:p>
    <w:p w:rsidR="003D2382" w:rsidRPr="001025EA" w:rsidRDefault="00971CAB" w:rsidP="00DA69E3">
      <w:pPr>
        <w:pStyle w:val="EYBodytextwithparaspace"/>
        <w:autoSpaceDE w:val="0"/>
        <w:autoSpaceDN w:val="0"/>
        <w:adjustRightInd w:val="0"/>
        <w:spacing w:before="240" w:after="60"/>
        <w:rPr>
          <w:color w:val="000000"/>
        </w:rPr>
      </w:pPr>
      <w:r>
        <w:t>T</w:t>
      </w:r>
      <w:r w:rsidR="0045530D" w:rsidRPr="001025EA">
        <w:t xml:space="preserve">here are a number of design features </w:t>
      </w:r>
      <w:r w:rsidR="001B4390" w:rsidRPr="001025EA">
        <w:t>t</w:t>
      </w:r>
      <w:r w:rsidR="0045530D" w:rsidRPr="001025EA">
        <w:t>hat will facilitate the</w:t>
      </w:r>
      <w:r w:rsidR="009802F7" w:rsidRPr="001025EA">
        <w:t xml:space="preserve"> </w:t>
      </w:r>
      <w:r w:rsidR="0045530D" w:rsidRPr="001025EA">
        <w:t xml:space="preserve">establishment </w:t>
      </w:r>
      <w:r w:rsidR="009802F7" w:rsidRPr="001025EA">
        <w:t xml:space="preserve">of </w:t>
      </w:r>
      <w:r w:rsidR="0045530D" w:rsidRPr="001025EA">
        <w:t xml:space="preserve">effective and efficient </w:t>
      </w:r>
      <w:r w:rsidR="009802F7" w:rsidRPr="001025EA">
        <w:t>PHOs.</w:t>
      </w:r>
      <w:r w:rsidR="007701EF" w:rsidRPr="001025EA">
        <w:t xml:space="preserve"> </w:t>
      </w:r>
      <w:r w:rsidR="00D25EA1" w:rsidRPr="001025EA">
        <w:t xml:space="preserve"> </w:t>
      </w:r>
    </w:p>
    <w:p w:rsidR="00D25EA1" w:rsidRPr="001025EA" w:rsidRDefault="00680C6B" w:rsidP="00DA69E3">
      <w:pPr>
        <w:pStyle w:val="EYBodytextwithparaspace"/>
        <w:autoSpaceDE w:val="0"/>
        <w:autoSpaceDN w:val="0"/>
        <w:adjustRightInd w:val="0"/>
        <w:spacing w:before="240" w:after="60"/>
        <w:rPr>
          <w:color w:val="000000"/>
        </w:rPr>
      </w:pPr>
      <w:r w:rsidRPr="001025EA">
        <w:rPr>
          <w:color w:val="000000"/>
        </w:rPr>
        <w:t>PHOs should</w:t>
      </w:r>
      <w:r w:rsidR="00D25EA1" w:rsidRPr="001025EA">
        <w:rPr>
          <w:color w:val="000000"/>
        </w:rPr>
        <w:t>:</w:t>
      </w:r>
    </w:p>
    <w:p w:rsidR="00680C6B" w:rsidRPr="001025EA" w:rsidRDefault="00E47332" w:rsidP="00647297">
      <w:pPr>
        <w:pStyle w:val="ListParagraph"/>
        <w:numPr>
          <w:ilvl w:val="0"/>
          <w:numId w:val="6"/>
        </w:numPr>
        <w:spacing w:before="60" w:after="60"/>
        <w:ind w:left="777" w:hanging="357"/>
        <w:contextualSpacing w:val="0"/>
      </w:pPr>
      <w:r>
        <w:t xml:space="preserve">be </w:t>
      </w:r>
      <w:r w:rsidR="00680C6B" w:rsidRPr="001025EA">
        <w:t>companies</w:t>
      </w:r>
      <w:r>
        <w:t xml:space="preserve"> </w:t>
      </w:r>
      <w:r w:rsidR="003641D1" w:rsidRPr="001025EA">
        <w:t xml:space="preserve">incorporated under the </w:t>
      </w:r>
      <w:r w:rsidR="003641D1" w:rsidRPr="00CD0F0E">
        <w:rPr>
          <w:i/>
        </w:rPr>
        <w:t>Corporations Act 2001</w:t>
      </w:r>
      <w:r>
        <w:t xml:space="preserve"> and </w:t>
      </w:r>
      <w:r w:rsidR="0040120A" w:rsidRPr="001025EA">
        <w:t>selected through contestable processes</w:t>
      </w:r>
      <w:r w:rsidR="00D531D4" w:rsidRPr="001025EA">
        <w:t>;</w:t>
      </w:r>
    </w:p>
    <w:p w:rsidR="00680C6B" w:rsidRDefault="00D531D4" w:rsidP="00647297">
      <w:pPr>
        <w:pStyle w:val="ListParagraph"/>
        <w:numPr>
          <w:ilvl w:val="0"/>
          <w:numId w:val="6"/>
        </w:numPr>
        <w:spacing w:before="60" w:after="60"/>
        <w:ind w:left="777" w:hanging="357"/>
        <w:contextualSpacing w:val="0"/>
      </w:pPr>
      <w:r w:rsidRPr="001025EA">
        <w:t>h</w:t>
      </w:r>
      <w:r w:rsidR="00680C6B" w:rsidRPr="001025EA">
        <w:t xml:space="preserve">ave skills based Boards </w:t>
      </w:r>
      <w:r w:rsidR="0054172E" w:rsidRPr="001025EA">
        <w:t xml:space="preserve">– without restriction on membership – </w:t>
      </w:r>
      <w:r w:rsidR="00680C6B" w:rsidRPr="001025EA">
        <w:t xml:space="preserve">advised by </w:t>
      </w:r>
      <w:r w:rsidR="00556657" w:rsidRPr="001025EA">
        <w:t>Clinical Councils</w:t>
      </w:r>
      <w:r w:rsidR="00680C6B" w:rsidRPr="001025EA">
        <w:t xml:space="preserve"> and Community Advisory Committees</w:t>
      </w:r>
      <w:r w:rsidR="003B7BB0" w:rsidRPr="001025EA">
        <w:t xml:space="preserve"> through mandated Memorandums of Understanding (MOU</w:t>
      </w:r>
      <w:r w:rsidR="007B64E7">
        <w:t>s</w:t>
      </w:r>
      <w:r w:rsidR="003B7BB0" w:rsidRPr="001025EA">
        <w:t>) and Standard Operating Procedures (SOPs) to ensure transparency and define roles and responsibilities</w:t>
      </w:r>
      <w:r w:rsidR="00971CAB">
        <w:t>;</w:t>
      </w:r>
    </w:p>
    <w:p w:rsidR="004E4CFE" w:rsidRPr="00E47332" w:rsidRDefault="001339C6" w:rsidP="00647297">
      <w:pPr>
        <w:pStyle w:val="ListParagraph"/>
        <w:numPr>
          <w:ilvl w:val="0"/>
          <w:numId w:val="6"/>
        </w:numPr>
        <w:spacing w:before="60" w:after="60"/>
        <w:ind w:left="777" w:hanging="357"/>
        <w:contextualSpacing w:val="0"/>
      </w:pPr>
      <w:r w:rsidRPr="00E47332">
        <w:t>establish a Clinical Council and a Community Advisory Committee</w:t>
      </w:r>
      <w:r w:rsidR="00B26A65" w:rsidRPr="00E47332">
        <w:t xml:space="preserve"> in </w:t>
      </w:r>
      <w:r w:rsidRPr="00E47332">
        <w:t>each LHN</w:t>
      </w:r>
      <w:r w:rsidR="00162C8D" w:rsidRPr="00E47332">
        <w:t>s</w:t>
      </w:r>
      <w:r w:rsidRPr="00E47332">
        <w:t xml:space="preserve"> (or clusters</w:t>
      </w:r>
      <w:r w:rsidR="00971CAB" w:rsidRPr="00E47332">
        <w:t xml:space="preserve"> of LHNs) with which they are aligned</w:t>
      </w:r>
      <w:r w:rsidR="007B64E7" w:rsidRPr="00E47332">
        <w:t xml:space="preserve"> as ‘operational units’</w:t>
      </w:r>
      <w:r w:rsidR="00971CAB" w:rsidRPr="00E47332">
        <w:t>:</w:t>
      </w:r>
    </w:p>
    <w:p w:rsidR="007E5D0E" w:rsidRPr="00E47332" w:rsidRDefault="00556657" w:rsidP="00647297">
      <w:pPr>
        <w:pStyle w:val="ListParagraph"/>
        <w:numPr>
          <w:ilvl w:val="1"/>
          <w:numId w:val="6"/>
        </w:numPr>
        <w:spacing w:before="60" w:after="60"/>
        <w:contextualSpacing w:val="0"/>
      </w:pPr>
      <w:r w:rsidRPr="00E47332">
        <w:t>Clinical Councils</w:t>
      </w:r>
      <w:r w:rsidR="007E5D0E" w:rsidRPr="00E47332">
        <w:t xml:space="preserve"> with a significant GP presence</w:t>
      </w:r>
      <w:r w:rsidR="005A2869" w:rsidRPr="00E47332">
        <w:t xml:space="preserve"> and involving primary health care professionals, public/private hospital clinicians</w:t>
      </w:r>
      <w:r w:rsidR="00971CAB" w:rsidRPr="00E47332">
        <w:t>,</w:t>
      </w:r>
      <w:r w:rsidR="00162C8D" w:rsidRPr="00E47332">
        <w:t xml:space="preserve"> should be established to </w:t>
      </w:r>
      <w:r w:rsidR="007E5D0E" w:rsidRPr="00E47332">
        <w:t xml:space="preserve">ensure </w:t>
      </w:r>
      <w:r w:rsidR="00971CAB" w:rsidRPr="00E47332">
        <w:t xml:space="preserve">ongoing </w:t>
      </w:r>
      <w:r w:rsidR="007E5D0E" w:rsidRPr="00E47332">
        <w:t>local clinical engagement within PHOs.</w:t>
      </w:r>
      <w:r w:rsidR="00226C1E" w:rsidRPr="00E47332">
        <w:t xml:space="preserve"> </w:t>
      </w:r>
      <w:r w:rsidR="007E5D0E" w:rsidRPr="00E47332">
        <w:t xml:space="preserve"> </w:t>
      </w:r>
      <w:r w:rsidR="00547740" w:rsidRPr="00E47332">
        <w:t>Councils,</w:t>
      </w:r>
      <w:r w:rsidR="00C90580" w:rsidRPr="00E47332">
        <w:t xml:space="preserve"> </w:t>
      </w:r>
      <w:r w:rsidR="00394064" w:rsidRPr="00E47332">
        <w:t>a</w:t>
      </w:r>
      <w:r w:rsidR="007E5D0E" w:rsidRPr="00E47332">
        <w:t>ligned with LHNs provide a direct link between clinicians and the Board for effective local decision-making, particularly</w:t>
      </w:r>
      <w:r w:rsidR="005A2869" w:rsidRPr="00E47332">
        <w:t xml:space="preserve"> in terms of liaising with LHNs and developing </w:t>
      </w:r>
      <w:r w:rsidR="00DE350D" w:rsidRPr="00E47332">
        <w:t xml:space="preserve">clinical care </w:t>
      </w:r>
      <w:r w:rsidR="005A2869" w:rsidRPr="00E47332">
        <w:t>pathways.</w:t>
      </w:r>
    </w:p>
    <w:p w:rsidR="007E5D0E" w:rsidRPr="00E47332" w:rsidRDefault="007E5D0E" w:rsidP="00647297">
      <w:pPr>
        <w:pStyle w:val="ListParagraph"/>
        <w:numPr>
          <w:ilvl w:val="1"/>
          <w:numId w:val="6"/>
        </w:numPr>
        <w:spacing w:before="60" w:after="60"/>
        <w:contextualSpacing w:val="0"/>
      </w:pPr>
      <w:r w:rsidRPr="00E47332">
        <w:t>Community Advisory Committees</w:t>
      </w:r>
      <w:r w:rsidR="00162C8D" w:rsidRPr="00E47332">
        <w:t xml:space="preserve">, based on the same catchments as Clinical Councils, </w:t>
      </w:r>
      <w:r w:rsidRPr="00E47332">
        <w:t>will provide a community voice into the Board decision-making and activities</w:t>
      </w:r>
      <w:r w:rsidR="00394064" w:rsidRPr="00E47332">
        <w:t>, particularly in regard to service gaps</w:t>
      </w:r>
      <w:r w:rsidRPr="00E47332">
        <w:t xml:space="preserve">. </w:t>
      </w:r>
    </w:p>
    <w:p w:rsidR="0038536B" w:rsidRPr="00E47332" w:rsidRDefault="007E5D0E" w:rsidP="00647297">
      <w:pPr>
        <w:pStyle w:val="ListParagraph"/>
        <w:numPr>
          <w:ilvl w:val="0"/>
          <w:numId w:val="6"/>
        </w:numPr>
        <w:spacing w:before="60" w:after="60"/>
        <w:contextualSpacing w:val="0"/>
      </w:pPr>
      <w:r w:rsidRPr="00E47332">
        <w:t xml:space="preserve">have </w:t>
      </w:r>
      <w:r w:rsidR="00DA69E3" w:rsidRPr="00E47332">
        <w:t xml:space="preserve">ongoing </w:t>
      </w:r>
      <w:r w:rsidRPr="00E47332">
        <w:t>engagement with national</w:t>
      </w:r>
      <w:r w:rsidR="00394064" w:rsidRPr="00E47332">
        <w:t xml:space="preserve"> and</w:t>
      </w:r>
      <w:r w:rsidRPr="00E47332">
        <w:t xml:space="preserve"> </w:t>
      </w:r>
      <w:r w:rsidR="00DA69E3" w:rsidRPr="00E47332">
        <w:t xml:space="preserve">local </w:t>
      </w:r>
      <w:r w:rsidRPr="00E47332">
        <w:t xml:space="preserve">clinical bodies to ensure consistency and evidence based decision-making; </w:t>
      </w:r>
    </w:p>
    <w:p w:rsidR="009802F7" w:rsidRPr="00E47332" w:rsidRDefault="00D531D4" w:rsidP="00647297">
      <w:pPr>
        <w:pStyle w:val="ListParagraph"/>
        <w:numPr>
          <w:ilvl w:val="0"/>
          <w:numId w:val="6"/>
        </w:numPr>
        <w:spacing w:before="60" w:after="60"/>
        <w:ind w:left="777" w:hanging="357"/>
        <w:contextualSpacing w:val="0"/>
      </w:pPr>
      <w:r w:rsidRPr="00E47332">
        <w:t>o</w:t>
      </w:r>
      <w:r w:rsidR="00D25EA1" w:rsidRPr="00E47332">
        <w:t xml:space="preserve">perate </w:t>
      </w:r>
      <w:r w:rsidR="009802F7" w:rsidRPr="00E47332">
        <w:t>a</w:t>
      </w:r>
      <w:r w:rsidR="00D25EA1" w:rsidRPr="00E47332">
        <w:t>t a</w:t>
      </w:r>
      <w:r w:rsidR="009802F7" w:rsidRPr="00E47332">
        <w:t xml:space="preserve"> sufficient size to achieve benchmarked economies of scale</w:t>
      </w:r>
      <w:r w:rsidRPr="00E47332">
        <w:t>;</w:t>
      </w:r>
    </w:p>
    <w:p w:rsidR="00D25EA1" w:rsidRPr="00E47332" w:rsidRDefault="00D531D4" w:rsidP="00451FA8">
      <w:pPr>
        <w:pStyle w:val="ListParagraph"/>
        <w:numPr>
          <w:ilvl w:val="0"/>
          <w:numId w:val="6"/>
        </w:numPr>
        <w:spacing w:before="60" w:after="60"/>
        <w:ind w:left="777" w:hanging="357"/>
        <w:contextualSpacing w:val="0"/>
      </w:pPr>
      <w:r w:rsidRPr="00E47332">
        <w:t>h</w:t>
      </w:r>
      <w:r w:rsidR="00D25EA1" w:rsidRPr="00E47332">
        <w:t>ave clear performance expectations tied into their</w:t>
      </w:r>
      <w:r w:rsidR="005B62E2" w:rsidRPr="00E47332">
        <w:t xml:space="preserve"> Commonwealth </w:t>
      </w:r>
      <w:r w:rsidR="00D25EA1" w:rsidRPr="00E47332">
        <w:t>contracts, with outcomes based performance indicators align</w:t>
      </w:r>
      <w:r w:rsidR="00394064" w:rsidRPr="00E47332">
        <w:t>ed</w:t>
      </w:r>
      <w:r w:rsidR="00D25EA1" w:rsidRPr="00E47332">
        <w:t xml:space="preserve"> </w:t>
      </w:r>
      <w:r w:rsidR="005B62E2" w:rsidRPr="00E47332">
        <w:t>to</w:t>
      </w:r>
      <w:r w:rsidR="00D25EA1" w:rsidRPr="00E47332">
        <w:t xml:space="preserve"> national </w:t>
      </w:r>
      <w:r w:rsidR="00226C1E" w:rsidRPr="00E47332">
        <w:t>and</w:t>
      </w:r>
      <w:r w:rsidR="00D25EA1" w:rsidRPr="00E47332">
        <w:t xml:space="preserve"> local priorities</w:t>
      </w:r>
      <w:r w:rsidR="00394064" w:rsidRPr="00E47332">
        <w:t>;</w:t>
      </w:r>
    </w:p>
    <w:p w:rsidR="00C44DA9" w:rsidRPr="00E47332" w:rsidRDefault="00D531D4" w:rsidP="00647297">
      <w:pPr>
        <w:pStyle w:val="ListParagraph"/>
        <w:numPr>
          <w:ilvl w:val="0"/>
          <w:numId w:val="6"/>
        </w:numPr>
        <w:spacing w:before="60" w:after="60"/>
        <w:ind w:left="777" w:hanging="357"/>
        <w:contextualSpacing w:val="0"/>
      </w:pPr>
      <w:r w:rsidRPr="00E47332">
        <w:t xml:space="preserve">engage </w:t>
      </w:r>
      <w:r w:rsidR="005B62E2" w:rsidRPr="00E47332">
        <w:t>sta</w:t>
      </w:r>
      <w:r w:rsidR="00E54E7A" w:rsidRPr="00E47332">
        <w:t>t</w:t>
      </w:r>
      <w:r w:rsidR="005B62E2" w:rsidRPr="00E47332">
        <w:t xml:space="preserve">e and territory </w:t>
      </w:r>
      <w:r w:rsidRPr="00E47332">
        <w:t>jurisdictions to develop structure</w:t>
      </w:r>
      <w:r w:rsidR="00A2719D" w:rsidRPr="00E47332">
        <w:t>s</w:t>
      </w:r>
      <w:r w:rsidRPr="00E47332">
        <w:t xml:space="preserve"> that are </w:t>
      </w:r>
      <w:r w:rsidR="007701EF" w:rsidRPr="00E47332">
        <w:t xml:space="preserve">most </w:t>
      </w:r>
      <w:r w:rsidR="000A322B" w:rsidRPr="00E47332">
        <w:t xml:space="preserve">appropriate for each </w:t>
      </w:r>
      <w:r w:rsidR="005B62E2" w:rsidRPr="00E47332">
        <w:t xml:space="preserve">jurisdiction and </w:t>
      </w:r>
      <w:r w:rsidR="000A322B" w:rsidRPr="00E47332">
        <w:t>region</w:t>
      </w:r>
      <w:r w:rsidRPr="00E47332">
        <w:t xml:space="preserve">; </w:t>
      </w:r>
      <w:r w:rsidR="00FA364A" w:rsidRPr="00E47332">
        <w:t>and</w:t>
      </w:r>
      <w:r w:rsidR="00C44DA9" w:rsidRPr="00E47332">
        <w:t xml:space="preserve"> </w:t>
      </w:r>
    </w:p>
    <w:p w:rsidR="007701EF" w:rsidRPr="00E47332" w:rsidRDefault="007701EF" w:rsidP="00647297">
      <w:pPr>
        <w:pStyle w:val="ListParagraph"/>
        <w:numPr>
          <w:ilvl w:val="0"/>
          <w:numId w:val="6"/>
        </w:numPr>
        <w:spacing w:before="60" w:after="60"/>
        <w:ind w:left="777" w:hanging="357"/>
        <w:contextualSpacing w:val="0"/>
      </w:pPr>
      <w:proofErr w:type="gramStart"/>
      <w:r w:rsidRPr="00E47332">
        <w:t>engage</w:t>
      </w:r>
      <w:proofErr w:type="gramEnd"/>
      <w:r w:rsidR="00D531D4" w:rsidRPr="00E47332">
        <w:t xml:space="preserve"> </w:t>
      </w:r>
      <w:r w:rsidR="00325703" w:rsidRPr="00E47332">
        <w:t>broadly across</w:t>
      </w:r>
      <w:r w:rsidRPr="00E47332">
        <w:t xml:space="preserve"> health sector</w:t>
      </w:r>
      <w:r w:rsidR="00325703" w:rsidRPr="00E47332">
        <w:t>s</w:t>
      </w:r>
      <w:r w:rsidRPr="00E47332">
        <w:t>, including public, private</w:t>
      </w:r>
      <w:r w:rsidR="00325703" w:rsidRPr="00E47332">
        <w:t>,</w:t>
      </w:r>
      <w:r w:rsidRPr="00E47332">
        <w:t xml:space="preserve"> and NGO sectors.</w:t>
      </w:r>
    </w:p>
    <w:p w:rsidR="001C5631" w:rsidRDefault="001C5631" w:rsidP="00DE350D">
      <w:pPr>
        <w:pStyle w:val="EYBodytextwithparaspace"/>
        <w:spacing w:before="120"/>
      </w:pPr>
      <w:r w:rsidRPr="00E47332">
        <w:t>I do not see the need for a national body for PHOs</w:t>
      </w:r>
      <w:r w:rsidR="00DA69E3" w:rsidRPr="00E47332">
        <w:t xml:space="preserve">.  </w:t>
      </w:r>
      <w:r w:rsidR="00DE350D" w:rsidRPr="00E47332">
        <w:t xml:space="preserve">A membership driven peak body to support the corporate needs of PHOs is best left to emerge, if required, without the investment of the Commonwealth.  </w:t>
      </w:r>
      <w:r w:rsidR="004359E0" w:rsidRPr="00E47332">
        <w:t xml:space="preserve">There </w:t>
      </w:r>
      <w:r w:rsidR="00112A5B" w:rsidRPr="00E47332">
        <w:t>are e</w:t>
      </w:r>
      <w:r w:rsidR="004359E0" w:rsidRPr="00E47332">
        <w:t xml:space="preserve">xisting national bodies, such as </w:t>
      </w:r>
      <w:r w:rsidR="008314A7" w:rsidRPr="00E47332">
        <w:t xml:space="preserve">the </w:t>
      </w:r>
      <w:r w:rsidR="004359E0" w:rsidRPr="00E47332">
        <w:t xml:space="preserve">National Health and Medical Research </w:t>
      </w:r>
      <w:r w:rsidR="00D32649" w:rsidRPr="00E47332">
        <w:t>C</w:t>
      </w:r>
      <w:r w:rsidR="004359E0" w:rsidRPr="00E47332">
        <w:t>ouncil (NHMRC)</w:t>
      </w:r>
      <w:r w:rsidR="00CE696D">
        <w:t xml:space="preserve"> and </w:t>
      </w:r>
      <w:r w:rsidR="004359E0" w:rsidRPr="00E47332">
        <w:t>the Australian Commission on Safety and Quality in Health Care that could provide</w:t>
      </w:r>
      <w:r w:rsidR="00971857" w:rsidRPr="00E47332">
        <w:t xml:space="preserve"> PHOs</w:t>
      </w:r>
      <w:r w:rsidR="004359E0" w:rsidRPr="00E47332">
        <w:t xml:space="preserve"> with the clinical expertise, share innovations</w:t>
      </w:r>
      <w:r w:rsidR="00DA69E3" w:rsidRPr="00E47332">
        <w:t>,</w:t>
      </w:r>
      <w:r w:rsidR="00DE350D" w:rsidRPr="00E47332">
        <w:t xml:space="preserve"> </w:t>
      </w:r>
      <w:r w:rsidR="00DA69E3" w:rsidRPr="00E47332">
        <w:t>successes and failures of PHOs</w:t>
      </w:r>
      <w:r w:rsidR="004359E0" w:rsidRPr="00E47332">
        <w:t>.</w:t>
      </w:r>
      <w:r w:rsidR="00CC4103" w:rsidRPr="00E47332">
        <w:t xml:space="preserve">  It may be that </w:t>
      </w:r>
      <w:r w:rsidR="0002493D" w:rsidRPr="00E47332">
        <w:t>jurisdictional</w:t>
      </w:r>
      <w:r w:rsidR="00CC4103" w:rsidRPr="00E47332">
        <w:t xml:space="preserve"> PHOs see more merit in networking at a state level to leverage greater integ</w:t>
      </w:r>
      <w:r w:rsidR="00CC4103" w:rsidRPr="001025EA">
        <w:t>ration.  Regardless</w:t>
      </w:r>
      <w:r w:rsidR="00A2719D" w:rsidRPr="001025EA">
        <w:t>,</w:t>
      </w:r>
      <w:r w:rsidR="00CC4103" w:rsidRPr="001025EA">
        <w:t xml:space="preserve"> decisions around support should be left to PHOs.</w:t>
      </w:r>
    </w:p>
    <w:p w:rsidR="00C40B0C" w:rsidRDefault="00C40B0C" w:rsidP="005742B1">
      <w:pPr>
        <w:pStyle w:val="EYBodytextwithparaspace"/>
        <w:numPr>
          <w:ilvl w:val="3"/>
          <w:numId w:val="3"/>
        </w:numPr>
        <w:spacing w:before="120" w:after="0"/>
      </w:pPr>
      <w:r>
        <w:rPr>
          <w:noProof/>
          <w:lang w:val="en-AU" w:eastAsia="en-AU" w:bidi="ar-SA"/>
        </w:rPr>
        <mc:AlternateContent>
          <mc:Choice Requires="wps">
            <w:drawing>
              <wp:inline distT="0" distB="0" distL="0" distR="0">
                <wp:extent cx="1828800" cy="1828800"/>
                <wp:effectExtent l="0" t="0" r="15240" b="18415"/>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C40B0C" w:rsidRPr="001025EA" w:rsidRDefault="00C40B0C" w:rsidP="0043620B">
                            <w:pPr>
                              <w:pStyle w:val="ListParagraph"/>
                              <w:keepNext/>
                              <w:keepLines/>
                              <w:numPr>
                                <w:ilvl w:val="0"/>
                                <w:numId w:val="3"/>
                              </w:numPr>
                              <w:spacing w:before="120"/>
                              <w:rPr>
                                <w:b/>
                                <w:i/>
                              </w:rPr>
                            </w:pPr>
                            <w:r w:rsidRPr="001025EA">
                              <w:rPr>
                                <w:b/>
                                <w:i/>
                              </w:rPr>
                              <w:t xml:space="preserve">Recommendation </w:t>
                            </w:r>
                            <w:r>
                              <w:rPr>
                                <w:b/>
                                <w:i/>
                              </w:rPr>
                              <w:t>4</w:t>
                            </w:r>
                          </w:p>
                          <w:p w:rsidR="00C40B0C" w:rsidRPr="001025EA" w:rsidRDefault="00C40B0C" w:rsidP="0043620B">
                            <w:pPr>
                              <w:keepNext/>
                              <w:keepLines/>
                              <w:spacing w:before="60"/>
                            </w:pPr>
                            <w:r w:rsidRPr="001025EA">
                              <w:t>The principles for the establishment of PHOs should include:</w:t>
                            </w:r>
                          </w:p>
                          <w:p w:rsidR="00C40B0C" w:rsidRPr="001025EA" w:rsidRDefault="00C40B0C" w:rsidP="0043620B">
                            <w:pPr>
                              <w:pStyle w:val="ListParagraph"/>
                              <w:keepNext/>
                              <w:keepLines/>
                              <w:numPr>
                                <w:ilvl w:val="0"/>
                                <w:numId w:val="6"/>
                              </w:numPr>
                              <w:ind w:left="777" w:hanging="357"/>
                              <w:contextualSpacing w:val="0"/>
                            </w:pPr>
                            <w:r w:rsidRPr="001025EA">
                              <w:t>contestable processes</w:t>
                            </w:r>
                            <w:r>
                              <w:t xml:space="preserve"> for their establishment</w:t>
                            </w:r>
                            <w:r w:rsidRPr="001025EA">
                              <w:t>;</w:t>
                            </w:r>
                          </w:p>
                          <w:p w:rsidR="00C40B0C" w:rsidRPr="001025EA" w:rsidRDefault="00C40B0C" w:rsidP="0043620B">
                            <w:pPr>
                              <w:pStyle w:val="ListParagraph"/>
                              <w:keepNext/>
                              <w:keepLines/>
                              <w:numPr>
                                <w:ilvl w:val="0"/>
                                <w:numId w:val="6"/>
                              </w:numPr>
                              <w:ind w:left="777" w:hanging="357"/>
                              <w:contextualSpacing w:val="0"/>
                            </w:pPr>
                            <w:r w:rsidRPr="00E47332">
                              <w:t>strong skills based regional Boards, each advised by a number of Clinical Councils, responsible for developing and monitoring clinical care pathways, and Community Advisory Committees</w:t>
                            </w:r>
                            <w:r w:rsidRPr="001025EA">
                              <w:t>;</w:t>
                            </w:r>
                          </w:p>
                          <w:p w:rsidR="00C40B0C" w:rsidRPr="001025EA" w:rsidRDefault="00C40B0C" w:rsidP="0043620B">
                            <w:pPr>
                              <w:pStyle w:val="ListParagraph"/>
                              <w:keepNext/>
                              <w:keepLines/>
                              <w:numPr>
                                <w:ilvl w:val="0"/>
                                <w:numId w:val="6"/>
                              </w:numPr>
                              <w:ind w:left="777" w:hanging="357"/>
                              <w:contextualSpacing w:val="0"/>
                            </w:pPr>
                            <w:r w:rsidRPr="001025EA">
                              <w:t xml:space="preserve">flexibility of structure to reflect the differing characteristics of regions; </w:t>
                            </w:r>
                          </w:p>
                          <w:p w:rsidR="00C40B0C" w:rsidRPr="001025EA" w:rsidRDefault="00C40B0C" w:rsidP="0043620B">
                            <w:pPr>
                              <w:pStyle w:val="ListParagraph"/>
                              <w:keepNext/>
                              <w:keepLines/>
                              <w:numPr>
                                <w:ilvl w:val="0"/>
                                <w:numId w:val="6"/>
                              </w:numPr>
                              <w:ind w:left="777" w:hanging="357"/>
                              <w:contextualSpacing w:val="0"/>
                            </w:pPr>
                            <w:r w:rsidRPr="001025EA">
                              <w:t xml:space="preserve">engagement with jurisdictions to develop PHO structures most </w:t>
                            </w:r>
                            <w:r>
                              <w:t xml:space="preserve">appropriate for each region; </w:t>
                            </w:r>
                          </w:p>
                          <w:p w:rsidR="00C40B0C" w:rsidRDefault="00C40B0C" w:rsidP="0043620B">
                            <w:pPr>
                              <w:pStyle w:val="ListParagraph"/>
                              <w:keepNext/>
                              <w:keepLines/>
                              <w:numPr>
                                <w:ilvl w:val="0"/>
                                <w:numId w:val="6"/>
                              </w:numPr>
                              <w:ind w:left="777" w:hanging="357"/>
                              <w:contextualSpacing w:val="0"/>
                            </w:pPr>
                            <w:r w:rsidRPr="001025EA">
                              <w:t>broad and meaningful engagement across the health sector, including public, private</w:t>
                            </w:r>
                            <w:r>
                              <w:t>, Indigenous, aged care and NGO sectors; and</w:t>
                            </w:r>
                          </w:p>
                          <w:p w:rsidR="00C40B0C" w:rsidRPr="001025EA" w:rsidRDefault="00C40B0C" w:rsidP="0043620B">
                            <w:pPr>
                              <w:pStyle w:val="ListParagraph"/>
                              <w:keepNext/>
                              <w:keepLines/>
                              <w:numPr>
                                <w:ilvl w:val="0"/>
                                <w:numId w:val="6"/>
                              </w:numPr>
                              <w:ind w:left="777" w:hanging="357"/>
                              <w:contextualSpacing w:val="0"/>
                            </w:pPr>
                            <w:proofErr w:type="gramStart"/>
                            <w:r>
                              <w:t>clear</w:t>
                            </w:r>
                            <w:proofErr w:type="gramEnd"/>
                            <w:r>
                              <w:t xml:space="preserve"> performance expectations.</w:t>
                            </w:r>
                          </w:p>
                          <w:p w:rsidR="00C40B0C" w:rsidRPr="00BB7A5C" w:rsidRDefault="00C40B0C" w:rsidP="0043620B">
                            <w:pPr>
                              <w:pStyle w:val="ListParagraph"/>
                              <w:numPr>
                                <w:ilvl w:val="0"/>
                                <w:numId w:val="3"/>
                              </w:numPr>
                              <w:spacing w:before="120"/>
                              <w:contextualSpacing w:val="0"/>
                              <w:rPr>
                                <w:b/>
                                <w:i/>
                              </w:rPr>
                            </w:pPr>
                            <w:r w:rsidRPr="00BB7A5C">
                              <w:rPr>
                                <w:b/>
                                <w:i/>
                              </w:rPr>
                              <w:t>Recommendation 5</w:t>
                            </w:r>
                          </w:p>
                          <w:p w:rsidR="00C40B0C" w:rsidRPr="001025EA" w:rsidRDefault="00C40B0C" w:rsidP="0043620B">
                            <w:pPr>
                              <w:spacing w:before="60"/>
                            </w:pPr>
                            <w:r w:rsidRPr="001025EA">
                              <w:t>PHOs must engage with established local and national clinical bodies.</w:t>
                            </w:r>
                          </w:p>
                          <w:p w:rsidR="00C40B0C" w:rsidRPr="001025EA" w:rsidRDefault="00C40B0C" w:rsidP="0043620B">
                            <w:pPr>
                              <w:spacing w:before="120"/>
                            </w:pPr>
                            <w:r>
                              <w:rPr>
                                <w:b/>
                                <w:i/>
                              </w:rPr>
                              <w:t>Recommendation 6</w:t>
                            </w:r>
                          </w:p>
                          <w:p w:rsidR="00C40B0C" w:rsidRPr="00475128" w:rsidRDefault="00C40B0C" w:rsidP="0043620B">
                            <w:pPr>
                              <w:pStyle w:val="EYBodytextwithparaspace"/>
                              <w:numPr>
                                <w:ilvl w:val="3"/>
                                <w:numId w:val="3"/>
                              </w:numPr>
                              <w:spacing w:before="60" w:after="0"/>
                            </w:pPr>
                            <w:r w:rsidRPr="001025EA">
                              <w:t xml:space="preserve">Government </w:t>
                            </w:r>
                            <w:r>
                              <w:t>should not</w:t>
                            </w:r>
                            <w:r w:rsidRPr="001025EA">
                              <w:t xml:space="preserve"> fund a national alliance for PHOs</w:t>
                            </w:r>
                            <w:r w:rsidR="00B33CDB">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inline>
            </w:drawing>
          </mc:Choice>
          <mc:Fallback>
            <w:pict>
              <v:shapetype id="_x0000_t202" coordsize="21600,21600" o:spt="202" path="m,l,21600r21600,l21600,xe">
                <v:stroke joinstyle="miter"/>
                <v:path gradientshapeok="t" o:connecttype="rect"/>
              </v:shapetype>
              <v:shape id="Text Box 1" o:spid="_x0000_s1026" type="#_x0000_t202" style="width:2in;height:2in;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rsidR="00C40B0C" w:rsidRPr="001025EA" w:rsidRDefault="00C40B0C" w:rsidP="0043620B">
                      <w:pPr>
                        <w:pStyle w:val="ListParagraph"/>
                        <w:keepNext/>
                        <w:keepLines/>
                        <w:numPr>
                          <w:ilvl w:val="0"/>
                          <w:numId w:val="3"/>
                        </w:numPr>
                        <w:spacing w:before="120"/>
                        <w:rPr>
                          <w:b/>
                          <w:i/>
                        </w:rPr>
                      </w:pPr>
                      <w:r w:rsidRPr="001025EA">
                        <w:rPr>
                          <w:b/>
                          <w:i/>
                        </w:rPr>
                        <w:t xml:space="preserve">Recommendation </w:t>
                      </w:r>
                      <w:r>
                        <w:rPr>
                          <w:b/>
                          <w:i/>
                        </w:rPr>
                        <w:t>4</w:t>
                      </w:r>
                    </w:p>
                    <w:p w:rsidR="00C40B0C" w:rsidRPr="001025EA" w:rsidRDefault="00C40B0C" w:rsidP="0043620B">
                      <w:pPr>
                        <w:keepNext/>
                        <w:keepLines/>
                        <w:spacing w:before="60"/>
                      </w:pPr>
                      <w:r w:rsidRPr="001025EA">
                        <w:t>The principles for the establishment of PHOs should include:</w:t>
                      </w:r>
                    </w:p>
                    <w:p w:rsidR="00C40B0C" w:rsidRPr="001025EA" w:rsidRDefault="00C40B0C" w:rsidP="0043620B">
                      <w:pPr>
                        <w:pStyle w:val="ListParagraph"/>
                        <w:keepNext/>
                        <w:keepLines/>
                        <w:numPr>
                          <w:ilvl w:val="0"/>
                          <w:numId w:val="6"/>
                        </w:numPr>
                        <w:ind w:left="777" w:hanging="357"/>
                        <w:contextualSpacing w:val="0"/>
                      </w:pPr>
                      <w:r w:rsidRPr="001025EA">
                        <w:t>contestable processes</w:t>
                      </w:r>
                      <w:r>
                        <w:t xml:space="preserve"> for their establishment</w:t>
                      </w:r>
                      <w:r w:rsidRPr="001025EA">
                        <w:t>;</w:t>
                      </w:r>
                    </w:p>
                    <w:p w:rsidR="00C40B0C" w:rsidRPr="001025EA" w:rsidRDefault="00C40B0C" w:rsidP="0043620B">
                      <w:pPr>
                        <w:pStyle w:val="ListParagraph"/>
                        <w:keepNext/>
                        <w:keepLines/>
                        <w:numPr>
                          <w:ilvl w:val="0"/>
                          <w:numId w:val="6"/>
                        </w:numPr>
                        <w:ind w:left="777" w:hanging="357"/>
                        <w:contextualSpacing w:val="0"/>
                      </w:pPr>
                      <w:r w:rsidRPr="00E47332">
                        <w:t>strong skills based regional Boards, each advised by a number of Clinical Councils, responsible for developing and monitoring clinical care pathways, and Community Advisory Committees</w:t>
                      </w:r>
                      <w:r w:rsidRPr="001025EA">
                        <w:t>;</w:t>
                      </w:r>
                    </w:p>
                    <w:p w:rsidR="00C40B0C" w:rsidRPr="001025EA" w:rsidRDefault="00C40B0C" w:rsidP="0043620B">
                      <w:pPr>
                        <w:pStyle w:val="ListParagraph"/>
                        <w:keepNext/>
                        <w:keepLines/>
                        <w:numPr>
                          <w:ilvl w:val="0"/>
                          <w:numId w:val="6"/>
                        </w:numPr>
                        <w:ind w:left="777" w:hanging="357"/>
                        <w:contextualSpacing w:val="0"/>
                      </w:pPr>
                      <w:r w:rsidRPr="001025EA">
                        <w:t xml:space="preserve">flexibility of structure to reflect the differing characteristics of regions; </w:t>
                      </w:r>
                    </w:p>
                    <w:p w:rsidR="00C40B0C" w:rsidRPr="001025EA" w:rsidRDefault="00C40B0C" w:rsidP="0043620B">
                      <w:pPr>
                        <w:pStyle w:val="ListParagraph"/>
                        <w:keepNext/>
                        <w:keepLines/>
                        <w:numPr>
                          <w:ilvl w:val="0"/>
                          <w:numId w:val="6"/>
                        </w:numPr>
                        <w:ind w:left="777" w:hanging="357"/>
                        <w:contextualSpacing w:val="0"/>
                      </w:pPr>
                      <w:r w:rsidRPr="001025EA">
                        <w:t xml:space="preserve">engagement with jurisdictions to develop PHO structures most </w:t>
                      </w:r>
                      <w:r>
                        <w:t xml:space="preserve">appropriate for each region; </w:t>
                      </w:r>
                    </w:p>
                    <w:p w:rsidR="00C40B0C" w:rsidRDefault="00C40B0C" w:rsidP="0043620B">
                      <w:pPr>
                        <w:pStyle w:val="ListParagraph"/>
                        <w:keepNext/>
                        <w:keepLines/>
                        <w:numPr>
                          <w:ilvl w:val="0"/>
                          <w:numId w:val="6"/>
                        </w:numPr>
                        <w:ind w:left="777" w:hanging="357"/>
                        <w:contextualSpacing w:val="0"/>
                      </w:pPr>
                      <w:r w:rsidRPr="001025EA">
                        <w:t>broad and meaningful engagement across the health sector, including public, private</w:t>
                      </w:r>
                      <w:r>
                        <w:t>, Indigenous, aged care and NGO sectors; and</w:t>
                      </w:r>
                    </w:p>
                    <w:p w:rsidR="00C40B0C" w:rsidRPr="001025EA" w:rsidRDefault="00C40B0C" w:rsidP="0043620B">
                      <w:pPr>
                        <w:pStyle w:val="ListParagraph"/>
                        <w:keepNext/>
                        <w:keepLines/>
                        <w:numPr>
                          <w:ilvl w:val="0"/>
                          <w:numId w:val="6"/>
                        </w:numPr>
                        <w:ind w:left="777" w:hanging="357"/>
                        <w:contextualSpacing w:val="0"/>
                      </w:pPr>
                      <w:proofErr w:type="gramStart"/>
                      <w:r>
                        <w:t>clear</w:t>
                      </w:r>
                      <w:proofErr w:type="gramEnd"/>
                      <w:r>
                        <w:t xml:space="preserve"> performance expectations.</w:t>
                      </w:r>
                    </w:p>
                    <w:p w:rsidR="00C40B0C" w:rsidRPr="00BB7A5C" w:rsidRDefault="00C40B0C" w:rsidP="0043620B">
                      <w:pPr>
                        <w:pStyle w:val="ListParagraph"/>
                        <w:numPr>
                          <w:ilvl w:val="0"/>
                          <w:numId w:val="3"/>
                        </w:numPr>
                        <w:spacing w:before="120"/>
                        <w:contextualSpacing w:val="0"/>
                        <w:rPr>
                          <w:b/>
                          <w:i/>
                        </w:rPr>
                      </w:pPr>
                      <w:r w:rsidRPr="00BB7A5C">
                        <w:rPr>
                          <w:b/>
                          <w:i/>
                        </w:rPr>
                        <w:t>Recommendation 5</w:t>
                      </w:r>
                    </w:p>
                    <w:p w:rsidR="00C40B0C" w:rsidRPr="001025EA" w:rsidRDefault="00C40B0C" w:rsidP="0043620B">
                      <w:pPr>
                        <w:spacing w:before="60"/>
                      </w:pPr>
                      <w:r w:rsidRPr="001025EA">
                        <w:t>PHOs must engage with established local and national clinical bodies.</w:t>
                      </w:r>
                    </w:p>
                    <w:p w:rsidR="00C40B0C" w:rsidRPr="001025EA" w:rsidRDefault="00C40B0C" w:rsidP="0043620B">
                      <w:pPr>
                        <w:spacing w:before="120"/>
                      </w:pPr>
                      <w:r>
                        <w:rPr>
                          <w:b/>
                          <w:i/>
                        </w:rPr>
                        <w:t>Recommendation 6</w:t>
                      </w:r>
                    </w:p>
                    <w:p w:rsidR="00C40B0C" w:rsidRPr="00475128" w:rsidRDefault="00C40B0C" w:rsidP="0043620B">
                      <w:pPr>
                        <w:pStyle w:val="EYBodytextwithparaspace"/>
                        <w:numPr>
                          <w:ilvl w:val="3"/>
                          <w:numId w:val="3"/>
                        </w:numPr>
                        <w:spacing w:before="60" w:after="0"/>
                      </w:pPr>
                      <w:r w:rsidRPr="001025EA">
                        <w:t xml:space="preserve">Government </w:t>
                      </w:r>
                      <w:r>
                        <w:t>should not</w:t>
                      </w:r>
                      <w:r w:rsidRPr="001025EA">
                        <w:t xml:space="preserve"> fund a national alliance for PHOs</w:t>
                      </w:r>
                      <w:r w:rsidR="00B33CDB">
                        <w:t>.</w:t>
                      </w:r>
                    </w:p>
                  </w:txbxContent>
                </v:textbox>
                <w10:anchorlock/>
              </v:shape>
            </w:pict>
          </mc:Fallback>
        </mc:AlternateContent>
      </w:r>
    </w:p>
    <w:p w:rsidR="006A06BC" w:rsidRPr="001025EA" w:rsidRDefault="00A2719D" w:rsidP="006A06BC">
      <w:pPr>
        <w:pStyle w:val="Heading2"/>
      </w:pPr>
      <w:bookmarkStart w:id="35" w:name="_Toc380667447"/>
      <w:bookmarkStart w:id="36" w:name="_Toc387644746"/>
      <w:bookmarkEnd w:id="35"/>
      <w:r w:rsidRPr="001025EA">
        <w:t>A</w:t>
      </w:r>
      <w:r w:rsidR="00DA1BD6" w:rsidRPr="001025EA">
        <w:t xml:space="preserve">chieving </w:t>
      </w:r>
      <w:r w:rsidRPr="001025EA">
        <w:t xml:space="preserve">an </w:t>
      </w:r>
      <w:r w:rsidR="006A06BC" w:rsidRPr="001025EA">
        <w:t>effective and efficient PHO</w:t>
      </w:r>
      <w:bookmarkEnd w:id="36"/>
    </w:p>
    <w:p w:rsidR="000A3A41" w:rsidRPr="001025EA" w:rsidRDefault="00FA0F6F" w:rsidP="000A3A41">
      <w:pPr>
        <w:pStyle w:val="EYBodytextwithparaspace"/>
      </w:pPr>
      <w:r w:rsidRPr="001025EA">
        <w:t>I have</w:t>
      </w:r>
      <w:r w:rsidR="00E36A71" w:rsidRPr="001025EA">
        <w:t xml:space="preserve"> identifie</w:t>
      </w:r>
      <w:r w:rsidR="00A67DC7" w:rsidRPr="001025EA">
        <w:t>d</w:t>
      </w:r>
      <w:r w:rsidR="00E36A71" w:rsidRPr="001025EA">
        <w:t xml:space="preserve"> </w:t>
      </w:r>
      <w:r w:rsidR="00456F30" w:rsidRPr="001025EA">
        <w:t xml:space="preserve">an option that I believe </w:t>
      </w:r>
      <w:r w:rsidR="001339C6">
        <w:t>should</w:t>
      </w:r>
      <w:r w:rsidR="00456F30" w:rsidRPr="001025EA">
        <w:t xml:space="preserve"> deliver the Minister improvements in patient outcomes </w:t>
      </w:r>
      <w:r w:rsidR="000A3A41" w:rsidRPr="001025EA">
        <w:t xml:space="preserve">by </w:t>
      </w:r>
      <w:r w:rsidR="00456F30" w:rsidRPr="001025EA">
        <w:t xml:space="preserve">establishing </w:t>
      </w:r>
      <w:r w:rsidR="00A2719D" w:rsidRPr="001025EA">
        <w:t xml:space="preserve">new </w:t>
      </w:r>
      <w:r w:rsidR="00855D97">
        <w:t>r</w:t>
      </w:r>
      <w:r w:rsidR="00A2719D" w:rsidRPr="001025EA">
        <w:t xml:space="preserve">egional Primary Health </w:t>
      </w:r>
      <w:proofErr w:type="spellStart"/>
      <w:r w:rsidR="00A2719D" w:rsidRPr="001025EA">
        <w:t>Organisations</w:t>
      </w:r>
      <w:proofErr w:type="spellEnd"/>
      <w:r w:rsidR="00A2719D" w:rsidRPr="001025EA">
        <w:t xml:space="preserve"> (PHOs)</w:t>
      </w:r>
      <w:r w:rsidR="00456F30" w:rsidRPr="001025EA">
        <w:t>.</w:t>
      </w:r>
      <w:r w:rsidR="000A3A41" w:rsidRPr="001025EA">
        <w:t xml:space="preserve"> </w:t>
      </w:r>
      <w:r w:rsidR="00855D97">
        <w:t xml:space="preserve"> These</w:t>
      </w:r>
      <w:r w:rsidR="00855D97" w:rsidRPr="001025EA">
        <w:t xml:space="preserve"> </w:t>
      </w:r>
      <w:r w:rsidR="00855D97">
        <w:t>r</w:t>
      </w:r>
      <w:r w:rsidR="000A3A41" w:rsidRPr="001025EA">
        <w:t xml:space="preserve">egional PHOs would replace the existing national network of Medicare Locals and the AML Alliance.  </w:t>
      </w:r>
    </w:p>
    <w:p w:rsidR="000A3A41" w:rsidRPr="001025EA" w:rsidRDefault="000A3A41" w:rsidP="000A3A41">
      <w:pPr>
        <w:pStyle w:val="EYBodytextwithparaspace"/>
      </w:pPr>
      <w:r w:rsidRPr="001025EA">
        <w:t xml:space="preserve">PHOs would be selected through a transparent competitive tender process and contracted to the Department of Health with explicit obligations and performance expectations, consistent with the vision and design principles outlined above and guided by national priorities.  Medicare Locals and other interested parties would be welcome to make a submission to operate a PHO.  </w:t>
      </w:r>
    </w:p>
    <w:p w:rsidR="000A3A41" w:rsidRPr="001025EA" w:rsidRDefault="000A3A41" w:rsidP="00CD601B">
      <w:pPr>
        <w:pStyle w:val="EYBodytextwithparaspace"/>
      </w:pPr>
      <w:r w:rsidRPr="001025EA">
        <w:t xml:space="preserve">Individual PHOs would be responsible for determining appropriate </w:t>
      </w:r>
      <w:proofErr w:type="spellStart"/>
      <w:r w:rsidRPr="001025EA">
        <w:t>organisational</w:t>
      </w:r>
      <w:proofErr w:type="spellEnd"/>
      <w:r w:rsidRPr="001025EA">
        <w:t xml:space="preserve"> and operating structures consistent with the above design principles, but </w:t>
      </w:r>
      <w:r w:rsidR="00394064">
        <w:t>tailored</w:t>
      </w:r>
      <w:r w:rsidRPr="001025EA">
        <w:t xml:space="preserve"> to regional circumstances.  At the local level</w:t>
      </w:r>
      <w:r w:rsidR="003D2382" w:rsidRPr="001025EA">
        <w:t>,</w:t>
      </w:r>
      <w:r w:rsidRPr="001025EA">
        <w:t xml:space="preserve"> </w:t>
      </w:r>
      <w:r w:rsidR="00556657" w:rsidRPr="001025EA">
        <w:t>Clinical Councils</w:t>
      </w:r>
      <w:r w:rsidRPr="001025EA">
        <w:t xml:space="preserve"> and Community Advisory Committees would be responsible </w:t>
      </w:r>
      <w:r w:rsidR="00394064">
        <w:t xml:space="preserve">for </w:t>
      </w:r>
      <w:r w:rsidRPr="001025EA">
        <w:t xml:space="preserve">ensuring the PHO is accountable </w:t>
      </w:r>
      <w:r w:rsidR="008350FF">
        <w:t>and relevant.  T</w:t>
      </w:r>
      <w:r w:rsidR="003D2382" w:rsidRPr="001025EA">
        <w:t xml:space="preserve">hey will work to identify local health </w:t>
      </w:r>
      <w:r w:rsidR="00B33CDB">
        <w:t xml:space="preserve">care </w:t>
      </w:r>
      <w:r w:rsidR="003D2382" w:rsidRPr="001025EA">
        <w:t xml:space="preserve">needs and gaps in services and implement local pathways and innovative solutions to improve health outcomes. </w:t>
      </w:r>
      <w:r w:rsidRPr="001025EA">
        <w:t xml:space="preserve"> In addition, PHOs could use out-posted staff or engage third parties (through competitive tender) to act on behalf</w:t>
      </w:r>
      <w:r w:rsidR="0001662B">
        <w:t xml:space="preserve"> of</w:t>
      </w:r>
      <w:r w:rsidRPr="001025EA">
        <w:t>, and be accountable to, the PHO and support the needs of Councils and Committees.  Where feasible these arms of the PHO should be co-located within existing services (such as LHNs) to facilitate integration on the ground.</w:t>
      </w:r>
    </w:p>
    <w:p w:rsidR="000A3A41" w:rsidRPr="001025EA" w:rsidRDefault="00DF7071" w:rsidP="00985A77">
      <w:pPr>
        <w:pStyle w:val="EYBodytextwithparaspace"/>
        <w:numPr>
          <w:ilvl w:val="0"/>
          <w:numId w:val="0"/>
        </w:numPr>
        <w:spacing w:before="240"/>
      </w:pPr>
      <w:r w:rsidRPr="001025EA">
        <w:t>The scale of PHOs would be such that they would have significant leverage and influence within their region and more broadly within their jurisdiction</w:t>
      </w:r>
      <w:r w:rsidR="000A3A41" w:rsidRPr="001025EA">
        <w:t xml:space="preserve"> to foster more equitable engagements with LHNs.  In turn this scale is designed to improve administrative efficiency by consolidating all corporate, financial and administrative functions.  These efficiencies will free up a higher proportion of funding for frontline services.</w:t>
      </w:r>
    </w:p>
    <w:p w:rsidR="00DF7071" w:rsidRPr="001025EA" w:rsidRDefault="00DF7071" w:rsidP="00985A77">
      <w:pPr>
        <w:pStyle w:val="EYBodytextwithparaspace"/>
        <w:numPr>
          <w:ilvl w:val="0"/>
          <w:numId w:val="0"/>
        </w:numPr>
        <w:spacing w:before="240"/>
      </w:pPr>
      <w:r w:rsidRPr="001025EA">
        <w:t xml:space="preserve">The exact number of PHOs should be decided following discussions with state and territory governments, to ensure effective alignment with LHNs and other service sectors, and careful consideration of jurisdictional regional variations.  It would be expected that </w:t>
      </w:r>
      <w:r w:rsidR="001C1915" w:rsidRPr="001025EA">
        <w:t>most</w:t>
      </w:r>
      <w:r w:rsidRPr="001025EA">
        <w:t xml:space="preserve"> states would </w:t>
      </w:r>
      <w:r w:rsidR="001C1915" w:rsidRPr="001025EA">
        <w:t xml:space="preserve">have </w:t>
      </w:r>
      <w:r w:rsidRPr="001025EA">
        <w:t>at least one metropolitan and one rural PHO</w:t>
      </w:r>
      <w:r w:rsidR="00890976" w:rsidRPr="001025EA">
        <w:t xml:space="preserve">, </w:t>
      </w:r>
      <w:r w:rsidR="001C1915" w:rsidRPr="001025EA">
        <w:t xml:space="preserve">with </w:t>
      </w:r>
      <w:r w:rsidR="003D2382" w:rsidRPr="001025EA">
        <w:t xml:space="preserve">the potential for </w:t>
      </w:r>
      <w:r w:rsidR="001C1915" w:rsidRPr="001025EA">
        <w:t>single PHO</w:t>
      </w:r>
      <w:r w:rsidR="003D2382" w:rsidRPr="001025EA">
        <w:t>’s</w:t>
      </w:r>
      <w:r w:rsidR="001C1915" w:rsidRPr="001025EA">
        <w:t xml:space="preserve"> in Tasmania, </w:t>
      </w:r>
      <w:r w:rsidRPr="001025EA">
        <w:t xml:space="preserve">the ACT and Northern Territory.  The end result </w:t>
      </w:r>
      <w:r w:rsidR="003D2382" w:rsidRPr="001025EA">
        <w:t xml:space="preserve">is that there </w:t>
      </w:r>
      <w:r w:rsidRPr="001025EA">
        <w:t xml:space="preserve">would be far fewer PHOs compared to the current network of 61 Medicare Locals. </w:t>
      </w:r>
    </w:p>
    <w:p w:rsidR="00307FA0" w:rsidRPr="001025EA" w:rsidRDefault="00890976" w:rsidP="00985A77">
      <w:pPr>
        <w:pStyle w:val="EYBodytextwithparaspace"/>
        <w:numPr>
          <w:ilvl w:val="0"/>
          <w:numId w:val="3"/>
        </w:numPr>
        <w:spacing w:after="60"/>
      </w:pPr>
      <w:r w:rsidRPr="001025EA">
        <w:t xml:space="preserve">PHOs would </w:t>
      </w:r>
      <w:r w:rsidR="00867627" w:rsidRPr="001025EA">
        <w:t>deliver:</w:t>
      </w:r>
    </w:p>
    <w:p w:rsidR="00867627" w:rsidRPr="001025EA" w:rsidRDefault="007B7C2B" w:rsidP="00647297">
      <w:pPr>
        <w:pStyle w:val="ListParagraph"/>
        <w:numPr>
          <w:ilvl w:val="0"/>
          <w:numId w:val="6"/>
        </w:numPr>
        <w:spacing w:before="60" w:after="60"/>
        <w:ind w:left="777" w:hanging="357"/>
        <w:contextualSpacing w:val="0"/>
      </w:pPr>
      <w:r w:rsidRPr="001025EA">
        <w:t>g</w:t>
      </w:r>
      <w:r w:rsidR="00867627" w:rsidRPr="001025EA">
        <w:t xml:space="preserve">reater </w:t>
      </w:r>
      <w:r w:rsidR="009F476E" w:rsidRPr="001025EA">
        <w:t xml:space="preserve">local </w:t>
      </w:r>
      <w:r w:rsidR="00867627" w:rsidRPr="001025EA">
        <w:t xml:space="preserve">GP involvement through </w:t>
      </w:r>
      <w:r w:rsidR="00556657" w:rsidRPr="001025EA">
        <w:t>Clinical Councils</w:t>
      </w:r>
      <w:r w:rsidR="00867627" w:rsidRPr="001025EA">
        <w:t xml:space="preserve"> – increasing </w:t>
      </w:r>
      <w:r w:rsidR="00162C8D">
        <w:t xml:space="preserve">the </w:t>
      </w:r>
      <w:r w:rsidR="00867627" w:rsidRPr="001025EA">
        <w:t>recognition of the central role of general practice as the cornerstone of</w:t>
      </w:r>
      <w:r w:rsidR="00904822" w:rsidRPr="001025EA">
        <w:t xml:space="preserve"> integrated</w:t>
      </w:r>
      <w:r w:rsidR="00867627" w:rsidRPr="001025EA">
        <w:t xml:space="preserve"> primary health care</w:t>
      </w:r>
      <w:r w:rsidRPr="001025EA">
        <w:t xml:space="preserve">; </w:t>
      </w:r>
    </w:p>
    <w:p w:rsidR="00867627" w:rsidRPr="001025EA" w:rsidRDefault="007B7C2B" w:rsidP="00647297">
      <w:pPr>
        <w:pStyle w:val="ListParagraph"/>
        <w:numPr>
          <w:ilvl w:val="0"/>
          <w:numId w:val="6"/>
        </w:numPr>
        <w:spacing w:before="60" w:after="60"/>
        <w:ind w:left="777" w:hanging="357"/>
        <w:contextualSpacing w:val="0"/>
      </w:pPr>
      <w:r w:rsidRPr="001025EA">
        <w:t>i</w:t>
      </w:r>
      <w:r w:rsidR="00867627" w:rsidRPr="001025EA">
        <w:t>ncreased capacity to strengthen relationships and work collaboratively with jurisdictions and LHNs</w:t>
      </w:r>
      <w:r w:rsidR="001C5631" w:rsidRPr="001025EA">
        <w:t xml:space="preserve"> to develop patient care pathways and address gaps in service delivery</w:t>
      </w:r>
      <w:r w:rsidRPr="001025EA">
        <w:t>;</w:t>
      </w:r>
    </w:p>
    <w:p w:rsidR="00162C8D" w:rsidRDefault="007B7C2B" w:rsidP="009D6E87">
      <w:pPr>
        <w:pStyle w:val="ListParagraph"/>
        <w:numPr>
          <w:ilvl w:val="0"/>
          <w:numId w:val="6"/>
        </w:numPr>
        <w:spacing w:before="60" w:after="60"/>
        <w:ind w:left="777" w:hanging="357"/>
        <w:contextualSpacing w:val="0"/>
      </w:pPr>
      <w:r w:rsidRPr="001025EA">
        <w:t>e</w:t>
      </w:r>
      <w:r w:rsidR="009F476E" w:rsidRPr="001025EA">
        <w:t xml:space="preserve">ffective local </w:t>
      </w:r>
      <w:r w:rsidR="00867627" w:rsidRPr="001025EA">
        <w:t xml:space="preserve">engagement and accountability through Community Advisory </w:t>
      </w:r>
      <w:r w:rsidRPr="001C1668">
        <w:t>Committees</w:t>
      </w:r>
      <w:r w:rsidR="009D6E87" w:rsidRPr="001C1668">
        <w:t xml:space="preserve"> </w:t>
      </w:r>
      <w:r w:rsidRPr="001C1668">
        <w:t>and</w:t>
      </w:r>
      <w:r w:rsidR="009D6E87" w:rsidRPr="001C1668">
        <w:t xml:space="preserve"> </w:t>
      </w:r>
      <w:r w:rsidRPr="001C1668">
        <w:t>i</w:t>
      </w:r>
      <w:r w:rsidR="00867627" w:rsidRPr="001C1668">
        <w:t xml:space="preserve">ncreased </w:t>
      </w:r>
      <w:r w:rsidRPr="001C1668">
        <w:t xml:space="preserve">engagement and </w:t>
      </w:r>
      <w:r w:rsidR="00867627" w:rsidRPr="001C1668">
        <w:t xml:space="preserve">opportunities for </w:t>
      </w:r>
      <w:r w:rsidRPr="001C1668">
        <w:t xml:space="preserve">the </w:t>
      </w:r>
      <w:r w:rsidR="00867627" w:rsidRPr="001C1668">
        <w:t>private sector</w:t>
      </w:r>
      <w:r w:rsidR="009D6E87" w:rsidRPr="001C1668">
        <w:t xml:space="preserve">, corporate general practice, across the entire aged care sector, the </w:t>
      </w:r>
      <w:r w:rsidR="0003506C">
        <w:t>I</w:t>
      </w:r>
      <w:r w:rsidR="009D6E87" w:rsidRPr="001C1668">
        <w:t>ndigenous community and NGOs;</w:t>
      </w:r>
    </w:p>
    <w:p w:rsidR="009D6E87" w:rsidRPr="001025EA" w:rsidRDefault="009D6E87" w:rsidP="009D6E87">
      <w:pPr>
        <w:pStyle w:val="ListParagraph"/>
        <w:numPr>
          <w:ilvl w:val="0"/>
          <w:numId w:val="6"/>
        </w:numPr>
        <w:spacing w:before="60" w:after="60"/>
        <w:ind w:left="777" w:hanging="357"/>
        <w:contextualSpacing w:val="0"/>
      </w:pPr>
      <w:r w:rsidRPr="001025EA">
        <w:t xml:space="preserve">stronger, more focused organisations that can attract highly skilled corporate and operational staff including financial </w:t>
      </w:r>
      <w:r>
        <w:t xml:space="preserve">and </w:t>
      </w:r>
      <w:r w:rsidRPr="001025EA">
        <w:t>management skills;</w:t>
      </w:r>
      <w:r>
        <w:t xml:space="preserve"> and</w:t>
      </w:r>
    </w:p>
    <w:p w:rsidR="00624EA9" w:rsidRDefault="00162C8D" w:rsidP="000E61B4">
      <w:pPr>
        <w:pStyle w:val="ListParagraph"/>
        <w:numPr>
          <w:ilvl w:val="0"/>
          <w:numId w:val="6"/>
        </w:numPr>
        <w:spacing w:before="60" w:after="240"/>
        <w:ind w:left="777" w:hanging="357"/>
        <w:contextualSpacing w:val="0"/>
      </w:pPr>
      <w:proofErr w:type="gramStart"/>
      <w:r w:rsidRPr="001025EA">
        <w:t>administrative</w:t>
      </w:r>
      <w:proofErr w:type="gramEnd"/>
      <w:r w:rsidRPr="001025EA">
        <w:t xml:space="preserve"> efficiencies meaning more funding goes to frontline services</w:t>
      </w:r>
      <w:r w:rsidR="002F759C">
        <w:t>.</w:t>
      </w:r>
    </w:p>
    <w:p w:rsidR="005742B1" w:rsidRPr="001025EA" w:rsidRDefault="005742B1" w:rsidP="00C40B0C">
      <w:pPr>
        <w:pStyle w:val="ListParagraph"/>
        <w:pBdr>
          <w:top w:val="single" w:sz="4" w:space="1" w:color="auto"/>
          <w:left w:val="single" w:sz="4" w:space="4" w:color="auto"/>
          <w:bottom w:val="single" w:sz="4" w:space="1" w:color="auto"/>
          <w:right w:val="single" w:sz="4" w:space="4" w:color="auto"/>
        </w:pBdr>
        <w:shd w:val="clear" w:color="auto" w:fill="FFFFFF" w:themeFill="background1"/>
        <w:spacing w:before="120"/>
        <w:ind w:left="0"/>
        <w:contextualSpacing w:val="0"/>
        <w:rPr>
          <w:b/>
          <w:i/>
        </w:rPr>
      </w:pPr>
      <w:r>
        <w:rPr>
          <w:b/>
          <w:i/>
        </w:rPr>
        <w:t>Recommendation 7</w:t>
      </w:r>
    </w:p>
    <w:p w:rsidR="005742B1" w:rsidRPr="001025EA" w:rsidRDefault="005742B1" w:rsidP="00C40B0C">
      <w:pPr>
        <w:pBdr>
          <w:top w:val="single" w:sz="4" w:space="1" w:color="auto"/>
          <w:left w:val="single" w:sz="4" w:space="4" w:color="auto"/>
          <w:bottom w:val="single" w:sz="4" w:space="1" w:color="auto"/>
          <w:right w:val="single" w:sz="4" w:space="4" w:color="auto"/>
        </w:pBdr>
        <w:shd w:val="clear" w:color="auto" w:fill="FFFFFF" w:themeFill="background1"/>
        <w:spacing w:before="60" w:after="240"/>
      </w:pPr>
      <w:r w:rsidRPr="0051630A">
        <w:t>The government should</w:t>
      </w:r>
      <w:r>
        <w:t xml:space="preserve"> establish a </w:t>
      </w:r>
      <w:r w:rsidRPr="001025EA">
        <w:t xml:space="preserve">limited number of high performing Regional PHOs </w:t>
      </w:r>
      <w:r>
        <w:t>whose operational units, comprising pairs of Clinical Councils and Community Advisory Committees,</w:t>
      </w:r>
      <w:r w:rsidRPr="001025EA">
        <w:t xml:space="preserve"> are aligned t</w:t>
      </w:r>
      <w:r>
        <w:t xml:space="preserve">o LHNs.  </w:t>
      </w:r>
      <w:r w:rsidRPr="001025EA">
        <w:rPr>
          <w:lang w:val="en-US"/>
        </w:rPr>
        <w:t xml:space="preserve">These </w:t>
      </w:r>
      <w:proofErr w:type="spellStart"/>
      <w:r w:rsidRPr="001025EA">
        <w:rPr>
          <w:lang w:val="en-US"/>
        </w:rPr>
        <w:t>organisati</w:t>
      </w:r>
      <w:r w:rsidRPr="00E05088">
        <w:rPr>
          <w:lang w:val="en-US"/>
        </w:rPr>
        <w:t>ons</w:t>
      </w:r>
      <w:proofErr w:type="spellEnd"/>
      <w:r w:rsidRPr="00E05088">
        <w:rPr>
          <w:lang w:val="en-US"/>
        </w:rPr>
        <w:t xml:space="preserve"> would replace and enhance the role of Medicare Locals.</w:t>
      </w:r>
    </w:p>
    <w:p w:rsidR="002F14DF" w:rsidRPr="001025EA" w:rsidRDefault="00C44DA9" w:rsidP="002F14DF">
      <w:pPr>
        <w:pStyle w:val="Heading2"/>
        <w:rPr>
          <w:lang w:val="en-US"/>
        </w:rPr>
      </w:pPr>
      <w:bookmarkStart w:id="37" w:name="_Toc380667449"/>
      <w:bookmarkStart w:id="38" w:name="_Toc387644747"/>
      <w:bookmarkEnd w:id="37"/>
      <w:r w:rsidRPr="001025EA">
        <w:rPr>
          <w:lang w:val="en-US"/>
        </w:rPr>
        <w:t xml:space="preserve">Funding </w:t>
      </w:r>
      <w:r w:rsidR="000C7CD2" w:rsidRPr="001025EA">
        <w:rPr>
          <w:lang w:val="en-US"/>
        </w:rPr>
        <w:t>and purchasing role</w:t>
      </w:r>
      <w:bookmarkEnd w:id="38"/>
    </w:p>
    <w:p w:rsidR="004F1CCF" w:rsidRPr="001025EA" w:rsidRDefault="000C7CD2" w:rsidP="00380B9B">
      <w:pPr>
        <w:pStyle w:val="EYBodytextwithparaspace"/>
      </w:pPr>
      <w:r w:rsidRPr="001025EA">
        <w:t xml:space="preserve">To </w:t>
      </w:r>
      <w:r w:rsidRPr="001025EA">
        <w:rPr>
          <w:lang w:val="en-AU"/>
        </w:rPr>
        <w:t>maximise</w:t>
      </w:r>
      <w:r w:rsidRPr="001025EA">
        <w:t xml:space="preserve"> the return on investment in PHOs, </w:t>
      </w:r>
      <w:r w:rsidR="0027014A" w:rsidRPr="001025EA">
        <w:t xml:space="preserve">it may be </w:t>
      </w:r>
      <w:r w:rsidR="003D2382" w:rsidRPr="001025EA">
        <w:t>possible</w:t>
      </w:r>
      <w:r w:rsidR="0027014A" w:rsidRPr="001025EA">
        <w:t xml:space="preserve"> </w:t>
      </w:r>
      <w:r w:rsidR="003D2382" w:rsidRPr="001025EA">
        <w:t>f</w:t>
      </w:r>
      <w:r w:rsidR="0027014A" w:rsidRPr="001025EA">
        <w:t xml:space="preserve">or the </w:t>
      </w:r>
      <w:r w:rsidRPr="001025EA">
        <w:t>Commonwealth</w:t>
      </w:r>
      <w:r w:rsidR="0027014A" w:rsidRPr="001025EA">
        <w:t xml:space="preserve"> to </w:t>
      </w:r>
      <w:r w:rsidR="003D2382" w:rsidRPr="001025EA">
        <w:t xml:space="preserve">provide </w:t>
      </w:r>
      <w:r w:rsidRPr="001025EA">
        <w:t xml:space="preserve">PHOs </w:t>
      </w:r>
      <w:r w:rsidR="003D2382" w:rsidRPr="001025EA">
        <w:t xml:space="preserve">with increased </w:t>
      </w:r>
      <w:r w:rsidRPr="001025EA">
        <w:t xml:space="preserve">flexible and </w:t>
      </w:r>
      <w:proofErr w:type="spellStart"/>
      <w:r w:rsidRPr="001025EA">
        <w:t>program</w:t>
      </w:r>
      <w:r w:rsidR="00755913">
        <w:t>me</w:t>
      </w:r>
      <w:proofErr w:type="spellEnd"/>
      <w:r w:rsidRPr="001025EA">
        <w:t xml:space="preserve"> funding.  Opportunities exist to </w:t>
      </w:r>
      <w:r w:rsidR="001339C6">
        <w:t>devolve</w:t>
      </w:r>
      <w:r w:rsidRPr="001025EA">
        <w:t xml:space="preserve"> further responsibilities from the Department of Health or other agencies to PHOs.  The advantage of this approach is two-fold, first additional funding through PHOs will increase their </w:t>
      </w:r>
      <w:r w:rsidR="004F1CCF" w:rsidRPr="001025EA">
        <w:t xml:space="preserve">authority and </w:t>
      </w:r>
      <w:r w:rsidRPr="001025EA">
        <w:t>leverage to effectively engage with the primary health care sector, LHNs and jurisdiction</w:t>
      </w:r>
      <w:r w:rsidR="004F1CCF" w:rsidRPr="001025EA">
        <w:t>al governments</w:t>
      </w:r>
      <w:r w:rsidRPr="001025EA">
        <w:t>; and second, local decision</w:t>
      </w:r>
      <w:r w:rsidR="004F1CCF" w:rsidRPr="001025EA">
        <w:t>-</w:t>
      </w:r>
      <w:r w:rsidRPr="001025EA">
        <w:t xml:space="preserve">making is likely to deliver greater benefits to patients and </w:t>
      </w:r>
      <w:r w:rsidR="004B0B16" w:rsidRPr="001025EA">
        <w:t xml:space="preserve">a higher </w:t>
      </w:r>
      <w:r w:rsidRPr="001025EA">
        <w:t xml:space="preserve">return on </w:t>
      </w:r>
      <w:r w:rsidR="004F1CCF" w:rsidRPr="001025EA">
        <w:t xml:space="preserve">Commonwealth </w:t>
      </w:r>
      <w:r w:rsidRPr="001025EA">
        <w:t xml:space="preserve">investment.  </w:t>
      </w:r>
    </w:p>
    <w:p w:rsidR="00380B9B" w:rsidRPr="001025EA" w:rsidRDefault="0016583D" w:rsidP="00380B9B">
      <w:pPr>
        <w:pStyle w:val="EYBodytextwithparaspace"/>
      </w:pPr>
      <w:r w:rsidRPr="001025EA">
        <w:t xml:space="preserve">It is </w:t>
      </w:r>
      <w:r w:rsidR="00E41370" w:rsidRPr="001025EA">
        <w:t xml:space="preserve">important </w:t>
      </w:r>
      <w:r w:rsidRPr="001025EA">
        <w:t xml:space="preserve">that lessons from the activities of Medicare Locals inform </w:t>
      </w:r>
      <w:r w:rsidR="001339C6">
        <w:t xml:space="preserve">the establishment of </w:t>
      </w:r>
      <w:r w:rsidRPr="001025EA">
        <w:t>PHOs, to this end I believe that the Government should review the Medicare Local</w:t>
      </w:r>
      <w:r w:rsidR="000A47BD" w:rsidRPr="001025EA">
        <w:t>s</w:t>
      </w:r>
      <w:r w:rsidR="001339C6">
        <w:t>’</w:t>
      </w:r>
      <w:r w:rsidRPr="001025EA">
        <w:t xml:space="preserve"> after hours </w:t>
      </w:r>
      <w:proofErr w:type="spellStart"/>
      <w:r w:rsidRPr="001025EA">
        <w:t>programme</w:t>
      </w:r>
      <w:proofErr w:type="spellEnd"/>
      <w:r w:rsidRPr="001025EA">
        <w:t xml:space="preserve"> to</w:t>
      </w:r>
      <w:r w:rsidR="007D61A6">
        <w:t xml:space="preserve"> assess the appropriateness and effectiveness of the current delivery strategy.</w:t>
      </w:r>
      <w:r w:rsidR="004F1CCF" w:rsidRPr="001025EA">
        <w:t xml:space="preserve">  Medicare Locals were tasked to</w:t>
      </w:r>
      <w:r w:rsidR="00B54287" w:rsidRPr="001025EA">
        <w:t>o</w:t>
      </w:r>
      <w:r w:rsidR="004F1CCF" w:rsidRPr="001025EA">
        <w:t xml:space="preserve"> early with </w:t>
      </w:r>
      <w:r w:rsidR="0017351B">
        <w:t>this</w:t>
      </w:r>
      <w:r w:rsidR="004F1CCF" w:rsidRPr="001025EA">
        <w:t xml:space="preserve"> sensitive</w:t>
      </w:r>
      <w:r w:rsidR="0017351B">
        <w:t xml:space="preserve"> </w:t>
      </w:r>
      <w:proofErr w:type="spellStart"/>
      <w:r w:rsidR="0017351B">
        <w:t>programme</w:t>
      </w:r>
      <w:proofErr w:type="spellEnd"/>
      <w:r w:rsidR="004F1CCF" w:rsidRPr="001025EA">
        <w:t xml:space="preserve"> reform</w:t>
      </w:r>
      <w:r w:rsidR="000A47BD" w:rsidRPr="001025EA">
        <w:t xml:space="preserve">, </w:t>
      </w:r>
      <w:r w:rsidR="0017351B">
        <w:t>and it</w:t>
      </w:r>
      <w:r w:rsidR="0017351B" w:rsidRPr="001025EA">
        <w:t xml:space="preserve"> </w:t>
      </w:r>
      <w:r w:rsidR="000A47BD" w:rsidRPr="001025EA">
        <w:t xml:space="preserve">resulted in </w:t>
      </w:r>
      <w:r w:rsidR="004F1CCF" w:rsidRPr="001025EA">
        <w:t xml:space="preserve">many of them </w:t>
      </w:r>
      <w:r w:rsidR="000A47BD" w:rsidRPr="001025EA">
        <w:t xml:space="preserve">having to </w:t>
      </w:r>
      <w:r w:rsidR="004F1CCF" w:rsidRPr="001025EA">
        <w:t xml:space="preserve">learn their purchasing/commissioning skills </w:t>
      </w:r>
      <w:r w:rsidR="001339C6">
        <w:t xml:space="preserve">by </w:t>
      </w:r>
      <w:r w:rsidR="0017351B">
        <w:t xml:space="preserve">experimenting </w:t>
      </w:r>
      <w:r w:rsidR="004F1CCF" w:rsidRPr="001025EA">
        <w:t>on after hours</w:t>
      </w:r>
      <w:r w:rsidR="001339C6">
        <w:t xml:space="preserve"> GP services</w:t>
      </w:r>
      <w:r w:rsidR="004F1CCF" w:rsidRPr="001025EA">
        <w:t xml:space="preserve">. </w:t>
      </w:r>
    </w:p>
    <w:p w:rsidR="00641BAE" w:rsidRDefault="00641BAE" w:rsidP="009E2AB5">
      <w:pPr>
        <w:pStyle w:val="EYBodytextwithparaspace"/>
      </w:pPr>
      <w:r w:rsidRPr="001025EA">
        <w:t xml:space="preserve">The </w:t>
      </w:r>
      <w:r w:rsidR="000C7CD2" w:rsidRPr="001025EA">
        <w:t xml:space="preserve">purchasing </w:t>
      </w:r>
      <w:r w:rsidRPr="001025EA">
        <w:t xml:space="preserve">role of </w:t>
      </w:r>
      <w:r w:rsidR="000C7CD2" w:rsidRPr="001025EA">
        <w:t xml:space="preserve">PHOs will be greatly aided by deregulating the contracting platform </w:t>
      </w:r>
      <w:r w:rsidR="004F1CCF" w:rsidRPr="001025EA">
        <w:t xml:space="preserve">across </w:t>
      </w:r>
      <w:r w:rsidR="000C7CD2" w:rsidRPr="001025EA">
        <w:t xml:space="preserve">the Commonwealth.  There is scope to learn from the complex contractual effort deployed for Medicare Locals where </w:t>
      </w:r>
      <w:proofErr w:type="spellStart"/>
      <w:r w:rsidR="000C7CD2" w:rsidRPr="001025EA">
        <w:t>programmes</w:t>
      </w:r>
      <w:proofErr w:type="spellEnd"/>
      <w:r w:rsidR="000C7CD2" w:rsidRPr="001025EA">
        <w:t xml:space="preserve"> were increasingly devolved, each with a unique set of reporting and administrative requirements.  This complexity has </w:t>
      </w:r>
      <w:r w:rsidR="0017351B">
        <w:t xml:space="preserve">had </w:t>
      </w:r>
      <w:r w:rsidR="000C7CD2" w:rsidRPr="001025EA">
        <w:t>an</w:t>
      </w:r>
      <w:r w:rsidR="004F1CCF" w:rsidRPr="001025EA">
        <w:t xml:space="preserve"> administrative</w:t>
      </w:r>
      <w:r w:rsidR="000C7CD2" w:rsidRPr="001025EA">
        <w:t xml:space="preserve"> impact on the amount of resources available for frontline services.  The Department</w:t>
      </w:r>
      <w:r w:rsidR="00DD2C1B">
        <w:t xml:space="preserve"> of Health</w:t>
      </w:r>
      <w:r w:rsidR="000C7CD2" w:rsidRPr="001025EA">
        <w:t>’s grants management reforms has the potential to make doing business easier</w:t>
      </w:r>
      <w:r w:rsidR="00E41370" w:rsidRPr="001025EA">
        <w:t xml:space="preserve">.  </w:t>
      </w:r>
      <w:r w:rsidR="000C7CD2" w:rsidRPr="001025EA">
        <w:t xml:space="preserve">Within this context, I believe that there </w:t>
      </w:r>
      <w:r w:rsidR="00E41370" w:rsidRPr="001025EA">
        <w:t xml:space="preserve">may </w:t>
      </w:r>
      <w:r w:rsidR="00DD2C1B">
        <w:t xml:space="preserve">be </w:t>
      </w:r>
      <w:r w:rsidR="000C7CD2" w:rsidRPr="001025EA">
        <w:t xml:space="preserve">merit in further transitioning </w:t>
      </w:r>
      <w:proofErr w:type="spellStart"/>
      <w:r w:rsidR="000C7CD2" w:rsidRPr="001025EA">
        <w:t>program</w:t>
      </w:r>
      <w:r w:rsidR="00755913">
        <w:t>me</w:t>
      </w:r>
      <w:proofErr w:type="spellEnd"/>
      <w:r w:rsidR="000C7CD2" w:rsidRPr="001025EA">
        <w:t xml:space="preserve"> funding to flexible funding that requires PHOs to deliver on key performance indicators.  This would make PHOs truly responsible for local needs, allow regionalism to flourish and reduce administration drain on both sides of the contractual agreement</w:t>
      </w:r>
      <w:r w:rsidR="009D6E87">
        <w:t>.</w:t>
      </w:r>
    </w:p>
    <w:p w:rsidR="009D6E87" w:rsidRPr="00A8646D" w:rsidRDefault="009D6E87" w:rsidP="009D6E87">
      <w:pPr>
        <w:pStyle w:val="EYBodytextwithparaspace"/>
        <w:numPr>
          <w:ilvl w:val="0"/>
          <w:numId w:val="3"/>
        </w:numPr>
      </w:pPr>
      <w:r w:rsidRPr="00A8646D">
        <w:t>PHOs, once they are fully established, would be well placed to facilitate and/or administer a range of Commonwealth funded programs, working with LHNs and other local entities to link up the system.  Teaching in such an environment would enable future practitioners to work most effectively in this future paradigm.</w:t>
      </w:r>
    </w:p>
    <w:p w:rsidR="00641BAE" w:rsidRDefault="00E41370" w:rsidP="009E2AB5">
      <w:pPr>
        <w:pStyle w:val="EYBodytextwithparaspace"/>
      </w:pPr>
      <w:r w:rsidRPr="00A8646D">
        <w:t xml:space="preserve">There is </w:t>
      </w:r>
      <w:r w:rsidR="000C7CD2" w:rsidRPr="00A8646D">
        <w:t xml:space="preserve">no need for PHOs to directly deliver services, except where there </w:t>
      </w:r>
      <w:r w:rsidR="00A8646D">
        <w:t xml:space="preserve">is demonstrable </w:t>
      </w:r>
      <w:r w:rsidR="00A8646D" w:rsidRPr="001025EA">
        <w:t xml:space="preserve">market </w:t>
      </w:r>
      <w:r w:rsidR="00A8646D" w:rsidRPr="00A8646D">
        <w:t xml:space="preserve">failure, </w:t>
      </w:r>
      <w:r w:rsidR="009D6E87" w:rsidRPr="00A8646D">
        <w:t xml:space="preserve">significant economies of scale, </w:t>
      </w:r>
      <w:r w:rsidR="00A8646D" w:rsidRPr="00A8646D">
        <w:t xml:space="preserve">or </w:t>
      </w:r>
      <w:r w:rsidR="009D6E87" w:rsidRPr="00A8646D">
        <w:t>absence of services</w:t>
      </w:r>
      <w:r w:rsidR="000C7CD2" w:rsidRPr="00A8646D">
        <w:t>.  The exact parameters for this definition would need to be worked out</w:t>
      </w:r>
      <w:r w:rsidR="004F1CCF" w:rsidRPr="00A8646D">
        <w:t xml:space="preserve">.  PHOs should be providers of last </w:t>
      </w:r>
      <w:r w:rsidR="004F1CCF" w:rsidRPr="001025EA">
        <w:t>resort and their decision to directly provide services should require the approval of the Department</w:t>
      </w:r>
      <w:r w:rsidR="007813C1">
        <w:t xml:space="preserve"> of Health</w:t>
      </w:r>
      <w:r w:rsidR="009E2AB5" w:rsidRPr="001025EA">
        <w:t xml:space="preserve">. </w:t>
      </w:r>
    </w:p>
    <w:p w:rsidR="005742B1" w:rsidRPr="001025EA" w:rsidRDefault="005742B1" w:rsidP="00C40B0C">
      <w:pPr>
        <w:pStyle w:val="ListParagraph"/>
        <w:keepNext/>
        <w:keepLines/>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before="120"/>
        <w:contextualSpacing w:val="0"/>
        <w:rPr>
          <w:b/>
          <w:i/>
        </w:rPr>
      </w:pPr>
      <w:r w:rsidRPr="001025EA">
        <w:rPr>
          <w:b/>
          <w:i/>
        </w:rPr>
        <w:t xml:space="preserve">Recommendation </w:t>
      </w:r>
      <w:r>
        <w:rPr>
          <w:b/>
          <w:i/>
        </w:rPr>
        <w:t>8</w:t>
      </w:r>
    </w:p>
    <w:p w:rsidR="005742B1" w:rsidRDefault="005742B1" w:rsidP="00C40B0C">
      <w:pPr>
        <w:pBdr>
          <w:top w:val="single" w:sz="4" w:space="1" w:color="auto"/>
          <w:left w:val="single" w:sz="4" w:space="4" w:color="auto"/>
          <w:bottom w:val="single" w:sz="4" w:space="1" w:color="auto"/>
          <w:right w:val="single" w:sz="4" w:space="4" w:color="auto"/>
        </w:pBdr>
        <w:shd w:val="clear" w:color="auto" w:fill="FFFFFF" w:themeFill="background1"/>
        <w:spacing w:before="60"/>
      </w:pPr>
      <w:r w:rsidRPr="001025EA">
        <w:t xml:space="preserve">Government should review the </w:t>
      </w:r>
      <w:r>
        <w:t xml:space="preserve">current </w:t>
      </w:r>
      <w:r w:rsidRPr="001025EA">
        <w:t>Medicare Locals</w:t>
      </w:r>
      <w:r>
        <w:t>’</w:t>
      </w:r>
      <w:r w:rsidRPr="001025EA">
        <w:t xml:space="preserve"> after hours program</w:t>
      </w:r>
      <w:r>
        <w:t>me to determine how it can be effectively administered</w:t>
      </w:r>
      <w:r w:rsidRPr="001025EA">
        <w:t xml:space="preserve">.  </w:t>
      </w:r>
    </w:p>
    <w:p w:rsidR="005742B1" w:rsidRPr="001025EA" w:rsidRDefault="005742B1" w:rsidP="00C40B0C">
      <w:pPr>
        <w:pBdr>
          <w:top w:val="single" w:sz="4" w:space="1" w:color="auto"/>
          <w:left w:val="single" w:sz="4" w:space="4" w:color="auto"/>
          <w:bottom w:val="single" w:sz="4" w:space="1" w:color="auto"/>
          <w:right w:val="single" w:sz="4" w:space="4" w:color="auto"/>
        </w:pBdr>
        <w:shd w:val="clear" w:color="auto" w:fill="FFFFFF" w:themeFill="background1"/>
        <w:spacing w:before="60"/>
      </w:pPr>
      <w:r>
        <w:t xml:space="preserve">The government should also consider how </w:t>
      </w:r>
      <w:r w:rsidRPr="001025EA">
        <w:t>PHOs</w:t>
      </w:r>
      <w:r>
        <w:t>, once they are fully established,</w:t>
      </w:r>
      <w:r w:rsidRPr="001025EA">
        <w:t xml:space="preserve"> </w:t>
      </w:r>
      <w:r>
        <w:t>w</w:t>
      </w:r>
      <w:r w:rsidRPr="001025EA">
        <w:t xml:space="preserve">ould </w:t>
      </w:r>
      <w:r>
        <w:t xml:space="preserve">be best able to administer a range of </w:t>
      </w:r>
      <w:r w:rsidRPr="001025EA">
        <w:t>additional Commonwealth fund</w:t>
      </w:r>
      <w:r>
        <w:t>ed</w:t>
      </w:r>
      <w:r w:rsidRPr="001025EA">
        <w:t xml:space="preserve"> program</w:t>
      </w:r>
      <w:r>
        <w:t>mes</w:t>
      </w:r>
      <w:r w:rsidRPr="001025EA">
        <w:t>.</w:t>
      </w:r>
    </w:p>
    <w:p w:rsidR="005742B1" w:rsidRPr="0051630A" w:rsidRDefault="005742B1" w:rsidP="00C40B0C">
      <w:pPr>
        <w:pStyle w:val="ListParagraph"/>
        <w:keepNext/>
        <w:keepLines/>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before="120" w:after="120"/>
        <w:contextualSpacing w:val="0"/>
        <w:rPr>
          <w:b/>
          <w:i/>
        </w:rPr>
      </w:pPr>
      <w:r w:rsidRPr="0051630A">
        <w:rPr>
          <w:b/>
          <w:i/>
        </w:rPr>
        <w:t>Recommendation 9</w:t>
      </w:r>
    </w:p>
    <w:p w:rsidR="005742B1" w:rsidRPr="001025EA" w:rsidRDefault="005742B1" w:rsidP="00C40B0C">
      <w:pPr>
        <w:pStyle w:val="EYBodytextwithparaspace"/>
        <w:pBdr>
          <w:top w:val="single" w:sz="4" w:space="1" w:color="auto"/>
          <w:left w:val="single" w:sz="4" w:space="4" w:color="auto"/>
          <w:bottom w:val="single" w:sz="4" w:space="1" w:color="auto"/>
          <w:right w:val="single" w:sz="4" w:space="4" w:color="auto"/>
        </w:pBdr>
        <w:shd w:val="clear" w:color="auto" w:fill="FFFFFF" w:themeFill="background1"/>
      </w:pPr>
      <w:r w:rsidRPr="001025EA">
        <w:t>PHOs should only provide services where there is demonstrable market failure</w:t>
      </w:r>
      <w:r>
        <w:t>, economies of scale, or absence of services</w:t>
      </w:r>
      <w:r w:rsidRPr="001025EA">
        <w:t>.</w:t>
      </w:r>
    </w:p>
    <w:p w:rsidR="00687862" w:rsidRPr="001025EA" w:rsidRDefault="00687862" w:rsidP="00687862">
      <w:pPr>
        <w:pStyle w:val="Heading2"/>
      </w:pPr>
      <w:bookmarkStart w:id="39" w:name="_Toc387644748"/>
      <w:r w:rsidRPr="001025EA">
        <w:t>Performance information and monitoring</w:t>
      </w:r>
      <w:bookmarkEnd w:id="39"/>
    </w:p>
    <w:p w:rsidR="00C71E01" w:rsidRPr="001025EA" w:rsidRDefault="00C71E01" w:rsidP="00C71E01">
      <w:pPr>
        <w:pStyle w:val="EYBodytextwithparaspace"/>
      </w:pPr>
      <w:r w:rsidRPr="001025EA">
        <w:t xml:space="preserve">To enable PHOs to perform effectively, reporting requirements and processes need to be streamlined, with a focus on measureable outcomes.  Aligning PHO </w:t>
      </w:r>
      <w:r w:rsidR="009A1B13" w:rsidRPr="001025EA">
        <w:t>p</w:t>
      </w:r>
      <w:r w:rsidRPr="001025EA">
        <w:t xml:space="preserve">erformance </w:t>
      </w:r>
      <w:r w:rsidR="009A1B13" w:rsidRPr="001025EA">
        <w:t xml:space="preserve">reporting </w:t>
      </w:r>
      <w:r w:rsidRPr="001025EA">
        <w:t xml:space="preserve">to </w:t>
      </w:r>
      <w:r w:rsidR="009A1B13" w:rsidRPr="001025EA">
        <w:t xml:space="preserve">LHN </w:t>
      </w:r>
      <w:r w:rsidRPr="001025EA">
        <w:t xml:space="preserve">outcomes </w:t>
      </w:r>
      <w:r w:rsidR="009E2AB5" w:rsidRPr="001025EA">
        <w:t xml:space="preserve">(such as avoidable </w:t>
      </w:r>
      <w:r w:rsidR="009E2AB5" w:rsidRPr="001025EA">
        <w:rPr>
          <w:lang w:val="en-AU"/>
        </w:rPr>
        <w:t>hospitalisations</w:t>
      </w:r>
      <w:r w:rsidR="009E2AB5" w:rsidRPr="001025EA">
        <w:t xml:space="preserve"> and re</w:t>
      </w:r>
      <w:r w:rsidR="00FC7D77">
        <w:t>-</w:t>
      </w:r>
      <w:r w:rsidR="009E2AB5" w:rsidRPr="001025EA">
        <w:t xml:space="preserve">admissions) </w:t>
      </w:r>
      <w:r w:rsidR="00B508A0" w:rsidRPr="001025EA">
        <w:t xml:space="preserve">and national priorities </w:t>
      </w:r>
      <w:r w:rsidRPr="001025EA">
        <w:t xml:space="preserve">will go a long way to ensure a real sense of purpose and collaboration within local health care services.  </w:t>
      </w:r>
    </w:p>
    <w:p w:rsidR="00687862" w:rsidRPr="001025EA" w:rsidRDefault="00687862" w:rsidP="00687862">
      <w:pPr>
        <w:pStyle w:val="EYBodytextwithparaspace"/>
      </w:pPr>
      <w:r w:rsidRPr="001025EA">
        <w:t xml:space="preserve">The primary health care sector </w:t>
      </w:r>
      <w:r w:rsidR="002D13A4" w:rsidRPr="001025EA">
        <w:t xml:space="preserve">does not have access to </w:t>
      </w:r>
      <w:r w:rsidRPr="001025EA">
        <w:t xml:space="preserve">significant data </w:t>
      </w:r>
      <w:r w:rsidR="00B821E4" w:rsidRPr="001025EA">
        <w:t>to inform decision-making</w:t>
      </w:r>
      <w:r w:rsidRPr="001025EA">
        <w:t>.  Most of what we know about interventions in this sector is based o</w:t>
      </w:r>
      <w:r w:rsidR="000A47BD" w:rsidRPr="001025EA">
        <w:t>n</w:t>
      </w:r>
      <w:r w:rsidRPr="001025EA">
        <w:t xml:space="preserve"> fee-for-service </w:t>
      </w:r>
      <w:r w:rsidR="0017351B">
        <w:t>data</w:t>
      </w:r>
      <w:r w:rsidR="0017351B" w:rsidRPr="001025EA">
        <w:t xml:space="preserve"> </w:t>
      </w:r>
      <w:r w:rsidRPr="001025EA">
        <w:t xml:space="preserve">via Medicare.  Little is known about </w:t>
      </w:r>
      <w:r w:rsidR="00B821E4" w:rsidRPr="001025EA">
        <w:t xml:space="preserve">the outcomes achieved, </w:t>
      </w:r>
      <w:r w:rsidR="00F002A1" w:rsidRPr="001025EA">
        <w:t xml:space="preserve">costs </w:t>
      </w:r>
      <w:r w:rsidR="009E2AB5" w:rsidRPr="001025EA">
        <w:t xml:space="preserve">and interactions </w:t>
      </w:r>
      <w:r w:rsidR="00F002A1" w:rsidRPr="001025EA">
        <w:t xml:space="preserve">at the patient </w:t>
      </w:r>
      <w:r w:rsidR="009E2AB5" w:rsidRPr="001025EA">
        <w:t xml:space="preserve">and </w:t>
      </w:r>
      <w:r w:rsidRPr="001025EA">
        <w:t xml:space="preserve">practice level, </w:t>
      </w:r>
      <w:r w:rsidR="00F002A1" w:rsidRPr="001025EA">
        <w:t xml:space="preserve">or access </w:t>
      </w:r>
      <w:r w:rsidRPr="001025EA">
        <w:t xml:space="preserve">trends.  </w:t>
      </w:r>
      <w:r w:rsidR="003B1762" w:rsidRPr="001025EA">
        <w:t>T</w:t>
      </w:r>
      <w:r w:rsidRPr="001025EA">
        <w:t>here are some great exa</w:t>
      </w:r>
      <w:r w:rsidR="00C71E01" w:rsidRPr="001025EA">
        <w:t xml:space="preserve">mples </w:t>
      </w:r>
      <w:r w:rsidRPr="001025EA">
        <w:t>of shared information or linked data, but these only occur in pockets</w:t>
      </w:r>
      <w:r w:rsidR="003B1762" w:rsidRPr="001025EA">
        <w:t xml:space="preserve"> and are </w:t>
      </w:r>
      <w:r w:rsidR="009E2AB5" w:rsidRPr="001025EA">
        <w:t xml:space="preserve">often </w:t>
      </w:r>
      <w:r w:rsidR="003B1762" w:rsidRPr="001025EA">
        <w:t xml:space="preserve">constrained by </w:t>
      </w:r>
      <w:r w:rsidR="009E2AB5" w:rsidRPr="001025EA">
        <w:t>administrative, collaborative and/or legislative factors</w:t>
      </w:r>
      <w:r w:rsidR="003B1762" w:rsidRPr="001025EA">
        <w:t xml:space="preserve">.  </w:t>
      </w:r>
      <w:r w:rsidRPr="001025EA">
        <w:t xml:space="preserve">The </w:t>
      </w:r>
      <w:proofErr w:type="spellStart"/>
      <w:r w:rsidRPr="001025EA">
        <w:t>eHealth</w:t>
      </w:r>
      <w:proofErr w:type="spellEnd"/>
      <w:r w:rsidRPr="001025EA">
        <w:t xml:space="preserve"> agenda will have the potential to harness practice information resources and improve service planning</w:t>
      </w:r>
      <w:r w:rsidR="009E2AB5" w:rsidRPr="001025EA">
        <w:t xml:space="preserve"> thereby contributing to a more robust primary health care data set.  PHOs need to be at the forefront of enabling the </w:t>
      </w:r>
      <w:proofErr w:type="spellStart"/>
      <w:r w:rsidR="009E2AB5" w:rsidRPr="001025EA">
        <w:t>eHealth</w:t>
      </w:r>
      <w:proofErr w:type="spellEnd"/>
      <w:r w:rsidR="009E2AB5" w:rsidRPr="001025EA">
        <w:t xml:space="preserve"> agenda, supporting professional adoption needs, applying clinical pathways and demonstrating the power of information for care coordination.</w:t>
      </w:r>
    </w:p>
    <w:p w:rsidR="00687862" w:rsidRDefault="00687862" w:rsidP="00687862">
      <w:pPr>
        <w:pStyle w:val="EYBodytextwithparaspace"/>
      </w:pPr>
      <w:r w:rsidRPr="001025EA">
        <w:t xml:space="preserve">Regardless, PHOs will require a </w:t>
      </w:r>
      <w:r w:rsidR="00C71E01" w:rsidRPr="001025EA">
        <w:t>repository</w:t>
      </w:r>
      <w:r w:rsidRPr="001025EA">
        <w:t xml:space="preserve"> of reliable quantitative data </w:t>
      </w:r>
      <w:r w:rsidR="00F31EFB" w:rsidRPr="001025EA">
        <w:t>to inform p</w:t>
      </w:r>
      <w:r w:rsidRPr="001025EA">
        <w:t>erformance</w:t>
      </w:r>
      <w:r w:rsidR="0017351B">
        <w:t xml:space="preserve"> </w:t>
      </w:r>
      <w:r w:rsidR="0017351B" w:rsidRPr="00707A15">
        <w:rPr>
          <w:lang w:val="en-AU"/>
        </w:rPr>
        <w:t>judgements</w:t>
      </w:r>
      <w:r w:rsidRPr="001025EA">
        <w:t>.  Th</w:t>
      </w:r>
      <w:r w:rsidR="00DD2C1B">
        <w:t>ese</w:t>
      </w:r>
      <w:r w:rsidRPr="001025EA">
        <w:t xml:space="preserve"> </w:t>
      </w:r>
      <w:r w:rsidR="00F31EFB" w:rsidRPr="001025EA">
        <w:t xml:space="preserve">data </w:t>
      </w:r>
      <w:r w:rsidRPr="001025EA">
        <w:t xml:space="preserve">would be best shared through the development of interoperable systems that can extract and exchange </w:t>
      </w:r>
      <w:r w:rsidR="0017351B">
        <w:t>output and outcome information</w:t>
      </w:r>
      <w:r w:rsidRPr="001025EA">
        <w:t xml:space="preserve">.  Such a system of exchange would reduce reporting burden and allow </w:t>
      </w:r>
      <w:r w:rsidR="00F31EFB" w:rsidRPr="001025EA">
        <w:t xml:space="preserve">for </w:t>
      </w:r>
      <w:r w:rsidRPr="001025EA">
        <w:t xml:space="preserve">more efficient and effective </w:t>
      </w:r>
      <w:r w:rsidR="0017351B">
        <w:t xml:space="preserve">performance </w:t>
      </w:r>
      <w:r w:rsidRPr="001025EA">
        <w:t>monitoring.  The establishment of Medicare Locals failed to identify preferred data systems, and unfortunately many developed or purchased systems in isolation of the network and at great cost.  There is merit in ident</w:t>
      </w:r>
      <w:r w:rsidR="00C71E01" w:rsidRPr="001025EA">
        <w:t xml:space="preserve">ifying </w:t>
      </w:r>
      <w:r w:rsidRPr="001025EA">
        <w:t xml:space="preserve">system preferences for PHOs to ensure that they can communicate </w:t>
      </w:r>
      <w:r w:rsidR="005172B3" w:rsidRPr="001025EA">
        <w:t xml:space="preserve">effectively </w:t>
      </w:r>
      <w:r w:rsidRPr="001025EA">
        <w:t xml:space="preserve">with the Department </w:t>
      </w:r>
      <w:r w:rsidR="00F31EFB" w:rsidRPr="001025EA">
        <w:t>of Health</w:t>
      </w:r>
      <w:r w:rsidR="005172B3" w:rsidRPr="001025EA">
        <w:t xml:space="preserve"> via a </w:t>
      </w:r>
      <w:proofErr w:type="spellStart"/>
      <w:r w:rsidR="005172B3" w:rsidRPr="001025EA">
        <w:t>standardi</w:t>
      </w:r>
      <w:r w:rsidR="002D13A4" w:rsidRPr="001025EA">
        <w:t>s</w:t>
      </w:r>
      <w:r w:rsidR="005172B3" w:rsidRPr="001025EA">
        <w:t>ed</w:t>
      </w:r>
      <w:proofErr w:type="spellEnd"/>
      <w:r w:rsidR="005172B3" w:rsidRPr="001025EA">
        <w:t xml:space="preserve"> exchange </w:t>
      </w:r>
      <w:r w:rsidRPr="001025EA">
        <w:t>portal.  It is important that the primary health care sector starts to contribute more robust data to better inform our understanding of the broader health system.</w:t>
      </w:r>
    </w:p>
    <w:p w:rsidR="005742B1" w:rsidRPr="001025EA" w:rsidRDefault="005742B1" w:rsidP="0043620B">
      <w:pPr>
        <w:pStyle w:val="ListParagraph"/>
        <w:keepNext/>
        <w:keepLines/>
        <w:numPr>
          <w:ilvl w:val="0"/>
          <w:numId w:val="3"/>
        </w:numPr>
        <w:pBdr>
          <w:top w:val="single" w:sz="4" w:space="1" w:color="auto"/>
          <w:left w:val="single" w:sz="4" w:space="4" w:color="auto"/>
          <w:bottom w:val="single" w:sz="4" w:space="1" w:color="auto"/>
          <w:right w:val="single" w:sz="4" w:space="4" w:color="auto"/>
        </w:pBdr>
        <w:shd w:val="clear" w:color="auto" w:fill="FFFFFF" w:themeFill="background1"/>
        <w:spacing w:before="120"/>
        <w:rPr>
          <w:b/>
          <w:i/>
        </w:rPr>
      </w:pPr>
      <w:r w:rsidRPr="001025EA">
        <w:rPr>
          <w:b/>
          <w:i/>
        </w:rPr>
        <w:t>Recommendation 1</w:t>
      </w:r>
      <w:r>
        <w:rPr>
          <w:b/>
          <w:i/>
        </w:rPr>
        <w:t>0</w:t>
      </w:r>
    </w:p>
    <w:p w:rsidR="005742B1" w:rsidRPr="001025EA" w:rsidRDefault="005742B1" w:rsidP="0043620B">
      <w:pPr>
        <w:pStyle w:val="EYBodytextwithparaspace"/>
        <w:pBdr>
          <w:top w:val="single" w:sz="4" w:space="1" w:color="auto"/>
          <w:left w:val="single" w:sz="4" w:space="4" w:color="auto"/>
          <w:bottom w:val="single" w:sz="4" w:space="1" w:color="auto"/>
          <w:right w:val="single" w:sz="4" w:space="4" w:color="auto"/>
        </w:pBdr>
        <w:shd w:val="clear" w:color="auto" w:fill="FFFFFF" w:themeFill="background1"/>
        <w:spacing w:before="60" w:after="0"/>
      </w:pPr>
      <w:r w:rsidRPr="00E47332">
        <w:t>PHO performance indicators should reflect outcomes that are aligned with national priorities and contribute to a broader primary health care data strategy</w:t>
      </w:r>
      <w:r>
        <w:t>.</w:t>
      </w:r>
    </w:p>
    <w:p w:rsidR="00E500EF" w:rsidRPr="001C1668" w:rsidRDefault="00E500EF" w:rsidP="00E500EF">
      <w:pPr>
        <w:pStyle w:val="Heading2"/>
      </w:pPr>
      <w:bookmarkStart w:id="40" w:name="_Toc387644749"/>
      <w:bookmarkStart w:id="41" w:name="_Ref379541977"/>
      <w:r w:rsidRPr="001C1668">
        <w:t>Implementation</w:t>
      </w:r>
      <w:r w:rsidR="007D2E87" w:rsidRPr="001C1668">
        <w:t xml:space="preserve"> risks and strategies to deal with these</w:t>
      </w:r>
      <w:bookmarkEnd w:id="40"/>
    </w:p>
    <w:p w:rsidR="00915158" w:rsidRPr="001025EA" w:rsidRDefault="007D2E87" w:rsidP="00CC0A80">
      <w:pPr>
        <w:pStyle w:val="EYBodytextwithparaspace"/>
        <w:numPr>
          <w:ilvl w:val="0"/>
          <w:numId w:val="0"/>
        </w:numPr>
      </w:pPr>
      <w:r>
        <w:t>Large r</w:t>
      </w:r>
      <w:r w:rsidR="00B749E0" w:rsidRPr="001025EA">
        <w:t>egional PHOs</w:t>
      </w:r>
      <w:r w:rsidR="00BB34AB" w:rsidRPr="001025EA">
        <w:t xml:space="preserve"> </w:t>
      </w:r>
      <w:r w:rsidR="00915158" w:rsidRPr="001025EA">
        <w:t>should be selected through con</w:t>
      </w:r>
      <w:r w:rsidR="00DD2C1B">
        <w:t>te</w:t>
      </w:r>
      <w:r w:rsidR="00915158" w:rsidRPr="001025EA">
        <w:t>stable and transparent processes that support the establishment of cost effective entities.  Commonwealth funding to Medicare Local</w:t>
      </w:r>
      <w:r w:rsidR="00DD2C1B">
        <w:t>s</w:t>
      </w:r>
      <w:r w:rsidR="00915158" w:rsidRPr="001025EA">
        <w:t xml:space="preserve"> would need to be rolled back and </w:t>
      </w:r>
      <w:r>
        <w:t>ap</w:t>
      </w:r>
      <w:r w:rsidR="00915158" w:rsidRPr="001025EA">
        <w:t>propriate processes</w:t>
      </w:r>
      <w:r w:rsidR="005C2DF9" w:rsidRPr="001025EA">
        <w:t xml:space="preserve"> will need to be in place to </w:t>
      </w:r>
      <w:proofErr w:type="spellStart"/>
      <w:r w:rsidR="00915158" w:rsidRPr="001025EA">
        <w:t>minimise</w:t>
      </w:r>
      <w:proofErr w:type="spellEnd"/>
      <w:r w:rsidR="00915158" w:rsidRPr="001025EA">
        <w:t xml:space="preserve"> </w:t>
      </w:r>
      <w:r w:rsidR="00025ABB" w:rsidRPr="001025EA">
        <w:t xml:space="preserve">impacts on </w:t>
      </w:r>
      <w:r w:rsidR="00915158" w:rsidRPr="001025EA">
        <w:t>patient care – ensuring continuity of care</w:t>
      </w:r>
      <w:r w:rsidR="00DD2C1B">
        <w:t xml:space="preserve"> for individuals</w:t>
      </w:r>
      <w:r w:rsidR="00915158" w:rsidRPr="001025EA">
        <w:t xml:space="preserve">.  </w:t>
      </w:r>
    </w:p>
    <w:p w:rsidR="009E4E9B" w:rsidRPr="001025EA" w:rsidRDefault="007D2E87" w:rsidP="002451D6">
      <w:pPr>
        <w:pStyle w:val="EYBodytextwithparaspace"/>
      </w:pPr>
      <w:r>
        <w:t>Although r</w:t>
      </w:r>
      <w:r w:rsidR="002451D6" w:rsidRPr="001025EA">
        <w:t xml:space="preserve">educing the number of </w:t>
      </w:r>
      <w:proofErr w:type="spellStart"/>
      <w:r w:rsidR="002451D6" w:rsidRPr="001025EA">
        <w:t>organisations</w:t>
      </w:r>
      <w:proofErr w:type="spellEnd"/>
      <w:r w:rsidR="002451D6" w:rsidRPr="001025EA">
        <w:t xml:space="preserve"> could </w:t>
      </w:r>
      <w:r w:rsidR="000E7D8F" w:rsidRPr="001025EA">
        <w:t xml:space="preserve">also </w:t>
      </w:r>
      <w:r w:rsidR="002451D6" w:rsidRPr="001025EA">
        <w:t>be perceived as limiting or eroding local relevance and/or autonomy</w:t>
      </w:r>
      <w:r w:rsidR="00526CB1">
        <w:t>, particularly in</w:t>
      </w:r>
      <w:r w:rsidR="002451D6" w:rsidRPr="001025EA">
        <w:t xml:space="preserve"> high performing Medicare Local </w:t>
      </w:r>
      <w:r w:rsidR="000E7D8F" w:rsidRPr="001025EA">
        <w:t xml:space="preserve">catchments where </w:t>
      </w:r>
      <w:r w:rsidR="002451D6" w:rsidRPr="001025EA">
        <w:t>relationships with local stakeholders</w:t>
      </w:r>
      <w:r w:rsidR="000E7D8F" w:rsidRPr="001025EA">
        <w:t xml:space="preserve"> are well established</w:t>
      </w:r>
      <w:r>
        <w:t>; t</w:t>
      </w:r>
      <w:r w:rsidR="000E7D8F" w:rsidRPr="001025EA">
        <w:t>h</w:t>
      </w:r>
      <w:r w:rsidR="00526CB1">
        <w:t>e</w:t>
      </w:r>
      <w:r w:rsidR="002451D6" w:rsidRPr="001025EA">
        <w:t xml:space="preserve"> goodwill of stakeholders </w:t>
      </w:r>
      <w:r w:rsidR="00120D08" w:rsidRPr="001025EA">
        <w:t xml:space="preserve">could </w:t>
      </w:r>
      <w:r w:rsidR="002451D6" w:rsidRPr="001025EA">
        <w:t>be</w:t>
      </w:r>
      <w:r w:rsidR="000E7D8F" w:rsidRPr="001025EA">
        <w:t xml:space="preserve"> effectively</w:t>
      </w:r>
      <w:r w:rsidR="002451D6" w:rsidRPr="001025EA">
        <w:t xml:space="preserve"> channeled through membership of </w:t>
      </w:r>
      <w:r w:rsidR="00556657" w:rsidRPr="001025EA">
        <w:t>Clinical Councils</w:t>
      </w:r>
      <w:r w:rsidR="002451D6" w:rsidRPr="001025EA">
        <w:t xml:space="preserve"> and Community Advisory Committees.  These structures would present an opportunity to capture the enthusiasm of existing Medicare Local stakeholder </w:t>
      </w:r>
      <w:r w:rsidR="000E7D8F" w:rsidRPr="001025EA">
        <w:t xml:space="preserve">and </w:t>
      </w:r>
      <w:r w:rsidR="002451D6" w:rsidRPr="001025EA">
        <w:t xml:space="preserve">advocates, and also those disenfranchised GPs who are keen to play a part </w:t>
      </w:r>
      <w:r w:rsidR="00DD2C1B">
        <w:t>in</w:t>
      </w:r>
      <w:r w:rsidR="002451D6" w:rsidRPr="001025EA">
        <w:t xml:space="preserve"> a new</w:t>
      </w:r>
      <w:r w:rsidR="000E7D8F" w:rsidRPr="001025EA">
        <w:t xml:space="preserve"> and</w:t>
      </w:r>
      <w:r w:rsidR="002451D6" w:rsidRPr="001025EA">
        <w:t xml:space="preserve"> invigorated </w:t>
      </w:r>
      <w:r w:rsidR="002451D6" w:rsidRPr="001025EA">
        <w:rPr>
          <w:lang w:val="en-AU"/>
        </w:rPr>
        <w:t>organisational</w:t>
      </w:r>
      <w:r w:rsidR="002451D6" w:rsidRPr="001025EA">
        <w:t xml:space="preserve"> agenda.  </w:t>
      </w:r>
    </w:p>
    <w:p w:rsidR="008D461C" w:rsidRPr="00097885" w:rsidRDefault="00AF57D0" w:rsidP="002451D6">
      <w:pPr>
        <w:pStyle w:val="EYBodytextwithparaspace"/>
      </w:pPr>
      <w:r w:rsidRPr="00097885">
        <w:t xml:space="preserve">Finally, there is </w:t>
      </w:r>
      <w:r w:rsidR="007D2E87" w:rsidRPr="00097885">
        <w:t xml:space="preserve">the </w:t>
      </w:r>
      <w:r w:rsidRPr="00097885">
        <w:t>potential for reform fatigue to erode positive relationships and goodwill, a PHO narrative is needed that clearly articulates the value p</w:t>
      </w:r>
      <w:r w:rsidR="00DD2C1B" w:rsidRPr="00097885">
        <w:t>rop</w:t>
      </w:r>
      <w:r w:rsidRPr="00097885">
        <w:t xml:space="preserve">osition for patients, GPs, primary health care providers and the broader community. </w:t>
      </w:r>
    </w:p>
    <w:p w:rsidR="007D2E87" w:rsidRPr="00097885" w:rsidRDefault="007D2E87" w:rsidP="007D2E87">
      <w:pPr>
        <w:pStyle w:val="EYBodytextwithparaspace"/>
      </w:pPr>
      <w:r w:rsidRPr="00097885">
        <w:t>The setting up of these PHOs will need an effective strategy to ensure all stakeholders are properly informed and involved in establishing the different parts of the PHOs relevant to their roles.  This should ensure the positive relationships and goodwill essential to their success.</w:t>
      </w:r>
    </w:p>
    <w:p w:rsidR="00E41370" w:rsidRPr="001025EA" w:rsidRDefault="00E41370" w:rsidP="00B749E0"/>
    <w:p w:rsidR="00E41370" w:rsidRPr="001025EA" w:rsidRDefault="00E41370" w:rsidP="00B749E0">
      <w:pPr>
        <w:sectPr w:rsidR="00E41370" w:rsidRPr="001025EA">
          <w:footerReference w:type="default" r:id="rId19"/>
          <w:pgSz w:w="11906" w:h="16838"/>
          <w:pgMar w:top="1440" w:right="1440" w:bottom="1440" w:left="1440" w:header="708" w:footer="708" w:gutter="0"/>
          <w:cols w:space="708"/>
          <w:docGrid w:linePitch="360"/>
        </w:sectPr>
      </w:pPr>
    </w:p>
    <w:p w:rsidR="00730D6E" w:rsidRPr="001025EA" w:rsidRDefault="00921D4A" w:rsidP="00730D6E">
      <w:pPr>
        <w:pStyle w:val="Heading1"/>
      </w:pPr>
      <w:bookmarkStart w:id="42" w:name="_Toc387644750"/>
      <w:r w:rsidRPr="001025EA">
        <w:t>Concluding C</w:t>
      </w:r>
      <w:r w:rsidR="00730D6E" w:rsidRPr="001025EA">
        <w:t>omments</w:t>
      </w:r>
      <w:bookmarkEnd w:id="42"/>
    </w:p>
    <w:p w:rsidR="00333FBD" w:rsidRPr="001025EA" w:rsidRDefault="00730D6E" w:rsidP="00730D6E">
      <w:pPr>
        <w:pStyle w:val="EYBodytextwithparaspace"/>
      </w:pPr>
      <w:bookmarkStart w:id="43" w:name="_Ref378845002"/>
      <w:r w:rsidRPr="001025EA">
        <w:t xml:space="preserve">This Review has highlighted the potential to improve health outcomes through establishing PHOs </w:t>
      </w:r>
      <w:r w:rsidR="00EE1995" w:rsidRPr="001025EA">
        <w:t xml:space="preserve">to </w:t>
      </w:r>
      <w:r w:rsidR="0008404D" w:rsidRPr="001025EA">
        <w:t xml:space="preserve">better </w:t>
      </w:r>
      <w:r w:rsidR="00EE1995" w:rsidRPr="001025EA">
        <w:t>integrated health care services.</w:t>
      </w:r>
    </w:p>
    <w:p w:rsidR="00730D6E" w:rsidRPr="001025EA" w:rsidRDefault="00730D6E" w:rsidP="00730D6E">
      <w:pPr>
        <w:pStyle w:val="EYBodytextwithparaspace"/>
      </w:pPr>
      <w:r w:rsidRPr="001025EA">
        <w:t xml:space="preserve">Some Medicare Locals have achieved a great deal, however as a national network, they have failed to present a compelling argument to continue </w:t>
      </w:r>
      <w:r w:rsidR="00EE1995" w:rsidRPr="001025EA">
        <w:t>in their current form</w:t>
      </w:r>
      <w:r w:rsidRPr="001025EA">
        <w:t>.  PHOs will build on the strengths of Medicare Locals</w:t>
      </w:r>
      <w:r w:rsidR="00526CB1">
        <w:t>,</w:t>
      </w:r>
      <w:r w:rsidRPr="001025EA">
        <w:t xml:space="preserve"> but </w:t>
      </w:r>
      <w:r w:rsidR="00957DCD">
        <w:t xml:space="preserve">by </w:t>
      </w:r>
      <w:r w:rsidRPr="001025EA">
        <w:t>avoid</w:t>
      </w:r>
      <w:r w:rsidR="00EE1995" w:rsidRPr="001025EA">
        <w:t>ing</w:t>
      </w:r>
      <w:r w:rsidRPr="001025EA">
        <w:t xml:space="preserve"> </w:t>
      </w:r>
      <w:r w:rsidR="00957DCD">
        <w:t xml:space="preserve">unnecessary corporate </w:t>
      </w:r>
      <w:r w:rsidRPr="001025EA">
        <w:t>bureaucracy and duplication –</w:t>
      </w:r>
      <w:r w:rsidR="00EE1995" w:rsidRPr="001025EA">
        <w:t xml:space="preserve"> a greater proportion o</w:t>
      </w:r>
      <w:r w:rsidRPr="001025EA">
        <w:t>f fund</w:t>
      </w:r>
      <w:r w:rsidR="00C9041A">
        <w:t>ing should be targeted to front</w:t>
      </w:r>
      <w:r w:rsidRPr="001025EA">
        <w:t xml:space="preserve">line services.  </w:t>
      </w:r>
    </w:p>
    <w:p w:rsidR="00730D6E" w:rsidRPr="001025EA" w:rsidRDefault="00730D6E" w:rsidP="00730D6E">
      <w:pPr>
        <w:pStyle w:val="EYBodytextwithparaspace"/>
      </w:pPr>
      <w:r w:rsidRPr="001025EA">
        <w:t xml:space="preserve">General practice </w:t>
      </w:r>
      <w:r w:rsidR="00957DCD">
        <w:t xml:space="preserve">will have </w:t>
      </w:r>
      <w:r w:rsidRPr="001025EA">
        <w:t>a key role in PHOs and</w:t>
      </w:r>
      <w:r w:rsidR="002A48BE" w:rsidRPr="001025EA">
        <w:t>,</w:t>
      </w:r>
      <w:r w:rsidRPr="001025EA">
        <w:t xml:space="preserve"> through </w:t>
      </w:r>
      <w:r w:rsidR="00556657" w:rsidRPr="001025EA">
        <w:t>Clinical Councils</w:t>
      </w:r>
      <w:r w:rsidR="002A48BE" w:rsidRPr="001025EA">
        <w:t>,</w:t>
      </w:r>
      <w:r w:rsidRPr="001025EA">
        <w:t xml:space="preserve"> a greater say in </w:t>
      </w:r>
      <w:r w:rsidR="002A48BE" w:rsidRPr="001025EA">
        <w:t xml:space="preserve">the governance and strategic direction of </w:t>
      </w:r>
      <w:r w:rsidRPr="001025EA">
        <w:t>their local primary health care systems</w:t>
      </w:r>
      <w:r w:rsidR="00EE1995" w:rsidRPr="001025EA">
        <w:t xml:space="preserve"> and </w:t>
      </w:r>
      <w:r w:rsidR="002A48BE" w:rsidRPr="001025EA">
        <w:t xml:space="preserve">development of </w:t>
      </w:r>
      <w:r w:rsidR="00B27074" w:rsidRPr="001025EA">
        <w:t xml:space="preserve">integrated </w:t>
      </w:r>
      <w:r w:rsidR="00EE1995" w:rsidRPr="001025EA">
        <w:t>care pathways</w:t>
      </w:r>
      <w:r w:rsidRPr="001025EA">
        <w:t>.  Similarly, local communities</w:t>
      </w:r>
      <w:r w:rsidR="00EE1995" w:rsidRPr="001025EA">
        <w:t xml:space="preserve">, through Community Advisory Committees, </w:t>
      </w:r>
      <w:r w:rsidRPr="001025EA">
        <w:t xml:space="preserve">will have greater </w:t>
      </w:r>
      <w:r w:rsidR="00B27074" w:rsidRPr="001025EA">
        <w:t xml:space="preserve">engagement </w:t>
      </w:r>
      <w:r w:rsidR="00EE1995" w:rsidRPr="001025EA">
        <w:t>to shape health services</w:t>
      </w:r>
      <w:r w:rsidRPr="001025EA">
        <w:t xml:space="preserve">. </w:t>
      </w:r>
    </w:p>
    <w:p w:rsidR="00730D6E" w:rsidRPr="001025EA" w:rsidRDefault="00730D6E" w:rsidP="00333FBD">
      <w:r w:rsidRPr="001025EA">
        <w:t>The future for primary health care is bright</w:t>
      </w:r>
      <w:r w:rsidR="00EE1995" w:rsidRPr="001025EA">
        <w:t xml:space="preserve">. </w:t>
      </w:r>
      <w:bookmarkEnd w:id="18"/>
      <w:bookmarkEnd w:id="41"/>
      <w:bookmarkEnd w:id="43"/>
    </w:p>
    <w:sectPr w:rsidR="00730D6E" w:rsidRPr="001025EA" w:rsidSect="00134F7E">
      <w:foot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9E8" w:rsidRDefault="001449E8" w:rsidP="00663163">
      <w:r>
        <w:separator/>
      </w:r>
    </w:p>
  </w:endnote>
  <w:endnote w:type="continuationSeparator" w:id="0">
    <w:p w:rsidR="001449E8" w:rsidRDefault="001449E8" w:rsidP="0066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EYInterstate Light">
    <w:altName w:val="Cambria"/>
    <w:charset w:val="00"/>
    <w:family w:val="auto"/>
    <w:pitch w:val="variable"/>
    <w:sig w:usb0="00000001" w:usb1="5000206A" w:usb2="00000000" w:usb3="00000000" w:csb0="0000009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6A" w:rsidRDefault="006C0D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FB" w:rsidRDefault="002036FB">
    <w:pPr>
      <w:pStyle w:val="Footer"/>
      <w:jc w:val="right"/>
    </w:pPr>
  </w:p>
  <w:p w:rsidR="002036FB" w:rsidRDefault="002036F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6A" w:rsidRDefault="006C0D6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FB" w:rsidRPr="00A73985" w:rsidRDefault="002036FB">
    <w:pPr>
      <w:pStyle w:val="Footer"/>
      <w:jc w:val="right"/>
      <w:rPr>
        <w:b/>
      </w:rPr>
    </w:pPr>
    <w:r>
      <w:rPr>
        <w:b/>
      </w:rPr>
      <w:t>Contents</w:t>
    </w:r>
    <w:r w:rsidRPr="00A73985">
      <w:rPr>
        <w:b/>
      </w:rPr>
      <w:t xml:space="preserve"> </w:t>
    </w:r>
    <w:sdt>
      <w:sdtPr>
        <w:rPr>
          <w:b/>
        </w:rPr>
        <w:id w:val="-349560166"/>
        <w:docPartObj>
          <w:docPartGallery w:val="Page Numbers (Bottom of Page)"/>
          <w:docPartUnique/>
        </w:docPartObj>
      </w:sdtPr>
      <w:sdtEndPr>
        <w:rPr>
          <w:noProof/>
        </w:rPr>
      </w:sdtEndPr>
      <w:sdtContent>
        <w:r w:rsidRPr="00A73985">
          <w:rPr>
            <w:b/>
          </w:rPr>
          <w:t xml:space="preserve">| </w:t>
        </w:r>
        <w:r>
          <w:fldChar w:fldCharType="begin"/>
        </w:r>
        <w:r>
          <w:instrText xml:space="preserve"> PAGE   \* MERGEFORMAT </w:instrText>
        </w:r>
        <w:r>
          <w:fldChar w:fldCharType="separate"/>
        </w:r>
        <w:r w:rsidR="00A4144A" w:rsidRPr="00A4144A">
          <w:rPr>
            <w:b/>
            <w:noProof/>
          </w:rPr>
          <w:t>i</w:t>
        </w:r>
        <w:r>
          <w:rPr>
            <w:b/>
            <w:noProof/>
          </w:rPr>
          <w:fldChar w:fldCharType="end"/>
        </w:r>
      </w:sdtContent>
    </w:sdt>
  </w:p>
  <w:p w:rsidR="002036FB" w:rsidRDefault="002036FB">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FB" w:rsidRPr="00A73985" w:rsidRDefault="002036FB">
    <w:pPr>
      <w:pStyle w:val="Footer"/>
      <w:jc w:val="right"/>
      <w:rPr>
        <w:b/>
      </w:rPr>
    </w:pPr>
    <w:r w:rsidRPr="00A73985">
      <w:rPr>
        <w:b/>
      </w:rPr>
      <w:t xml:space="preserve">Executive Summary </w:t>
    </w:r>
    <w:sdt>
      <w:sdtPr>
        <w:rPr>
          <w:b/>
        </w:rPr>
        <w:id w:val="191783249"/>
        <w:docPartObj>
          <w:docPartGallery w:val="Page Numbers (Bottom of Page)"/>
          <w:docPartUnique/>
        </w:docPartObj>
      </w:sdtPr>
      <w:sdtEndPr>
        <w:rPr>
          <w:noProof/>
        </w:rPr>
      </w:sdtEndPr>
      <w:sdtContent>
        <w:r w:rsidRPr="00A73985">
          <w:rPr>
            <w:b/>
          </w:rPr>
          <w:t xml:space="preserve">| </w:t>
        </w:r>
        <w:r>
          <w:fldChar w:fldCharType="begin"/>
        </w:r>
        <w:r>
          <w:instrText xml:space="preserve"> PAGE   \* MERGEFORMAT </w:instrText>
        </w:r>
        <w:r>
          <w:fldChar w:fldCharType="separate"/>
        </w:r>
        <w:r w:rsidR="00A4144A" w:rsidRPr="00A4144A">
          <w:rPr>
            <w:b/>
            <w:noProof/>
          </w:rPr>
          <w:t>v</w:t>
        </w:r>
        <w:r>
          <w:rPr>
            <w:b/>
            <w:noProof/>
          </w:rPr>
          <w:fldChar w:fldCharType="end"/>
        </w:r>
      </w:sdtContent>
    </w:sdt>
  </w:p>
  <w:p w:rsidR="002036FB" w:rsidRDefault="002036FB">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91783250"/>
      <w:docPartObj>
        <w:docPartGallery w:val="Page Numbers (Bottom of Page)"/>
        <w:docPartUnique/>
      </w:docPartObj>
    </w:sdtPr>
    <w:sdtEndPr>
      <w:rPr>
        <w:noProof/>
      </w:rPr>
    </w:sdtEndPr>
    <w:sdtContent>
      <w:p w:rsidR="002036FB" w:rsidRPr="00134F7E" w:rsidRDefault="002036FB" w:rsidP="00134F7E">
        <w:pPr>
          <w:pStyle w:val="Footer"/>
          <w:jc w:val="right"/>
          <w:rPr>
            <w:b/>
          </w:rPr>
        </w:pPr>
        <w:r w:rsidRPr="00134F7E">
          <w:rPr>
            <w:b/>
          </w:rPr>
          <w:t xml:space="preserve">Introduction | </w:t>
        </w:r>
        <w:r>
          <w:fldChar w:fldCharType="begin"/>
        </w:r>
        <w:r>
          <w:instrText xml:space="preserve"> PAGE   \* MERGEFORMAT </w:instrText>
        </w:r>
        <w:r>
          <w:fldChar w:fldCharType="separate"/>
        </w:r>
        <w:r w:rsidR="00A4144A" w:rsidRPr="00A4144A">
          <w:rPr>
            <w:b/>
            <w:noProof/>
          </w:rPr>
          <w:t>3</w:t>
        </w:r>
        <w:r>
          <w:rPr>
            <w:b/>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1855926404"/>
      <w:docPartObj>
        <w:docPartGallery w:val="Page Numbers (Bottom of Page)"/>
        <w:docPartUnique/>
      </w:docPartObj>
    </w:sdtPr>
    <w:sdtEndPr>
      <w:rPr>
        <w:noProof/>
      </w:rPr>
    </w:sdtEndPr>
    <w:sdtContent>
      <w:p w:rsidR="002036FB" w:rsidRPr="00134F7E" w:rsidRDefault="00DE110D" w:rsidP="00134F7E">
        <w:pPr>
          <w:pStyle w:val="Footer"/>
          <w:jc w:val="right"/>
          <w:rPr>
            <w:b/>
          </w:rPr>
        </w:pPr>
        <w:r>
          <w:rPr>
            <w:b/>
          </w:rPr>
          <w:t xml:space="preserve">Key </w:t>
        </w:r>
        <w:r w:rsidR="002036FB">
          <w:rPr>
            <w:b/>
          </w:rPr>
          <w:t xml:space="preserve">Findings </w:t>
        </w:r>
        <w:r w:rsidR="002036FB" w:rsidRPr="00134F7E">
          <w:rPr>
            <w:b/>
          </w:rPr>
          <w:t xml:space="preserve">| </w:t>
        </w:r>
        <w:r w:rsidR="002036FB">
          <w:fldChar w:fldCharType="begin"/>
        </w:r>
        <w:r w:rsidR="002036FB">
          <w:instrText xml:space="preserve"> PAGE   \* MERGEFORMAT </w:instrText>
        </w:r>
        <w:r w:rsidR="002036FB">
          <w:fldChar w:fldCharType="separate"/>
        </w:r>
        <w:r w:rsidR="00A4144A" w:rsidRPr="00A4144A">
          <w:rPr>
            <w:b/>
            <w:noProof/>
          </w:rPr>
          <w:t>8</w:t>
        </w:r>
        <w:r w:rsidR="002036FB">
          <w:rPr>
            <w:b/>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2145856707"/>
      <w:docPartObj>
        <w:docPartGallery w:val="Page Numbers (Bottom of Page)"/>
        <w:docPartUnique/>
      </w:docPartObj>
    </w:sdtPr>
    <w:sdtEndPr>
      <w:rPr>
        <w:noProof/>
      </w:rPr>
    </w:sdtEndPr>
    <w:sdtContent>
      <w:p w:rsidR="002036FB" w:rsidRPr="00134F7E" w:rsidRDefault="002036FB" w:rsidP="00134F7E">
        <w:pPr>
          <w:pStyle w:val="Footer"/>
          <w:jc w:val="right"/>
          <w:rPr>
            <w:b/>
          </w:rPr>
        </w:pPr>
        <w:r>
          <w:rPr>
            <w:b/>
          </w:rPr>
          <w:t xml:space="preserve">Discussion and Recommendations </w:t>
        </w:r>
        <w:r w:rsidRPr="00134F7E">
          <w:rPr>
            <w:b/>
          </w:rPr>
          <w:t xml:space="preserve">| </w:t>
        </w:r>
        <w:r>
          <w:fldChar w:fldCharType="begin"/>
        </w:r>
        <w:r>
          <w:instrText xml:space="preserve"> PAGE   \* MERGEFORMAT </w:instrText>
        </w:r>
        <w:r>
          <w:fldChar w:fldCharType="separate"/>
        </w:r>
        <w:r w:rsidR="00A4144A" w:rsidRPr="00A4144A">
          <w:rPr>
            <w:b/>
            <w:noProof/>
          </w:rPr>
          <w:t>15</w:t>
        </w:r>
        <w:r>
          <w:rPr>
            <w:b/>
            <w:noProof/>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rPr>
      <w:id w:val="-929658280"/>
      <w:docPartObj>
        <w:docPartGallery w:val="Page Numbers (Bottom of Page)"/>
        <w:docPartUnique/>
      </w:docPartObj>
    </w:sdtPr>
    <w:sdtEndPr>
      <w:rPr>
        <w:noProof/>
      </w:rPr>
    </w:sdtEndPr>
    <w:sdtContent>
      <w:p w:rsidR="002036FB" w:rsidRPr="00134F7E" w:rsidRDefault="002036FB" w:rsidP="00134F7E">
        <w:pPr>
          <w:pStyle w:val="Footer"/>
          <w:jc w:val="right"/>
          <w:rPr>
            <w:b/>
          </w:rPr>
        </w:pPr>
        <w:r>
          <w:rPr>
            <w:b/>
          </w:rPr>
          <w:t xml:space="preserve">Concluding </w:t>
        </w:r>
        <w:r w:rsidR="00B33CDB">
          <w:rPr>
            <w:b/>
          </w:rPr>
          <w:t>C</w:t>
        </w:r>
        <w:r>
          <w:rPr>
            <w:b/>
          </w:rPr>
          <w:t xml:space="preserve">omments </w:t>
        </w:r>
        <w:r w:rsidRPr="00134F7E">
          <w:rPr>
            <w:b/>
          </w:rPr>
          <w:t xml:space="preserve">| </w:t>
        </w:r>
        <w:r>
          <w:fldChar w:fldCharType="begin"/>
        </w:r>
        <w:r>
          <w:instrText xml:space="preserve"> PAGE   \* MERGEFORMAT </w:instrText>
        </w:r>
        <w:r>
          <w:fldChar w:fldCharType="separate"/>
        </w:r>
        <w:r w:rsidR="00A4144A" w:rsidRPr="00A4144A">
          <w:rPr>
            <w:b/>
            <w:noProof/>
          </w:rPr>
          <w:t>16</w:t>
        </w:r>
        <w:r>
          <w:rPr>
            <w:b/>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9E8" w:rsidRDefault="001449E8" w:rsidP="00663163">
      <w:r>
        <w:separator/>
      </w:r>
    </w:p>
  </w:footnote>
  <w:footnote w:type="continuationSeparator" w:id="0">
    <w:p w:rsidR="001449E8" w:rsidRDefault="001449E8" w:rsidP="00663163">
      <w:r>
        <w:continuationSeparator/>
      </w:r>
    </w:p>
  </w:footnote>
  <w:footnote w:id="1">
    <w:p w:rsidR="002036FB" w:rsidRDefault="002036FB">
      <w:pPr>
        <w:pStyle w:val="FootnoteText"/>
      </w:pPr>
      <w:r>
        <w:rPr>
          <w:rStyle w:val="FootnoteReference"/>
        </w:rPr>
        <w:footnoteRef/>
      </w:r>
      <w:r>
        <w:t xml:space="preserve"> </w:t>
      </w:r>
      <w:r w:rsidRPr="007F7E0C">
        <w:t>World Health Organisation 2008, The World Health Report 2008: Primary health care, (now more than ever). (http://www.who.int/whr/2008/en/ accessed 1 February 2014)</w:t>
      </w:r>
    </w:p>
  </w:footnote>
  <w:footnote w:id="2">
    <w:p w:rsidR="002036FB" w:rsidRDefault="002036FB">
      <w:pPr>
        <w:pStyle w:val="FootnoteText"/>
      </w:pPr>
      <w:r>
        <w:rPr>
          <w:rStyle w:val="FootnoteReference"/>
        </w:rPr>
        <w:footnoteRef/>
      </w:r>
      <w:r>
        <w:t xml:space="preserve"> I note the audit was on the 2012/13 financial year and that core funding is now included within the Medicare Local Flexible Fund.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6A" w:rsidRDefault="006C0D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FB" w:rsidRPr="00033421" w:rsidRDefault="002036FB" w:rsidP="00033421">
    <w:pPr>
      <w:pStyle w:val="Header"/>
      <w:jc w:val="center"/>
      <w:rPr>
        <w:sz w:val="3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0D6A" w:rsidRDefault="006C0D6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6FB" w:rsidRPr="00421F64" w:rsidRDefault="002036FB">
    <w:pPr>
      <w:pStyle w:val="Header"/>
      <w:rPr>
        <w:b/>
      </w:rPr>
    </w:pPr>
    <w:r w:rsidRPr="00421F64">
      <w:rPr>
        <w:b/>
      </w:rPr>
      <w:t>Review of Medicare Locals</w:t>
    </w:r>
    <w:r>
      <w:rPr>
        <w:b/>
      </w:rPr>
      <w:tab/>
    </w:r>
    <w:r>
      <w:rPr>
        <w: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932BAA"/>
    <w:multiLevelType w:val="hybridMultilevel"/>
    <w:tmpl w:val="AF189B0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nsid w:val="15905A32"/>
    <w:multiLevelType w:val="multilevel"/>
    <w:tmpl w:val="0C090021"/>
    <w:styleLink w:val="Style1"/>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166C501A"/>
    <w:multiLevelType w:val="multilevel"/>
    <w:tmpl w:val="66181D64"/>
    <w:lvl w:ilvl="0">
      <w:start w:val="1"/>
      <w:numFmt w:val="bullet"/>
      <w:lvlText w:val=""/>
      <w:lvlJc w:val="left"/>
      <w:pPr>
        <w:tabs>
          <w:tab w:val="num" w:pos="0"/>
        </w:tabs>
        <w:ind w:left="0" w:firstLine="0"/>
      </w:pPr>
      <w:rPr>
        <w:rFonts w:ascii="Symbol" w:hAnsi="Symbol" w:hint="defaul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
    <w:nsid w:val="16957916"/>
    <w:multiLevelType w:val="hybridMultilevel"/>
    <w:tmpl w:val="EDB4AA10"/>
    <w:lvl w:ilvl="0" w:tplc="0C09000F">
      <w:start w:val="1"/>
      <w:numFmt w:val="decimal"/>
      <w:lvlText w:val="%1."/>
      <w:lvlJc w:val="left"/>
      <w:pPr>
        <w:ind w:left="720" w:hanging="360"/>
      </w:pPr>
    </w:lvl>
    <w:lvl w:ilvl="1" w:tplc="B5F02BD4">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D3418A7"/>
    <w:multiLevelType w:val="hybridMultilevel"/>
    <w:tmpl w:val="D780C29E"/>
    <w:lvl w:ilvl="0" w:tplc="0C090001">
      <w:start w:val="1"/>
      <w:numFmt w:val="bullet"/>
      <w:lvlText w:val=""/>
      <w:lvlJc w:val="left"/>
      <w:pPr>
        <w:ind w:left="778" w:hanging="360"/>
      </w:pPr>
      <w:rPr>
        <w:rFonts w:ascii="Symbol" w:hAnsi="Symbol" w:hint="default"/>
      </w:rPr>
    </w:lvl>
    <w:lvl w:ilvl="1" w:tplc="0C090003">
      <w:start w:val="1"/>
      <w:numFmt w:val="bullet"/>
      <w:lvlText w:val="o"/>
      <w:lvlJc w:val="left"/>
      <w:pPr>
        <w:ind w:left="1498" w:hanging="360"/>
      </w:pPr>
      <w:rPr>
        <w:rFonts w:ascii="Courier New" w:hAnsi="Courier New" w:cs="Courier New" w:hint="default"/>
      </w:rPr>
    </w:lvl>
    <w:lvl w:ilvl="2" w:tplc="0C090005" w:tentative="1">
      <w:start w:val="1"/>
      <w:numFmt w:val="bullet"/>
      <w:lvlText w:val=""/>
      <w:lvlJc w:val="left"/>
      <w:pPr>
        <w:ind w:left="2218" w:hanging="360"/>
      </w:pPr>
      <w:rPr>
        <w:rFonts w:ascii="Wingdings" w:hAnsi="Wingdings" w:hint="default"/>
      </w:rPr>
    </w:lvl>
    <w:lvl w:ilvl="3" w:tplc="0C090001" w:tentative="1">
      <w:start w:val="1"/>
      <w:numFmt w:val="bullet"/>
      <w:lvlText w:val=""/>
      <w:lvlJc w:val="left"/>
      <w:pPr>
        <w:ind w:left="2938" w:hanging="360"/>
      </w:pPr>
      <w:rPr>
        <w:rFonts w:ascii="Symbol" w:hAnsi="Symbol" w:hint="default"/>
      </w:rPr>
    </w:lvl>
    <w:lvl w:ilvl="4" w:tplc="0C090003" w:tentative="1">
      <w:start w:val="1"/>
      <w:numFmt w:val="bullet"/>
      <w:lvlText w:val="o"/>
      <w:lvlJc w:val="left"/>
      <w:pPr>
        <w:ind w:left="3658" w:hanging="360"/>
      </w:pPr>
      <w:rPr>
        <w:rFonts w:ascii="Courier New" w:hAnsi="Courier New" w:cs="Courier New" w:hint="default"/>
      </w:rPr>
    </w:lvl>
    <w:lvl w:ilvl="5" w:tplc="0C090005" w:tentative="1">
      <w:start w:val="1"/>
      <w:numFmt w:val="bullet"/>
      <w:lvlText w:val=""/>
      <w:lvlJc w:val="left"/>
      <w:pPr>
        <w:ind w:left="4378" w:hanging="360"/>
      </w:pPr>
      <w:rPr>
        <w:rFonts w:ascii="Wingdings" w:hAnsi="Wingdings" w:hint="default"/>
      </w:rPr>
    </w:lvl>
    <w:lvl w:ilvl="6" w:tplc="0C090001" w:tentative="1">
      <w:start w:val="1"/>
      <w:numFmt w:val="bullet"/>
      <w:lvlText w:val=""/>
      <w:lvlJc w:val="left"/>
      <w:pPr>
        <w:ind w:left="5098" w:hanging="360"/>
      </w:pPr>
      <w:rPr>
        <w:rFonts w:ascii="Symbol" w:hAnsi="Symbol" w:hint="default"/>
      </w:rPr>
    </w:lvl>
    <w:lvl w:ilvl="7" w:tplc="0C090003" w:tentative="1">
      <w:start w:val="1"/>
      <w:numFmt w:val="bullet"/>
      <w:lvlText w:val="o"/>
      <w:lvlJc w:val="left"/>
      <w:pPr>
        <w:ind w:left="5818" w:hanging="360"/>
      </w:pPr>
      <w:rPr>
        <w:rFonts w:ascii="Courier New" w:hAnsi="Courier New" w:cs="Courier New" w:hint="default"/>
      </w:rPr>
    </w:lvl>
    <w:lvl w:ilvl="8" w:tplc="0C090005" w:tentative="1">
      <w:start w:val="1"/>
      <w:numFmt w:val="bullet"/>
      <w:lvlText w:val=""/>
      <w:lvlJc w:val="left"/>
      <w:pPr>
        <w:ind w:left="6538" w:hanging="360"/>
      </w:pPr>
      <w:rPr>
        <w:rFonts w:ascii="Wingdings" w:hAnsi="Wingdings" w:hint="default"/>
      </w:rPr>
    </w:lvl>
  </w:abstractNum>
  <w:abstractNum w:abstractNumId="5">
    <w:nsid w:val="2E5C3CD8"/>
    <w:multiLevelType w:val="hybridMultilevel"/>
    <w:tmpl w:val="4D7AD9A6"/>
    <w:lvl w:ilvl="0" w:tplc="A9E06C40">
      <w:start w:val="1"/>
      <w:numFmt w:val="bullet"/>
      <w:pStyle w:val="EYBulletedText1"/>
      <w:lvlText w:val="►"/>
      <w:lvlJc w:val="left"/>
      <w:pPr>
        <w:ind w:left="360" w:hanging="360"/>
      </w:pPr>
      <w:rPr>
        <w:rFonts w:ascii="Arial" w:hAnsi="Arial" w:hint="default"/>
        <w:color w:val="FFE600"/>
        <w:sz w:val="20"/>
        <w:szCs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8F80A0F"/>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1004"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6A5E6844"/>
    <w:multiLevelType w:val="hybridMultilevel"/>
    <w:tmpl w:val="85709142"/>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nsid w:val="700F3008"/>
    <w:multiLevelType w:val="hybridMultilevel"/>
    <w:tmpl w:val="F378DE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084578B"/>
    <w:multiLevelType w:val="hybridMultilevel"/>
    <w:tmpl w:val="6D469E4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nsid w:val="798F30D8"/>
    <w:multiLevelType w:val="multilevel"/>
    <w:tmpl w:val="7116CE90"/>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num w:numId="1">
    <w:abstractNumId w:val="9"/>
  </w:num>
  <w:num w:numId="2">
    <w:abstractNumId w:val="6"/>
  </w:num>
  <w:num w:numId="3">
    <w:abstractNumId w:val="10"/>
  </w:num>
  <w:num w:numId="4">
    <w:abstractNumId w:val="5"/>
  </w:num>
  <w:num w:numId="5">
    <w:abstractNumId w:val="3"/>
  </w:num>
  <w:num w:numId="6">
    <w:abstractNumId w:val="4"/>
  </w:num>
  <w:num w:numId="7">
    <w:abstractNumId w:val="1"/>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0"/>
  </w:num>
  <w:num w:numId="24">
    <w:abstractNumId w:val="7"/>
  </w:num>
  <w:num w:numId="25">
    <w:abstractNumId w:val="10"/>
  </w:num>
  <w:num w:numId="26">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C91"/>
    <w:rsid w:val="000010AE"/>
    <w:rsid w:val="00002567"/>
    <w:rsid w:val="000113C2"/>
    <w:rsid w:val="00012902"/>
    <w:rsid w:val="000139C7"/>
    <w:rsid w:val="00014548"/>
    <w:rsid w:val="00014F7F"/>
    <w:rsid w:val="00015720"/>
    <w:rsid w:val="0001662B"/>
    <w:rsid w:val="000167AC"/>
    <w:rsid w:val="00016F8F"/>
    <w:rsid w:val="00017CC5"/>
    <w:rsid w:val="0002493D"/>
    <w:rsid w:val="00025ABB"/>
    <w:rsid w:val="0002650F"/>
    <w:rsid w:val="00026598"/>
    <w:rsid w:val="00027E47"/>
    <w:rsid w:val="00032ED5"/>
    <w:rsid w:val="00033421"/>
    <w:rsid w:val="00033928"/>
    <w:rsid w:val="000342FD"/>
    <w:rsid w:val="0003506C"/>
    <w:rsid w:val="00037263"/>
    <w:rsid w:val="000409E4"/>
    <w:rsid w:val="00041087"/>
    <w:rsid w:val="00042E32"/>
    <w:rsid w:val="000431CA"/>
    <w:rsid w:val="00044F84"/>
    <w:rsid w:val="000470FB"/>
    <w:rsid w:val="00047820"/>
    <w:rsid w:val="00047C66"/>
    <w:rsid w:val="00050597"/>
    <w:rsid w:val="00050A54"/>
    <w:rsid w:val="000520C9"/>
    <w:rsid w:val="00053E33"/>
    <w:rsid w:val="00053EDB"/>
    <w:rsid w:val="00054351"/>
    <w:rsid w:val="0005471B"/>
    <w:rsid w:val="00057D73"/>
    <w:rsid w:val="00062737"/>
    <w:rsid w:val="00063E4A"/>
    <w:rsid w:val="000677E8"/>
    <w:rsid w:val="00067CA1"/>
    <w:rsid w:val="00073625"/>
    <w:rsid w:val="000770B9"/>
    <w:rsid w:val="00077B67"/>
    <w:rsid w:val="000817ED"/>
    <w:rsid w:val="0008404D"/>
    <w:rsid w:val="0008448D"/>
    <w:rsid w:val="00084DFE"/>
    <w:rsid w:val="00085009"/>
    <w:rsid w:val="00085626"/>
    <w:rsid w:val="0009167A"/>
    <w:rsid w:val="000922F9"/>
    <w:rsid w:val="00096417"/>
    <w:rsid w:val="00096536"/>
    <w:rsid w:val="00097885"/>
    <w:rsid w:val="00097DE3"/>
    <w:rsid w:val="000A17A8"/>
    <w:rsid w:val="000A2A18"/>
    <w:rsid w:val="000A322B"/>
    <w:rsid w:val="000A3A41"/>
    <w:rsid w:val="000A3F6B"/>
    <w:rsid w:val="000A44CA"/>
    <w:rsid w:val="000A47BD"/>
    <w:rsid w:val="000A487B"/>
    <w:rsid w:val="000A51F7"/>
    <w:rsid w:val="000A5F6F"/>
    <w:rsid w:val="000A7C24"/>
    <w:rsid w:val="000B1335"/>
    <w:rsid w:val="000B3AFB"/>
    <w:rsid w:val="000B3B11"/>
    <w:rsid w:val="000B424A"/>
    <w:rsid w:val="000B55EE"/>
    <w:rsid w:val="000B74FC"/>
    <w:rsid w:val="000B7FAB"/>
    <w:rsid w:val="000C069B"/>
    <w:rsid w:val="000C36C8"/>
    <w:rsid w:val="000C3A83"/>
    <w:rsid w:val="000C55D2"/>
    <w:rsid w:val="000C598C"/>
    <w:rsid w:val="000C7684"/>
    <w:rsid w:val="000C7CD2"/>
    <w:rsid w:val="000D10BF"/>
    <w:rsid w:val="000D1771"/>
    <w:rsid w:val="000D1AAF"/>
    <w:rsid w:val="000D2458"/>
    <w:rsid w:val="000D47E9"/>
    <w:rsid w:val="000D5702"/>
    <w:rsid w:val="000D7578"/>
    <w:rsid w:val="000E0A83"/>
    <w:rsid w:val="000E4B6D"/>
    <w:rsid w:val="000E61B4"/>
    <w:rsid w:val="000E63BA"/>
    <w:rsid w:val="000E7D8F"/>
    <w:rsid w:val="000F1865"/>
    <w:rsid w:val="000F1A3F"/>
    <w:rsid w:val="000F3E59"/>
    <w:rsid w:val="000F4717"/>
    <w:rsid w:val="000F51C6"/>
    <w:rsid w:val="000F5C27"/>
    <w:rsid w:val="000F769B"/>
    <w:rsid w:val="001025EA"/>
    <w:rsid w:val="0010480A"/>
    <w:rsid w:val="0010709B"/>
    <w:rsid w:val="0010748F"/>
    <w:rsid w:val="00110272"/>
    <w:rsid w:val="00112A5B"/>
    <w:rsid w:val="00112A61"/>
    <w:rsid w:val="00114B2B"/>
    <w:rsid w:val="00114B81"/>
    <w:rsid w:val="00115C91"/>
    <w:rsid w:val="0011614A"/>
    <w:rsid w:val="00120D08"/>
    <w:rsid w:val="0012182E"/>
    <w:rsid w:val="00125466"/>
    <w:rsid w:val="00131E37"/>
    <w:rsid w:val="00132A41"/>
    <w:rsid w:val="001339C6"/>
    <w:rsid w:val="00134F7E"/>
    <w:rsid w:val="00135709"/>
    <w:rsid w:val="001409C8"/>
    <w:rsid w:val="00141FB6"/>
    <w:rsid w:val="00143977"/>
    <w:rsid w:val="0014430F"/>
    <w:rsid w:val="001449E8"/>
    <w:rsid w:val="00147B6B"/>
    <w:rsid w:val="00150FED"/>
    <w:rsid w:val="0015174C"/>
    <w:rsid w:val="0015377C"/>
    <w:rsid w:val="00154E2E"/>
    <w:rsid w:val="00155011"/>
    <w:rsid w:val="00160D5B"/>
    <w:rsid w:val="00161E7B"/>
    <w:rsid w:val="00162BAB"/>
    <w:rsid w:val="00162C8D"/>
    <w:rsid w:val="00163183"/>
    <w:rsid w:val="00164035"/>
    <w:rsid w:val="0016583D"/>
    <w:rsid w:val="00165CB1"/>
    <w:rsid w:val="00166713"/>
    <w:rsid w:val="00166D00"/>
    <w:rsid w:val="0017091F"/>
    <w:rsid w:val="001733C3"/>
    <w:rsid w:val="0017351B"/>
    <w:rsid w:val="00173FCA"/>
    <w:rsid w:val="001758C2"/>
    <w:rsid w:val="00175E1B"/>
    <w:rsid w:val="0017674F"/>
    <w:rsid w:val="00181411"/>
    <w:rsid w:val="00183B61"/>
    <w:rsid w:val="00183FB4"/>
    <w:rsid w:val="0018413B"/>
    <w:rsid w:val="00184DD8"/>
    <w:rsid w:val="00187C08"/>
    <w:rsid w:val="001949BE"/>
    <w:rsid w:val="00194CAA"/>
    <w:rsid w:val="001960C5"/>
    <w:rsid w:val="00196650"/>
    <w:rsid w:val="00196AAD"/>
    <w:rsid w:val="00197015"/>
    <w:rsid w:val="00197072"/>
    <w:rsid w:val="001A0BB5"/>
    <w:rsid w:val="001A3422"/>
    <w:rsid w:val="001A5937"/>
    <w:rsid w:val="001B0481"/>
    <w:rsid w:val="001B0912"/>
    <w:rsid w:val="001B2051"/>
    <w:rsid w:val="001B234C"/>
    <w:rsid w:val="001B3F30"/>
    <w:rsid w:val="001B4390"/>
    <w:rsid w:val="001B50C4"/>
    <w:rsid w:val="001B52F0"/>
    <w:rsid w:val="001B6DD8"/>
    <w:rsid w:val="001B6EE4"/>
    <w:rsid w:val="001C1668"/>
    <w:rsid w:val="001C1915"/>
    <w:rsid w:val="001C1E62"/>
    <w:rsid w:val="001C2675"/>
    <w:rsid w:val="001C4FFC"/>
    <w:rsid w:val="001C5631"/>
    <w:rsid w:val="001C5810"/>
    <w:rsid w:val="001C5FAE"/>
    <w:rsid w:val="001D0A9B"/>
    <w:rsid w:val="001D1473"/>
    <w:rsid w:val="001D5E25"/>
    <w:rsid w:val="001D5E88"/>
    <w:rsid w:val="001E131B"/>
    <w:rsid w:val="001E2C03"/>
    <w:rsid w:val="001E7642"/>
    <w:rsid w:val="001F1E20"/>
    <w:rsid w:val="001F21AA"/>
    <w:rsid w:val="001F6B09"/>
    <w:rsid w:val="0020005A"/>
    <w:rsid w:val="00201244"/>
    <w:rsid w:val="00202989"/>
    <w:rsid w:val="00202F06"/>
    <w:rsid w:val="002036FB"/>
    <w:rsid w:val="002047B8"/>
    <w:rsid w:val="00206C0B"/>
    <w:rsid w:val="002072BA"/>
    <w:rsid w:val="00210485"/>
    <w:rsid w:val="0021200B"/>
    <w:rsid w:val="00213BA9"/>
    <w:rsid w:val="00214C4A"/>
    <w:rsid w:val="00221657"/>
    <w:rsid w:val="002239FA"/>
    <w:rsid w:val="00223F43"/>
    <w:rsid w:val="00225B9F"/>
    <w:rsid w:val="002267AA"/>
    <w:rsid w:val="00226BE7"/>
    <w:rsid w:val="00226C1E"/>
    <w:rsid w:val="0022710B"/>
    <w:rsid w:val="00227F9D"/>
    <w:rsid w:val="00233012"/>
    <w:rsid w:val="00233F73"/>
    <w:rsid w:val="00241724"/>
    <w:rsid w:val="00241CD3"/>
    <w:rsid w:val="00244295"/>
    <w:rsid w:val="002451D6"/>
    <w:rsid w:val="00245B43"/>
    <w:rsid w:val="00247247"/>
    <w:rsid w:val="00253515"/>
    <w:rsid w:val="00254AD3"/>
    <w:rsid w:val="00254D0D"/>
    <w:rsid w:val="002553A1"/>
    <w:rsid w:val="0025635E"/>
    <w:rsid w:val="00256FBC"/>
    <w:rsid w:val="002570AC"/>
    <w:rsid w:val="002604E4"/>
    <w:rsid w:val="00262386"/>
    <w:rsid w:val="00262CD3"/>
    <w:rsid w:val="00264460"/>
    <w:rsid w:val="00265ABD"/>
    <w:rsid w:val="00267E18"/>
    <w:rsid w:val="0027014A"/>
    <w:rsid w:val="00270890"/>
    <w:rsid w:val="00272024"/>
    <w:rsid w:val="00277E2A"/>
    <w:rsid w:val="0028026A"/>
    <w:rsid w:val="00281E5D"/>
    <w:rsid w:val="00285292"/>
    <w:rsid w:val="00286D3A"/>
    <w:rsid w:val="00286E7B"/>
    <w:rsid w:val="00287344"/>
    <w:rsid w:val="00287BC8"/>
    <w:rsid w:val="0029151F"/>
    <w:rsid w:val="00291790"/>
    <w:rsid w:val="00291AF2"/>
    <w:rsid w:val="002949AA"/>
    <w:rsid w:val="00296085"/>
    <w:rsid w:val="002A2C5C"/>
    <w:rsid w:val="002A380D"/>
    <w:rsid w:val="002A382A"/>
    <w:rsid w:val="002A38B3"/>
    <w:rsid w:val="002A3C26"/>
    <w:rsid w:val="002A42A3"/>
    <w:rsid w:val="002A48BE"/>
    <w:rsid w:val="002A6591"/>
    <w:rsid w:val="002B1273"/>
    <w:rsid w:val="002B17B0"/>
    <w:rsid w:val="002B1E50"/>
    <w:rsid w:val="002B2C6E"/>
    <w:rsid w:val="002B5B91"/>
    <w:rsid w:val="002B6045"/>
    <w:rsid w:val="002C0906"/>
    <w:rsid w:val="002C0D0A"/>
    <w:rsid w:val="002C29B0"/>
    <w:rsid w:val="002C356F"/>
    <w:rsid w:val="002C3B99"/>
    <w:rsid w:val="002C4667"/>
    <w:rsid w:val="002C4E96"/>
    <w:rsid w:val="002C60B8"/>
    <w:rsid w:val="002D040B"/>
    <w:rsid w:val="002D063D"/>
    <w:rsid w:val="002D13A4"/>
    <w:rsid w:val="002D268B"/>
    <w:rsid w:val="002D3132"/>
    <w:rsid w:val="002D5D10"/>
    <w:rsid w:val="002E0388"/>
    <w:rsid w:val="002E2375"/>
    <w:rsid w:val="002E3364"/>
    <w:rsid w:val="002E4BC2"/>
    <w:rsid w:val="002E4C8C"/>
    <w:rsid w:val="002E73D5"/>
    <w:rsid w:val="002E7A45"/>
    <w:rsid w:val="002F14DF"/>
    <w:rsid w:val="002F170D"/>
    <w:rsid w:val="002F48EE"/>
    <w:rsid w:val="002F4C87"/>
    <w:rsid w:val="002F74A1"/>
    <w:rsid w:val="002F759C"/>
    <w:rsid w:val="002F7D05"/>
    <w:rsid w:val="00300FCC"/>
    <w:rsid w:val="00303344"/>
    <w:rsid w:val="00304715"/>
    <w:rsid w:val="0030488F"/>
    <w:rsid w:val="003064C6"/>
    <w:rsid w:val="00306C26"/>
    <w:rsid w:val="00307E1C"/>
    <w:rsid w:val="00307FA0"/>
    <w:rsid w:val="00310FAB"/>
    <w:rsid w:val="0031250F"/>
    <w:rsid w:val="003130BB"/>
    <w:rsid w:val="00316DC6"/>
    <w:rsid w:val="003202F8"/>
    <w:rsid w:val="0032049F"/>
    <w:rsid w:val="00321346"/>
    <w:rsid w:val="00321363"/>
    <w:rsid w:val="00321805"/>
    <w:rsid w:val="00321EF4"/>
    <w:rsid w:val="0032494A"/>
    <w:rsid w:val="0032563F"/>
    <w:rsid w:val="00325703"/>
    <w:rsid w:val="00325814"/>
    <w:rsid w:val="00326566"/>
    <w:rsid w:val="00330FB1"/>
    <w:rsid w:val="00332A34"/>
    <w:rsid w:val="00333CE4"/>
    <w:rsid w:val="00333FBD"/>
    <w:rsid w:val="0033448A"/>
    <w:rsid w:val="00336349"/>
    <w:rsid w:val="00336F6E"/>
    <w:rsid w:val="003423B2"/>
    <w:rsid w:val="00342B96"/>
    <w:rsid w:val="00342C9C"/>
    <w:rsid w:val="00343647"/>
    <w:rsid w:val="00343941"/>
    <w:rsid w:val="00343D48"/>
    <w:rsid w:val="00346174"/>
    <w:rsid w:val="0034714F"/>
    <w:rsid w:val="00347D72"/>
    <w:rsid w:val="0035190E"/>
    <w:rsid w:val="00352922"/>
    <w:rsid w:val="003530CF"/>
    <w:rsid w:val="00354FFF"/>
    <w:rsid w:val="00355EEC"/>
    <w:rsid w:val="0035677F"/>
    <w:rsid w:val="00361C90"/>
    <w:rsid w:val="003641C1"/>
    <w:rsid w:val="003641D1"/>
    <w:rsid w:val="00366904"/>
    <w:rsid w:val="003701E1"/>
    <w:rsid w:val="0037262F"/>
    <w:rsid w:val="0037301F"/>
    <w:rsid w:val="0037351B"/>
    <w:rsid w:val="003746D7"/>
    <w:rsid w:val="00380B9B"/>
    <w:rsid w:val="003820EA"/>
    <w:rsid w:val="00382919"/>
    <w:rsid w:val="00382B52"/>
    <w:rsid w:val="0038470F"/>
    <w:rsid w:val="0038536B"/>
    <w:rsid w:val="0038577B"/>
    <w:rsid w:val="00386477"/>
    <w:rsid w:val="00386F39"/>
    <w:rsid w:val="00393645"/>
    <w:rsid w:val="00394064"/>
    <w:rsid w:val="0039425D"/>
    <w:rsid w:val="00396F01"/>
    <w:rsid w:val="00397445"/>
    <w:rsid w:val="003976C9"/>
    <w:rsid w:val="003A10FF"/>
    <w:rsid w:val="003A1A3D"/>
    <w:rsid w:val="003A1FAF"/>
    <w:rsid w:val="003A2148"/>
    <w:rsid w:val="003A3BA7"/>
    <w:rsid w:val="003A7749"/>
    <w:rsid w:val="003B1762"/>
    <w:rsid w:val="003B2347"/>
    <w:rsid w:val="003B23BD"/>
    <w:rsid w:val="003B457F"/>
    <w:rsid w:val="003B5667"/>
    <w:rsid w:val="003B7030"/>
    <w:rsid w:val="003B7BB0"/>
    <w:rsid w:val="003C00BF"/>
    <w:rsid w:val="003C1B94"/>
    <w:rsid w:val="003C2D22"/>
    <w:rsid w:val="003C66E0"/>
    <w:rsid w:val="003C6DF8"/>
    <w:rsid w:val="003D1827"/>
    <w:rsid w:val="003D2382"/>
    <w:rsid w:val="003D30C9"/>
    <w:rsid w:val="003D33B3"/>
    <w:rsid w:val="003D5AB2"/>
    <w:rsid w:val="003D5FE1"/>
    <w:rsid w:val="003D73EF"/>
    <w:rsid w:val="003E0CB6"/>
    <w:rsid w:val="003E3C87"/>
    <w:rsid w:val="003E40CA"/>
    <w:rsid w:val="003E5308"/>
    <w:rsid w:val="003E7A7C"/>
    <w:rsid w:val="003F2E4D"/>
    <w:rsid w:val="003F4DF4"/>
    <w:rsid w:val="003F54CE"/>
    <w:rsid w:val="0040120A"/>
    <w:rsid w:val="0040211A"/>
    <w:rsid w:val="00403B34"/>
    <w:rsid w:val="00415733"/>
    <w:rsid w:val="00415F87"/>
    <w:rsid w:val="00416152"/>
    <w:rsid w:val="00416524"/>
    <w:rsid w:val="0041676F"/>
    <w:rsid w:val="00417E5F"/>
    <w:rsid w:val="00421F64"/>
    <w:rsid w:val="0042315F"/>
    <w:rsid w:val="004235F8"/>
    <w:rsid w:val="00424D42"/>
    <w:rsid w:val="00425FFE"/>
    <w:rsid w:val="004267A7"/>
    <w:rsid w:val="00431D6A"/>
    <w:rsid w:val="00432293"/>
    <w:rsid w:val="004359E0"/>
    <w:rsid w:val="0043620B"/>
    <w:rsid w:val="0043734B"/>
    <w:rsid w:val="004413DD"/>
    <w:rsid w:val="00445CF6"/>
    <w:rsid w:val="004468B1"/>
    <w:rsid w:val="00450470"/>
    <w:rsid w:val="00451FA8"/>
    <w:rsid w:val="004523E3"/>
    <w:rsid w:val="00452E5A"/>
    <w:rsid w:val="0045317C"/>
    <w:rsid w:val="0045465E"/>
    <w:rsid w:val="004551E1"/>
    <w:rsid w:val="0045530D"/>
    <w:rsid w:val="00456F30"/>
    <w:rsid w:val="004607E2"/>
    <w:rsid w:val="00460DD6"/>
    <w:rsid w:val="0046530A"/>
    <w:rsid w:val="00465C1B"/>
    <w:rsid w:val="00466B18"/>
    <w:rsid w:val="0046730B"/>
    <w:rsid w:val="004674F8"/>
    <w:rsid w:val="004678D9"/>
    <w:rsid w:val="00470FF6"/>
    <w:rsid w:val="00472956"/>
    <w:rsid w:val="00472A8B"/>
    <w:rsid w:val="004730D4"/>
    <w:rsid w:val="00474000"/>
    <w:rsid w:val="0047422C"/>
    <w:rsid w:val="004742F3"/>
    <w:rsid w:val="004771DA"/>
    <w:rsid w:val="00480141"/>
    <w:rsid w:val="00483822"/>
    <w:rsid w:val="00483EC7"/>
    <w:rsid w:val="0048442B"/>
    <w:rsid w:val="00485933"/>
    <w:rsid w:val="00486305"/>
    <w:rsid w:val="00487451"/>
    <w:rsid w:val="00487D83"/>
    <w:rsid w:val="00491D87"/>
    <w:rsid w:val="0049358B"/>
    <w:rsid w:val="00493A64"/>
    <w:rsid w:val="0049443D"/>
    <w:rsid w:val="00494DD4"/>
    <w:rsid w:val="004A4CC7"/>
    <w:rsid w:val="004A6827"/>
    <w:rsid w:val="004A69D7"/>
    <w:rsid w:val="004B04EA"/>
    <w:rsid w:val="004B0B16"/>
    <w:rsid w:val="004B2505"/>
    <w:rsid w:val="004B32D3"/>
    <w:rsid w:val="004B3D7A"/>
    <w:rsid w:val="004B76F2"/>
    <w:rsid w:val="004B7BF0"/>
    <w:rsid w:val="004C772E"/>
    <w:rsid w:val="004D3DAF"/>
    <w:rsid w:val="004E1553"/>
    <w:rsid w:val="004E312E"/>
    <w:rsid w:val="004E4395"/>
    <w:rsid w:val="004E4CFE"/>
    <w:rsid w:val="004F0101"/>
    <w:rsid w:val="004F0E80"/>
    <w:rsid w:val="004F1CCF"/>
    <w:rsid w:val="004F2136"/>
    <w:rsid w:val="004F247D"/>
    <w:rsid w:val="004F25D9"/>
    <w:rsid w:val="004F2D55"/>
    <w:rsid w:val="004F3D09"/>
    <w:rsid w:val="004F5DF7"/>
    <w:rsid w:val="004F5EE2"/>
    <w:rsid w:val="004F7339"/>
    <w:rsid w:val="005004F3"/>
    <w:rsid w:val="005024D5"/>
    <w:rsid w:val="0050287D"/>
    <w:rsid w:val="005046FE"/>
    <w:rsid w:val="00506562"/>
    <w:rsid w:val="00510B48"/>
    <w:rsid w:val="00511C96"/>
    <w:rsid w:val="00511D14"/>
    <w:rsid w:val="005150FC"/>
    <w:rsid w:val="0051630A"/>
    <w:rsid w:val="005168FC"/>
    <w:rsid w:val="005172B3"/>
    <w:rsid w:val="0052067E"/>
    <w:rsid w:val="00520837"/>
    <w:rsid w:val="00521AC9"/>
    <w:rsid w:val="00523CD6"/>
    <w:rsid w:val="00524A6A"/>
    <w:rsid w:val="00526CB1"/>
    <w:rsid w:val="00527281"/>
    <w:rsid w:val="00533235"/>
    <w:rsid w:val="005368CC"/>
    <w:rsid w:val="00537304"/>
    <w:rsid w:val="005374B1"/>
    <w:rsid w:val="0053767D"/>
    <w:rsid w:val="00540C6E"/>
    <w:rsid w:val="00540DA8"/>
    <w:rsid w:val="0054172E"/>
    <w:rsid w:val="00547740"/>
    <w:rsid w:val="005506F5"/>
    <w:rsid w:val="00551364"/>
    <w:rsid w:val="00552FE6"/>
    <w:rsid w:val="00554009"/>
    <w:rsid w:val="00554324"/>
    <w:rsid w:val="00556657"/>
    <w:rsid w:val="005572C0"/>
    <w:rsid w:val="00557F70"/>
    <w:rsid w:val="00560F29"/>
    <w:rsid w:val="00566C3A"/>
    <w:rsid w:val="0057196A"/>
    <w:rsid w:val="00573E01"/>
    <w:rsid w:val="00573FF1"/>
    <w:rsid w:val="005742B1"/>
    <w:rsid w:val="005744D6"/>
    <w:rsid w:val="00574551"/>
    <w:rsid w:val="00575F10"/>
    <w:rsid w:val="0057627F"/>
    <w:rsid w:val="005770BE"/>
    <w:rsid w:val="0058486D"/>
    <w:rsid w:val="00585CBE"/>
    <w:rsid w:val="00585D86"/>
    <w:rsid w:val="00586667"/>
    <w:rsid w:val="00586E9B"/>
    <w:rsid w:val="0059205C"/>
    <w:rsid w:val="00593458"/>
    <w:rsid w:val="005945AF"/>
    <w:rsid w:val="00594C2B"/>
    <w:rsid w:val="005963FD"/>
    <w:rsid w:val="0059760B"/>
    <w:rsid w:val="005A1DB6"/>
    <w:rsid w:val="005A2869"/>
    <w:rsid w:val="005A2CE2"/>
    <w:rsid w:val="005A4191"/>
    <w:rsid w:val="005A4507"/>
    <w:rsid w:val="005A47B4"/>
    <w:rsid w:val="005A5711"/>
    <w:rsid w:val="005A682F"/>
    <w:rsid w:val="005B0FB1"/>
    <w:rsid w:val="005B12B5"/>
    <w:rsid w:val="005B21FF"/>
    <w:rsid w:val="005B34CA"/>
    <w:rsid w:val="005B62E2"/>
    <w:rsid w:val="005B6DD4"/>
    <w:rsid w:val="005C103C"/>
    <w:rsid w:val="005C1DD4"/>
    <w:rsid w:val="005C2DF9"/>
    <w:rsid w:val="005C338C"/>
    <w:rsid w:val="005C5C8D"/>
    <w:rsid w:val="005C617A"/>
    <w:rsid w:val="005C620B"/>
    <w:rsid w:val="005C74EC"/>
    <w:rsid w:val="005D0CEA"/>
    <w:rsid w:val="005D22D8"/>
    <w:rsid w:val="005D4FB8"/>
    <w:rsid w:val="005D54D0"/>
    <w:rsid w:val="005D656E"/>
    <w:rsid w:val="005E1AF7"/>
    <w:rsid w:val="005F2494"/>
    <w:rsid w:val="005F2E8F"/>
    <w:rsid w:val="005F42A9"/>
    <w:rsid w:val="005F4494"/>
    <w:rsid w:val="005F536A"/>
    <w:rsid w:val="005F79C2"/>
    <w:rsid w:val="00600B3A"/>
    <w:rsid w:val="00601690"/>
    <w:rsid w:val="00603646"/>
    <w:rsid w:val="00604BDE"/>
    <w:rsid w:val="00605290"/>
    <w:rsid w:val="006068AF"/>
    <w:rsid w:val="0061074B"/>
    <w:rsid w:val="006118AA"/>
    <w:rsid w:val="0061392C"/>
    <w:rsid w:val="00614B29"/>
    <w:rsid w:val="00614EA9"/>
    <w:rsid w:val="00614F4E"/>
    <w:rsid w:val="0061574E"/>
    <w:rsid w:val="00617713"/>
    <w:rsid w:val="006178BE"/>
    <w:rsid w:val="00620095"/>
    <w:rsid w:val="006224F3"/>
    <w:rsid w:val="00623507"/>
    <w:rsid w:val="00624EA9"/>
    <w:rsid w:val="00625C55"/>
    <w:rsid w:val="0063181D"/>
    <w:rsid w:val="00633196"/>
    <w:rsid w:val="00633F7B"/>
    <w:rsid w:val="00635158"/>
    <w:rsid w:val="00641BAE"/>
    <w:rsid w:val="00643DF8"/>
    <w:rsid w:val="006457E3"/>
    <w:rsid w:val="00645932"/>
    <w:rsid w:val="00646C7B"/>
    <w:rsid w:val="00647297"/>
    <w:rsid w:val="00650BC6"/>
    <w:rsid w:val="006536D6"/>
    <w:rsid w:val="00653E9A"/>
    <w:rsid w:val="006545C7"/>
    <w:rsid w:val="006552FC"/>
    <w:rsid w:val="00656B6C"/>
    <w:rsid w:val="00657F22"/>
    <w:rsid w:val="00663163"/>
    <w:rsid w:val="0066344D"/>
    <w:rsid w:val="0066589E"/>
    <w:rsid w:val="0067182F"/>
    <w:rsid w:val="006725C1"/>
    <w:rsid w:val="0067609A"/>
    <w:rsid w:val="0067779F"/>
    <w:rsid w:val="00680C6B"/>
    <w:rsid w:val="00683568"/>
    <w:rsid w:val="0068556E"/>
    <w:rsid w:val="00686311"/>
    <w:rsid w:val="0068697E"/>
    <w:rsid w:val="0068745A"/>
    <w:rsid w:val="006876DB"/>
    <w:rsid w:val="00687862"/>
    <w:rsid w:val="006907D1"/>
    <w:rsid w:val="006925C8"/>
    <w:rsid w:val="00692C72"/>
    <w:rsid w:val="0069628C"/>
    <w:rsid w:val="00696FC1"/>
    <w:rsid w:val="006A06BC"/>
    <w:rsid w:val="006A4264"/>
    <w:rsid w:val="006A7070"/>
    <w:rsid w:val="006B0885"/>
    <w:rsid w:val="006B3B97"/>
    <w:rsid w:val="006B5689"/>
    <w:rsid w:val="006C0705"/>
    <w:rsid w:val="006C0D6A"/>
    <w:rsid w:val="006C0EFA"/>
    <w:rsid w:val="006C1DEC"/>
    <w:rsid w:val="006C45B4"/>
    <w:rsid w:val="006C566C"/>
    <w:rsid w:val="006D2339"/>
    <w:rsid w:val="006D2E00"/>
    <w:rsid w:val="006D3189"/>
    <w:rsid w:val="006D4A74"/>
    <w:rsid w:val="006D5745"/>
    <w:rsid w:val="006D62C1"/>
    <w:rsid w:val="006D692D"/>
    <w:rsid w:val="006E04B2"/>
    <w:rsid w:val="006E32E5"/>
    <w:rsid w:val="006E6973"/>
    <w:rsid w:val="006F0941"/>
    <w:rsid w:val="006F5693"/>
    <w:rsid w:val="006F5DBA"/>
    <w:rsid w:val="006F6E6C"/>
    <w:rsid w:val="006F7015"/>
    <w:rsid w:val="006F73B9"/>
    <w:rsid w:val="006F7F6D"/>
    <w:rsid w:val="00702615"/>
    <w:rsid w:val="00703CFD"/>
    <w:rsid w:val="00703DCB"/>
    <w:rsid w:val="00703F60"/>
    <w:rsid w:val="00705E52"/>
    <w:rsid w:val="00707A15"/>
    <w:rsid w:val="007101CD"/>
    <w:rsid w:val="00710D36"/>
    <w:rsid w:val="00710F60"/>
    <w:rsid w:val="00711357"/>
    <w:rsid w:val="007131CB"/>
    <w:rsid w:val="00714705"/>
    <w:rsid w:val="00715F6C"/>
    <w:rsid w:val="00716AE7"/>
    <w:rsid w:val="007173ED"/>
    <w:rsid w:val="00717423"/>
    <w:rsid w:val="00720284"/>
    <w:rsid w:val="0072087F"/>
    <w:rsid w:val="007217D7"/>
    <w:rsid w:val="007225C8"/>
    <w:rsid w:val="0072262C"/>
    <w:rsid w:val="0072535C"/>
    <w:rsid w:val="00726D00"/>
    <w:rsid w:val="0072782B"/>
    <w:rsid w:val="00727FD5"/>
    <w:rsid w:val="00730B4D"/>
    <w:rsid w:val="00730D6E"/>
    <w:rsid w:val="0073341C"/>
    <w:rsid w:val="00734B09"/>
    <w:rsid w:val="00734EDB"/>
    <w:rsid w:val="007420F8"/>
    <w:rsid w:val="007428A6"/>
    <w:rsid w:val="007433D1"/>
    <w:rsid w:val="00744140"/>
    <w:rsid w:val="0074446C"/>
    <w:rsid w:val="0074473F"/>
    <w:rsid w:val="00744845"/>
    <w:rsid w:val="007448A2"/>
    <w:rsid w:val="00744AF5"/>
    <w:rsid w:val="00745191"/>
    <w:rsid w:val="00746B56"/>
    <w:rsid w:val="00747FBC"/>
    <w:rsid w:val="00752337"/>
    <w:rsid w:val="00752A01"/>
    <w:rsid w:val="00752F8B"/>
    <w:rsid w:val="00755913"/>
    <w:rsid w:val="007561EE"/>
    <w:rsid w:val="0075724A"/>
    <w:rsid w:val="007663A8"/>
    <w:rsid w:val="00766D30"/>
    <w:rsid w:val="00767F98"/>
    <w:rsid w:val="00770024"/>
    <w:rsid w:val="007701EF"/>
    <w:rsid w:val="00770C2A"/>
    <w:rsid w:val="0077255B"/>
    <w:rsid w:val="0077346D"/>
    <w:rsid w:val="007745B0"/>
    <w:rsid w:val="0077497B"/>
    <w:rsid w:val="00777B94"/>
    <w:rsid w:val="00780FA1"/>
    <w:rsid w:val="007813C1"/>
    <w:rsid w:val="00781E3F"/>
    <w:rsid w:val="007827E1"/>
    <w:rsid w:val="007842D3"/>
    <w:rsid w:val="00784745"/>
    <w:rsid w:val="007850AC"/>
    <w:rsid w:val="00787962"/>
    <w:rsid w:val="00790133"/>
    <w:rsid w:val="00790ABB"/>
    <w:rsid w:val="00792F4D"/>
    <w:rsid w:val="0079412E"/>
    <w:rsid w:val="007942C3"/>
    <w:rsid w:val="0079499A"/>
    <w:rsid w:val="00797525"/>
    <w:rsid w:val="007A21AF"/>
    <w:rsid w:val="007A30D7"/>
    <w:rsid w:val="007A4FDA"/>
    <w:rsid w:val="007A5B58"/>
    <w:rsid w:val="007A6E60"/>
    <w:rsid w:val="007A6F08"/>
    <w:rsid w:val="007A7360"/>
    <w:rsid w:val="007B20EB"/>
    <w:rsid w:val="007B2488"/>
    <w:rsid w:val="007B2CFB"/>
    <w:rsid w:val="007B30F5"/>
    <w:rsid w:val="007B4E29"/>
    <w:rsid w:val="007B54CE"/>
    <w:rsid w:val="007B60A9"/>
    <w:rsid w:val="007B64E7"/>
    <w:rsid w:val="007B7C2B"/>
    <w:rsid w:val="007C0D01"/>
    <w:rsid w:val="007C17ED"/>
    <w:rsid w:val="007C23D8"/>
    <w:rsid w:val="007C2B07"/>
    <w:rsid w:val="007C309C"/>
    <w:rsid w:val="007C6265"/>
    <w:rsid w:val="007D142D"/>
    <w:rsid w:val="007D1BC4"/>
    <w:rsid w:val="007D2262"/>
    <w:rsid w:val="007D2D55"/>
    <w:rsid w:val="007D2E87"/>
    <w:rsid w:val="007D41B8"/>
    <w:rsid w:val="007D4A8C"/>
    <w:rsid w:val="007D529D"/>
    <w:rsid w:val="007D61A6"/>
    <w:rsid w:val="007D6898"/>
    <w:rsid w:val="007E06B9"/>
    <w:rsid w:val="007E0A44"/>
    <w:rsid w:val="007E1A27"/>
    <w:rsid w:val="007E2489"/>
    <w:rsid w:val="007E3BFB"/>
    <w:rsid w:val="007E5D0E"/>
    <w:rsid w:val="007E5ED8"/>
    <w:rsid w:val="007E74B3"/>
    <w:rsid w:val="007F09F9"/>
    <w:rsid w:val="007F220C"/>
    <w:rsid w:val="007F2FED"/>
    <w:rsid w:val="007F3889"/>
    <w:rsid w:val="007F3FC5"/>
    <w:rsid w:val="007F4423"/>
    <w:rsid w:val="007F4E20"/>
    <w:rsid w:val="007F6985"/>
    <w:rsid w:val="007F7B5A"/>
    <w:rsid w:val="007F7E0C"/>
    <w:rsid w:val="008117FE"/>
    <w:rsid w:val="008134A3"/>
    <w:rsid w:val="008144DB"/>
    <w:rsid w:val="008159B6"/>
    <w:rsid w:val="0082068E"/>
    <w:rsid w:val="00820914"/>
    <w:rsid w:val="008215A6"/>
    <w:rsid w:val="00822259"/>
    <w:rsid w:val="008228AD"/>
    <w:rsid w:val="00830CD1"/>
    <w:rsid w:val="00831258"/>
    <w:rsid w:val="008314A7"/>
    <w:rsid w:val="00834038"/>
    <w:rsid w:val="00834B9F"/>
    <w:rsid w:val="008350FF"/>
    <w:rsid w:val="00835288"/>
    <w:rsid w:val="00836C5F"/>
    <w:rsid w:val="0084063B"/>
    <w:rsid w:val="00843CE7"/>
    <w:rsid w:val="008529D0"/>
    <w:rsid w:val="0085498A"/>
    <w:rsid w:val="00855158"/>
    <w:rsid w:val="00855D97"/>
    <w:rsid w:val="008566AD"/>
    <w:rsid w:val="00857A6D"/>
    <w:rsid w:val="0086084B"/>
    <w:rsid w:val="0086359D"/>
    <w:rsid w:val="0086459F"/>
    <w:rsid w:val="00867627"/>
    <w:rsid w:val="008719E2"/>
    <w:rsid w:val="00874A24"/>
    <w:rsid w:val="00876C77"/>
    <w:rsid w:val="00883032"/>
    <w:rsid w:val="00884B38"/>
    <w:rsid w:val="0088519F"/>
    <w:rsid w:val="00886E0E"/>
    <w:rsid w:val="00887C80"/>
    <w:rsid w:val="00890976"/>
    <w:rsid w:val="00890C5F"/>
    <w:rsid w:val="00891742"/>
    <w:rsid w:val="00891F6A"/>
    <w:rsid w:val="00894B46"/>
    <w:rsid w:val="00895BA1"/>
    <w:rsid w:val="00897F7C"/>
    <w:rsid w:val="008A032C"/>
    <w:rsid w:val="008A1C4A"/>
    <w:rsid w:val="008A678E"/>
    <w:rsid w:val="008A6BFC"/>
    <w:rsid w:val="008B3BE9"/>
    <w:rsid w:val="008B3ED9"/>
    <w:rsid w:val="008B4472"/>
    <w:rsid w:val="008B4DDA"/>
    <w:rsid w:val="008B7F73"/>
    <w:rsid w:val="008C3203"/>
    <w:rsid w:val="008C3A5F"/>
    <w:rsid w:val="008C41FD"/>
    <w:rsid w:val="008C50FA"/>
    <w:rsid w:val="008C54E9"/>
    <w:rsid w:val="008C68D5"/>
    <w:rsid w:val="008C7B42"/>
    <w:rsid w:val="008D461C"/>
    <w:rsid w:val="008D6041"/>
    <w:rsid w:val="008D6F42"/>
    <w:rsid w:val="008E2151"/>
    <w:rsid w:val="008E430C"/>
    <w:rsid w:val="008E5FC2"/>
    <w:rsid w:val="008E6791"/>
    <w:rsid w:val="008E6F05"/>
    <w:rsid w:val="008F19CD"/>
    <w:rsid w:val="008F1D7E"/>
    <w:rsid w:val="008F4EA3"/>
    <w:rsid w:val="00900524"/>
    <w:rsid w:val="0090220F"/>
    <w:rsid w:val="00904822"/>
    <w:rsid w:val="009101A7"/>
    <w:rsid w:val="00915158"/>
    <w:rsid w:val="0092176B"/>
    <w:rsid w:val="00921D4A"/>
    <w:rsid w:val="00921DFA"/>
    <w:rsid w:val="00924441"/>
    <w:rsid w:val="0092452F"/>
    <w:rsid w:val="00925029"/>
    <w:rsid w:val="00926B68"/>
    <w:rsid w:val="00927B78"/>
    <w:rsid w:val="00930F55"/>
    <w:rsid w:val="00931019"/>
    <w:rsid w:val="0093184D"/>
    <w:rsid w:val="009319D5"/>
    <w:rsid w:val="00931EBE"/>
    <w:rsid w:val="009323D6"/>
    <w:rsid w:val="009339BC"/>
    <w:rsid w:val="0093578C"/>
    <w:rsid w:val="009357ED"/>
    <w:rsid w:val="0094321D"/>
    <w:rsid w:val="0094422E"/>
    <w:rsid w:val="00945634"/>
    <w:rsid w:val="009464B8"/>
    <w:rsid w:val="009514A6"/>
    <w:rsid w:val="009531D7"/>
    <w:rsid w:val="00953514"/>
    <w:rsid w:val="009552BF"/>
    <w:rsid w:val="009562A9"/>
    <w:rsid w:val="00957DCD"/>
    <w:rsid w:val="00960CA9"/>
    <w:rsid w:val="00961E15"/>
    <w:rsid w:val="0096330A"/>
    <w:rsid w:val="009669BC"/>
    <w:rsid w:val="00971857"/>
    <w:rsid w:val="00971CAB"/>
    <w:rsid w:val="00972AEB"/>
    <w:rsid w:val="00972EB8"/>
    <w:rsid w:val="00973A37"/>
    <w:rsid w:val="0097411B"/>
    <w:rsid w:val="009742A7"/>
    <w:rsid w:val="009748DF"/>
    <w:rsid w:val="00977212"/>
    <w:rsid w:val="009800EA"/>
    <w:rsid w:val="009802F7"/>
    <w:rsid w:val="00980C85"/>
    <w:rsid w:val="00982E3C"/>
    <w:rsid w:val="00985A77"/>
    <w:rsid w:val="00985B23"/>
    <w:rsid w:val="00986A29"/>
    <w:rsid w:val="009912BD"/>
    <w:rsid w:val="0099220F"/>
    <w:rsid w:val="0099265A"/>
    <w:rsid w:val="00994A6E"/>
    <w:rsid w:val="009967DE"/>
    <w:rsid w:val="00997539"/>
    <w:rsid w:val="009A0FCB"/>
    <w:rsid w:val="009A17B5"/>
    <w:rsid w:val="009A1B13"/>
    <w:rsid w:val="009A2747"/>
    <w:rsid w:val="009A3C9D"/>
    <w:rsid w:val="009A465B"/>
    <w:rsid w:val="009A6675"/>
    <w:rsid w:val="009A7E31"/>
    <w:rsid w:val="009B28D9"/>
    <w:rsid w:val="009B2981"/>
    <w:rsid w:val="009B57DC"/>
    <w:rsid w:val="009B7CB7"/>
    <w:rsid w:val="009C447B"/>
    <w:rsid w:val="009C5353"/>
    <w:rsid w:val="009C5943"/>
    <w:rsid w:val="009C5F20"/>
    <w:rsid w:val="009D1C7D"/>
    <w:rsid w:val="009D47C6"/>
    <w:rsid w:val="009D4DAC"/>
    <w:rsid w:val="009D53C1"/>
    <w:rsid w:val="009D648E"/>
    <w:rsid w:val="009D6E87"/>
    <w:rsid w:val="009E1050"/>
    <w:rsid w:val="009E1250"/>
    <w:rsid w:val="009E24D8"/>
    <w:rsid w:val="009E2AB5"/>
    <w:rsid w:val="009E2C90"/>
    <w:rsid w:val="009E4C43"/>
    <w:rsid w:val="009E4E9B"/>
    <w:rsid w:val="009E7B23"/>
    <w:rsid w:val="009F04AA"/>
    <w:rsid w:val="009F0BFE"/>
    <w:rsid w:val="009F2235"/>
    <w:rsid w:val="009F2736"/>
    <w:rsid w:val="009F3D32"/>
    <w:rsid w:val="009F476E"/>
    <w:rsid w:val="009F5BAC"/>
    <w:rsid w:val="009F5DF8"/>
    <w:rsid w:val="009F65DC"/>
    <w:rsid w:val="00A01469"/>
    <w:rsid w:val="00A04F0B"/>
    <w:rsid w:val="00A05AB0"/>
    <w:rsid w:val="00A05DC4"/>
    <w:rsid w:val="00A0600F"/>
    <w:rsid w:val="00A06CA3"/>
    <w:rsid w:val="00A075D4"/>
    <w:rsid w:val="00A10BA6"/>
    <w:rsid w:val="00A16AAE"/>
    <w:rsid w:val="00A20AD6"/>
    <w:rsid w:val="00A22B7E"/>
    <w:rsid w:val="00A2713E"/>
    <w:rsid w:val="00A2719D"/>
    <w:rsid w:val="00A304AA"/>
    <w:rsid w:val="00A3357F"/>
    <w:rsid w:val="00A34131"/>
    <w:rsid w:val="00A356DC"/>
    <w:rsid w:val="00A40638"/>
    <w:rsid w:val="00A40F6D"/>
    <w:rsid w:val="00A4144A"/>
    <w:rsid w:val="00A42170"/>
    <w:rsid w:val="00A43D7C"/>
    <w:rsid w:val="00A43F2F"/>
    <w:rsid w:val="00A45652"/>
    <w:rsid w:val="00A46F89"/>
    <w:rsid w:val="00A50C29"/>
    <w:rsid w:val="00A532D5"/>
    <w:rsid w:val="00A64A03"/>
    <w:rsid w:val="00A65592"/>
    <w:rsid w:val="00A67DC7"/>
    <w:rsid w:val="00A67EA1"/>
    <w:rsid w:val="00A70CC0"/>
    <w:rsid w:val="00A727E4"/>
    <w:rsid w:val="00A73985"/>
    <w:rsid w:val="00A7544A"/>
    <w:rsid w:val="00A76C10"/>
    <w:rsid w:val="00A7749A"/>
    <w:rsid w:val="00A821A7"/>
    <w:rsid w:val="00A8239F"/>
    <w:rsid w:val="00A83B00"/>
    <w:rsid w:val="00A841C2"/>
    <w:rsid w:val="00A84713"/>
    <w:rsid w:val="00A85C41"/>
    <w:rsid w:val="00A8646D"/>
    <w:rsid w:val="00A86D93"/>
    <w:rsid w:val="00A87680"/>
    <w:rsid w:val="00A87A0F"/>
    <w:rsid w:val="00A87D90"/>
    <w:rsid w:val="00A9039C"/>
    <w:rsid w:val="00A91FEC"/>
    <w:rsid w:val="00A931F3"/>
    <w:rsid w:val="00A95ED3"/>
    <w:rsid w:val="00AA16FE"/>
    <w:rsid w:val="00AA63C0"/>
    <w:rsid w:val="00AA686F"/>
    <w:rsid w:val="00AB23EF"/>
    <w:rsid w:val="00AB592C"/>
    <w:rsid w:val="00AB614F"/>
    <w:rsid w:val="00AC0485"/>
    <w:rsid w:val="00AC182B"/>
    <w:rsid w:val="00AC205A"/>
    <w:rsid w:val="00AC3099"/>
    <w:rsid w:val="00AC3ABA"/>
    <w:rsid w:val="00AC4F26"/>
    <w:rsid w:val="00AC6C41"/>
    <w:rsid w:val="00AC72A5"/>
    <w:rsid w:val="00AD20C2"/>
    <w:rsid w:val="00AD376D"/>
    <w:rsid w:val="00AD68EF"/>
    <w:rsid w:val="00AD6EDD"/>
    <w:rsid w:val="00AD713D"/>
    <w:rsid w:val="00AE636F"/>
    <w:rsid w:val="00AF2948"/>
    <w:rsid w:val="00AF3568"/>
    <w:rsid w:val="00AF57D0"/>
    <w:rsid w:val="00AF57F5"/>
    <w:rsid w:val="00AF74DB"/>
    <w:rsid w:val="00B043CF"/>
    <w:rsid w:val="00B055C1"/>
    <w:rsid w:val="00B05975"/>
    <w:rsid w:val="00B07B46"/>
    <w:rsid w:val="00B1166F"/>
    <w:rsid w:val="00B11B86"/>
    <w:rsid w:val="00B12573"/>
    <w:rsid w:val="00B130D7"/>
    <w:rsid w:val="00B20108"/>
    <w:rsid w:val="00B207D7"/>
    <w:rsid w:val="00B243A4"/>
    <w:rsid w:val="00B24E03"/>
    <w:rsid w:val="00B2530C"/>
    <w:rsid w:val="00B256E0"/>
    <w:rsid w:val="00B264F6"/>
    <w:rsid w:val="00B26A65"/>
    <w:rsid w:val="00B26B16"/>
    <w:rsid w:val="00B27074"/>
    <w:rsid w:val="00B275A4"/>
    <w:rsid w:val="00B32AFE"/>
    <w:rsid w:val="00B336AF"/>
    <w:rsid w:val="00B33CDB"/>
    <w:rsid w:val="00B3578B"/>
    <w:rsid w:val="00B36711"/>
    <w:rsid w:val="00B36EE6"/>
    <w:rsid w:val="00B37774"/>
    <w:rsid w:val="00B37BAF"/>
    <w:rsid w:val="00B401B4"/>
    <w:rsid w:val="00B404C4"/>
    <w:rsid w:val="00B405E2"/>
    <w:rsid w:val="00B41516"/>
    <w:rsid w:val="00B4266F"/>
    <w:rsid w:val="00B43EFB"/>
    <w:rsid w:val="00B508A0"/>
    <w:rsid w:val="00B50A6A"/>
    <w:rsid w:val="00B52FC0"/>
    <w:rsid w:val="00B5328D"/>
    <w:rsid w:val="00B53D8F"/>
    <w:rsid w:val="00B54287"/>
    <w:rsid w:val="00B54BE0"/>
    <w:rsid w:val="00B5542F"/>
    <w:rsid w:val="00B55519"/>
    <w:rsid w:val="00B57363"/>
    <w:rsid w:val="00B61021"/>
    <w:rsid w:val="00B6227D"/>
    <w:rsid w:val="00B6678E"/>
    <w:rsid w:val="00B67E45"/>
    <w:rsid w:val="00B71AB2"/>
    <w:rsid w:val="00B72B82"/>
    <w:rsid w:val="00B74113"/>
    <w:rsid w:val="00B744A6"/>
    <w:rsid w:val="00B749E0"/>
    <w:rsid w:val="00B774A6"/>
    <w:rsid w:val="00B8009D"/>
    <w:rsid w:val="00B821E4"/>
    <w:rsid w:val="00B82630"/>
    <w:rsid w:val="00B836E9"/>
    <w:rsid w:val="00B84557"/>
    <w:rsid w:val="00B8623D"/>
    <w:rsid w:val="00B96E78"/>
    <w:rsid w:val="00BA0661"/>
    <w:rsid w:val="00BA1A51"/>
    <w:rsid w:val="00BA1E8D"/>
    <w:rsid w:val="00BA2C47"/>
    <w:rsid w:val="00BB11B5"/>
    <w:rsid w:val="00BB22CC"/>
    <w:rsid w:val="00BB2A54"/>
    <w:rsid w:val="00BB34AB"/>
    <w:rsid w:val="00BB7A5C"/>
    <w:rsid w:val="00BC06B9"/>
    <w:rsid w:val="00BC09F4"/>
    <w:rsid w:val="00BC0DC8"/>
    <w:rsid w:val="00BC648C"/>
    <w:rsid w:val="00BC715C"/>
    <w:rsid w:val="00BD06E1"/>
    <w:rsid w:val="00BD3373"/>
    <w:rsid w:val="00BD39BC"/>
    <w:rsid w:val="00BD4DA0"/>
    <w:rsid w:val="00BD4E5B"/>
    <w:rsid w:val="00BD6674"/>
    <w:rsid w:val="00BE13C4"/>
    <w:rsid w:val="00BE2923"/>
    <w:rsid w:val="00BE42A1"/>
    <w:rsid w:val="00BE7187"/>
    <w:rsid w:val="00BE7CC2"/>
    <w:rsid w:val="00BF1351"/>
    <w:rsid w:val="00BF1B14"/>
    <w:rsid w:val="00C00C85"/>
    <w:rsid w:val="00C024F6"/>
    <w:rsid w:val="00C03F86"/>
    <w:rsid w:val="00C073FF"/>
    <w:rsid w:val="00C10817"/>
    <w:rsid w:val="00C10A85"/>
    <w:rsid w:val="00C10FE7"/>
    <w:rsid w:val="00C1195E"/>
    <w:rsid w:val="00C13C3D"/>
    <w:rsid w:val="00C15B3F"/>
    <w:rsid w:val="00C15C44"/>
    <w:rsid w:val="00C1723C"/>
    <w:rsid w:val="00C17D4A"/>
    <w:rsid w:val="00C20CD3"/>
    <w:rsid w:val="00C215ED"/>
    <w:rsid w:val="00C225A7"/>
    <w:rsid w:val="00C2318C"/>
    <w:rsid w:val="00C26E59"/>
    <w:rsid w:val="00C3294E"/>
    <w:rsid w:val="00C33682"/>
    <w:rsid w:val="00C34584"/>
    <w:rsid w:val="00C36896"/>
    <w:rsid w:val="00C40B0C"/>
    <w:rsid w:val="00C44DA9"/>
    <w:rsid w:val="00C44EAE"/>
    <w:rsid w:val="00C475CF"/>
    <w:rsid w:val="00C47BF4"/>
    <w:rsid w:val="00C51B2D"/>
    <w:rsid w:val="00C52D5A"/>
    <w:rsid w:val="00C5354E"/>
    <w:rsid w:val="00C562F0"/>
    <w:rsid w:val="00C56B5C"/>
    <w:rsid w:val="00C57F98"/>
    <w:rsid w:val="00C62119"/>
    <w:rsid w:val="00C62402"/>
    <w:rsid w:val="00C635B8"/>
    <w:rsid w:val="00C63789"/>
    <w:rsid w:val="00C64C8F"/>
    <w:rsid w:val="00C65D2F"/>
    <w:rsid w:val="00C66376"/>
    <w:rsid w:val="00C7058D"/>
    <w:rsid w:val="00C70E93"/>
    <w:rsid w:val="00C71E01"/>
    <w:rsid w:val="00C752DD"/>
    <w:rsid w:val="00C80046"/>
    <w:rsid w:val="00C826FD"/>
    <w:rsid w:val="00C833C7"/>
    <w:rsid w:val="00C841D8"/>
    <w:rsid w:val="00C842C8"/>
    <w:rsid w:val="00C84CED"/>
    <w:rsid w:val="00C85277"/>
    <w:rsid w:val="00C855E4"/>
    <w:rsid w:val="00C87B03"/>
    <w:rsid w:val="00C9041A"/>
    <w:rsid w:val="00C90580"/>
    <w:rsid w:val="00C90D8B"/>
    <w:rsid w:val="00C92FFB"/>
    <w:rsid w:val="00C93791"/>
    <w:rsid w:val="00C9667A"/>
    <w:rsid w:val="00C96D43"/>
    <w:rsid w:val="00C96E87"/>
    <w:rsid w:val="00C97ADB"/>
    <w:rsid w:val="00CA0186"/>
    <w:rsid w:val="00CA1B2C"/>
    <w:rsid w:val="00CA284E"/>
    <w:rsid w:val="00CA3D5E"/>
    <w:rsid w:val="00CA4D96"/>
    <w:rsid w:val="00CA6EE1"/>
    <w:rsid w:val="00CA7353"/>
    <w:rsid w:val="00CA79FF"/>
    <w:rsid w:val="00CB03AB"/>
    <w:rsid w:val="00CB0F95"/>
    <w:rsid w:val="00CB34A3"/>
    <w:rsid w:val="00CB4169"/>
    <w:rsid w:val="00CB462C"/>
    <w:rsid w:val="00CB4BB7"/>
    <w:rsid w:val="00CB57A6"/>
    <w:rsid w:val="00CB7729"/>
    <w:rsid w:val="00CB7A95"/>
    <w:rsid w:val="00CC0A80"/>
    <w:rsid w:val="00CC3A68"/>
    <w:rsid w:val="00CC3E09"/>
    <w:rsid w:val="00CC4103"/>
    <w:rsid w:val="00CC4E80"/>
    <w:rsid w:val="00CC6FDA"/>
    <w:rsid w:val="00CD09CF"/>
    <w:rsid w:val="00CD0F0E"/>
    <w:rsid w:val="00CD1347"/>
    <w:rsid w:val="00CD1C45"/>
    <w:rsid w:val="00CD2076"/>
    <w:rsid w:val="00CD2EA3"/>
    <w:rsid w:val="00CD5103"/>
    <w:rsid w:val="00CD58E7"/>
    <w:rsid w:val="00CD601B"/>
    <w:rsid w:val="00CD620D"/>
    <w:rsid w:val="00CD6443"/>
    <w:rsid w:val="00CE1FBF"/>
    <w:rsid w:val="00CE38FC"/>
    <w:rsid w:val="00CE696D"/>
    <w:rsid w:val="00CE6F18"/>
    <w:rsid w:val="00CF4E8A"/>
    <w:rsid w:val="00CF53D6"/>
    <w:rsid w:val="00CF639B"/>
    <w:rsid w:val="00D001B4"/>
    <w:rsid w:val="00D02A33"/>
    <w:rsid w:val="00D041BD"/>
    <w:rsid w:val="00D047C0"/>
    <w:rsid w:val="00D0524E"/>
    <w:rsid w:val="00D05487"/>
    <w:rsid w:val="00D104B9"/>
    <w:rsid w:val="00D16450"/>
    <w:rsid w:val="00D164F1"/>
    <w:rsid w:val="00D166D7"/>
    <w:rsid w:val="00D171D3"/>
    <w:rsid w:val="00D17DE0"/>
    <w:rsid w:val="00D20AFE"/>
    <w:rsid w:val="00D20BDA"/>
    <w:rsid w:val="00D22462"/>
    <w:rsid w:val="00D2363C"/>
    <w:rsid w:val="00D2374C"/>
    <w:rsid w:val="00D25161"/>
    <w:rsid w:val="00D251DD"/>
    <w:rsid w:val="00D255CF"/>
    <w:rsid w:val="00D25EA1"/>
    <w:rsid w:val="00D268A6"/>
    <w:rsid w:val="00D2723E"/>
    <w:rsid w:val="00D313A5"/>
    <w:rsid w:val="00D3151A"/>
    <w:rsid w:val="00D31F30"/>
    <w:rsid w:val="00D32649"/>
    <w:rsid w:val="00D32A78"/>
    <w:rsid w:val="00D331DD"/>
    <w:rsid w:val="00D35DEE"/>
    <w:rsid w:val="00D36450"/>
    <w:rsid w:val="00D4056C"/>
    <w:rsid w:val="00D40CB0"/>
    <w:rsid w:val="00D4189A"/>
    <w:rsid w:val="00D42058"/>
    <w:rsid w:val="00D426C4"/>
    <w:rsid w:val="00D441E5"/>
    <w:rsid w:val="00D44CE8"/>
    <w:rsid w:val="00D46475"/>
    <w:rsid w:val="00D51145"/>
    <w:rsid w:val="00D531D4"/>
    <w:rsid w:val="00D54E50"/>
    <w:rsid w:val="00D551B6"/>
    <w:rsid w:val="00D57016"/>
    <w:rsid w:val="00D571A0"/>
    <w:rsid w:val="00D703E3"/>
    <w:rsid w:val="00D70D6C"/>
    <w:rsid w:val="00D713B2"/>
    <w:rsid w:val="00D7250D"/>
    <w:rsid w:val="00D749C9"/>
    <w:rsid w:val="00D82DAC"/>
    <w:rsid w:val="00D8396E"/>
    <w:rsid w:val="00D849F9"/>
    <w:rsid w:val="00D879CC"/>
    <w:rsid w:val="00D928B9"/>
    <w:rsid w:val="00D94D65"/>
    <w:rsid w:val="00D9524E"/>
    <w:rsid w:val="00D953AC"/>
    <w:rsid w:val="00D97DBC"/>
    <w:rsid w:val="00DA1BD6"/>
    <w:rsid w:val="00DA2012"/>
    <w:rsid w:val="00DA2E97"/>
    <w:rsid w:val="00DA50CD"/>
    <w:rsid w:val="00DA69E3"/>
    <w:rsid w:val="00DA6BC8"/>
    <w:rsid w:val="00DB1DA9"/>
    <w:rsid w:val="00DB1E69"/>
    <w:rsid w:val="00DB239F"/>
    <w:rsid w:val="00DB41B1"/>
    <w:rsid w:val="00DB5C29"/>
    <w:rsid w:val="00DB5D01"/>
    <w:rsid w:val="00DB6A0E"/>
    <w:rsid w:val="00DB6AC2"/>
    <w:rsid w:val="00DC0BED"/>
    <w:rsid w:val="00DC3115"/>
    <w:rsid w:val="00DC34EA"/>
    <w:rsid w:val="00DC3D7C"/>
    <w:rsid w:val="00DC4030"/>
    <w:rsid w:val="00DC4DB9"/>
    <w:rsid w:val="00DC5766"/>
    <w:rsid w:val="00DC6C7F"/>
    <w:rsid w:val="00DC773B"/>
    <w:rsid w:val="00DD11FA"/>
    <w:rsid w:val="00DD1586"/>
    <w:rsid w:val="00DD2C1B"/>
    <w:rsid w:val="00DD3801"/>
    <w:rsid w:val="00DD38AA"/>
    <w:rsid w:val="00DD6A67"/>
    <w:rsid w:val="00DD7846"/>
    <w:rsid w:val="00DD7E35"/>
    <w:rsid w:val="00DD7FFE"/>
    <w:rsid w:val="00DE110D"/>
    <w:rsid w:val="00DE132A"/>
    <w:rsid w:val="00DE26AF"/>
    <w:rsid w:val="00DE2EC2"/>
    <w:rsid w:val="00DE350D"/>
    <w:rsid w:val="00DE3BEB"/>
    <w:rsid w:val="00DE436C"/>
    <w:rsid w:val="00DE4912"/>
    <w:rsid w:val="00DE7D31"/>
    <w:rsid w:val="00DF0BE6"/>
    <w:rsid w:val="00DF13E5"/>
    <w:rsid w:val="00DF4931"/>
    <w:rsid w:val="00DF4CF7"/>
    <w:rsid w:val="00DF5130"/>
    <w:rsid w:val="00DF6945"/>
    <w:rsid w:val="00DF6DA3"/>
    <w:rsid w:val="00DF7071"/>
    <w:rsid w:val="00E053B6"/>
    <w:rsid w:val="00E062E3"/>
    <w:rsid w:val="00E06B39"/>
    <w:rsid w:val="00E07129"/>
    <w:rsid w:val="00E0712A"/>
    <w:rsid w:val="00E07CAB"/>
    <w:rsid w:val="00E10F5A"/>
    <w:rsid w:val="00E125BC"/>
    <w:rsid w:val="00E1631E"/>
    <w:rsid w:val="00E17951"/>
    <w:rsid w:val="00E20191"/>
    <w:rsid w:val="00E20C62"/>
    <w:rsid w:val="00E21040"/>
    <w:rsid w:val="00E218F7"/>
    <w:rsid w:val="00E24D08"/>
    <w:rsid w:val="00E27229"/>
    <w:rsid w:val="00E27555"/>
    <w:rsid w:val="00E308A8"/>
    <w:rsid w:val="00E3123F"/>
    <w:rsid w:val="00E326CD"/>
    <w:rsid w:val="00E36A71"/>
    <w:rsid w:val="00E411F0"/>
    <w:rsid w:val="00E41370"/>
    <w:rsid w:val="00E426CB"/>
    <w:rsid w:val="00E432B3"/>
    <w:rsid w:val="00E4631B"/>
    <w:rsid w:val="00E46DFB"/>
    <w:rsid w:val="00E47225"/>
    <w:rsid w:val="00E47332"/>
    <w:rsid w:val="00E47FE6"/>
    <w:rsid w:val="00E500EF"/>
    <w:rsid w:val="00E503C9"/>
    <w:rsid w:val="00E50755"/>
    <w:rsid w:val="00E5494B"/>
    <w:rsid w:val="00E54DAF"/>
    <w:rsid w:val="00E54E7A"/>
    <w:rsid w:val="00E614D9"/>
    <w:rsid w:val="00E627A1"/>
    <w:rsid w:val="00E66CAC"/>
    <w:rsid w:val="00E67A59"/>
    <w:rsid w:val="00E706AC"/>
    <w:rsid w:val="00E70DDE"/>
    <w:rsid w:val="00E71F1B"/>
    <w:rsid w:val="00E740B1"/>
    <w:rsid w:val="00E749B8"/>
    <w:rsid w:val="00E7717F"/>
    <w:rsid w:val="00E8085D"/>
    <w:rsid w:val="00E8197E"/>
    <w:rsid w:val="00E81B84"/>
    <w:rsid w:val="00E834B0"/>
    <w:rsid w:val="00E835E9"/>
    <w:rsid w:val="00E836ED"/>
    <w:rsid w:val="00E83A6E"/>
    <w:rsid w:val="00E861A8"/>
    <w:rsid w:val="00E877DE"/>
    <w:rsid w:val="00E87D1C"/>
    <w:rsid w:val="00E87EE9"/>
    <w:rsid w:val="00E92900"/>
    <w:rsid w:val="00E929BC"/>
    <w:rsid w:val="00E94A0A"/>
    <w:rsid w:val="00E959EC"/>
    <w:rsid w:val="00E964E6"/>
    <w:rsid w:val="00E97F87"/>
    <w:rsid w:val="00EA1050"/>
    <w:rsid w:val="00EA149D"/>
    <w:rsid w:val="00EA33FD"/>
    <w:rsid w:val="00EA48B5"/>
    <w:rsid w:val="00EA5FF2"/>
    <w:rsid w:val="00EA6742"/>
    <w:rsid w:val="00EB0035"/>
    <w:rsid w:val="00EB0494"/>
    <w:rsid w:val="00EB1950"/>
    <w:rsid w:val="00EB3037"/>
    <w:rsid w:val="00EB3E99"/>
    <w:rsid w:val="00EB6712"/>
    <w:rsid w:val="00EB68C8"/>
    <w:rsid w:val="00EB6A3B"/>
    <w:rsid w:val="00EB7B94"/>
    <w:rsid w:val="00EC0B1B"/>
    <w:rsid w:val="00EC1690"/>
    <w:rsid w:val="00EC4C37"/>
    <w:rsid w:val="00EC56FB"/>
    <w:rsid w:val="00EC7BAB"/>
    <w:rsid w:val="00EC7F09"/>
    <w:rsid w:val="00ED01A1"/>
    <w:rsid w:val="00ED2E4F"/>
    <w:rsid w:val="00ED3654"/>
    <w:rsid w:val="00ED5FB2"/>
    <w:rsid w:val="00ED6453"/>
    <w:rsid w:val="00EE1186"/>
    <w:rsid w:val="00EE152E"/>
    <w:rsid w:val="00EE1995"/>
    <w:rsid w:val="00EE27C8"/>
    <w:rsid w:val="00EE5F64"/>
    <w:rsid w:val="00EE67FB"/>
    <w:rsid w:val="00EE6C5D"/>
    <w:rsid w:val="00EE6FBA"/>
    <w:rsid w:val="00EE7543"/>
    <w:rsid w:val="00EF2FD1"/>
    <w:rsid w:val="00EF431D"/>
    <w:rsid w:val="00EF5898"/>
    <w:rsid w:val="00EF5D32"/>
    <w:rsid w:val="00EF61BD"/>
    <w:rsid w:val="00F002A1"/>
    <w:rsid w:val="00F008A6"/>
    <w:rsid w:val="00F04550"/>
    <w:rsid w:val="00F052BD"/>
    <w:rsid w:val="00F06665"/>
    <w:rsid w:val="00F073A7"/>
    <w:rsid w:val="00F1290F"/>
    <w:rsid w:val="00F143A7"/>
    <w:rsid w:val="00F1516E"/>
    <w:rsid w:val="00F169FD"/>
    <w:rsid w:val="00F17167"/>
    <w:rsid w:val="00F2337B"/>
    <w:rsid w:val="00F24FA1"/>
    <w:rsid w:val="00F252A6"/>
    <w:rsid w:val="00F25D44"/>
    <w:rsid w:val="00F2674E"/>
    <w:rsid w:val="00F27AF5"/>
    <w:rsid w:val="00F27E35"/>
    <w:rsid w:val="00F27E83"/>
    <w:rsid w:val="00F3017C"/>
    <w:rsid w:val="00F31B5F"/>
    <w:rsid w:val="00F31EFB"/>
    <w:rsid w:val="00F33238"/>
    <w:rsid w:val="00F332F9"/>
    <w:rsid w:val="00F335C8"/>
    <w:rsid w:val="00F33727"/>
    <w:rsid w:val="00F34C7E"/>
    <w:rsid w:val="00F34D91"/>
    <w:rsid w:val="00F42367"/>
    <w:rsid w:val="00F42879"/>
    <w:rsid w:val="00F4397E"/>
    <w:rsid w:val="00F439BC"/>
    <w:rsid w:val="00F45379"/>
    <w:rsid w:val="00F462EA"/>
    <w:rsid w:val="00F4691E"/>
    <w:rsid w:val="00F5043E"/>
    <w:rsid w:val="00F51094"/>
    <w:rsid w:val="00F527E7"/>
    <w:rsid w:val="00F5360C"/>
    <w:rsid w:val="00F53AC0"/>
    <w:rsid w:val="00F54373"/>
    <w:rsid w:val="00F56140"/>
    <w:rsid w:val="00F5717D"/>
    <w:rsid w:val="00F61879"/>
    <w:rsid w:val="00F647EE"/>
    <w:rsid w:val="00F64937"/>
    <w:rsid w:val="00F64938"/>
    <w:rsid w:val="00F64ED7"/>
    <w:rsid w:val="00F66C26"/>
    <w:rsid w:val="00F67E7A"/>
    <w:rsid w:val="00F703D7"/>
    <w:rsid w:val="00F70558"/>
    <w:rsid w:val="00F7178F"/>
    <w:rsid w:val="00F72C61"/>
    <w:rsid w:val="00F7352B"/>
    <w:rsid w:val="00F74610"/>
    <w:rsid w:val="00F7479C"/>
    <w:rsid w:val="00F764E5"/>
    <w:rsid w:val="00F8119A"/>
    <w:rsid w:val="00F83470"/>
    <w:rsid w:val="00F84501"/>
    <w:rsid w:val="00F863EA"/>
    <w:rsid w:val="00F91417"/>
    <w:rsid w:val="00F916B5"/>
    <w:rsid w:val="00F920F8"/>
    <w:rsid w:val="00F921BE"/>
    <w:rsid w:val="00F9220A"/>
    <w:rsid w:val="00F924F3"/>
    <w:rsid w:val="00F95472"/>
    <w:rsid w:val="00FA05E5"/>
    <w:rsid w:val="00FA08FE"/>
    <w:rsid w:val="00FA0F6F"/>
    <w:rsid w:val="00FA101C"/>
    <w:rsid w:val="00FA1805"/>
    <w:rsid w:val="00FA24AB"/>
    <w:rsid w:val="00FA29D6"/>
    <w:rsid w:val="00FA364A"/>
    <w:rsid w:val="00FA4E12"/>
    <w:rsid w:val="00FA5006"/>
    <w:rsid w:val="00FA783D"/>
    <w:rsid w:val="00FB12C2"/>
    <w:rsid w:val="00FB3110"/>
    <w:rsid w:val="00FB31BB"/>
    <w:rsid w:val="00FB4049"/>
    <w:rsid w:val="00FB47A0"/>
    <w:rsid w:val="00FC0BC0"/>
    <w:rsid w:val="00FC133D"/>
    <w:rsid w:val="00FC2B72"/>
    <w:rsid w:val="00FC324A"/>
    <w:rsid w:val="00FC3BC2"/>
    <w:rsid w:val="00FC556D"/>
    <w:rsid w:val="00FC57CA"/>
    <w:rsid w:val="00FC5BAA"/>
    <w:rsid w:val="00FC5D53"/>
    <w:rsid w:val="00FC7D77"/>
    <w:rsid w:val="00FC7D85"/>
    <w:rsid w:val="00FD2CAB"/>
    <w:rsid w:val="00FD553F"/>
    <w:rsid w:val="00FD69AC"/>
    <w:rsid w:val="00FD6B48"/>
    <w:rsid w:val="00FE2248"/>
    <w:rsid w:val="00FE363B"/>
    <w:rsid w:val="00FE3DB6"/>
    <w:rsid w:val="00FE465E"/>
    <w:rsid w:val="00FE4F88"/>
    <w:rsid w:val="00FE6B3F"/>
    <w:rsid w:val="00FE6F4C"/>
    <w:rsid w:val="00FF5E5C"/>
    <w:rsid w:val="00FF5F58"/>
    <w:rsid w:val="00FF74C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73"/>
    <w:rPr>
      <w:rFonts w:ascii="Garamond" w:hAnsi="Garamond"/>
      <w:sz w:val="24"/>
      <w:szCs w:val="24"/>
    </w:rPr>
  </w:style>
  <w:style w:type="paragraph" w:styleId="Heading1">
    <w:name w:val="heading 1"/>
    <w:basedOn w:val="Normal"/>
    <w:next w:val="Normal"/>
    <w:link w:val="Heading1Char"/>
    <w:uiPriority w:val="9"/>
    <w:qFormat/>
    <w:rsid w:val="00BD3373"/>
    <w:pPr>
      <w:keepNext/>
      <w:numPr>
        <w:numId w:val="2"/>
      </w:numPr>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BD3373"/>
    <w:pPr>
      <w:keepNext/>
      <w:numPr>
        <w:ilvl w:val="1"/>
        <w:numId w:val="2"/>
      </w:numPr>
      <w:spacing w:before="240" w:after="60"/>
      <w:outlineLvl w:val="1"/>
    </w:pPr>
    <w:rPr>
      <w:rFonts w:eastAsiaTheme="majorEastAsia"/>
      <w:b/>
      <w:bCs/>
      <w:i/>
      <w:iCs/>
      <w:sz w:val="28"/>
      <w:szCs w:val="28"/>
    </w:rPr>
  </w:style>
  <w:style w:type="paragraph" w:styleId="Heading3">
    <w:name w:val="heading 3"/>
    <w:basedOn w:val="EYBodytextwithparaspace"/>
    <w:next w:val="Normal"/>
    <w:link w:val="Heading3Char"/>
    <w:uiPriority w:val="9"/>
    <w:unhideWhenUsed/>
    <w:qFormat/>
    <w:rsid w:val="00F1290F"/>
    <w:pPr>
      <w:outlineLvl w:val="2"/>
    </w:pPr>
    <w:rPr>
      <w:b/>
    </w:rPr>
  </w:style>
  <w:style w:type="paragraph" w:styleId="Heading4">
    <w:name w:val="heading 4"/>
    <w:basedOn w:val="Normal"/>
    <w:next w:val="Normal"/>
    <w:link w:val="Heading4Char"/>
    <w:uiPriority w:val="9"/>
    <w:unhideWhenUsed/>
    <w:qFormat/>
    <w:rsid w:val="00115C91"/>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15C91"/>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15C91"/>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15C91"/>
    <w:pPr>
      <w:numPr>
        <w:ilvl w:val="6"/>
        <w:numId w:val="2"/>
      </w:numPr>
      <w:spacing w:before="240" w:after="60"/>
      <w:outlineLvl w:val="6"/>
    </w:pPr>
  </w:style>
  <w:style w:type="paragraph" w:styleId="Heading8">
    <w:name w:val="heading 8"/>
    <w:basedOn w:val="Normal"/>
    <w:next w:val="Normal"/>
    <w:link w:val="Heading8Char"/>
    <w:uiPriority w:val="9"/>
    <w:semiHidden/>
    <w:unhideWhenUsed/>
    <w:qFormat/>
    <w:rsid w:val="00115C91"/>
    <w:pPr>
      <w:numPr>
        <w:ilvl w:val="7"/>
        <w:numId w:val="2"/>
      </w:numPr>
      <w:spacing w:before="240" w:after="60"/>
      <w:outlineLvl w:val="7"/>
    </w:pPr>
    <w:rPr>
      <w:i/>
      <w:iCs/>
    </w:rPr>
  </w:style>
  <w:style w:type="paragraph" w:styleId="Heading9">
    <w:name w:val="heading 9"/>
    <w:basedOn w:val="Normal"/>
    <w:next w:val="Normal"/>
    <w:link w:val="Heading9Char"/>
    <w:uiPriority w:val="9"/>
    <w:semiHidden/>
    <w:unhideWhenUsed/>
    <w:qFormat/>
    <w:rsid w:val="00115C91"/>
    <w:pPr>
      <w:numPr>
        <w:ilvl w:val="8"/>
        <w:numId w:val="2"/>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290F"/>
    <w:rPr>
      <w:b/>
      <w:sz w:val="72"/>
    </w:rPr>
  </w:style>
  <w:style w:type="character" w:customStyle="1" w:styleId="TitleChar">
    <w:name w:val="Title Char"/>
    <w:basedOn w:val="DefaultParagraphFont"/>
    <w:link w:val="Title"/>
    <w:uiPriority w:val="10"/>
    <w:rsid w:val="00F1290F"/>
    <w:rPr>
      <w:rFonts w:ascii="Garamond" w:hAnsi="Garamond"/>
      <w:b/>
      <w:sz w:val="72"/>
      <w:szCs w:val="24"/>
    </w:rPr>
  </w:style>
  <w:style w:type="character" w:customStyle="1" w:styleId="Heading1Char">
    <w:name w:val="Heading 1 Char"/>
    <w:basedOn w:val="DefaultParagraphFont"/>
    <w:link w:val="Heading1"/>
    <w:uiPriority w:val="9"/>
    <w:rsid w:val="00BD3373"/>
    <w:rPr>
      <w:rFonts w:ascii="Garamond" w:eastAsiaTheme="majorEastAsia" w:hAnsi="Garamond"/>
      <w:b/>
      <w:bCs/>
      <w:kern w:val="32"/>
      <w:sz w:val="32"/>
      <w:szCs w:val="32"/>
    </w:rPr>
  </w:style>
  <w:style w:type="character" w:customStyle="1" w:styleId="Heading2Char">
    <w:name w:val="Heading 2 Char"/>
    <w:basedOn w:val="DefaultParagraphFont"/>
    <w:link w:val="Heading2"/>
    <w:uiPriority w:val="9"/>
    <w:rsid w:val="00BD3373"/>
    <w:rPr>
      <w:rFonts w:ascii="Garamond" w:eastAsiaTheme="majorEastAsia" w:hAnsi="Garamond"/>
      <w:b/>
      <w:bCs/>
      <w:i/>
      <w:iCs/>
      <w:sz w:val="28"/>
      <w:szCs w:val="28"/>
    </w:rPr>
  </w:style>
  <w:style w:type="character" w:customStyle="1" w:styleId="Heading3Char">
    <w:name w:val="Heading 3 Char"/>
    <w:basedOn w:val="DefaultParagraphFont"/>
    <w:link w:val="Heading3"/>
    <w:uiPriority w:val="9"/>
    <w:rsid w:val="00F1290F"/>
    <w:rPr>
      <w:rFonts w:ascii="Garamond" w:eastAsia="PMingLiU" w:hAnsi="Garamond" w:cs="Arial"/>
      <w:b/>
      <w:kern w:val="12"/>
      <w:sz w:val="24"/>
      <w:szCs w:val="24"/>
      <w:lang w:val="en-US" w:eastAsia="zh-TW" w:bidi="en-US"/>
    </w:rPr>
  </w:style>
  <w:style w:type="character" w:customStyle="1" w:styleId="Heading4Char">
    <w:name w:val="Heading 4 Char"/>
    <w:basedOn w:val="DefaultParagraphFont"/>
    <w:link w:val="Heading4"/>
    <w:uiPriority w:val="9"/>
    <w:rsid w:val="00115C91"/>
    <w:rPr>
      <w:rFonts w:ascii="Garamond" w:hAnsi="Garamond"/>
      <w:b/>
      <w:bCs/>
      <w:sz w:val="28"/>
      <w:szCs w:val="28"/>
    </w:rPr>
  </w:style>
  <w:style w:type="character" w:customStyle="1" w:styleId="Heading5Char">
    <w:name w:val="Heading 5 Char"/>
    <w:basedOn w:val="DefaultParagraphFont"/>
    <w:link w:val="Heading5"/>
    <w:uiPriority w:val="9"/>
    <w:semiHidden/>
    <w:rsid w:val="00115C91"/>
    <w:rPr>
      <w:rFonts w:ascii="Garamond" w:hAnsi="Garamond"/>
      <w:b/>
      <w:bCs/>
      <w:i/>
      <w:iCs/>
      <w:sz w:val="26"/>
      <w:szCs w:val="26"/>
    </w:rPr>
  </w:style>
  <w:style w:type="character" w:customStyle="1" w:styleId="Heading6Char">
    <w:name w:val="Heading 6 Char"/>
    <w:basedOn w:val="DefaultParagraphFont"/>
    <w:link w:val="Heading6"/>
    <w:uiPriority w:val="9"/>
    <w:semiHidden/>
    <w:rsid w:val="00115C91"/>
    <w:rPr>
      <w:rFonts w:ascii="Garamond" w:hAnsi="Garamond"/>
      <w:b/>
      <w:bCs/>
    </w:rPr>
  </w:style>
  <w:style w:type="character" w:customStyle="1" w:styleId="Heading7Char">
    <w:name w:val="Heading 7 Char"/>
    <w:basedOn w:val="DefaultParagraphFont"/>
    <w:link w:val="Heading7"/>
    <w:uiPriority w:val="9"/>
    <w:semiHidden/>
    <w:rsid w:val="00115C91"/>
    <w:rPr>
      <w:rFonts w:ascii="Garamond" w:hAnsi="Garamond"/>
      <w:sz w:val="24"/>
      <w:szCs w:val="24"/>
    </w:rPr>
  </w:style>
  <w:style w:type="character" w:customStyle="1" w:styleId="Heading8Char">
    <w:name w:val="Heading 8 Char"/>
    <w:basedOn w:val="DefaultParagraphFont"/>
    <w:link w:val="Heading8"/>
    <w:uiPriority w:val="9"/>
    <w:semiHidden/>
    <w:rsid w:val="00115C91"/>
    <w:rPr>
      <w:rFonts w:ascii="Garamond" w:hAnsi="Garamond"/>
      <w:i/>
      <w:iCs/>
      <w:sz w:val="24"/>
      <w:szCs w:val="24"/>
    </w:rPr>
  </w:style>
  <w:style w:type="character" w:customStyle="1" w:styleId="Heading9Char">
    <w:name w:val="Heading 9 Char"/>
    <w:basedOn w:val="DefaultParagraphFont"/>
    <w:link w:val="Heading9"/>
    <w:uiPriority w:val="9"/>
    <w:semiHidden/>
    <w:rsid w:val="00115C91"/>
    <w:rPr>
      <w:rFonts w:asciiTheme="majorHAnsi" w:eastAsiaTheme="majorEastAsia" w:hAnsiTheme="majorHAnsi"/>
    </w:rPr>
  </w:style>
  <w:style w:type="paragraph" w:styleId="Subtitle">
    <w:name w:val="Subtitle"/>
    <w:basedOn w:val="Normal"/>
    <w:next w:val="Normal"/>
    <w:link w:val="SubtitleChar"/>
    <w:uiPriority w:val="11"/>
    <w:qFormat/>
    <w:rsid w:val="00115C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15C91"/>
    <w:rPr>
      <w:rFonts w:asciiTheme="majorHAnsi" w:eastAsiaTheme="majorEastAsia" w:hAnsiTheme="majorHAnsi"/>
      <w:sz w:val="24"/>
      <w:szCs w:val="24"/>
    </w:rPr>
  </w:style>
  <w:style w:type="character" w:styleId="Strong">
    <w:name w:val="Strong"/>
    <w:basedOn w:val="DefaultParagraphFont"/>
    <w:uiPriority w:val="22"/>
    <w:qFormat/>
    <w:rsid w:val="00115C91"/>
    <w:rPr>
      <w:b/>
      <w:bCs/>
    </w:rPr>
  </w:style>
  <w:style w:type="character" w:styleId="Emphasis">
    <w:name w:val="Emphasis"/>
    <w:basedOn w:val="DefaultParagraphFont"/>
    <w:uiPriority w:val="20"/>
    <w:qFormat/>
    <w:rsid w:val="00115C91"/>
    <w:rPr>
      <w:rFonts w:asciiTheme="minorHAnsi" w:hAnsiTheme="minorHAnsi"/>
      <w:b/>
      <w:i/>
      <w:iCs/>
    </w:rPr>
  </w:style>
  <w:style w:type="paragraph" w:styleId="NoSpacing">
    <w:name w:val="No Spacing"/>
    <w:basedOn w:val="Normal"/>
    <w:uiPriority w:val="1"/>
    <w:qFormat/>
    <w:rsid w:val="00115C91"/>
    <w:rPr>
      <w:szCs w:val="32"/>
    </w:rPr>
  </w:style>
  <w:style w:type="paragraph" w:styleId="ListParagraph">
    <w:name w:val="List Paragraph"/>
    <w:aliases w:val="List Paragraph1,Recommendation"/>
    <w:basedOn w:val="Normal"/>
    <w:link w:val="ListParagraphChar"/>
    <w:uiPriority w:val="34"/>
    <w:qFormat/>
    <w:rsid w:val="00115C91"/>
    <w:pPr>
      <w:ind w:left="720"/>
      <w:contextualSpacing/>
    </w:pPr>
  </w:style>
  <w:style w:type="paragraph" w:styleId="Quote">
    <w:name w:val="Quote"/>
    <w:basedOn w:val="Normal"/>
    <w:next w:val="Normal"/>
    <w:link w:val="QuoteChar"/>
    <w:uiPriority w:val="29"/>
    <w:qFormat/>
    <w:rsid w:val="00115C91"/>
    <w:rPr>
      <w:i/>
    </w:rPr>
  </w:style>
  <w:style w:type="character" w:customStyle="1" w:styleId="QuoteChar">
    <w:name w:val="Quote Char"/>
    <w:basedOn w:val="DefaultParagraphFont"/>
    <w:link w:val="Quote"/>
    <w:uiPriority w:val="29"/>
    <w:rsid w:val="00115C91"/>
    <w:rPr>
      <w:i/>
      <w:sz w:val="24"/>
      <w:szCs w:val="24"/>
    </w:rPr>
  </w:style>
  <w:style w:type="paragraph" w:styleId="IntenseQuote">
    <w:name w:val="Intense Quote"/>
    <w:basedOn w:val="Normal"/>
    <w:next w:val="Normal"/>
    <w:link w:val="IntenseQuoteChar"/>
    <w:uiPriority w:val="30"/>
    <w:qFormat/>
    <w:rsid w:val="00115C91"/>
    <w:pPr>
      <w:ind w:left="720" w:right="720"/>
    </w:pPr>
    <w:rPr>
      <w:b/>
      <w:i/>
      <w:szCs w:val="22"/>
    </w:rPr>
  </w:style>
  <w:style w:type="character" w:customStyle="1" w:styleId="IntenseQuoteChar">
    <w:name w:val="Intense Quote Char"/>
    <w:basedOn w:val="DefaultParagraphFont"/>
    <w:link w:val="IntenseQuote"/>
    <w:uiPriority w:val="30"/>
    <w:rsid w:val="00115C91"/>
    <w:rPr>
      <w:b/>
      <w:i/>
      <w:sz w:val="24"/>
    </w:rPr>
  </w:style>
  <w:style w:type="character" w:styleId="SubtleEmphasis">
    <w:name w:val="Subtle Emphasis"/>
    <w:uiPriority w:val="19"/>
    <w:qFormat/>
    <w:rsid w:val="00115C91"/>
    <w:rPr>
      <w:i/>
      <w:color w:val="5A5A5A" w:themeColor="text1" w:themeTint="A5"/>
    </w:rPr>
  </w:style>
  <w:style w:type="character" w:styleId="IntenseEmphasis">
    <w:name w:val="Intense Emphasis"/>
    <w:basedOn w:val="DefaultParagraphFont"/>
    <w:uiPriority w:val="21"/>
    <w:qFormat/>
    <w:rsid w:val="00115C91"/>
    <w:rPr>
      <w:b/>
      <w:i/>
      <w:sz w:val="24"/>
      <w:szCs w:val="24"/>
      <w:u w:val="single"/>
    </w:rPr>
  </w:style>
  <w:style w:type="character" w:styleId="SubtleReference">
    <w:name w:val="Subtle Reference"/>
    <w:basedOn w:val="DefaultParagraphFont"/>
    <w:uiPriority w:val="31"/>
    <w:qFormat/>
    <w:rsid w:val="00115C91"/>
    <w:rPr>
      <w:sz w:val="24"/>
      <w:szCs w:val="24"/>
      <w:u w:val="single"/>
    </w:rPr>
  </w:style>
  <w:style w:type="character" w:styleId="IntenseReference">
    <w:name w:val="Intense Reference"/>
    <w:basedOn w:val="DefaultParagraphFont"/>
    <w:uiPriority w:val="32"/>
    <w:qFormat/>
    <w:rsid w:val="00115C91"/>
    <w:rPr>
      <w:b/>
      <w:sz w:val="24"/>
      <w:u w:val="single"/>
    </w:rPr>
  </w:style>
  <w:style w:type="character" w:styleId="BookTitle">
    <w:name w:val="Book Title"/>
    <w:basedOn w:val="DefaultParagraphFont"/>
    <w:uiPriority w:val="33"/>
    <w:qFormat/>
    <w:rsid w:val="00115C9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15C91"/>
    <w:pPr>
      <w:outlineLvl w:val="9"/>
    </w:pPr>
  </w:style>
  <w:style w:type="paragraph" w:styleId="TOC1">
    <w:name w:val="toc 1"/>
    <w:basedOn w:val="Normal"/>
    <w:next w:val="Normal"/>
    <w:autoRedefine/>
    <w:uiPriority w:val="39"/>
    <w:unhideWhenUsed/>
    <w:qFormat/>
    <w:rsid w:val="003D73EF"/>
    <w:pPr>
      <w:tabs>
        <w:tab w:val="left" w:pos="480"/>
        <w:tab w:val="right" w:leader="dot" w:pos="9016"/>
      </w:tabs>
      <w:spacing w:after="100"/>
    </w:pPr>
    <w:rPr>
      <w:noProof/>
    </w:rPr>
  </w:style>
  <w:style w:type="paragraph" w:styleId="TOC2">
    <w:name w:val="toc 2"/>
    <w:basedOn w:val="Normal"/>
    <w:next w:val="Normal"/>
    <w:autoRedefine/>
    <w:uiPriority w:val="39"/>
    <w:unhideWhenUsed/>
    <w:qFormat/>
    <w:rsid w:val="00781E3F"/>
    <w:pPr>
      <w:tabs>
        <w:tab w:val="left" w:pos="880"/>
        <w:tab w:val="right" w:leader="dot" w:pos="9016"/>
      </w:tabs>
      <w:spacing w:after="100"/>
      <w:ind w:left="240"/>
    </w:pPr>
    <w:rPr>
      <w:noProof/>
      <w:sz w:val="20"/>
      <w:szCs w:val="20"/>
    </w:rPr>
  </w:style>
  <w:style w:type="character" w:styleId="Hyperlink">
    <w:name w:val="Hyperlink"/>
    <w:basedOn w:val="DefaultParagraphFont"/>
    <w:uiPriority w:val="99"/>
    <w:unhideWhenUsed/>
    <w:rsid w:val="006876DB"/>
    <w:rPr>
      <w:color w:val="0000FF" w:themeColor="hyperlink"/>
      <w:u w:val="single"/>
    </w:rPr>
  </w:style>
  <w:style w:type="paragraph" w:styleId="BalloonText">
    <w:name w:val="Balloon Text"/>
    <w:basedOn w:val="Normal"/>
    <w:link w:val="BalloonTextChar"/>
    <w:uiPriority w:val="99"/>
    <w:semiHidden/>
    <w:unhideWhenUsed/>
    <w:rsid w:val="006876DB"/>
    <w:rPr>
      <w:rFonts w:ascii="Tahoma" w:hAnsi="Tahoma" w:cs="Tahoma"/>
      <w:sz w:val="16"/>
      <w:szCs w:val="16"/>
    </w:rPr>
  </w:style>
  <w:style w:type="character" w:customStyle="1" w:styleId="BalloonTextChar">
    <w:name w:val="Balloon Text Char"/>
    <w:basedOn w:val="DefaultParagraphFont"/>
    <w:link w:val="BalloonText"/>
    <w:uiPriority w:val="99"/>
    <w:semiHidden/>
    <w:rsid w:val="006876DB"/>
    <w:rPr>
      <w:rFonts w:ascii="Tahoma" w:hAnsi="Tahoma" w:cs="Tahoma"/>
      <w:sz w:val="16"/>
      <w:szCs w:val="16"/>
    </w:rPr>
  </w:style>
  <w:style w:type="paragraph" w:styleId="Header">
    <w:name w:val="header"/>
    <w:basedOn w:val="Normal"/>
    <w:link w:val="HeaderChar"/>
    <w:uiPriority w:val="99"/>
    <w:unhideWhenUsed/>
    <w:rsid w:val="00663163"/>
    <w:pPr>
      <w:tabs>
        <w:tab w:val="center" w:pos="4513"/>
        <w:tab w:val="right" w:pos="9026"/>
      </w:tabs>
    </w:pPr>
  </w:style>
  <w:style w:type="character" w:customStyle="1" w:styleId="HeaderChar">
    <w:name w:val="Header Char"/>
    <w:basedOn w:val="DefaultParagraphFont"/>
    <w:link w:val="Header"/>
    <w:uiPriority w:val="99"/>
    <w:rsid w:val="00663163"/>
    <w:rPr>
      <w:sz w:val="24"/>
      <w:szCs w:val="24"/>
    </w:rPr>
  </w:style>
  <w:style w:type="paragraph" w:styleId="Footer">
    <w:name w:val="footer"/>
    <w:basedOn w:val="Normal"/>
    <w:link w:val="FooterChar"/>
    <w:uiPriority w:val="99"/>
    <w:unhideWhenUsed/>
    <w:rsid w:val="00663163"/>
    <w:pPr>
      <w:tabs>
        <w:tab w:val="center" w:pos="4513"/>
        <w:tab w:val="right" w:pos="9026"/>
      </w:tabs>
    </w:pPr>
  </w:style>
  <w:style w:type="character" w:customStyle="1" w:styleId="FooterChar">
    <w:name w:val="Footer Char"/>
    <w:basedOn w:val="DefaultParagraphFont"/>
    <w:link w:val="Footer"/>
    <w:uiPriority w:val="99"/>
    <w:rsid w:val="00663163"/>
    <w:rPr>
      <w:sz w:val="24"/>
      <w:szCs w:val="24"/>
    </w:rPr>
  </w:style>
  <w:style w:type="paragraph" w:styleId="TOC3">
    <w:name w:val="toc 3"/>
    <w:basedOn w:val="Normal"/>
    <w:next w:val="Normal"/>
    <w:autoRedefine/>
    <w:uiPriority w:val="39"/>
    <w:unhideWhenUsed/>
    <w:qFormat/>
    <w:rsid w:val="00470FF6"/>
    <w:pPr>
      <w:spacing w:after="100"/>
      <w:ind w:left="480"/>
    </w:pPr>
    <w:rPr>
      <w:sz w:val="20"/>
    </w:rPr>
  </w:style>
  <w:style w:type="paragraph" w:styleId="FootnoteText">
    <w:name w:val="footnote text"/>
    <w:basedOn w:val="Normal"/>
    <w:link w:val="FootnoteTextChar"/>
    <w:unhideWhenUsed/>
    <w:rsid w:val="00D313A5"/>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rsid w:val="00D313A5"/>
    <w:rPr>
      <w:rFonts w:ascii="Times New Roman" w:eastAsiaTheme="minorHAnsi" w:hAnsi="Times New Roman" w:cstheme="minorBidi"/>
      <w:sz w:val="20"/>
      <w:szCs w:val="20"/>
    </w:rPr>
  </w:style>
  <w:style w:type="character" w:styleId="FootnoteReference">
    <w:name w:val="footnote reference"/>
    <w:basedOn w:val="DefaultParagraphFont"/>
    <w:unhideWhenUsed/>
    <w:rsid w:val="00D313A5"/>
    <w:rPr>
      <w:vertAlign w:val="superscript"/>
    </w:rPr>
  </w:style>
  <w:style w:type="paragraph" w:customStyle="1" w:styleId="EYBodytextwithparaspace">
    <w:name w:val="EY Body text (with para space)"/>
    <w:basedOn w:val="Normal"/>
    <w:link w:val="EYBodytextwithparaspaceChar"/>
    <w:qFormat/>
    <w:rsid w:val="007D529D"/>
    <w:pPr>
      <w:numPr>
        <w:ilvl w:val="4"/>
        <w:numId w:val="3"/>
      </w:numPr>
      <w:spacing w:after="240"/>
    </w:pPr>
    <w:rPr>
      <w:rFonts w:eastAsia="PMingLiU" w:cs="Arial"/>
      <w:kern w:val="12"/>
      <w:lang w:val="en-US" w:eastAsia="zh-TW" w:bidi="en-US"/>
    </w:rPr>
  </w:style>
  <w:style w:type="character" w:customStyle="1" w:styleId="EYBodytextwithparaspaceChar">
    <w:name w:val="EY Body text (with para space) Char"/>
    <w:basedOn w:val="DefaultParagraphFont"/>
    <w:link w:val="EYBodytextwithparaspace"/>
    <w:rsid w:val="007D529D"/>
    <w:rPr>
      <w:rFonts w:ascii="Garamond" w:eastAsia="PMingLiU" w:hAnsi="Garamond" w:cs="Arial"/>
      <w:kern w:val="12"/>
      <w:sz w:val="24"/>
      <w:szCs w:val="24"/>
      <w:lang w:val="en-US" w:eastAsia="zh-TW" w:bidi="en-US"/>
    </w:rPr>
  </w:style>
  <w:style w:type="paragraph" w:customStyle="1" w:styleId="EYBulletedText1">
    <w:name w:val="EY Bulleted Text 1"/>
    <w:basedOn w:val="EYBodytextwithparaspace"/>
    <w:link w:val="EYBulletedText1Char"/>
    <w:rsid w:val="00574551"/>
    <w:pPr>
      <w:numPr>
        <w:ilvl w:val="0"/>
        <w:numId w:val="4"/>
      </w:numPr>
      <w:spacing w:after="120"/>
      <w:outlineLvl w:val="0"/>
    </w:pPr>
    <w:rPr>
      <w:lang w:val="en-AU" w:eastAsia="en-AU"/>
    </w:rPr>
  </w:style>
  <w:style w:type="character" w:customStyle="1" w:styleId="EYBulletedText1Char">
    <w:name w:val="EY Bulleted Text 1 Char"/>
    <w:link w:val="EYBulletedText1"/>
    <w:locked/>
    <w:rsid w:val="00574551"/>
    <w:rPr>
      <w:rFonts w:ascii="Garamond" w:eastAsia="PMingLiU" w:hAnsi="Garamond" w:cs="Arial"/>
      <w:kern w:val="12"/>
      <w:sz w:val="24"/>
      <w:szCs w:val="24"/>
      <w:lang w:eastAsia="en-AU" w:bidi="en-US"/>
    </w:rPr>
  </w:style>
  <w:style w:type="table" w:styleId="TableGrid">
    <w:name w:val="Table Grid"/>
    <w:basedOn w:val="TableNormal"/>
    <w:uiPriority w:val="59"/>
    <w:rsid w:val="00D40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Recommendation Char"/>
    <w:link w:val="ListParagraph"/>
    <w:uiPriority w:val="34"/>
    <w:locked/>
    <w:rsid w:val="00286E7B"/>
    <w:rPr>
      <w:rFonts w:ascii="Garamond" w:hAnsi="Garamond"/>
      <w:sz w:val="24"/>
      <w:szCs w:val="24"/>
    </w:rPr>
  </w:style>
  <w:style w:type="paragraph" w:styleId="Caption">
    <w:name w:val="caption"/>
    <w:basedOn w:val="Normal"/>
    <w:next w:val="Normal"/>
    <w:uiPriority w:val="35"/>
    <w:unhideWhenUsed/>
    <w:rsid w:val="00286E7B"/>
    <w:pPr>
      <w:spacing w:after="200"/>
    </w:pPr>
    <w:rPr>
      <w:rFonts w:asciiTheme="minorHAnsi" w:hAnsiTheme="minorHAnsi"/>
      <w:b/>
      <w:bCs/>
      <w:color w:val="4F81BD" w:themeColor="accent1"/>
      <w:sz w:val="18"/>
      <w:szCs w:val="18"/>
    </w:rPr>
  </w:style>
  <w:style w:type="paragraph" w:customStyle="1" w:styleId="Default">
    <w:name w:val="Default"/>
    <w:rsid w:val="00E614D9"/>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D001B4"/>
    <w:pPr>
      <w:spacing w:before="100" w:beforeAutospacing="1" w:after="100" w:afterAutospacing="1"/>
    </w:pPr>
    <w:rPr>
      <w:rFonts w:ascii="Times New Roman" w:eastAsia="Times New Roman" w:hAnsi="Times New Roman"/>
      <w:lang w:eastAsia="en-AU"/>
    </w:rPr>
  </w:style>
  <w:style w:type="paragraph" w:styleId="EndnoteText">
    <w:name w:val="endnote text"/>
    <w:basedOn w:val="Normal"/>
    <w:link w:val="EndnoteTextChar"/>
    <w:uiPriority w:val="99"/>
    <w:semiHidden/>
    <w:unhideWhenUsed/>
    <w:rsid w:val="00ED5FB2"/>
    <w:rPr>
      <w:sz w:val="20"/>
      <w:szCs w:val="20"/>
    </w:rPr>
  </w:style>
  <w:style w:type="character" w:customStyle="1" w:styleId="EndnoteTextChar">
    <w:name w:val="Endnote Text Char"/>
    <w:basedOn w:val="DefaultParagraphFont"/>
    <w:link w:val="EndnoteText"/>
    <w:uiPriority w:val="99"/>
    <w:semiHidden/>
    <w:rsid w:val="00ED5FB2"/>
    <w:rPr>
      <w:rFonts w:ascii="Garamond" w:hAnsi="Garamond"/>
      <w:sz w:val="20"/>
      <w:szCs w:val="20"/>
    </w:rPr>
  </w:style>
  <w:style w:type="character" w:styleId="EndnoteReference">
    <w:name w:val="endnote reference"/>
    <w:basedOn w:val="DefaultParagraphFont"/>
    <w:uiPriority w:val="99"/>
    <w:semiHidden/>
    <w:unhideWhenUsed/>
    <w:rsid w:val="00ED5FB2"/>
    <w:rPr>
      <w:vertAlign w:val="superscript"/>
    </w:rPr>
  </w:style>
  <w:style w:type="numbering" w:customStyle="1" w:styleId="Style1">
    <w:name w:val="Style1"/>
    <w:uiPriority w:val="99"/>
    <w:rsid w:val="00E87EE9"/>
    <w:pPr>
      <w:numPr>
        <w:numId w:val="7"/>
      </w:numPr>
    </w:pPr>
  </w:style>
  <w:style w:type="character" w:styleId="CommentReference">
    <w:name w:val="annotation reference"/>
    <w:basedOn w:val="DefaultParagraphFont"/>
    <w:uiPriority w:val="99"/>
    <w:semiHidden/>
    <w:unhideWhenUsed/>
    <w:rsid w:val="00DD3801"/>
    <w:rPr>
      <w:sz w:val="16"/>
      <w:szCs w:val="16"/>
    </w:rPr>
  </w:style>
  <w:style w:type="paragraph" w:styleId="CommentText">
    <w:name w:val="annotation text"/>
    <w:basedOn w:val="Normal"/>
    <w:link w:val="CommentTextChar"/>
    <w:uiPriority w:val="99"/>
    <w:semiHidden/>
    <w:unhideWhenUsed/>
    <w:rsid w:val="00DD3801"/>
    <w:rPr>
      <w:sz w:val="20"/>
      <w:szCs w:val="20"/>
    </w:rPr>
  </w:style>
  <w:style w:type="character" w:customStyle="1" w:styleId="CommentTextChar">
    <w:name w:val="Comment Text Char"/>
    <w:basedOn w:val="DefaultParagraphFont"/>
    <w:link w:val="CommentText"/>
    <w:uiPriority w:val="99"/>
    <w:semiHidden/>
    <w:rsid w:val="00DD3801"/>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CC4103"/>
    <w:rPr>
      <w:b/>
      <w:bCs/>
    </w:rPr>
  </w:style>
  <w:style w:type="character" w:customStyle="1" w:styleId="CommentSubjectChar">
    <w:name w:val="Comment Subject Char"/>
    <w:basedOn w:val="CommentTextChar"/>
    <w:link w:val="CommentSubject"/>
    <w:uiPriority w:val="99"/>
    <w:semiHidden/>
    <w:rsid w:val="00CC4103"/>
    <w:rPr>
      <w:rFonts w:ascii="Garamond" w:hAnsi="Garamond"/>
      <w:b/>
      <w:bCs/>
      <w:sz w:val="20"/>
      <w:szCs w:val="20"/>
    </w:rPr>
  </w:style>
  <w:style w:type="character" w:customStyle="1" w:styleId="apple-converted-space">
    <w:name w:val="apple-converted-space"/>
    <w:basedOn w:val="DefaultParagraphFont"/>
    <w:rsid w:val="0002493D"/>
  </w:style>
  <w:style w:type="paragraph" w:styleId="Revision">
    <w:name w:val="Revision"/>
    <w:hidden/>
    <w:uiPriority w:val="99"/>
    <w:semiHidden/>
    <w:rsid w:val="000A3A41"/>
    <w:rPr>
      <w:rFonts w:ascii="Garamond" w:hAnsi="Garamon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3373"/>
    <w:rPr>
      <w:rFonts w:ascii="Garamond" w:hAnsi="Garamond"/>
      <w:sz w:val="24"/>
      <w:szCs w:val="24"/>
    </w:rPr>
  </w:style>
  <w:style w:type="paragraph" w:styleId="Heading1">
    <w:name w:val="heading 1"/>
    <w:basedOn w:val="Normal"/>
    <w:next w:val="Normal"/>
    <w:link w:val="Heading1Char"/>
    <w:uiPriority w:val="9"/>
    <w:qFormat/>
    <w:rsid w:val="00BD3373"/>
    <w:pPr>
      <w:keepNext/>
      <w:numPr>
        <w:numId w:val="2"/>
      </w:numPr>
      <w:spacing w:before="240" w:after="60"/>
      <w:outlineLvl w:val="0"/>
    </w:pPr>
    <w:rPr>
      <w:rFonts w:eastAsiaTheme="majorEastAsia"/>
      <w:b/>
      <w:bCs/>
      <w:kern w:val="32"/>
      <w:sz w:val="32"/>
      <w:szCs w:val="32"/>
    </w:rPr>
  </w:style>
  <w:style w:type="paragraph" w:styleId="Heading2">
    <w:name w:val="heading 2"/>
    <w:basedOn w:val="Normal"/>
    <w:next w:val="Normal"/>
    <w:link w:val="Heading2Char"/>
    <w:uiPriority w:val="9"/>
    <w:unhideWhenUsed/>
    <w:qFormat/>
    <w:rsid w:val="00BD3373"/>
    <w:pPr>
      <w:keepNext/>
      <w:numPr>
        <w:ilvl w:val="1"/>
        <w:numId w:val="2"/>
      </w:numPr>
      <w:spacing w:before="240" w:after="60"/>
      <w:outlineLvl w:val="1"/>
    </w:pPr>
    <w:rPr>
      <w:rFonts w:eastAsiaTheme="majorEastAsia"/>
      <w:b/>
      <w:bCs/>
      <w:i/>
      <w:iCs/>
      <w:sz w:val="28"/>
      <w:szCs w:val="28"/>
    </w:rPr>
  </w:style>
  <w:style w:type="paragraph" w:styleId="Heading3">
    <w:name w:val="heading 3"/>
    <w:basedOn w:val="EYBodytextwithparaspace"/>
    <w:next w:val="Normal"/>
    <w:link w:val="Heading3Char"/>
    <w:uiPriority w:val="9"/>
    <w:unhideWhenUsed/>
    <w:qFormat/>
    <w:rsid w:val="00F1290F"/>
    <w:pPr>
      <w:outlineLvl w:val="2"/>
    </w:pPr>
    <w:rPr>
      <w:b/>
    </w:rPr>
  </w:style>
  <w:style w:type="paragraph" w:styleId="Heading4">
    <w:name w:val="heading 4"/>
    <w:basedOn w:val="Normal"/>
    <w:next w:val="Normal"/>
    <w:link w:val="Heading4Char"/>
    <w:uiPriority w:val="9"/>
    <w:unhideWhenUsed/>
    <w:qFormat/>
    <w:rsid w:val="00115C91"/>
    <w:pPr>
      <w:keepNext/>
      <w:numPr>
        <w:ilvl w:val="3"/>
        <w:numId w:val="2"/>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15C91"/>
    <w:pPr>
      <w:numPr>
        <w:ilvl w:val="4"/>
        <w:numId w:val="2"/>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15C91"/>
    <w:pPr>
      <w:numPr>
        <w:ilvl w:val="5"/>
        <w:numId w:val="2"/>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15C91"/>
    <w:pPr>
      <w:numPr>
        <w:ilvl w:val="6"/>
        <w:numId w:val="2"/>
      </w:numPr>
      <w:spacing w:before="240" w:after="60"/>
      <w:outlineLvl w:val="6"/>
    </w:pPr>
  </w:style>
  <w:style w:type="paragraph" w:styleId="Heading8">
    <w:name w:val="heading 8"/>
    <w:basedOn w:val="Normal"/>
    <w:next w:val="Normal"/>
    <w:link w:val="Heading8Char"/>
    <w:uiPriority w:val="9"/>
    <w:semiHidden/>
    <w:unhideWhenUsed/>
    <w:qFormat/>
    <w:rsid w:val="00115C91"/>
    <w:pPr>
      <w:numPr>
        <w:ilvl w:val="7"/>
        <w:numId w:val="2"/>
      </w:numPr>
      <w:spacing w:before="240" w:after="60"/>
      <w:outlineLvl w:val="7"/>
    </w:pPr>
    <w:rPr>
      <w:i/>
      <w:iCs/>
    </w:rPr>
  </w:style>
  <w:style w:type="paragraph" w:styleId="Heading9">
    <w:name w:val="heading 9"/>
    <w:basedOn w:val="Normal"/>
    <w:next w:val="Normal"/>
    <w:link w:val="Heading9Char"/>
    <w:uiPriority w:val="9"/>
    <w:semiHidden/>
    <w:unhideWhenUsed/>
    <w:qFormat/>
    <w:rsid w:val="00115C91"/>
    <w:pPr>
      <w:numPr>
        <w:ilvl w:val="8"/>
        <w:numId w:val="2"/>
      </w:num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1290F"/>
    <w:rPr>
      <w:b/>
      <w:sz w:val="72"/>
    </w:rPr>
  </w:style>
  <w:style w:type="character" w:customStyle="1" w:styleId="TitleChar">
    <w:name w:val="Title Char"/>
    <w:basedOn w:val="DefaultParagraphFont"/>
    <w:link w:val="Title"/>
    <w:uiPriority w:val="10"/>
    <w:rsid w:val="00F1290F"/>
    <w:rPr>
      <w:rFonts w:ascii="Garamond" w:hAnsi="Garamond"/>
      <w:b/>
      <w:sz w:val="72"/>
      <w:szCs w:val="24"/>
    </w:rPr>
  </w:style>
  <w:style w:type="character" w:customStyle="1" w:styleId="Heading1Char">
    <w:name w:val="Heading 1 Char"/>
    <w:basedOn w:val="DefaultParagraphFont"/>
    <w:link w:val="Heading1"/>
    <w:uiPriority w:val="9"/>
    <w:rsid w:val="00BD3373"/>
    <w:rPr>
      <w:rFonts w:ascii="Garamond" w:eastAsiaTheme="majorEastAsia" w:hAnsi="Garamond"/>
      <w:b/>
      <w:bCs/>
      <w:kern w:val="32"/>
      <w:sz w:val="32"/>
      <w:szCs w:val="32"/>
    </w:rPr>
  </w:style>
  <w:style w:type="character" w:customStyle="1" w:styleId="Heading2Char">
    <w:name w:val="Heading 2 Char"/>
    <w:basedOn w:val="DefaultParagraphFont"/>
    <w:link w:val="Heading2"/>
    <w:uiPriority w:val="9"/>
    <w:rsid w:val="00BD3373"/>
    <w:rPr>
      <w:rFonts w:ascii="Garamond" w:eastAsiaTheme="majorEastAsia" w:hAnsi="Garamond"/>
      <w:b/>
      <w:bCs/>
      <w:i/>
      <w:iCs/>
      <w:sz w:val="28"/>
      <w:szCs w:val="28"/>
    </w:rPr>
  </w:style>
  <w:style w:type="character" w:customStyle="1" w:styleId="Heading3Char">
    <w:name w:val="Heading 3 Char"/>
    <w:basedOn w:val="DefaultParagraphFont"/>
    <w:link w:val="Heading3"/>
    <w:uiPriority w:val="9"/>
    <w:rsid w:val="00F1290F"/>
    <w:rPr>
      <w:rFonts w:ascii="Garamond" w:eastAsia="PMingLiU" w:hAnsi="Garamond" w:cs="Arial"/>
      <w:b/>
      <w:kern w:val="12"/>
      <w:sz w:val="24"/>
      <w:szCs w:val="24"/>
      <w:lang w:val="en-US" w:eastAsia="zh-TW" w:bidi="en-US"/>
    </w:rPr>
  </w:style>
  <w:style w:type="character" w:customStyle="1" w:styleId="Heading4Char">
    <w:name w:val="Heading 4 Char"/>
    <w:basedOn w:val="DefaultParagraphFont"/>
    <w:link w:val="Heading4"/>
    <w:uiPriority w:val="9"/>
    <w:rsid w:val="00115C91"/>
    <w:rPr>
      <w:rFonts w:ascii="Garamond" w:hAnsi="Garamond"/>
      <w:b/>
      <w:bCs/>
      <w:sz w:val="28"/>
      <w:szCs w:val="28"/>
    </w:rPr>
  </w:style>
  <w:style w:type="character" w:customStyle="1" w:styleId="Heading5Char">
    <w:name w:val="Heading 5 Char"/>
    <w:basedOn w:val="DefaultParagraphFont"/>
    <w:link w:val="Heading5"/>
    <w:uiPriority w:val="9"/>
    <w:semiHidden/>
    <w:rsid w:val="00115C91"/>
    <w:rPr>
      <w:rFonts w:ascii="Garamond" w:hAnsi="Garamond"/>
      <w:b/>
      <w:bCs/>
      <w:i/>
      <w:iCs/>
      <w:sz w:val="26"/>
      <w:szCs w:val="26"/>
    </w:rPr>
  </w:style>
  <w:style w:type="character" w:customStyle="1" w:styleId="Heading6Char">
    <w:name w:val="Heading 6 Char"/>
    <w:basedOn w:val="DefaultParagraphFont"/>
    <w:link w:val="Heading6"/>
    <w:uiPriority w:val="9"/>
    <w:semiHidden/>
    <w:rsid w:val="00115C91"/>
    <w:rPr>
      <w:rFonts w:ascii="Garamond" w:hAnsi="Garamond"/>
      <w:b/>
      <w:bCs/>
    </w:rPr>
  </w:style>
  <w:style w:type="character" w:customStyle="1" w:styleId="Heading7Char">
    <w:name w:val="Heading 7 Char"/>
    <w:basedOn w:val="DefaultParagraphFont"/>
    <w:link w:val="Heading7"/>
    <w:uiPriority w:val="9"/>
    <w:semiHidden/>
    <w:rsid w:val="00115C91"/>
    <w:rPr>
      <w:rFonts w:ascii="Garamond" w:hAnsi="Garamond"/>
      <w:sz w:val="24"/>
      <w:szCs w:val="24"/>
    </w:rPr>
  </w:style>
  <w:style w:type="character" w:customStyle="1" w:styleId="Heading8Char">
    <w:name w:val="Heading 8 Char"/>
    <w:basedOn w:val="DefaultParagraphFont"/>
    <w:link w:val="Heading8"/>
    <w:uiPriority w:val="9"/>
    <w:semiHidden/>
    <w:rsid w:val="00115C91"/>
    <w:rPr>
      <w:rFonts w:ascii="Garamond" w:hAnsi="Garamond"/>
      <w:i/>
      <w:iCs/>
      <w:sz w:val="24"/>
      <w:szCs w:val="24"/>
    </w:rPr>
  </w:style>
  <w:style w:type="character" w:customStyle="1" w:styleId="Heading9Char">
    <w:name w:val="Heading 9 Char"/>
    <w:basedOn w:val="DefaultParagraphFont"/>
    <w:link w:val="Heading9"/>
    <w:uiPriority w:val="9"/>
    <w:semiHidden/>
    <w:rsid w:val="00115C91"/>
    <w:rPr>
      <w:rFonts w:asciiTheme="majorHAnsi" w:eastAsiaTheme="majorEastAsia" w:hAnsiTheme="majorHAnsi"/>
    </w:rPr>
  </w:style>
  <w:style w:type="paragraph" w:styleId="Subtitle">
    <w:name w:val="Subtitle"/>
    <w:basedOn w:val="Normal"/>
    <w:next w:val="Normal"/>
    <w:link w:val="SubtitleChar"/>
    <w:uiPriority w:val="11"/>
    <w:qFormat/>
    <w:rsid w:val="00115C9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115C91"/>
    <w:rPr>
      <w:rFonts w:asciiTheme="majorHAnsi" w:eastAsiaTheme="majorEastAsia" w:hAnsiTheme="majorHAnsi"/>
      <w:sz w:val="24"/>
      <w:szCs w:val="24"/>
    </w:rPr>
  </w:style>
  <w:style w:type="character" w:styleId="Strong">
    <w:name w:val="Strong"/>
    <w:basedOn w:val="DefaultParagraphFont"/>
    <w:uiPriority w:val="22"/>
    <w:qFormat/>
    <w:rsid w:val="00115C91"/>
    <w:rPr>
      <w:b/>
      <w:bCs/>
    </w:rPr>
  </w:style>
  <w:style w:type="character" w:styleId="Emphasis">
    <w:name w:val="Emphasis"/>
    <w:basedOn w:val="DefaultParagraphFont"/>
    <w:uiPriority w:val="20"/>
    <w:qFormat/>
    <w:rsid w:val="00115C91"/>
    <w:rPr>
      <w:rFonts w:asciiTheme="minorHAnsi" w:hAnsiTheme="minorHAnsi"/>
      <w:b/>
      <w:i/>
      <w:iCs/>
    </w:rPr>
  </w:style>
  <w:style w:type="paragraph" w:styleId="NoSpacing">
    <w:name w:val="No Spacing"/>
    <w:basedOn w:val="Normal"/>
    <w:uiPriority w:val="1"/>
    <w:qFormat/>
    <w:rsid w:val="00115C91"/>
    <w:rPr>
      <w:szCs w:val="32"/>
    </w:rPr>
  </w:style>
  <w:style w:type="paragraph" w:styleId="ListParagraph">
    <w:name w:val="List Paragraph"/>
    <w:aliases w:val="List Paragraph1,Recommendation"/>
    <w:basedOn w:val="Normal"/>
    <w:link w:val="ListParagraphChar"/>
    <w:uiPriority w:val="34"/>
    <w:qFormat/>
    <w:rsid w:val="00115C91"/>
    <w:pPr>
      <w:ind w:left="720"/>
      <w:contextualSpacing/>
    </w:pPr>
  </w:style>
  <w:style w:type="paragraph" w:styleId="Quote">
    <w:name w:val="Quote"/>
    <w:basedOn w:val="Normal"/>
    <w:next w:val="Normal"/>
    <w:link w:val="QuoteChar"/>
    <w:uiPriority w:val="29"/>
    <w:qFormat/>
    <w:rsid w:val="00115C91"/>
    <w:rPr>
      <w:i/>
    </w:rPr>
  </w:style>
  <w:style w:type="character" w:customStyle="1" w:styleId="QuoteChar">
    <w:name w:val="Quote Char"/>
    <w:basedOn w:val="DefaultParagraphFont"/>
    <w:link w:val="Quote"/>
    <w:uiPriority w:val="29"/>
    <w:rsid w:val="00115C91"/>
    <w:rPr>
      <w:i/>
      <w:sz w:val="24"/>
      <w:szCs w:val="24"/>
    </w:rPr>
  </w:style>
  <w:style w:type="paragraph" w:styleId="IntenseQuote">
    <w:name w:val="Intense Quote"/>
    <w:basedOn w:val="Normal"/>
    <w:next w:val="Normal"/>
    <w:link w:val="IntenseQuoteChar"/>
    <w:uiPriority w:val="30"/>
    <w:qFormat/>
    <w:rsid w:val="00115C91"/>
    <w:pPr>
      <w:ind w:left="720" w:right="720"/>
    </w:pPr>
    <w:rPr>
      <w:b/>
      <w:i/>
      <w:szCs w:val="22"/>
    </w:rPr>
  </w:style>
  <w:style w:type="character" w:customStyle="1" w:styleId="IntenseQuoteChar">
    <w:name w:val="Intense Quote Char"/>
    <w:basedOn w:val="DefaultParagraphFont"/>
    <w:link w:val="IntenseQuote"/>
    <w:uiPriority w:val="30"/>
    <w:rsid w:val="00115C91"/>
    <w:rPr>
      <w:b/>
      <w:i/>
      <w:sz w:val="24"/>
    </w:rPr>
  </w:style>
  <w:style w:type="character" w:styleId="SubtleEmphasis">
    <w:name w:val="Subtle Emphasis"/>
    <w:uiPriority w:val="19"/>
    <w:qFormat/>
    <w:rsid w:val="00115C91"/>
    <w:rPr>
      <w:i/>
      <w:color w:val="5A5A5A" w:themeColor="text1" w:themeTint="A5"/>
    </w:rPr>
  </w:style>
  <w:style w:type="character" w:styleId="IntenseEmphasis">
    <w:name w:val="Intense Emphasis"/>
    <w:basedOn w:val="DefaultParagraphFont"/>
    <w:uiPriority w:val="21"/>
    <w:qFormat/>
    <w:rsid w:val="00115C91"/>
    <w:rPr>
      <w:b/>
      <w:i/>
      <w:sz w:val="24"/>
      <w:szCs w:val="24"/>
      <w:u w:val="single"/>
    </w:rPr>
  </w:style>
  <w:style w:type="character" w:styleId="SubtleReference">
    <w:name w:val="Subtle Reference"/>
    <w:basedOn w:val="DefaultParagraphFont"/>
    <w:uiPriority w:val="31"/>
    <w:qFormat/>
    <w:rsid w:val="00115C91"/>
    <w:rPr>
      <w:sz w:val="24"/>
      <w:szCs w:val="24"/>
      <w:u w:val="single"/>
    </w:rPr>
  </w:style>
  <w:style w:type="character" w:styleId="IntenseReference">
    <w:name w:val="Intense Reference"/>
    <w:basedOn w:val="DefaultParagraphFont"/>
    <w:uiPriority w:val="32"/>
    <w:qFormat/>
    <w:rsid w:val="00115C91"/>
    <w:rPr>
      <w:b/>
      <w:sz w:val="24"/>
      <w:u w:val="single"/>
    </w:rPr>
  </w:style>
  <w:style w:type="character" w:styleId="BookTitle">
    <w:name w:val="Book Title"/>
    <w:basedOn w:val="DefaultParagraphFont"/>
    <w:uiPriority w:val="33"/>
    <w:qFormat/>
    <w:rsid w:val="00115C9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15C91"/>
    <w:pPr>
      <w:outlineLvl w:val="9"/>
    </w:pPr>
  </w:style>
  <w:style w:type="paragraph" w:styleId="TOC1">
    <w:name w:val="toc 1"/>
    <w:basedOn w:val="Normal"/>
    <w:next w:val="Normal"/>
    <w:autoRedefine/>
    <w:uiPriority w:val="39"/>
    <w:unhideWhenUsed/>
    <w:qFormat/>
    <w:rsid w:val="003D73EF"/>
    <w:pPr>
      <w:tabs>
        <w:tab w:val="left" w:pos="480"/>
        <w:tab w:val="right" w:leader="dot" w:pos="9016"/>
      </w:tabs>
      <w:spacing w:after="100"/>
    </w:pPr>
    <w:rPr>
      <w:noProof/>
    </w:rPr>
  </w:style>
  <w:style w:type="paragraph" w:styleId="TOC2">
    <w:name w:val="toc 2"/>
    <w:basedOn w:val="Normal"/>
    <w:next w:val="Normal"/>
    <w:autoRedefine/>
    <w:uiPriority w:val="39"/>
    <w:unhideWhenUsed/>
    <w:qFormat/>
    <w:rsid w:val="00781E3F"/>
    <w:pPr>
      <w:tabs>
        <w:tab w:val="left" w:pos="880"/>
        <w:tab w:val="right" w:leader="dot" w:pos="9016"/>
      </w:tabs>
      <w:spacing w:after="100"/>
      <w:ind w:left="240"/>
    </w:pPr>
    <w:rPr>
      <w:noProof/>
      <w:sz w:val="20"/>
      <w:szCs w:val="20"/>
    </w:rPr>
  </w:style>
  <w:style w:type="character" w:styleId="Hyperlink">
    <w:name w:val="Hyperlink"/>
    <w:basedOn w:val="DefaultParagraphFont"/>
    <w:uiPriority w:val="99"/>
    <w:unhideWhenUsed/>
    <w:rsid w:val="006876DB"/>
    <w:rPr>
      <w:color w:val="0000FF" w:themeColor="hyperlink"/>
      <w:u w:val="single"/>
    </w:rPr>
  </w:style>
  <w:style w:type="paragraph" w:styleId="BalloonText">
    <w:name w:val="Balloon Text"/>
    <w:basedOn w:val="Normal"/>
    <w:link w:val="BalloonTextChar"/>
    <w:uiPriority w:val="99"/>
    <w:semiHidden/>
    <w:unhideWhenUsed/>
    <w:rsid w:val="006876DB"/>
    <w:rPr>
      <w:rFonts w:ascii="Tahoma" w:hAnsi="Tahoma" w:cs="Tahoma"/>
      <w:sz w:val="16"/>
      <w:szCs w:val="16"/>
    </w:rPr>
  </w:style>
  <w:style w:type="character" w:customStyle="1" w:styleId="BalloonTextChar">
    <w:name w:val="Balloon Text Char"/>
    <w:basedOn w:val="DefaultParagraphFont"/>
    <w:link w:val="BalloonText"/>
    <w:uiPriority w:val="99"/>
    <w:semiHidden/>
    <w:rsid w:val="006876DB"/>
    <w:rPr>
      <w:rFonts w:ascii="Tahoma" w:hAnsi="Tahoma" w:cs="Tahoma"/>
      <w:sz w:val="16"/>
      <w:szCs w:val="16"/>
    </w:rPr>
  </w:style>
  <w:style w:type="paragraph" w:styleId="Header">
    <w:name w:val="header"/>
    <w:basedOn w:val="Normal"/>
    <w:link w:val="HeaderChar"/>
    <w:uiPriority w:val="99"/>
    <w:unhideWhenUsed/>
    <w:rsid w:val="00663163"/>
    <w:pPr>
      <w:tabs>
        <w:tab w:val="center" w:pos="4513"/>
        <w:tab w:val="right" w:pos="9026"/>
      </w:tabs>
    </w:pPr>
  </w:style>
  <w:style w:type="character" w:customStyle="1" w:styleId="HeaderChar">
    <w:name w:val="Header Char"/>
    <w:basedOn w:val="DefaultParagraphFont"/>
    <w:link w:val="Header"/>
    <w:uiPriority w:val="99"/>
    <w:rsid w:val="00663163"/>
    <w:rPr>
      <w:sz w:val="24"/>
      <w:szCs w:val="24"/>
    </w:rPr>
  </w:style>
  <w:style w:type="paragraph" w:styleId="Footer">
    <w:name w:val="footer"/>
    <w:basedOn w:val="Normal"/>
    <w:link w:val="FooterChar"/>
    <w:uiPriority w:val="99"/>
    <w:unhideWhenUsed/>
    <w:rsid w:val="00663163"/>
    <w:pPr>
      <w:tabs>
        <w:tab w:val="center" w:pos="4513"/>
        <w:tab w:val="right" w:pos="9026"/>
      </w:tabs>
    </w:pPr>
  </w:style>
  <w:style w:type="character" w:customStyle="1" w:styleId="FooterChar">
    <w:name w:val="Footer Char"/>
    <w:basedOn w:val="DefaultParagraphFont"/>
    <w:link w:val="Footer"/>
    <w:uiPriority w:val="99"/>
    <w:rsid w:val="00663163"/>
    <w:rPr>
      <w:sz w:val="24"/>
      <w:szCs w:val="24"/>
    </w:rPr>
  </w:style>
  <w:style w:type="paragraph" w:styleId="TOC3">
    <w:name w:val="toc 3"/>
    <w:basedOn w:val="Normal"/>
    <w:next w:val="Normal"/>
    <w:autoRedefine/>
    <w:uiPriority w:val="39"/>
    <w:unhideWhenUsed/>
    <w:qFormat/>
    <w:rsid w:val="00470FF6"/>
    <w:pPr>
      <w:spacing w:after="100"/>
      <w:ind w:left="480"/>
    </w:pPr>
    <w:rPr>
      <w:sz w:val="20"/>
    </w:rPr>
  </w:style>
  <w:style w:type="paragraph" w:styleId="FootnoteText">
    <w:name w:val="footnote text"/>
    <w:basedOn w:val="Normal"/>
    <w:link w:val="FootnoteTextChar"/>
    <w:unhideWhenUsed/>
    <w:rsid w:val="00D313A5"/>
    <w:rPr>
      <w:rFonts w:ascii="Times New Roman" w:eastAsiaTheme="minorHAnsi" w:hAnsi="Times New Roman" w:cstheme="minorBidi"/>
      <w:sz w:val="20"/>
      <w:szCs w:val="20"/>
    </w:rPr>
  </w:style>
  <w:style w:type="character" w:customStyle="1" w:styleId="FootnoteTextChar">
    <w:name w:val="Footnote Text Char"/>
    <w:basedOn w:val="DefaultParagraphFont"/>
    <w:link w:val="FootnoteText"/>
    <w:rsid w:val="00D313A5"/>
    <w:rPr>
      <w:rFonts w:ascii="Times New Roman" w:eastAsiaTheme="minorHAnsi" w:hAnsi="Times New Roman" w:cstheme="minorBidi"/>
      <w:sz w:val="20"/>
      <w:szCs w:val="20"/>
    </w:rPr>
  </w:style>
  <w:style w:type="character" w:styleId="FootnoteReference">
    <w:name w:val="footnote reference"/>
    <w:basedOn w:val="DefaultParagraphFont"/>
    <w:unhideWhenUsed/>
    <w:rsid w:val="00D313A5"/>
    <w:rPr>
      <w:vertAlign w:val="superscript"/>
    </w:rPr>
  </w:style>
  <w:style w:type="paragraph" w:customStyle="1" w:styleId="EYBodytextwithparaspace">
    <w:name w:val="EY Body text (with para space)"/>
    <w:basedOn w:val="Normal"/>
    <w:link w:val="EYBodytextwithparaspaceChar"/>
    <w:qFormat/>
    <w:rsid w:val="007D529D"/>
    <w:pPr>
      <w:numPr>
        <w:ilvl w:val="4"/>
        <w:numId w:val="3"/>
      </w:numPr>
      <w:spacing w:after="240"/>
    </w:pPr>
    <w:rPr>
      <w:rFonts w:eastAsia="PMingLiU" w:cs="Arial"/>
      <w:kern w:val="12"/>
      <w:lang w:val="en-US" w:eastAsia="zh-TW" w:bidi="en-US"/>
    </w:rPr>
  </w:style>
  <w:style w:type="character" w:customStyle="1" w:styleId="EYBodytextwithparaspaceChar">
    <w:name w:val="EY Body text (with para space) Char"/>
    <w:basedOn w:val="DefaultParagraphFont"/>
    <w:link w:val="EYBodytextwithparaspace"/>
    <w:rsid w:val="007D529D"/>
    <w:rPr>
      <w:rFonts w:ascii="Garamond" w:eastAsia="PMingLiU" w:hAnsi="Garamond" w:cs="Arial"/>
      <w:kern w:val="12"/>
      <w:sz w:val="24"/>
      <w:szCs w:val="24"/>
      <w:lang w:val="en-US" w:eastAsia="zh-TW" w:bidi="en-US"/>
    </w:rPr>
  </w:style>
  <w:style w:type="paragraph" w:customStyle="1" w:styleId="EYBulletedText1">
    <w:name w:val="EY Bulleted Text 1"/>
    <w:basedOn w:val="EYBodytextwithparaspace"/>
    <w:link w:val="EYBulletedText1Char"/>
    <w:rsid w:val="00574551"/>
    <w:pPr>
      <w:numPr>
        <w:ilvl w:val="0"/>
        <w:numId w:val="4"/>
      </w:numPr>
      <w:spacing w:after="120"/>
      <w:outlineLvl w:val="0"/>
    </w:pPr>
    <w:rPr>
      <w:lang w:val="en-AU" w:eastAsia="en-AU"/>
    </w:rPr>
  </w:style>
  <w:style w:type="character" w:customStyle="1" w:styleId="EYBulletedText1Char">
    <w:name w:val="EY Bulleted Text 1 Char"/>
    <w:link w:val="EYBulletedText1"/>
    <w:locked/>
    <w:rsid w:val="00574551"/>
    <w:rPr>
      <w:rFonts w:ascii="Garamond" w:eastAsia="PMingLiU" w:hAnsi="Garamond" w:cs="Arial"/>
      <w:kern w:val="12"/>
      <w:sz w:val="24"/>
      <w:szCs w:val="24"/>
      <w:lang w:eastAsia="en-AU" w:bidi="en-US"/>
    </w:rPr>
  </w:style>
  <w:style w:type="table" w:styleId="TableGrid">
    <w:name w:val="Table Grid"/>
    <w:basedOn w:val="TableNormal"/>
    <w:uiPriority w:val="59"/>
    <w:rsid w:val="00D405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List Paragraph1 Char,Recommendation Char"/>
    <w:link w:val="ListParagraph"/>
    <w:uiPriority w:val="34"/>
    <w:locked/>
    <w:rsid w:val="00286E7B"/>
    <w:rPr>
      <w:rFonts w:ascii="Garamond" w:hAnsi="Garamond"/>
      <w:sz w:val="24"/>
      <w:szCs w:val="24"/>
    </w:rPr>
  </w:style>
  <w:style w:type="paragraph" w:styleId="Caption">
    <w:name w:val="caption"/>
    <w:basedOn w:val="Normal"/>
    <w:next w:val="Normal"/>
    <w:uiPriority w:val="35"/>
    <w:unhideWhenUsed/>
    <w:rsid w:val="00286E7B"/>
    <w:pPr>
      <w:spacing w:after="200"/>
    </w:pPr>
    <w:rPr>
      <w:rFonts w:asciiTheme="minorHAnsi" w:hAnsiTheme="minorHAnsi"/>
      <w:b/>
      <w:bCs/>
      <w:color w:val="4F81BD" w:themeColor="accent1"/>
      <w:sz w:val="18"/>
      <w:szCs w:val="18"/>
    </w:rPr>
  </w:style>
  <w:style w:type="paragraph" w:customStyle="1" w:styleId="Default">
    <w:name w:val="Default"/>
    <w:rsid w:val="00E614D9"/>
    <w:pPr>
      <w:autoSpaceDE w:val="0"/>
      <w:autoSpaceDN w:val="0"/>
      <w:adjustRightInd w:val="0"/>
    </w:pPr>
    <w:rPr>
      <w:rFonts w:ascii="Calibri" w:hAnsi="Calibri" w:cs="Calibri"/>
      <w:color w:val="000000"/>
      <w:sz w:val="24"/>
      <w:szCs w:val="24"/>
    </w:rPr>
  </w:style>
  <w:style w:type="paragraph" w:styleId="NormalWeb">
    <w:name w:val="Normal (Web)"/>
    <w:basedOn w:val="Normal"/>
    <w:uiPriority w:val="99"/>
    <w:semiHidden/>
    <w:unhideWhenUsed/>
    <w:rsid w:val="00D001B4"/>
    <w:pPr>
      <w:spacing w:before="100" w:beforeAutospacing="1" w:after="100" w:afterAutospacing="1"/>
    </w:pPr>
    <w:rPr>
      <w:rFonts w:ascii="Times New Roman" w:eastAsia="Times New Roman" w:hAnsi="Times New Roman"/>
      <w:lang w:eastAsia="en-AU"/>
    </w:rPr>
  </w:style>
  <w:style w:type="paragraph" w:styleId="EndnoteText">
    <w:name w:val="endnote text"/>
    <w:basedOn w:val="Normal"/>
    <w:link w:val="EndnoteTextChar"/>
    <w:uiPriority w:val="99"/>
    <w:semiHidden/>
    <w:unhideWhenUsed/>
    <w:rsid w:val="00ED5FB2"/>
    <w:rPr>
      <w:sz w:val="20"/>
      <w:szCs w:val="20"/>
    </w:rPr>
  </w:style>
  <w:style w:type="character" w:customStyle="1" w:styleId="EndnoteTextChar">
    <w:name w:val="Endnote Text Char"/>
    <w:basedOn w:val="DefaultParagraphFont"/>
    <w:link w:val="EndnoteText"/>
    <w:uiPriority w:val="99"/>
    <w:semiHidden/>
    <w:rsid w:val="00ED5FB2"/>
    <w:rPr>
      <w:rFonts w:ascii="Garamond" w:hAnsi="Garamond"/>
      <w:sz w:val="20"/>
      <w:szCs w:val="20"/>
    </w:rPr>
  </w:style>
  <w:style w:type="character" w:styleId="EndnoteReference">
    <w:name w:val="endnote reference"/>
    <w:basedOn w:val="DefaultParagraphFont"/>
    <w:uiPriority w:val="99"/>
    <w:semiHidden/>
    <w:unhideWhenUsed/>
    <w:rsid w:val="00ED5FB2"/>
    <w:rPr>
      <w:vertAlign w:val="superscript"/>
    </w:rPr>
  </w:style>
  <w:style w:type="numbering" w:customStyle="1" w:styleId="Style1">
    <w:name w:val="Style1"/>
    <w:uiPriority w:val="99"/>
    <w:rsid w:val="00E87EE9"/>
    <w:pPr>
      <w:numPr>
        <w:numId w:val="7"/>
      </w:numPr>
    </w:pPr>
  </w:style>
  <w:style w:type="character" w:styleId="CommentReference">
    <w:name w:val="annotation reference"/>
    <w:basedOn w:val="DefaultParagraphFont"/>
    <w:uiPriority w:val="99"/>
    <w:semiHidden/>
    <w:unhideWhenUsed/>
    <w:rsid w:val="00DD3801"/>
    <w:rPr>
      <w:sz w:val="16"/>
      <w:szCs w:val="16"/>
    </w:rPr>
  </w:style>
  <w:style w:type="paragraph" w:styleId="CommentText">
    <w:name w:val="annotation text"/>
    <w:basedOn w:val="Normal"/>
    <w:link w:val="CommentTextChar"/>
    <w:uiPriority w:val="99"/>
    <w:semiHidden/>
    <w:unhideWhenUsed/>
    <w:rsid w:val="00DD3801"/>
    <w:rPr>
      <w:sz w:val="20"/>
      <w:szCs w:val="20"/>
    </w:rPr>
  </w:style>
  <w:style w:type="character" w:customStyle="1" w:styleId="CommentTextChar">
    <w:name w:val="Comment Text Char"/>
    <w:basedOn w:val="DefaultParagraphFont"/>
    <w:link w:val="CommentText"/>
    <w:uiPriority w:val="99"/>
    <w:semiHidden/>
    <w:rsid w:val="00DD3801"/>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CC4103"/>
    <w:rPr>
      <w:b/>
      <w:bCs/>
    </w:rPr>
  </w:style>
  <w:style w:type="character" w:customStyle="1" w:styleId="CommentSubjectChar">
    <w:name w:val="Comment Subject Char"/>
    <w:basedOn w:val="CommentTextChar"/>
    <w:link w:val="CommentSubject"/>
    <w:uiPriority w:val="99"/>
    <w:semiHidden/>
    <w:rsid w:val="00CC4103"/>
    <w:rPr>
      <w:rFonts w:ascii="Garamond" w:hAnsi="Garamond"/>
      <w:b/>
      <w:bCs/>
      <w:sz w:val="20"/>
      <w:szCs w:val="20"/>
    </w:rPr>
  </w:style>
  <w:style w:type="character" w:customStyle="1" w:styleId="apple-converted-space">
    <w:name w:val="apple-converted-space"/>
    <w:basedOn w:val="DefaultParagraphFont"/>
    <w:rsid w:val="0002493D"/>
  </w:style>
  <w:style w:type="paragraph" w:styleId="Revision">
    <w:name w:val="Revision"/>
    <w:hidden/>
    <w:uiPriority w:val="99"/>
    <w:semiHidden/>
    <w:rsid w:val="000A3A41"/>
    <w:rPr>
      <w:rFonts w:ascii="Garamond" w:hAnsi="Garam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247203">
      <w:bodyDiv w:val="1"/>
      <w:marLeft w:val="0"/>
      <w:marRight w:val="0"/>
      <w:marTop w:val="0"/>
      <w:marBottom w:val="0"/>
      <w:divBdr>
        <w:top w:val="none" w:sz="0" w:space="0" w:color="auto"/>
        <w:left w:val="none" w:sz="0" w:space="0" w:color="auto"/>
        <w:bottom w:val="none" w:sz="0" w:space="0" w:color="auto"/>
        <w:right w:val="none" w:sz="0" w:space="0" w:color="auto"/>
      </w:divBdr>
    </w:div>
    <w:div w:id="467018674">
      <w:bodyDiv w:val="1"/>
      <w:marLeft w:val="0"/>
      <w:marRight w:val="0"/>
      <w:marTop w:val="0"/>
      <w:marBottom w:val="0"/>
      <w:divBdr>
        <w:top w:val="none" w:sz="0" w:space="0" w:color="auto"/>
        <w:left w:val="none" w:sz="0" w:space="0" w:color="auto"/>
        <w:bottom w:val="none" w:sz="0" w:space="0" w:color="auto"/>
        <w:right w:val="none" w:sz="0" w:space="0" w:color="auto"/>
      </w:divBdr>
      <w:divsChild>
        <w:div w:id="27269022">
          <w:marLeft w:val="418"/>
          <w:marRight w:val="0"/>
          <w:marTop w:val="0"/>
          <w:marBottom w:val="0"/>
          <w:divBdr>
            <w:top w:val="none" w:sz="0" w:space="0" w:color="auto"/>
            <w:left w:val="none" w:sz="0" w:space="0" w:color="auto"/>
            <w:bottom w:val="none" w:sz="0" w:space="0" w:color="auto"/>
            <w:right w:val="none" w:sz="0" w:space="0" w:color="auto"/>
          </w:divBdr>
        </w:div>
      </w:divsChild>
    </w:div>
    <w:div w:id="891580487">
      <w:bodyDiv w:val="1"/>
      <w:marLeft w:val="0"/>
      <w:marRight w:val="0"/>
      <w:marTop w:val="0"/>
      <w:marBottom w:val="0"/>
      <w:divBdr>
        <w:top w:val="none" w:sz="0" w:space="0" w:color="auto"/>
        <w:left w:val="none" w:sz="0" w:space="0" w:color="auto"/>
        <w:bottom w:val="none" w:sz="0" w:space="0" w:color="auto"/>
        <w:right w:val="none" w:sz="0" w:space="0" w:color="auto"/>
      </w:divBdr>
    </w:div>
    <w:div w:id="969897241">
      <w:bodyDiv w:val="1"/>
      <w:marLeft w:val="0"/>
      <w:marRight w:val="0"/>
      <w:marTop w:val="0"/>
      <w:marBottom w:val="0"/>
      <w:divBdr>
        <w:top w:val="none" w:sz="0" w:space="0" w:color="auto"/>
        <w:left w:val="none" w:sz="0" w:space="0" w:color="auto"/>
        <w:bottom w:val="none" w:sz="0" w:space="0" w:color="auto"/>
        <w:right w:val="none" w:sz="0" w:space="0" w:color="auto"/>
      </w:divBdr>
      <w:divsChild>
        <w:div w:id="21158619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4589778">
              <w:marLeft w:val="0"/>
              <w:marRight w:val="0"/>
              <w:marTop w:val="0"/>
              <w:marBottom w:val="0"/>
              <w:divBdr>
                <w:top w:val="none" w:sz="0" w:space="0" w:color="auto"/>
                <w:left w:val="none" w:sz="0" w:space="0" w:color="auto"/>
                <w:bottom w:val="none" w:sz="0" w:space="0" w:color="auto"/>
                <w:right w:val="none" w:sz="0" w:space="0" w:color="auto"/>
              </w:divBdr>
              <w:divsChild>
                <w:div w:id="1780370183">
                  <w:marLeft w:val="0"/>
                  <w:marRight w:val="0"/>
                  <w:marTop w:val="0"/>
                  <w:marBottom w:val="0"/>
                  <w:divBdr>
                    <w:top w:val="none" w:sz="0" w:space="0" w:color="auto"/>
                    <w:left w:val="none" w:sz="0" w:space="0" w:color="auto"/>
                    <w:bottom w:val="none" w:sz="0" w:space="0" w:color="auto"/>
                    <w:right w:val="none" w:sz="0" w:space="0" w:color="auto"/>
                  </w:divBdr>
                  <w:divsChild>
                    <w:div w:id="8678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214425">
      <w:bodyDiv w:val="1"/>
      <w:marLeft w:val="0"/>
      <w:marRight w:val="0"/>
      <w:marTop w:val="0"/>
      <w:marBottom w:val="0"/>
      <w:divBdr>
        <w:top w:val="none" w:sz="0" w:space="0" w:color="auto"/>
        <w:left w:val="none" w:sz="0" w:space="0" w:color="auto"/>
        <w:bottom w:val="none" w:sz="0" w:space="0" w:color="auto"/>
        <w:right w:val="none" w:sz="0" w:space="0" w:color="auto"/>
      </w:divBdr>
    </w:div>
    <w:div w:id="1262910829">
      <w:bodyDiv w:val="1"/>
      <w:marLeft w:val="0"/>
      <w:marRight w:val="0"/>
      <w:marTop w:val="0"/>
      <w:marBottom w:val="0"/>
      <w:divBdr>
        <w:top w:val="none" w:sz="0" w:space="0" w:color="auto"/>
        <w:left w:val="none" w:sz="0" w:space="0" w:color="auto"/>
        <w:bottom w:val="none" w:sz="0" w:space="0" w:color="auto"/>
        <w:right w:val="none" w:sz="0" w:space="0" w:color="auto"/>
      </w:divBdr>
      <w:divsChild>
        <w:div w:id="1207138290">
          <w:marLeft w:val="547"/>
          <w:marRight w:val="0"/>
          <w:marTop w:val="96"/>
          <w:marBottom w:val="0"/>
          <w:divBdr>
            <w:top w:val="none" w:sz="0" w:space="0" w:color="auto"/>
            <w:left w:val="none" w:sz="0" w:space="0" w:color="auto"/>
            <w:bottom w:val="none" w:sz="0" w:space="0" w:color="auto"/>
            <w:right w:val="none" w:sz="0" w:space="0" w:color="auto"/>
          </w:divBdr>
        </w:div>
        <w:div w:id="1821119689">
          <w:marLeft w:val="547"/>
          <w:marRight w:val="0"/>
          <w:marTop w:val="96"/>
          <w:marBottom w:val="0"/>
          <w:divBdr>
            <w:top w:val="none" w:sz="0" w:space="0" w:color="auto"/>
            <w:left w:val="none" w:sz="0" w:space="0" w:color="auto"/>
            <w:bottom w:val="none" w:sz="0" w:space="0" w:color="auto"/>
            <w:right w:val="none" w:sz="0" w:space="0" w:color="auto"/>
          </w:divBdr>
        </w:div>
        <w:div w:id="42449969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9440</Words>
  <Characters>53812</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2014-10-20T03:42:00Z</dcterms:created>
  <dcterms:modified xsi:type="dcterms:W3CDTF">2014-10-20T20:59:00Z</dcterms:modified>
</cp:coreProperties>
</file>