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6E7EB" w14:textId="77777777" w:rsidR="00262127" w:rsidRPr="00F623CB" w:rsidRDefault="00262127" w:rsidP="00F623CB">
      <w:pPr>
        <w:pStyle w:val="Subtitle"/>
      </w:pPr>
      <w:bookmarkStart w:id="0" w:name="_Toc427153112"/>
      <w:r w:rsidRPr="00F623CB">
        <w:t>Medicare Benefits Schedule Review Taskforce</w:t>
      </w:r>
    </w:p>
    <w:p w14:paraId="7EDC0DF7" w14:textId="77777777" w:rsidR="008837ED" w:rsidRDefault="00CE0E68" w:rsidP="00F623CB">
      <w:pPr>
        <w:pStyle w:val="Title"/>
        <w:rPr>
          <w:sz w:val="60"/>
          <w:szCs w:val="60"/>
        </w:rPr>
      </w:pPr>
      <w:r w:rsidRPr="00327C01">
        <w:rPr>
          <w:sz w:val="60"/>
          <w:szCs w:val="60"/>
        </w:rPr>
        <w:t xml:space="preserve">Report from the </w:t>
      </w:r>
      <w:r w:rsidR="00A37A92">
        <w:rPr>
          <w:sz w:val="60"/>
          <w:szCs w:val="60"/>
        </w:rPr>
        <w:t>Pathology Clinical Committee</w:t>
      </w:r>
      <w:r w:rsidR="00F10965">
        <w:rPr>
          <w:sz w:val="60"/>
          <w:szCs w:val="60"/>
        </w:rPr>
        <w:t xml:space="preserve"> </w:t>
      </w:r>
    </w:p>
    <w:p w14:paraId="5B10B6A3" w14:textId="77777777" w:rsidR="00262127" w:rsidRPr="00327C01" w:rsidRDefault="00F10965" w:rsidP="00F623CB">
      <w:pPr>
        <w:pStyle w:val="Title"/>
        <w:rPr>
          <w:sz w:val="60"/>
          <w:szCs w:val="60"/>
        </w:rPr>
      </w:pPr>
      <w:r>
        <w:rPr>
          <w:sz w:val="60"/>
          <w:szCs w:val="60"/>
        </w:rPr>
        <w:t>(</w:t>
      </w:r>
      <w:r w:rsidR="00E720E2">
        <w:rPr>
          <w:sz w:val="60"/>
          <w:szCs w:val="60"/>
        </w:rPr>
        <w:t xml:space="preserve">Tissue </w:t>
      </w:r>
      <w:r w:rsidR="00C61BA1">
        <w:rPr>
          <w:sz w:val="60"/>
          <w:szCs w:val="60"/>
        </w:rPr>
        <w:t>(Anatomical)</w:t>
      </w:r>
      <w:r>
        <w:rPr>
          <w:sz w:val="60"/>
          <w:szCs w:val="60"/>
        </w:rPr>
        <w:t xml:space="preserve"> Pathology/Cytology)</w:t>
      </w:r>
    </w:p>
    <w:p w14:paraId="2B3B7970" w14:textId="77777777" w:rsidR="008A49F1" w:rsidRPr="00A37A92" w:rsidRDefault="00F10965" w:rsidP="00A37A92">
      <w:pPr>
        <w:pStyle w:val="Subtitle"/>
        <w:rPr>
          <w:rStyle w:val="IntenseReference"/>
          <w:b/>
          <w:bCs w:val="0"/>
          <w:i w:val="0"/>
          <w:smallCaps w:val="0"/>
          <w:color w:val="01653F"/>
        </w:rPr>
      </w:pPr>
      <w:bookmarkStart w:id="1" w:name="_Toc448369494"/>
      <w:r>
        <w:t xml:space="preserve">May </w:t>
      </w:r>
      <w:r w:rsidR="006D6A16">
        <w:t>2017</w:t>
      </w:r>
      <w:r w:rsidR="008A49F1" w:rsidRPr="009200D8">
        <w:rPr>
          <w:rStyle w:val="IntenseReference"/>
          <w:bCs w:val="0"/>
          <w:i w:val="0"/>
          <w:smallCaps w:val="0"/>
          <w:sz w:val="20"/>
          <w:szCs w:val="20"/>
        </w:rPr>
        <w:br w:type="page"/>
      </w:r>
    </w:p>
    <w:tbl>
      <w:tblPr>
        <w:tblStyle w:val="TableGrid"/>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left w:w="28" w:type="dxa"/>
          <w:bottom w:w="28" w:type="dxa"/>
          <w:right w:w="28" w:type="dxa"/>
        </w:tblCellMar>
        <w:tblLook w:val="04A0" w:firstRow="1" w:lastRow="0" w:firstColumn="1" w:lastColumn="0" w:noHBand="0" w:noVBand="1"/>
      </w:tblPr>
      <w:tblGrid>
        <w:gridCol w:w="8876"/>
      </w:tblGrid>
      <w:tr w:rsidR="00E00CB3" w14:paraId="6BF4FD3C" w14:textId="77777777" w:rsidTr="00E00CB3">
        <w:trPr>
          <w:tblHeader/>
        </w:trPr>
        <w:tc>
          <w:tcPr>
            <w:tcW w:w="9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hideMark/>
          </w:tcPr>
          <w:p w14:paraId="23AE7895" w14:textId="77777777" w:rsidR="00E00CB3" w:rsidRDefault="00E00CB3">
            <w:pPr>
              <w:rPr>
                <w:rFonts w:cstheme="minorHAnsi"/>
                <w:b/>
                <w:color w:val="01653F"/>
                <w:sz w:val="32"/>
                <w:szCs w:val="32"/>
                <w:lang w:val="en-AU"/>
              </w:rPr>
            </w:pPr>
            <w:r>
              <w:rPr>
                <w:rFonts w:cstheme="minorHAnsi"/>
                <w:b/>
                <w:color w:val="01653F"/>
                <w:sz w:val="32"/>
                <w:szCs w:val="32"/>
              </w:rPr>
              <w:lastRenderedPageBreak/>
              <w:t>Important note</w:t>
            </w:r>
          </w:p>
          <w:p w14:paraId="7754BD20" w14:textId="77777777" w:rsidR="00E00CB3" w:rsidRDefault="00E00CB3">
            <w:pPr>
              <w:rPr>
                <w:rFonts w:ascii="Calibri" w:hAnsi="Calibri"/>
                <w:szCs w:val="22"/>
              </w:rPr>
            </w:pPr>
            <w:r>
              <w:t xml:space="preserve">The views and recommendations in this report from the Clinical Committee have been released for the purpose of seeking the views of stakeholders. </w:t>
            </w:r>
          </w:p>
          <w:p w14:paraId="08E85C08" w14:textId="77777777" w:rsidR="00E00CB3" w:rsidRDefault="00E00CB3">
            <w:r>
              <w:t xml:space="preserve">This report does not constitute the final position on these items, which is subject to: </w:t>
            </w:r>
          </w:p>
          <w:p w14:paraId="551F457E" w14:textId="77777777" w:rsidR="00E00CB3" w:rsidRDefault="00E00CB3" w:rsidP="00E00CB3">
            <w:pPr>
              <w:pStyle w:val="01squarebullet"/>
              <w:numPr>
                <w:ilvl w:val="0"/>
                <w:numId w:val="25"/>
              </w:numPr>
              <w:ind w:right="0"/>
            </w:pPr>
            <w:r>
              <w:t>Stakeholder feedback.</w:t>
            </w:r>
          </w:p>
          <w:p w14:paraId="2BB9E185" w14:textId="77777777" w:rsidR="00E00CB3" w:rsidRDefault="00E00CB3">
            <w:pPr>
              <w:pStyle w:val="01squarebullet"/>
              <w:numPr>
                <w:ilvl w:val="0"/>
                <w:numId w:val="0"/>
              </w:numPr>
            </w:pPr>
            <w:r>
              <w:t>Then</w:t>
            </w:r>
          </w:p>
          <w:p w14:paraId="150D70A1" w14:textId="77777777" w:rsidR="00E00CB3" w:rsidRDefault="00E00CB3" w:rsidP="00E00CB3">
            <w:pPr>
              <w:pStyle w:val="01squarebullet"/>
              <w:numPr>
                <w:ilvl w:val="0"/>
                <w:numId w:val="25"/>
              </w:numPr>
              <w:ind w:right="0"/>
            </w:pPr>
            <w:r>
              <w:t>Consideration by the MBS Review Taskforce.</w:t>
            </w:r>
          </w:p>
          <w:p w14:paraId="3FA684A4" w14:textId="77777777" w:rsidR="00E00CB3" w:rsidRDefault="00E00CB3">
            <w:pPr>
              <w:pStyle w:val="01squarebullet"/>
              <w:numPr>
                <w:ilvl w:val="0"/>
                <w:numId w:val="0"/>
              </w:numPr>
            </w:pPr>
            <w:r>
              <w:t xml:space="preserve">Then, </w:t>
            </w:r>
            <w:r>
              <w:rPr>
                <w:i/>
              </w:rPr>
              <w:t>if endorsed</w:t>
            </w:r>
            <w:r>
              <w:t>, consideration by</w:t>
            </w:r>
          </w:p>
          <w:p w14:paraId="723B4B3C" w14:textId="77777777" w:rsidR="00E00CB3" w:rsidRDefault="00E00CB3" w:rsidP="00E00CB3">
            <w:pPr>
              <w:pStyle w:val="01squarebullet"/>
              <w:numPr>
                <w:ilvl w:val="0"/>
                <w:numId w:val="25"/>
              </w:numPr>
              <w:ind w:right="0"/>
            </w:pPr>
            <w:r>
              <w:t xml:space="preserve">The Minister for Health. </w:t>
            </w:r>
          </w:p>
          <w:p w14:paraId="67C23DD2" w14:textId="77777777" w:rsidR="00E00CB3" w:rsidRDefault="00E00CB3" w:rsidP="00E00CB3">
            <w:pPr>
              <w:pStyle w:val="01squarebullet"/>
              <w:numPr>
                <w:ilvl w:val="0"/>
                <w:numId w:val="25"/>
              </w:numPr>
              <w:ind w:right="0"/>
            </w:pPr>
            <w:r>
              <w:t>The Government.</w:t>
            </w:r>
          </w:p>
          <w:p w14:paraId="21CA9967" w14:textId="77777777" w:rsidR="00E00CB3" w:rsidRDefault="00E00CB3">
            <w:pPr>
              <w:rPr>
                <w:u w:val="single"/>
              </w:rPr>
            </w:pPr>
            <w:r>
              <w:t xml:space="preserve">Stakeholders should provide comment on the recommendations via </w:t>
            </w:r>
            <w:hyperlink r:id="rId8" w:history="1">
              <w:r>
                <w:rPr>
                  <w:rStyle w:val="Hyperlink"/>
                </w:rPr>
                <w:t>mbsreviews@health.gov.au</w:t>
              </w:r>
            </w:hyperlink>
            <w:r>
              <w:t>.</w:t>
            </w:r>
          </w:p>
          <w:p w14:paraId="746BBE69" w14:textId="77777777" w:rsidR="00E00CB3" w:rsidRDefault="00E00CB3">
            <w:pPr>
              <w:rPr>
                <w:rFonts w:cstheme="minorHAnsi"/>
                <w:b/>
                <w:color w:val="01653F"/>
                <w:sz w:val="32"/>
                <w:szCs w:val="32"/>
                <w:lang w:val="en-AU"/>
              </w:rPr>
            </w:pPr>
            <w:r>
              <w:rPr>
                <w:rFonts w:cstheme="minorHAnsi"/>
                <w:b/>
                <w:color w:val="01653F"/>
                <w:sz w:val="32"/>
                <w:szCs w:val="32"/>
              </w:rPr>
              <w:t xml:space="preserve">Confidentiality of comments: </w:t>
            </w:r>
          </w:p>
          <w:p w14:paraId="6474B29C" w14:textId="77777777" w:rsidR="00E00CB3" w:rsidRDefault="00E00CB3">
            <w:pPr>
              <w:rPr>
                <w:rFonts w:ascii="Calibri" w:hAnsi="Calibri"/>
                <w:szCs w:val="22"/>
              </w:rPr>
            </w:pPr>
            <w:r>
              <w:t>If you would like your feedback to remain confidential, please mark it as such. It is important to be aware that confidential feedback may still be subject to access under freedom of information law.</w:t>
            </w:r>
          </w:p>
        </w:tc>
      </w:tr>
    </w:tbl>
    <w:p w14:paraId="30A3DC96" w14:textId="77777777" w:rsidR="00E00CB3" w:rsidRDefault="00E00CB3" w:rsidP="003F788A">
      <w:pPr>
        <w:spacing w:before="120" w:after="120"/>
        <w:rPr>
          <w:rFonts w:cs="Arial"/>
          <w:b/>
          <w:color w:val="01653F"/>
          <w:sz w:val="32"/>
          <w:szCs w:val="32"/>
        </w:rPr>
        <w:sectPr w:rsidR="00E00CB3" w:rsidSect="002E2665">
          <w:footerReference w:type="default" r:id="rId9"/>
          <w:endnotePr>
            <w:numFmt w:val="decimal"/>
          </w:endnotePr>
          <w:pgSz w:w="11906" w:h="16838" w:code="9"/>
          <w:pgMar w:top="1021" w:right="1440" w:bottom="1021" w:left="1560" w:header="567" w:footer="170" w:gutter="0"/>
          <w:paperSrc w:first="2" w:other="2"/>
          <w:pgNumType w:start="1"/>
          <w:cols w:space="720"/>
          <w:docGrid w:linePitch="326"/>
        </w:sectPr>
      </w:pPr>
    </w:p>
    <w:p w14:paraId="19522EA7" w14:textId="77777777" w:rsidR="00C56DF9"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sdt>
      <w:sdtPr>
        <w:rPr>
          <w:b w:val="0"/>
          <w:szCs w:val="24"/>
        </w:rPr>
        <w:id w:val="-749582302"/>
        <w:docPartObj>
          <w:docPartGallery w:val="Table of Contents"/>
          <w:docPartUnique/>
        </w:docPartObj>
      </w:sdtPr>
      <w:sdtEndPr>
        <w:rPr>
          <w:bCs/>
          <w:noProof/>
        </w:rPr>
      </w:sdtEndPr>
      <w:sdtContent>
        <w:p w14:paraId="00D46D13" w14:textId="77777777" w:rsidR="00D43396" w:rsidRDefault="00555C4C">
          <w:pPr>
            <w:pStyle w:val="TOC1"/>
            <w:rPr>
              <w:rFonts w:eastAsiaTheme="minorEastAsia" w:cstheme="minorBidi"/>
              <w:b w:val="0"/>
              <w:noProof/>
              <w:lang w:val="en-AU"/>
            </w:rPr>
          </w:pPr>
          <w:r>
            <w:fldChar w:fldCharType="begin"/>
          </w:r>
          <w:r w:rsidR="002A7552">
            <w:instrText xml:space="preserve"> TOC \o "1-3" \h \z \u </w:instrText>
          </w:r>
          <w:r>
            <w:fldChar w:fldCharType="separate"/>
          </w:r>
          <w:hyperlink w:anchor="_Toc514243816" w:history="1">
            <w:r w:rsidR="00D43396" w:rsidRPr="000E1DBE">
              <w:rPr>
                <w:rStyle w:val="Hyperlink"/>
                <w:noProof/>
              </w:rPr>
              <w:t>1.</w:t>
            </w:r>
            <w:r w:rsidR="00D43396">
              <w:rPr>
                <w:rFonts w:eastAsiaTheme="minorEastAsia" w:cstheme="minorBidi"/>
                <w:b w:val="0"/>
                <w:noProof/>
                <w:lang w:val="en-AU"/>
              </w:rPr>
              <w:tab/>
            </w:r>
            <w:r w:rsidR="00D43396" w:rsidRPr="000E1DBE">
              <w:rPr>
                <w:rStyle w:val="Hyperlink"/>
                <w:noProof/>
              </w:rPr>
              <w:t>Executive summary</w:t>
            </w:r>
            <w:r w:rsidR="00D43396">
              <w:rPr>
                <w:noProof/>
                <w:webHidden/>
              </w:rPr>
              <w:tab/>
            </w:r>
            <w:r w:rsidR="00D43396">
              <w:rPr>
                <w:noProof/>
                <w:webHidden/>
              </w:rPr>
              <w:fldChar w:fldCharType="begin"/>
            </w:r>
            <w:r w:rsidR="00D43396">
              <w:rPr>
                <w:noProof/>
                <w:webHidden/>
              </w:rPr>
              <w:instrText xml:space="preserve"> PAGEREF _Toc514243816 \h </w:instrText>
            </w:r>
            <w:r w:rsidR="00D43396">
              <w:rPr>
                <w:noProof/>
                <w:webHidden/>
              </w:rPr>
            </w:r>
            <w:r w:rsidR="00D43396">
              <w:rPr>
                <w:noProof/>
                <w:webHidden/>
              </w:rPr>
              <w:fldChar w:fldCharType="separate"/>
            </w:r>
            <w:r w:rsidR="00D43396">
              <w:rPr>
                <w:noProof/>
                <w:webHidden/>
              </w:rPr>
              <w:t>3</w:t>
            </w:r>
            <w:r w:rsidR="00D43396">
              <w:rPr>
                <w:noProof/>
                <w:webHidden/>
              </w:rPr>
              <w:fldChar w:fldCharType="end"/>
            </w:r>
          </w:hyperlink>
        </w:p>
        <w:p w14:paraId="7069326A" w14:textId="77777777" w:rsidR="00D43396" w:rsidRDefault="00E564EB">
          <w:pPr>
            <w:pStyle w:val="TOC2"/>
            <w:rPr>
              <w:rFonts w:eastAsiaTheme="minorEastAsia" w:cstheme="minorBidi"/>
              <w:noProof/>
              <w:lang w:val="en-AU"/>
            </w:rPr>
          </w:pPr>
          <w:hyperlink w:anchor="_Toc514243817" w:history="1">
            <w:r w:rsidR="00D43396" w:rsidRPr="000E1DBE">
              <w:rPr>
                <w:rStyle w:val="Hyperlink"/>
                <w:noProof/>
              </w:rPr>
              <w:t>1.1</w:t>
            </w:r>
            <w:r w:rsidR="00D43396">
              <w:rPr>
                <w:rFonts w:eastAsiaTheme="minorEastAsia" w:cstheme="minorBidi"/>
                <w:noProof/>
                <w:lang w:val="en-AU"/>
              </w:rPr>
              <w:tab/>
            </w:r>
            <w:r w:rsidR="00D43396" w:rsidRPr="000E1DBE">
              <w:rPr>
                <w:rStyle w:val="Hyperlink"/>
                <w:noProof/>
              </w:rPr>
              <w:t>MBS Review process</w:t>
            </w:r>
            <w:r w:rsidR="00D43396">
              <w:rPr>
                <w:noProof/>
                <w:webHidden/>
              </w:rPr>
              <w:tab/>
            </w:r>
            <w:r w:rsidR="00D43396">
              <w:rPr>
                <w:noProof/>
                <w:webHidden/>
              </w:rPr>
              <w:fldChar w:fldCharType="begin"/>
            </w:r>
            <w:r w:rsidR="00D43396">
              <w:rPr>
                <w:noProof/>
                <w:webHidden/>
              </w:rPr>
              <w:instrText xml:space="preserve"> PAGEREF _Toc514243817 \h </w:instrText>
            </w:r>
            <w:r w:rsidR="00D43396">
              <w:rPr>
                <w:noProof/>
                <w:webHidden/>
              </w:rPr>
            </w:r>
            <w:r w:rsidR="00D43396">
              <w:rPr>
                <w:noProof/>
                <w:webHidden/>
              </w:rPr>
              <w:fldChar w:fldCharType="separate"/>
            </w:r>
            <w:r w:rsidR="00D43396">
              <w:rPr>
                <w:noProof/>
                <w:webHidden/>
              </w:rPr>
              <w:t>3</w:t>
            </w:r>
            <w:r w:rsidR="00D43396">
              <w:rPr>
                <w:noProof/>
                <w:webHidden/>
              </w:rPr>
              <w:fldChar w:fldCharType="end"/>
            </w:r>
          </w:hyperlink>
        </w:p>
        <w:p w14:paraId="0EBFF569" w14:textId="77777777" w:rsidR="00D43396" w:rsidRDefault="00E564EB">
          <w:pPr>
            <w:pStyle w:val="TOC2"/>
            <w:rPr>
              <w:rFonts w:eastAsiaTheme="minorEastAsia" w:cstheme="minorBidi"/>
              <w:noProof/>
              <w:lang w:val="en-AU"/>
            </w:rPr>
          </w:pPr>
          <w:hyperlink w:anchor="_Toc514243818" w:history="1">
            <w:r w:rsidR="00D43396" w:rsidRPr="000E1DBE">
              <w:rPr>
                <w:rStyle w:val="Hyperlink"/>
                <w:noProof/>
              </w:rPr>
              <w:t>1.2</w:t>
            </w:r>
            <w:r w:rsidR="00D43396">
              <w:rPr>
                <w:rFonts w:eastAsiaTheme="minorEastAsia" w:cstheme="minorBidi"/>
                <w:noProof/>
                <w:lang w:val="en-AU"/>
              </w:rPr>
              <w:tab/>
            </w:r>
            <w:r w:rsidR="00D43396" w:rsidRPr="000E1DBE">
              <w:rPr>
                <w:rStyle w:val="Hyperlink"/>
                <w:noProof/>
              </w:rPr>
              <w:t>The Pathology Clinical Committee</w:t>
            </w:r>
            <w:r w:rsidR="00D43396">
              <w:rPr>
                <w:noProof/>
                <w:webHidden/>
              </w:rPr>
              <w:tab/>
            </w:r>
            <w:r w:rsidR="00D43396">
              <w:rPr>
                <w:noProof/>
                <w:webHidden/>
              </w:rPr>
              <w:fldChar w:fldCharType="begin"/>
            </w:r>
            <w:r w:rsidR="00D43396">
              <w:rPr>
                <w:noProof/>
                <w:webHidden/>
              </w:rPr>
              <w:instrText xml:space="preserve"> PAGEREF _Toc514243818 \h </w:instrText>
            </w:r>
            <w:r w:rsidR="00D43396">
              <w:rPr>
                <w:noProof/>
                <w:webHidden/>
              </w:rPr>
            </w:r>
            <w:r w:rsidR="00D43396">
              <w:rPr>
                <w:noProof/>
                <w:webHidden/>
              </w:rPr>
              <w:fldChar w:fldCharType="separate"/>
            </w:r>
            <w:r w:rsidR="00D43396">
              <w:rPr>
                <w:noProof/>
                <w:webHidden/>
              </w:rPr>
              <w:t>4</w:t>
            </w:r>
            <w:r w:rsidR="00D43396">
              <w:rPr>
                <w:noProof/>
                <w:webHidden/>
              </w:rPr>
              <w:fldChar w:fldCharType="end"/>
            </w:r>
          </w:hyperlink>
        </w:p>
        <w:p w14:paraId="7536878C" w14:textId="77777777" w:rsidR="00D43396" w:rsidRDefault="00E564EB">
          <w:pPr>
            <w:pStyle w:val="TOC2"/>
            <w:rPr>
              <w:rFonts w:eastAsiaTheme="minorEastAsia" w:cstheme="minorBidi"/>
              <w:noProof/>
              <w:lang w:val="en-AU"/>
            </w:rPr>
          </w:pPr>
          <w:hyperlink w:anchor="_Toc514243819" w:history="1">
            <w:r w:rsidR="00D43396" w:rsidRPr="000E1DBE">
              <w:rPr>
                <w:rStyle w:val="Hyperlink"/>
                <w:noProof/>
              </w:rPr>
              <w:t>1.3</w:t>
            </w:r>
            <w:r w:rsidR="00D43396">
              <w:rPr>
                <w:rFonts w:eastAsiaTheme="minorEastAsia" w:cstheme="minorBidi"/>
                <w:noProof/>
                <w:lang w:val="en-AU"/>
              </w:rPr>
              <w:tab/>
            </w:r>
            <w:r w:rsidR="00D43396" w:rsidRPr="000E1DBE">
              <w:rPr>
                <w:rStyle w:val="Hyperlink"/>
                <w:noProof/>
              </w:rPr>
              <w:t>Recommendations</w:t>
            </w:r>
            <w:r w:rsidR="00D43396">
              <w:rPr>
                <w:noProof/>
                <w:webHidden/>
              </w:rPr>
              <w:tab/>
            </w:r>
            <w:r w:rsidR="00D43396">
              <w:rPr>
                <w:noProof/>
                <w:webHidden/>
              </w:rPr>
              <w:fldChar w:fldCharType="begin"/>
            </w:r>
            <w:r w:rsidR="00D43396">
              <w:rPr>
                <w:noProof/>
                <w:webHidden/>
              </w:rPr>
              <w:instrText xml:space="preserve"> PAGEREF _Toc514243819 \h </w:instrText>
            </w:r>
            <w:r w:rsidR="00D43396">
              <w:rPr>
                <w:noProof/>
                <w:webHidden/>
              </w:rPr>
            </w:r>
            <w:r w:rsidR="00D43396">
              <w:rPr>
                <w:noProof/>
                <w:webHidden/>
              </w:rPr>
              <w:fldChar w:fldCharType="separate"/>
            </w:r>
            <w:r w:rsidR="00D43396">
              <w:rPr>
                <w:noProof/>
                <w:webHidden/>
              </w:rPr>
              <w:t>5</w:t>
            </w:r>
            <w:r w:rsidR="00D43396">
              <w:rPr>
                <w:noProof/>
                <w:webHidden/>
              </w:rPr>
              <w:fldChar w:fldCharType="end"/>
            </w:r>
          </w:hyperlink>
        </w:p>
        <w:p w14:paraId="47FAEDDC" w14:textId="77777777" w:rsidR="00D43396" w:rsidRDefault="00E564EB">
          <w:pPr>
            <w:pStyle w:val="TOC2"/>
            <w:rPr>
              <w:rFonts w:eastAsiaTheme="minorEastAsia" w:cstheme="minorBidi"/>
              <w:noProof/>
              <w:lang w:val="en-AU"/>
            </w:rPr>
          </w:pPr>
          <w:hyperlink w:anchor="_Toc514243820" w:history="1">
            <w:r w:rsidR="00D43396" w:rsidRPr="000E1DBE">
              <w:rPr>
                <w:rStyle w:val="Hyperlink"/>
                <w:noProof/>
              </w:rPr>
              <w:t>1.4</w:t>
            </w:r>
            <w:r w:rsidR="00D43396">
              <w:rPr>
                <w:rFonts w:eastAsiaTheme="minorEastAsia" w:cstheme="minorBidi"/>
                <w:noProof/>
                <w:lang w:val="en-AU"/>
              </w:rPr>
              <w:tab/>
            </w:r>
            <w:r w:rsidR="00D43396" w:rsidRPr="000E1DBE">
              <w:rPr>
                <w:rStyle w:val="Hyperlink"/>
                <w:noProof/>
              </w:rPr>
              <w:t>Consumer engagement</w:t>
            </w:r>
            <w:r w:rsidR="00D43396">
              <w:rPr>
                <w:noProof/>
                <w:webHidden/>
              </w:rPr>
              <w:tab/>
            </w:r>
            <w:r w:rsidR="00D43396">
              <w:rPr>
                <w:noProof/>
                <w:webHidden/>
              </w:rPr>
              <w:fldChar w:fldCharType="begin"/>
            </w:r>
            <w:r w:rsidR="00D43396">
              <w:rPr>
                <w:noProof/>
                <w:webHidden/>
              </w:rPr>
              <w:instrText xml:space="preserve"> PAGEREF _Toc514243820 \h </w:instrText>
            </w:r>
            <w:r w:rsidR="00D43396">
              <w:rPr>
                <w:noProof/>
                <w:webHidden/>
              </w:rPr>
            </w:r>
            <w:r w:rsidR="00D43396">
              <w:rPr>
                <w:noProof/>
                <w:webHidden/>
              </w:rPr>
              <w:fldChar w:fldCharType="separate"/>
            </w:r>
            <w:r w:rsidR="00D43396">
              <w:rPr>
                <w:noProof/>
                <w:webHidden/>
              </w:rPr>
              <w:t>7</w:t>
            </w:r>
            <w:r w:rsidR="00D43396">
              <w:rPr>
                <w:noProof/>
                <w:webHidden/>
              </w:rPr>
              <w:fldChar w:fldCharType="end"/>
            </w:r>
          </w:hyperlink>
        </w:p>
        <w:p w14:paraId="0083EF43" w14:textId="77777777" w:rsidR="00D43396" w:rsidRDefault="00E564EB">
          <w:pPr>
            <w:pStyle w:val="TOC1"/>
            <w:rPr>
              <w:rFonts w:eastAsiaTheme="minorEastAsia" w:cstheme="minorBidi"/>
              <w:b w:val="0"/>
              <w:noProof/>
              <w:lang w:val="en-AU"/>
            </w:rPr>
          </w:pPr>
          <w:hyperlink w:anchor="_Toc514243821" w:history="1">
            <w:r w:rsidR="00D43396" w:rsidRPr="000E1DBE">
              <w:rPr>
                <w:rStyle w:val="Hyperlink"/>
                <w:noProof/>
              </w:rPr>
              <w:t>2.</w:t>
            </w:r>
            <w:r w:rsidR="00D43396">
              <w:rPr>
                <w:rFonts w:eastAsiaTheme="minorEastAsia" w:cstheme="minorBidi"/>
                <w:b w:val="0"/>
                <w:noProof/>
                <w:lang w:val="en-AU"/>
              </w:rPr>
              <w:tab/>
            </w:r>
            <w:r w:rsidR="00D43396" w:rsidRPr="000E1DBE">
              <w:rPr>
                <w:rStyle w:val="Hyperlink"/>
                <w:noProof/>
              </w:rPr>
              <w:t>About the Medicare Benefits Schedule (MBS) Review</w:t>
            </w:r>
            <w:r w:rsidR="00D43396">
              <w:rPr>
                <w:noProof/>
                <w:webHidden/>
              </w:rPr>
              <w:tab/>
            </w:r>
            <w:r w:rsidR="00D43396">
              <w:rPr>
                <w:noProof/>
                <w:webHidden/>
              </w:rPr>
              <w:fldChar w:fldCharType="begin"/>
            </w:r>
            <w:r w:rsidR="00D43396">
              <w:rPr>
                <w:noProof/>
                <w:webHidden/>
              </w:rPr>
              <w:instrText xml:space="preserve"> PAGEREF _Toc514243821 \h </w:instrText>
            </w:r>
            <w:r w:rsidR="00D43396">
              <w:rPr>
                <w:noProof/>
                <w:webHidden/>
              </w:rPr>
            </w:r>
            <w:r w:rsidR="00D43396">
              <w:rPr>
                <w:noProof/>
                <w:webHidden/>
              </w:rPr>
              <w:fldChar w:fldCharType="separate"/>
            </w:r>
            <w:r w:rsidR="00D43396">
              <w:rPr>
                <w:noProof/>
                <w:webHidden/>
              </w:rPr>
              <w:t>8</w:t>
            </w:r>
            <w:r w:rsidR="00D43396">
              <w:rPr>
                <w:noProof/>
                <w:webHidden/>
              </w:rPr>
              <w:fldChar w:fldCharType="end"/>
            </w:r>
          </w:hyperlink>
        </w:p>
        <w:p w14:paraId="607E84C0" w14:textId="77777777" w:rsidR="00D43396" w:rsidRDefault="00E564EB">
          <w:pPr>
            <w:pStyle w:val="TOC2"/>
            <w:rPr>
              <w:rFonts w:eastAsiaTheme="minorEastAsia" w:cstheme="minorBidi"/>
              <w:noProof/>
              <w:lang w:val="en-AU"/>
            </w:rPr>
          </w:pPr>
          <w:hyperlink w:anchor="_Toc514243822" w:history="1">
            <w:r w:rsidR="00D43396" w:rsidRPr="000E1DBE">
              <w:rPr>
                <w:rStyle w:val="Hyperlink"/>
                <w:noProof/>
              </w:rPr>
              <w:t>2.1</w:t>
            </w:r>
            <w:r w:rsidR="00D43396">
              <w:rPr>
                <w:rFonts w:eastAsiaTheme="minorEastAsia" w:cstheme="minorBidi"/>
                <w:noProof/>
                <w:lang w:val="en-AU"/>
              </w:rPr>
              <w:tab/>
            </w:r>
            <w:r w:rsidR="00D43396" w:rsidRPr="000E1DBE">
              <w:rPr>
                <w:rStyle w:val="Hyperlink"/>
                <w:noProof/>
              </w:rPr>
              <w:t>Medicare and the MBS</w:t>
            </w:r>
            <w:r w:rsidR="00D43396">
              <w:rPr>
                <w:noProof/>
                <w:webHidden/>
              </w:rPr>
              <w:tab/>
            </w:r>
            <w:r w:rsidR="00D43396">
              <w:rPr>
                <w:noProof/>
                <w:webHidden/>
              </w:rPr>
              <w:fldChar w:fldCharType="begin"/>
            </w:r>
            <w:r w:rsidR="00D43396">
              <w:rPr>
                <w:noProof/>
                <w:webHidden/>
              </w:rPr>
              <w:instrText xml:space="preserve"> PAGEREF _Toc514243822 \h </w:instrText>
            </w:r>
            <w:r w:rsidR="00D43396">
              <w:rPr>
                <w:noProof/>
                <w:webHidden/>
              </w:rPr>
            </w:r>
            <w:r w:rsidR="00D43396">
              <w:rPr>
                <w:noProof/>
                <w:webHidden/>
              </w:rPr>
              <w:fldChar w:fldCharType="separate"/>
            </w:r>
            <w:r w:rsidR="00D43396">
              <w:rPr>
                <w:noProof/>
                <w:webHidden/>
              </w:rPr>
              <w:t>8</w:t>
            </w:r>
            <w:r w:rsidR="00D43396">
              <w:rPr>
                <w:noProof/>
                <w:webHidden/>
              </w:rPr>
              <w:fldChar w:fldCharType="end"/>
            </w:r>
          </w:hyperlink>
        </w:p>
        <w:p w14:paraId="70B7A86B" w14:textId="77777777" w:rsidR="00D43396" w:rsidRDefault="00E564EB">
          <w:pPr>
            <w:pStyle w:val="TOC2"/>
            <w:rPr>
              <w:rFonts w:eastAsiaTheme="minorEastAsia" w:cstheme="minorBidi"/>
              <w:noProof/>
              <w:lang w:val="en-AU"/>
            </w:rPr>
          </w:pPr>
          <w:hyperlink w:anchor="_Toc514243823" w:history="1">
            <w:r w:rsidR="00D43396" w:rsidRPr="000E1DBE">
              <w:rPr>
                <w:rStyle w:val="Hyperlink"/>
                <w:noProof/>
              </w:rPr>
              <w:t>2.2</w:t>
            </w:r>
            <w:r w:rsidR="00D43396">
              <w:rPr>
                <w:rFonts w:eastAsiaTheme="minorEastAsia" w:cstheme="minorBidi"/>
                <w:noProof/>
                <w:lang w:val="en-AU"/>
              </w:rPr>
              <w:tab/>
            </w:r>
            <w:r w:rsidR="00D43396" w:rsidRPr="000E1DBE">
              <w:rPr>
                <w:rStyle w:val="Hyperlink"/>
                <w:noProof/>
              </w:rPr>
              <w:t>What is the MBS Review Taskforce?</w:t>
            </w:r>
            <w:r w:rsidR="00D43396">
              <w:rPr>
                <w:noProof/>
                <w:webHidden/>
              </w:rPr>
              <w:tab/>
            </w:r>
            <w:r w:rsidR="00D43396">
              <w:rPr>
                <w:noProof/>
                <w:webHidden/>
              </w:rPr>
              <w:fldChar w:fldCharType="begin"/>
            </w:r>
            <w:r w:rsidR="00D43396">
              <w:rPr>
                <w:noProof/>
                <w:webHidden/>
              </w:rPr>
              <w:instrText xml:space="preserve"> PAGEREF _Toc514243823 \h </w:instrText>
            </w:r>
            <w:r w:rsidR="00D43396">
              <w:rPr>
                <w:noProof/>
                <w:webHidden/>
              </w:rPr>
            </w:r>
            <w:r w:rsidR="00D43396">
              <w:rPr>
                <w:noProof/>
                <w:webHidden/>
              </w:rPr>
              <w:fldChar w:fldCharType="separate"/>
            </w:r>
            <w:r w:rsidR="00D43396">
              <w:rPr>
                <w:noProof/>
                <w:webHidden/>
              </w:rPr>
              <w:t>8</w:t>
            </w:r>
            <w:r w:rsidR="00D43396">
              <w:rPr>
                <w:noProof/>
                <w:webHidden/>
              </w:rPr>
              <w:fldChar w:fldCharType="end"/>
            </w:r>
          </w:hyperlink>
        </w:p>
        <w:p w14:paraId="50C5010A" w14:textId="77777777" w:rsidR="00D43396" w:rsidRDefault="00E564EB">
          <w:pPr>
            <w:pStyle w:val="TOC2"/>
            <w:rPr>
              <w:rFonts w:eastAsiaTheme="minorEastAsia" w:cstheme="minorBidi"/>
              <w:noProof/>
              <w:lang w:val="en-AU"/>
            </w:rPr>
          </w:pPr>
          <w:hyperlink w:anchor="_Toc514243824" w:history="1">
            <w:r w:rsidR="00D43396" w:rsidRPr="000E1DBE">
              <w:rPr>
                <w:rStyle w:val="Hyperlink"/>
                <w:noProof/>
              </w:rPr>
              <w:t>2.3</w:t>
            </w:r>
            <w:r w:rsidR="00D43396">
              <w:rPr>
                <w:rFonts w:eastAsiaTheme="minorEastAsia" w:cstheme="minorBidi"/>
                <w:noProof/>
                <w:lang w:val="en-AU"/>
              </w:rPr>
              <w:tab/>
            </w:r>
            <w:r w:rsidR="00D43396" w:rsidRPr="000E1DBE">
              <w:rPr>
                <w:rStyle w:val="Hyperlink"/>
                <w:noProof/>
              </w:rPr>
              <w:t>The Taskforce’s approach</w:t>
            </w:r>
            <w:r w:rsidR="00D43396">
              <w:rPr>
                <w:noProof/>
                <w:webHidden/>
              </w:rPr>
              <w:tab/>
            </w:r>
            <w:r w:rsidR="00D43396">
              <w:rPr>
                <w:noProof/>
                <w:webHidden/>
              </w:rPr>
              <w:fldChar w:fldCharType="begin"/>
            </w:r>
            <w:r w:rsidR="00D43396">
              <w:rPr>
                <w:noProof/>
                <w:webHidden/>
              </w:rPr>
              <w:instrText xml:space="preserve"> PAGEREF _Toc514243824 \h </w:instrText>
            </w:r>
            <w:r w:rsidR="00D43396">
              <w:rPr>
                <w:noProof/>
                <w:webHidden/>
              </w:rPr>
            </w:r>
            <w:r w:rsidR="00D43396">
              <w:rPr>
                <w:noProof/>
                <w:webHidden/>
              </w:rPr>
              <w:fldChar w:fldCharType="separate"/>
            </w:r>
            <w:r w:rsidR="00D43396">
              <w:rPr>
                <w:noProof/>
                <w:webHidden/>
              </w:rPr>
              <w:t>8</w:t>
            </w:r>
            <w:r w:rsidR="00D43396">
              <w:rPr>
                <w:noProof/>
                <w:webHidden/>
              </w:rPr>
              <w:fldChar w:fldCharType="end"/>
            </w:r>
          </w:hyperlink>
        </w:p>
        <w:p w14:paraId="30C5B353" w14:textId="77777777" w:rsidR="00D43396" w:rsidRDefault="00E564EB">
          <w:pPr>
            <w:pStyle w:val="TOC1"/>
            <w:rPr>
              <w:rFonts w:eastAsiaTheme="minorEastAsia" w:cstheme="minorBidi"/>
              <w:b w:val="0"/>
              <w:noProof/>
              <w:lang w:val="en-AU"/>
            </w:rPr>
          </w:pPr>
          <w:hyperlink w:anchor="_Toc514243825" w:history="1">
            <w:r w:rsidR="00D43396" w:rsidRPr="000E1DBE">
              <w:rPr>
                <w:rStyle w:val="Hyperlink"/>
                <w:noProof/>
              </w:rPr>
              <w:t>3.</w:t>
            </w:r>
            <w:r w:rsidR="00D43396">
              <w:rPr>
                <w:rFonts w:eastAsiaTheme="minorEastAsia" w:cstheme="minorBidi"/>
                <w:b w:val="0"/>
                <w:noProof/>
                <w:lang w:val="en-AU"/>
              </w:rPr>
              <w:tab/>
            </w:r>
            <w:r w:rsidR="00D43396" w:rsidRPr="000E1DBE">
              <w:rPr>
                <w:rStyle w:val="Hyperlink"/>
                <w:noProof/>
              </w:rPr>
              <w:t>About the Pathology Clinical Committee</w:t>
            </w:r>
            <w:r w:rsidR="00D43396">
              <w:rPr>
                <w:noProof/>
                <w:webHidden/>
              </w:rPr>
              <w:tab/>
            </w:r>
            <w:r w:rsidR="00D43396">
              <w:rPr>
                <w:noProof/>
                <w:webHidden/>
              </w:rPr>
              <w:fldChar w:fldCharType="begin"/>
            </w:r>
            <w:r w:rsidR="00D43396">
              <w:rPr>
                <w:noProof/>
                <w:webHidden/>
              </w:rPr>
              <w:instrText xml:space="preserve"> PAGEREF _Toc514243825 \h </w:instrText>
            </w:r>
            <w:r w:rsidR="00D43396">
              <w:rPr>
                <w:noProof/>
                <w:webHidden/>
              </w:rPr>
            </w:r>
            <w:r w:rsidR="00D43396">
              <w:rPr>
                <w:noProof/>
                <w:webHidden/>
              </w:rPr>
              <w:fldChar w:fldCharType="separate"/>
            </w:r>
            <w:r w:rsidR="00D43396">
              <w:rPr>
                <w:noProof/>
                <w:webHidden/>
              </w:rPr>
              <w:t>10</w:t>
            </w:r>
            <w:r w:rsidR="00D43396">
              <w:rPr>
                <w:noProof/>
                <w:webHidden/>
              </w:rPr>
              <w:fldChar w:fldCharType="end"/>
            </w:r>
          </w:hyperlink>
        </w:p>
        <w:p w14:paraId="2B7D5710" w14:textId="77777777" w:rsidR="00D43396" w:rsidRDefault="00E564EB">
          <w:pPr>
            <w:pStyle w:val="TOC2"/>
            <w:rPr>
              <w:rFonts w:eastAsiaTheme="minorEastAsia" w:cstheme="minorBidi"/>
              <w:noProof/>
              <w:lang w:val="en-AU"/>
            </w:rPr>
          </w:pPr>
          <w:hyperlink w:anchor="_Toc514243826" w:history="1">
            <w:r w:rsidR="00D43396" w:rsidRPr="000E1DBE">
              <w:rPr>
                <w:rStyle w:val="Hyperlink"/>
                <w:noProof/>
              </w:rPr>
              <w:t>3.1</w:t>
            </w:r>
            <w:r w:rsidR="00D43396">
              <w:rPr>
                <w:rFonts w:eastAsiaTheme="minorEastAsia" w:cstheme="minorBidi"/>
                <w:noProof/>
                <w:lang w:val="en-AU"/>
              </w:rPr>
              <w:tab/>
            </w:r>
            <w:r w:rsidR="00D43396" w:rsidRPr="000E1DBE">
              <w:rPr>
                <w:rStyle w:val="Hyperlink"/>
                <w:noProof/>
              </w:rPr>
              <w:t>Committee members</w:t>
            </w:r>
            <w:r w:rsidR="00D43396">
              <w:rPr>
                <w:noProof/>
                <w:webHidden/>
              </w:rPr>
              <w:tab/>
            </w:r>
            <w:r w:rsidR="00D43396">
              <w:rPr>
                <w:noProof/>
                <w:webHidden/>
              </w:rPr>
              <w:fldChar w:fldCharType="begin"/>
            </w:r>
            <w:r w:rsidR="00D43396">
              <w:rPr>
                <w:noProof/>
                <w:webHidden/>
              </w:rPr>
              <w:instrText xml:space="preserve"> PAGEREF _Toc514243826 \h </w:instrText>
            </w:r>
            <w:r w:rsidR="00D43396">
              <w:rPr>
                <w:noProof/>
                <w:webHidden/>
              </w:rPr>
            </w:r>
            <w:r w:rsidR="00D43396">
              <w:rPr>
                <w:noProof/>
                <w:webHidden/>
              </w:rPr>
              <w:fldChar w:fldCharType="separate"/>
            </w:r>
            <w:r w:rsidR="00D43396">
              <w:rPr>
                <w:noProof/>
                <w:webHidden/>
              </w:rPr>
              <w:t>10</w:t>
            </w:r>
            <w:r w:rsidR="00D43396">
              <w:rPr>
                <w:noProof/>
                <w:webHidden/>
              </w:rPr>
              <w:fldChar w:fldCharType="end"/>
            </w:r>
          </w:hyperlink>
        </w:p>
        <w:p w14:paraId="0281C779" w14:textId="77777777" w:rsidR="00D43396" w:rsidRDefault="00E564EB">
          <w:pPr>
            <w:pStyle w:val="TOC2"/>
            <w:rPr>
              <w:rFonts w:eastAsiaTheme="minorEastAsia" w:cstheme="minorBidi"/>
              <w:noProof/>
              <w:lang w:val="en-AU"/>
            </w:rPr>
          </w:pPr>
          <w:hyperlink w:anchor="_Toc514243827" w:history="1">
            <w:r w:rsidR="00D43396" w:rsidRPr="000E1DBE">
              <w:rPr>
                <w:rStyle w:val="Hyperlink"/>
                <w:noProof/>
              </w:rPr>
              <w:t>3.2</w:t>
            </w:r>
            <w:r w:rsidR="00D43396">
              <w:rPr>
                <w:rFonts w:eastAsiaTheme="minorEastAsia" w:cstheme="minorBidi"/>
                <w:noProof/>
                <w:lang w:val="en-AU"/>
              </w:rPr>
              <w:tab/>
            </w:r>
            <w:r w:rsidR="00D43396" w:rsidRPr="000E1DBE">
              <w:rPr>
                <w:rStyle w:val="Hyperlink"/>
                <w:noProof/>
              </w:rPr>
              <w:t>Anatomical and Cytology Working Group</w:t>
            </w:r>
            <w:r w:rsidR="00D43396">
              <w:rPr>
                <w:noProof/>
                <w:webHidden/>
              </w:rPr>
              <w:tab/>
            </w:r>
            <w:r w:rsidR="00D43396">
              <w:rPr>
                <w:noProof/>
                <w:webHidden/>
              </w:rPr>
              <w:fldChar w:fldCharType="begin"/>
            </w:r>
            <w:r w:rsidR="00D43396">
              <w:rPr>
                <w:noProof/>
                <w:webHidden/>
              </w:rPr>
              <w:instrText xml:space="preserve"> PAGEREF _Toc514243827 \h </w:instrText>
            </w:r>
            <w:r w:rsidR="00D43396">
              <w:rPr>
                <w:noProof/>
                <w:webHidden/>
              </w:rPr>
            </w:r>
            <w:r w:rsidR="00D43396">
              <w:rPr>
                <w:noProof/>
                <w:webHidden/>
              </w:rPr>
              <w:fldChar w:fldCharType="separate"/>
            </w:r>
            <w:r w:rsidR="00D43396">
              <w:rPr>
                <w:noProof/>
                <w:webHidden/>
              </w:rPr>
              <w:t>11</w:t>
            </w:r>
            <w:r w:rsidR="00D43396">
              <w:rPr>
                <w:noProof/>
                <w:webHidden/>
              </w:rPr>
              <w:fldChar w:fldCharType="end"/>
            </w:r>
          </w:hyperlink>
        </w:p>
        <w:p w14:paraId="47CE2B72" w14:textId="77777777" w:rsidR="00D43396" w:rsidRDefault="00E564EB">
          <w:pPr>
            <w:pStyle w:val="TOC2"/>
            <w:rPr>
              <w:rFonts w:eastAsiaTheme="minorEastAsia" w:cstheme="minorBidi"/>
              <w:noProof/>
              <w:lang w:val="en-AU"/>
            </w:rPr>
          </w:pPr>
          <w:hyperlink w:anchor="_Toc514243828" w:history="1">
            <w:r w:rsidR="00D43396" w:rsidRPr="000E1DBE">
              <w:rPr>
                <w:rStyle w:val="Hyperlink"/>
                <w:noProof/>
              </w:rPr>
              <w:t>3.3</w:t>
            </w:r>
            <w:r w:rsidR="00D43396">
              <w:rPr>
                <w:rFonts w:eastAsiaTheme="minorEastAsia" w:cstheme="minorBidi"/>
                <w:noProof/>
                <w:lang w:val="en-AU"/>
              </w:rPr>
              <w:tab/>
            </w:r>
            <w:r w:rsidR="00D43396" w:rsidRPr="000E1DBE">
              <w:rPr>
                <w:rStyle w:val="Hyperlink"/>
                <w:noProof/>
              </w:rPr>
              <w:t>Areas of responsibility of the Committee</w:t>
            </w:r>
            <w:r w:rsidR="00D43396">
              <w:rPr>
                <w:noProof/>
                <w:webHidden/>
              </w:rPr>
              <w:tab/>
            </w:r>
            <w:r w:rsidR="00D43396">
              <w:rPr>
                <w:noProof/>
                <w:webHidden/>
              </w:rPr>
              <w:fldChar w:fldCharType="begin"/>
            </w:r>
            <w:r w:rsidR="00D43396">
              <w:rPr>
                <w:noProof/>
                <w:webHidden/>
              </w:rPr>
              <w:instrText xml:space="preserve"> PAGEREF _Toc514243828 \h </w:instrText>
            </w:r>
            <w:r w:rsidR="00D43396">
              <w:rPr>
                <w:noProof/>
                <w:webHidden/>
              </w:rPr>
            </w:r>
            <w:r w:rsidR="00D43396">
              <w:rPr>
                <w:noProof/>
                <w:webHidden/>
              </w:rPr>
              <w:fldChar w:fldCharType="separate"/>
            </w:r>
            <w:r w:rsidR="00D43396">
              <w:rPr>
                <w:noProof/>
                <w:webHidden/>
              </w:rPr>
              <w:t>11</w:t>
            </w:r>
            <w:r w:rsidR="00D43396">
              <w:rPr>
                <w:noProof/>
                <w:webHidden/>
              </w:rPr>
              <w:fldChar w:fldCharType="end"/>
            </w:r>
          </w:hyperlink>
        </w:p>
        <w:p w14:paraId="4B65A0FD" w14:textId="77777777" w:rsidR="00D43396" w:rsidRDefault="00E564EB">
          <w:pPr>
            <w:pStyle w:val="TOC2"/>
            <w:rPr>
              <w:rFonts w:eastAsiaTheme="minorEastAsia" w:cstheme="minorBidi"/>
              <w:noProof/>
              <w:lang w:val="en-AU"/>
            </w:rPr>
          </w:pPr>
          <w:hyperlink w:anchor="_Toc514243829" w:history="1">
            <w:r w:rsidR="00D43396" w:rsidRPr="000E1DBE">
              <w:rPr>
                <w:rStyle w:val="Hyperlink"/>
                <w:noProof/>
              </w:rPr>
              <w:t>3.4</w:t>
            </w:r>
            <w:r w:rsidR="00D43396">
              <w:rPr>
                <w:rFonts w:eastAsiaTheme="minorEastAsia" w:cstheme="minorBidi"/>
                <w:noProof/>
                <w:lang w:val="en-AU"/>
              </w:rPr>
              <w:tab/>
            </w:r>
            <w:r w:rsidR="00D43396" w:rsidRPr="000E1DBE">
              <w:rPr>
                <w:rStyle w:val="Hyperlink"/>
                <w:noProof/>
              </w:rPr>
              <w:t>Summary of the Committee’s review approach</w:t>
            </w:r>
            <w:r w:rsidR="00D43396">
              <w:rPr>
                <w:noProof/>
                <w:webHidden/>
              </w:rPr>
              <w:tab/>
            </w:r>
            <w:r w:rsidR="00D43396">
              <w:rPr>
                <w:noProof/>
                <w:webHidden/>
              </w:rPr>
              <w:fldChar w:fldCharType="begin"/>
            </w:r>
            <w:r w:rsidR="00D43396">
              <w:rPr>
                <w:noProof/>
                <w:webHidden/>
              </w:rPr>
              <w:instrText xml:space="preserve"> PAGEREF _Toc514243829 \h </w:instrText>
            </w:r>
            <w:r w:rsidR="00D43396">
              <w:rPr>
                <w:noProof/>
                <w:webHidden/>
              </w:rPr>
            </w:r>
            <w:r w:rsidR="00D43396">
              <w:rPr>
                <w:noProof/>
                <w:webHidden/>
              </w:rPr>
              <w:fldChar w:fldCharType="separate"/>
            </w:r>
            <w:r w:rsidR="00D43396">
              <w:rPr>
                <w:noProof/>
                <w:webHidden/>
              </w:rPr>
              <w:t>11</w:t>
            </w:r>
            <w:r w:rsidR="00D43396">
              <w:rPr>
                <w:noProof/>
                <w:webHidden/>
              </w:rPr>
              <w:fldChar w:fldCharType="end"/>
            </w:r>
          </w:hyperlink>
        </w:p>
        <w:p w14:paraId="14DDDBF6" w14:textId="77777777" w:rsidR="00D43396" w:rsidRDefault="00E564EB">
          <w:pPr>
            <w:pStyle w:val="TOC1"/>
            <w:rPr>
              <w:rFonts w:eastAsiaTheme="minorEastAsia" w:cstheme="minorBidi"/>
              <w:b w:val="0"/>
              <w:noProof/>
              <w:lang w:val="en-AU"/>
            </w:rPr>
          </w:pPr>
          <w:hyperlink w:anchor="_Toc514243830" w:history="1">
            <w:r w:rsidR="00D43396" w:rsidRPr="000E1DBE">
              <w:rPr>
                <w:rStyle w:val="Hyperlink"/>
                <w:noProof/>
              </w:rPr>
              <w:t>4.</w:t>
            </w:r>
            <w:r w:rsidR="00D43396">
              <w:rPr>
                <w:rFonts w:eastAsiaTheme="minorEastAsia" w:cstheme="minorBidi"/>
                <w:b w:val="0"/>
                <w:noProof/>
                <w:lang w:val="en-AU"/>
              </w:rPr>
              <w:tab/>
            </w:r>
            <w:r w:rsidR="00D43396" w:rsidRPr="000E1DBE">
              <w:rPr>
                <w:rStyle w:val="Hyperlink"/>
                <w:noProof/>
              </w:rPr>
              <w:t>Recommendations</w:t>
            </w:r>
            <w:r w:rsidR="00D43396">
              <w:rPr>
                <w:noProof/>
                <w:webHidden/>
              </w:rPr>
              <w:tab/>
            </w:r>
            <w:r w:rsidR="00D43396">
              <w:rPr>
                <w:noProof/>
                <w:webHidden/>
              </w:rPr>
              <w:fldChar w:fldCharType="begin"/>
            </w:r>
            <w:r w:rsidR="00D43396">
              <w:rPr>
                <w:noProof/>
                <w:webHidden/>
              </w:rPr>
              <w:instrText xml:space="preserve"> PAGEREF _Toc514243830 \h </w:instrText>
            </w:r>
            <w:r w:rsidR="00D43396">
              <w:rPr>
                <w:noProof/>
                <w:webHidden/>
              </w:rPr>
            </w:r>
            <w:r w:rsidR="00D43396">
              <w:rPr>
                <w:noProof/>
                <w:webHidden/>
              </w:rPr>
              <w:fldChar w:fldCharType="separate"/>
            </w:r>
            <w:r w:rsidR="00D43396">
              <w:rPr>
                <w:noProof/>
                <w:webHidden/>
              </w:rPr>
              <w:t>13</w:t>
            </w:r>
            <w:r w:rsidR="00D43396">
              <w:rPr>
                <w:noProof/>
                <w:webHidden/>
              </w:rPr>
              <w:fldChar w:fldCharType="end"/>
            </w:r>
          </w:hyperlink>
        </w:p>
        <w:p w14:paraId="1E4C1BE0" w14:textId="77777777" w:rsidR="00D43396" w:rsidRDefault="00E564EB">
          <w:pPr>
            <w:pStyle w:val="TOC2"/>
            <w:rPr>
              <w:rFonts w:eastAsiaTheme="minorEastAsia" w:cstheme="minorBidi"/>
              <w:noProof/>
              <w:lang w:val="en-AU"/>
            </w:rPr>
          </w:pPr>
          <w:hyperlink w:anchor="_Toc514243831" w:history="1">
            <w:r w:rsidR="00D43396" w:rsidRPr="000E1DBE">
              <w:rPr>
                <w:rStyle w:val="Hyperlink"/>
                <w:noProof/>
              </w:rPr>
              <w:t>4.1</w:t>
            </w:r>
            <w:r w:rsidR="00D43396">
              <w:rPr>
                <w:rFonts w:eastAsiaTheme="minorEastAsia" w:cstheme="minorBidi"/>
                <w:noProof/>
                <w:lang w:val="en-AU"/>
              </w:rPr>
              <w:tab/>
            </w:r>
            <w:r w:rsidR="00D43396" w:rsidRPr="000E1DBE">
              <w:rPr>
                <w:rStyle w:val="Hyperlink"/>
                <w:noProof/>
              </w:rPr>
              <w:t>Proposed changes to the Histopathology Complexity Levels table</w:t>
            </w:r>
            <w:r w:rsidR="00D43396">
              <w:rPr>
                <w:noProof/>
                <w:webHidden/>
              </w:rPr>
              <w:tab/>
            </w:r>
            <w:r w:rsidR="00D43396">
              <w:rPr>
                <w:noProof/>
                <w:webHidden/>
              </w:rPr>
              <w:fldChar w:fldCharType="begin"/>
            </w:r>
            <w:r w:rsidR="00D43396">
              <w:rPr>
                <w:noProof/>
                <w:webHidden/>
              </w:rPr>
              <w:instrText xml:space="preserve"> PAGEREF _Toc514243831 \h </w:instrText>
            </w:r>
            <w:r w:rsidR="00D43396">
              <w:rPr>
                <w:noProof/>
                <w:webHidden/>
              </w:rPr>
            </w:r>
            <w:r w:rsidR="00D43396">
              <w:rPr>
                <w:noProof/>
                <w:webHidden/>
              </w:rPr>
              <w:fldChar w:fldCharType="separate"/>
            </w:r>
            <w:r w:rsidR="00D43396">
              <w:rPr>
                <w:noProof/>
                <w:webHidden/>
              </w:rPr>
              <w:t>19</w:t>
            </w:r>
            <w:r w:rsidR="00D43396">
              <w:rPr>
                <w:noProof/>
                <w:webHidden/>
              </w:rPr>
              <w:fldChar w:fldCharType="end"/>
            </w:r>
          </w:hyperlink>
        </w:p>
        <w:p w14:paraId="68D619FE" w14:textId="77777777" w:rsidR="00D43396" w:rsidRDefault="00E564EB">
          <w:pPr>
            <w:pStyle w:val="TOC2"/>
            <w:rPr>
              <w:rFonts w:eastAsiaTheme="minorEastAsia" w:cstheme="minorBidi"/>
              <w:noProof/>
              <w:lang w:val="en-AU"/>
            </w:rPr>
          </w:pPr>
          <w:hyperlink w:anchor="_Toc514243832" w:history="1">
            <w:r w:rsidR="00D43396" w:rsidRPr="000E1DBE">
              <w:rPr>
                <w:rStyle w:val="Hyperlink"/>
                <w:noProof/>
              </w:rPr>
              <w:t>4.2</w:t>
            </w:r>
            <w:r w:rsidR="00D43396">
              <w:rPr>
                <w:rFonts w:eastAsiaTheme="minorEastAsia" w:cstheme="minorBidi"/>
                <w:noProof/>
                <w:lang w:val="en-AU"/>
              </w:rPr>
              <w:tab/>
            </w:r>
            <w:r w:rsidR="00D43396" w:rsidRPr="000E1DBE">
              <w:rPr>
                <w:rStyle w:val="Hyperlink"/>
                <w:noProof/>
              </w:rPr>
              <w:t>Coning in Tissue Pathology core items</w:t>
            </w:r>
            <w:r w:rsidR="00D43396">
              <w:rPr>
                <w:noProof/>
                <w:webHidden/>
              </w:rPr>
              <w:tab/>
            </w:r>
            <w:r w:rsidR="00D43396">
              <w:rPr>
                <w:noProof/>
                <w:webHidden/>
              </w:rPr>
              <w:fldChar w:fldCharType="begin"/>
            </w:r>
            <w:r w:rsidR="00D43396">
              <w:rPr>
                <w:noProof/>
                <w:webHidden/>
              </w:rPr>
              <w:instrText xml:space="preserve"> PAGEREF _Toc514243832 \h </w:instrText>
            </w:r>
            <w:r w:rsidR="00D43396">
              <w:rPr>
                <w:noProof/>
                <w:webHidden/>
              </w:rPr>
            </w:r>
            <w:r w:rsidR="00D43396">
              <w:rPr>
                <w:noProof/>
                <w:webHidden/>
              </w:rPr>
              <w:fldChar w:fldCharType="separate"/>
            </w:r>
            <w:r w:rsidR="00D43396">
              <w:rPr>
                <w:noProof/>
                <w:webHidden/>
              </w:rPr>
              <w:t>29</w:t>
            </w:r>
            <w:r w:rsidR="00D43396">
              <w:rPr>
                <w:noProof/>
                <w:webHidden/>
              </w:rPr>
              <w:fldChar w:fldCharType="end"/>
            </w:r>
          </w:hyperlink>
        </w:p>
        <w:p w14:paraId="78B01942" w14:textId="77777777" w:rsidR="00D43396" w:rsidRDefault="00E564EB">
          <w:pPr>
            <w:pStyle w:val="TOC2"/>
            <w:rPr>
              <w:rFonts w:eastAsiaTheme="minorEastAsia" w:cstheme="minorBidi"/>
              <w:noProof/>
              <w:lang w:val="en-AU"/>
            </w:rPr>
          </w:pPr>
          <w:hyperlink w:anchor="_Toc514243833" w:history="1">
            <w:r w:rsidR="00D43396" w:rsidRPr="000E1DBE">
              <w:rPr>
                <w:rStyle w:val="Hyperlink"/>
                <w:noProof/>
              </w:rPr>
              <w:t>4.3</w:t>
            </w:r>
            <w:r w:rsidR="00D43396">
              <w:rPr>
                <w:rFonts w:eastAsiaTheme="minorEastAsia" w:cstheme="minorBidi"/>
                <w:noProof/>
                <w:lang w:val="en-AU"/>
              </w:rPr>
              <w:tab/>
            </w:r>
            <w:r w:rsidR="00D43396" w:rsidRPr="000E1DBE">
              <w:rPr>
                <w:rStyle w:val="Hyperlink"/>
                <w:noProof/>
              </w:rPr>
              <w:t>Coning in Cytology core items</w:t>
            </w:r>
            <w:r w:rsidR="00D43396">
              <w:rPr>
                <w:noProof/>
                <w:webHidden/>
              </w:rPr>
              <w:tab/>
            </w:r>
            <w:r w:rsidR="00D43396">
              <w:rPr>
                <w:noProof/>
                <w:webHidden/>
              </w:rPr>
              <w:fldChar w:fldCharType="begin"/>
            </w:r>
            <w:r w:rsidR="00D43396">
              <w:rPr>
                <w:noProof/>
                <w:webHidden/>
              </w:rPr>
              <w:instrText xml:space="preserve"> PAGEREF _Toc514243833 \h </w:instrText>
            </w:r>
            <w:r w:rsidR="00D43396">
              <w:rPr>
                <w:noProof/>
                <w:webHidden/>
              </w:rPr>
            </w:r>
            <w:r w:rsidR="00D43396">
              <w:rPr>
                <w:noProof/>
                <w:webHidden/>
              </w:rPr>
              <w:fldChar w:fldCharType="separate"/>
            </w:r>
            <w:r w:rsidR="00D43396">
              <w:rPr>
                <w:noProof/>
                <w:webHidden/>
              </w:rPr>
              <w:t>34</w:t>
            </w:r>
            <w:r w:rsidR="00D43396">
              <w:rPr>
                <w:noProof/>
                <w:webHidden/>
              </w:rPr>
              <w:fldChar w:fldCharType="end"/>
            </w:r>
          </w:hyperlink>
        </w:p>
        <w:p w14:paraId="16C60013" w14:textId="77777777" w:rsidR="00D43396" w:rsidRDefault="00E564EB">
          <w:pPr>
            <w:pStyle w:val="TOC2"/>
            <w:rPr>
              <w:rFonts w:eastAsiaTheme="minorEastAsia" w:cstheme="minorBidi"/>
              <w:noProof/>
              <w:lang w:val="en-AU"/>
            </w:rPr>
          </w:pPr>
          <w:hyperlink w:anchor="_Toc514243834" w:history="1">
            <w:r w:rsidR="00D43396" w:rsidRPr="000E1DBE">
              <w:rPr>
                <w:rStyle w:val="Hyperlink"/>
                <w:noProof/>
              </w:rPr>
              <w:t>4.4</w:t>
            </w:r>
            <w:r w:rsidR="00D43396">
              <w:rPr>
                <w:rFonts w:eastAsiaTheme="minorEastAsia" w:cstheme="minorBidi"/>
                <w:noProof/>
                <w:lang w:val="en-AU"/>
              </w:rPr>
              <w:tab/>
            </w:r>
            <w:r w:rsidR="00D43396" w:rsidRPr="000E1DBE">
              <w:rPr>
                <w:rStyle w:val="Hyperlink"/>
                <w:noProof/>
              </w:rPr>
              <w:t>Alignment of Immunohistochemical (IHC) and Immunocytochemical (ICC) item rebates and consideration of coning/Rule 13</w:t>
            </w:r>
            <w:r w:rsidR="00D43396">
              <w:rPr>
                <w:noProof/>
                <w:webHidden/>
              </w:rPr>
              <w:tab/>
            </w:r>
            <w:r w:rsidR="00D43396">
              <w:rPr>
                <w:noProof/>
                <w:webHidden/>
              </w:rPr>
              <w:fldChar w:fldCharType="begin"/>
            </w:r>
            <w:r w:rsidR="00D43396">
              <w:rPr>
                <w:noProof/>
                <w:webHidden/>
              </w:rPr>
              <w:instrText xml:space="preserve"> PAGEREF _Toc514243834 \h </w:instrText>
            </w:r>
            <w:r w:rsidR="00D43396">
              <w:rPr>
                <w:noProof/>
                <w:webHidden/>
              </w:rPr>
            </w:r>
            <w:r w:rsidR="00D43396">
              <w:rPr>
                <w:noProof/>
                <w:webHidden/>
              </w:rPr>
              <w:fldChar w:fldCharType="separate"/>
            </w:r>
            <w:r w:rsidR="00D43396">
              <w:rPr>
                <w:noProof/>
                <w:webHidden/>
              </w:rPr>
              <w:t>37</w:t>
            </w:r>
            <w:r w:rsidR="00D43396">
              <w:rPr>
                <w:noProof/>
                <w:webHidden/>
              </w:rPr>
              <w:fldChar w:fldCharType="end"/>
            </w:r>
          </w:hyperlink>
        </w:p>
        <w:p w14:paraId="44FD9F8F" w14:textId="77777777" w:rsidR="00D43396" w:rsidRDefault="00E564EB">
          <w:pPr>
            <w:pStyle w:val="TOC2"/>
            <w:rPr>
              <w:rFonts w:eastAsiaTheme="minorEastAsia" w:cstheme="minorBidi"/>
              <w:noProof/>
              <w:lang w:val="en-AU"/>
            </w:rPr>
          </w:pPr>
          <w:hyperlink w:anchor="_Toc514243835" w:history="1">
            <w:r w:rsidR="00D43396" w:rsidRPr="000E1DBE">
              <w:rPr>
                <w:rStyle w:val="Hyperlink"/>
                <w:noProof/>
              </w:rPr>
              <w:t xml:space="preserve">4.5 </w:t>
            </w:r>
            <w:r w:rsidR="00D43396">
              <w:rPr>
                <w:rFonts w:eastAsiaTheme="minorEastAsia" w:cstheme="minorBidi"/>
                <w:noProof/>
                <w:lang w:val="en-AU"/>
              </w:rPr>
              <w:tab/>
            </w:r>
            <w:r w:rsidR="00D43396" w:rsidRPr="000E1DBE">
              <w:rPr>
                <w:rStyle w:val="Hyperlink"/>
                <w:noProof/>
              </w:rPr>
              <w:t>Electron microscope items</w:t>
            </w:r>
            <w:r w:rsidR="00D43396">
              <w:rPr>
                <w:noProof/>
                <w:webHidden/>
              </w:rPr>
              <w:tab/>
            </w:r>
            <w:r w:rsidR="00D43396">
              <w:rPr>
                <w:noProof/>
                <w:webHidden/>
              </w:rPr>
              <w:fldChar w:fldCharType="begin"/>
            </w:r>
            <w:r w:rsidR="00D43396">
              <w:rPr>
                <w:noProof/>
                <w:webHidden/>
              </w:rPr>
              <w:instrText xml:space="preserve"> PAGEREF _Toc514243835 \h </w:instrText>
            </w:r>
            <w:r w:rsidR="00D43396">
              <w:rPr>
                <w:noProof/>
                <w:webHidden/>
              </w:rPr>
            </w:r>
            <w:r w:rsidR="00D43396">
              <w:rPr>
                <w:noProof/>
                <w:webHidden/>
              </w:rPr>
              <w:fldChar w:fldCharType="separate"/>
            </w:r>
            <w:r w:rsidR="00D43396">
              <w:rPr>
                <w:noProof/>
                <w:webHidden/>
              </w:rPr>
              <w:t>44</w:t>
            </w:r>
            <w:r w:rsidR="00D43396">
              <w:rPr>
                <w:noProof/>
                <w:webHidden/>
              </w:rPr>
              <w:fldChar w:fldCharType="end"/>
            </w:r>
          </w:hyperlink>
        </w:p>
        <w:p w14:paraId="50DF15CD" w14:textId="77777777" w:rsidR="00D43396" w:rsidRDefault="00E564EB">
          <w:pPr>
            <w:pStyle w:val="TOC2"/>
            <w:rPr>
              <w:rFonts w:eastAsiaTheme="minorEastAsia" w:cstheme="minorBidi"/>
              <w:noProof/>
              <w:lang w:val="en-AU"/>
            </w:rPr>
          </w:pPr>
          <w:hyperlink w:anchor="_Toc514243836" w:history="1">
            <w:r w:rsidR="00D43396" w:rsidRPr="000E1DBE">
              <w:rPr>
                <w:rStyle w:val="Hyperlink"/>
                <w:noProof/>
              </w:rPr>
              <w:t xml:space="preserve">4.6 </w:t>
            </w:r>
            <w:r w:rsidR="00D43396">
              <w:rPr>
                <w:rFonts w:eastAsiaTheme="minorEastAsia" w:cstheme="minorBidi"/>
                <w:noProof/>
                <w:lang w:val="en-AU"/>
              </w:rPr>
              <w:tab/>
            </w:r>
            <w:r w:rsidR="00D43396" w:rsidRPr="000E1DBE">
              <w:rPr>
                <w:rStyle w:val="Hyperlink"/>
                <w:noProof/>
              </w:rPr>
              <w:t>Frozen-section items</w:t>
            </w:r>
            <w:r w:rsidR="00D43396">
              <w:rPr>
                <w:noProof/>
                <w:webHidden/>
              </w:rPr>
              <w:tab/>
            </w:r>
            <w:r w:rsidR="00D43396">
              <w:rPr>
                <w:noProof/>
                <w:webHidden/>
              </w:rPr>
              <w:fldChar w:fldCharType="begin"/>
            </w:r>
            <w:r w:rsidR="00D43396">
              <w:rPr>
                <w:noProof/>
                <w:webHidden/>
              </w:rPr>
              <w:instrText xml:space="preserve"> PAGEREF _Toc514243836 \h </w:instrText>
            </w:r>
            <w:r w:rsidR="00D43396">
              <w:rPr>
                <w:noProof/>
                <w:webHidden/>
              </w:rPr>
            </w:r>
            <w:r w:rsidR="00D43396">
              <w:rPr>
                <w:noProof/>
                <w:webHidden/>
              </w:rPr>
              <w:fldChar w:fldCharType="separate"/>
            </w:r>
            <w:r w:rsidR="00D43396">
              <w:rPr>
                <w:noProof/>
                <w:webHidden/>
              </w:rPr>
              <w:t>46</w:t>
            </w:r>
            <w:r w:rsidR="00D43396">
              <w:rPr>
                <w:noProof/>
                <w:webHidden/>
              </w:rPr>
              <w:fldChar w:fldCharType="end"/>
            </w:r>
          </w:hyperlink>
        </w:p>
        <w:p w14:paraId="1954460C" w14:textId="77777777" w:rsidR="00D43396" w:rsidRDefault="00E564EB">
          <w:pPr>
            <w:pStyle w:val="TOC2"/>
            <w:rPr>
              <w:rFonts w:eastAsiaTheme="minorEastAsia" w:cstheme="minorBidi"/>
              <w:noProof/>
              <w:lang w:val="en-AU"/>
            </w:rPr>
          </w:pPr>
          <w:hyperlink w:anchor="_Toc514243837" w:history="1">
            <w:r w:rsidR="00D43396" w:rsidRPr="000E1DBE">
              <w:rPr>
                <w:rStyle w:val="Hyperlink"/>
                <w:noProof/>
              </w:rPr>
              <w:t xml:space="preserve">4.7 </w:t>
            </w:r>
            <w:r w:rsidR="00D43396">
              <w:rPr>
                <w:rFonts w:eastAsiaTheme="minorEastAsia" w:cstheme="minorBidi"/>
                <w:noProof/>
                <w:lang w:val="en-AU"/>
              </w:rPr>
              <w:tab/>
            </w:r>
            <w:r w:rsidR="00D43396" w:rsidRPr="000E1DBE">
              <w:rPr>
                <w:rStyle w:val="Hyperlink"/>
                <w:noProof/>
              </w:rPr>
              <w:t>Second Opinion Items</w:t>
            </w:r>
            <w:r w:rsidR="00D43396">
              <w:rPr>
                <w:noProof/>
                <w:webHidden/>
              </w:rPr>
              <w:tab/>
            </w:r>
            <w:r w:rsidR="00D43396">
              <w:rPr>
                <w:noProof/>
                <w:webHidden/>
              </w:rPr>
              <w:fldChar w:fldCharType="begin"/>
            </w:r>
            <w:r w:rsidR="00D43396">
              <w:rPr>
                <w:noProof/>
                <w:webHidden/>
              </w:rPr>
              <w:instrText xml:space="preserve"> PAGEREF _Toc514243837 \h </w:instrText>
            </w:r>
            <w:r w:rsidR="00D43396">
              <w:rPr>
                <w:noProof/>
                <w:webHidden/>
              </w:rPr>
            </w:r>
            <w:r w:rsidR="00D43396">
              <w:rPr>
                <w:noProof/>
                <w:webHidden/>
              </w:rPr>
              <w:fldChar w:fldCharType="separate"/>
            </w:r>
            <w:r w:rsidR="00D43396">
              <w:rPr>
                <w:noProof/>
                <w:webHidden/>
              </w:rPr>
              <w:t>48</w:t>
            </w:r>
            <w:r w:rsidR="00D43396">
              <w:rPr>
                <w:noProof/>
                <w:webHidden/>
              </w:rPr>
              <w:fldChar w:fldCharType="end"/>
            </w:r>
          </w:hyperlink>
        </w:p>
        <w:p w14:paraId="510FF567" w14:textId="77777777" w:rsidR="00D43396" w:rsidRDefault="00E564EB">
          <w:pPr>
            <w:pStyle w:val="TOC2"/>
            <w:rPr>
              <w:rFonts w:eastAsiaTheme="minorEastAsia" w:cstheme="minorBidi"/>
              <w:noProof/>
              <w:lang w:val="en-AU"/>
            </w:rPr>
          </w:pPr>
          <w:hyperlink w:anchor="_Toc514243838" w:history="1">
            <w:r w:rsidR="00D43396" w:rsidRPr="000E1DBE">
              <w:rPr>
                <w:rStyle w:val="Hyperlink"/>
                <w:noProof/>
              </w:rPr>
              <w:t xml:space="preserve">4.8 </w:t>
            </w:r>
            <w:r w:rsidR="00D43396">
              <w:rPr>
                <w:rFonts w:eastAsiaTheme="minorEastAsia" w:cstheme="minorBidi"/>
                <w:noProof/>
                <w:lang w:val="en-AU"/>
              </w:rPr>
              <w:tab/>
            </w:r>
            <w:r w:rsidR="00D43396" w:rsidRPr="000E1DBE">
              <w:rPr>
                <w:rStyle w:val="Hyperlink"/>
                <w:noProof/>
              </w:rPr>
              <w:t>Pathologist-determinable Items</w:t>
            </w:r>
            <w:r w:rsidR="00D43396">
              <w:rPr>
                <w:noProof/>
                <w:webHidden/>
              </w:rPr>
              <w:tab/>
            </w:r>
            <w:r w:rsidR="00D43396">
              <w:rPr>
                <w:noProof/>
                <w:webHidden/>
              </w:rPr>
              <w:fldChar w:fldCharType="begin"/>
            </w:r>
            <w:r w:rsidR="00D43396">
              <w:rPr>
                <w:noProof/>
                <w:webHidden/>
              </w:rPr>
              <w:instrText xml:space="preserve"> PAGEREF _Toc514243838 \h </w:instrText>
            </w:r>
            <w:r w:rsidR="00D43396">
              <w:rPr>
                <w:noProof/>
                <w:webHidden/>
              </w:rPr>
            </w:r>
            <w:r w:rsidR="00D43396">
              <w:rPr>
                <w:noProof/>
                <w:webHidden/>
              </w:rPr>
              <w:fldChar w:fldCharType="separate"/>
            </w:r>
            <w:r w:rsidR="00D43396">
              <w:rPr>
                <w:noProof/>
                <w:webHidden/>
              </w:rPr>
              <w:t>50</w:t>
            </w:r>
            <w:r w:rsidR="00D43396">
              <w:rPr>
                <w:noProof/>
                <w:webHidden/>
              </w:rPr>
              <w:fldChar w:fldCharType="end"/>
            </w:r>
          </w:hyperlink>
        </w:p>
        <w:p w14:paraId="6C464F5A" w14:textId="77777777" w:rsidR="00D43396" w:rsidRDefault="00E564EB">
          <w:pPr>
            <w:pStyle w:val="TOC1"/>
            <w:rPr>
              <w:rFonts w:eastAsiaTheme="minorEastAsia" w:cstheme="minorBidi"/>
              <w:b w:val="0"/>
              <w:noProof/>
              <w:lang w:val="en-AU"/>
            </w:rPr>
          </w:pPr>
          <w:hyperlink w:anchor="_Toc514243839" w:history="1">
            <w:r w:rsidR="00D43396" w:rsidRPr="000E1DBE">
              <w:rPr>
                <w:rStyle w:val="Hyperlink"/>
                <w:noProof/>
              </w:rPr>
              <w:t>5.</w:t>
            </w:r>
            <w:r w:rsidR="00D43396">
              <w:rPr>
                <w:rFonts w:eastAsiaTheme="minorEastAsia" w:cstheme="minorBidi"/>
                <w:b w:val="0"/>
                <w:noProof/>
                <w:lang w:val="en-AU"/>
              </w:rPr>
              <w:tab/>
            </w:r>
            <w:r w:rsidR="00D43396" w:rsidRPr="000E1DBE">
              <w:rPr>
                <w:rStyle w:val="Hyperlink"/>
                <w:noProof/>
              </w:rPr>
              <w:t>References</w:t>
            </w:r>
            <w:r w:rsidR="00D43396">
              <w:rPr>
                <w:noProof/>
                <w:webHidden/>
              </w:rPr>
              <w:tab/>
            </w:r>
            <w:r w:rsidR="00D43396">
              <w:rPr>
                <w:noProof/>
                <w:webHidden/>
              </w:rPr>
              <w:fldChar w:fldCharType="begin"/>
            </w:r>
            <w:r w:rsidR="00D43396">
              <w:rPr>
                <w:noProof/>
                <w:webHidden/>
              </w:rPr>
              <w:instrText xml:space="preserve"> PAGEREF _Toc514243839 \h </w:instrText>
            </w:r>
            <w:r w:rsidR="00D43396">
              <w:rPr>
                <w:noProof/>
                <w:webHidden/>
              </w:rPr>
            </w:r>
            <w:r w:rsidR="00D43396">
              <w:rPr>
                <w:noProof/>
                <w:webHidden/>
              </w:rPr>
              <w:fldChar w:fldCharType="separate"/>
            </w:r>
            <w:r w:rsidR="00D43396">
              <w:rPr>
                <w:noProof/>
                <w:webHidden/>
              </w:rPr>
              <w:t>51</w:t>
            </w:r>
            <w:r w:rsidR="00D43396">
              <w:rPr>
                <w:noProof/>
                <w:webHidden/>
              </w:rPr>
              <w:fldChar w:fldCharType="end"/>
            </w:r>
          </w:hyperlink>
        </w:p>
        <w:p w14:paraId="605F0EDA" w14:textId="77777777" w:rsidR="00D43396" w:rsidRDefault="00E564EB">
          <w:pPr>
            <w:pStyle w:val="TOC1"/>
            <w:rPr>
              <w:rFonts w:eastAsiaTheme="minorEastAsia" w:cstheme="minorBidi"/>
              <w:b w:val="0"/>
              <w:noProof/>
              <w:lang w:val="en-AU"/>
            </w:rPr>
          </w:pPr>
          <w:hyperlink w:anchor="_Toc514243840" w:history="1">
            <w:r w:rsidR="00D43396" w:rsidRPr="000E1DBE">
              <w:rPr>
                <w:rStyle w:val="Hyperlink"/>
                <w:noProof/>
              </w:rPr>
              <w:t>6.</w:t>
            </w:r>
            <w:r w:rsidR="00D43396">
              <w:rPr>
                <w:rFonts w:eastAsiaTheme="minorEastAsia" w:cstheme="minorBidi"/>
                <w:b w:val="0"/>
                <w:noProof/>
                <w:lang w:val="en-AU"/>
              </w:rPr>
              <w:tab/>
            </w:r>
            <w:r w:rsidR="00D43396" w:rsidRPr="000E1DBE">
              <w:rPr>
                <w:rStyle w:val="Hyperlink"/>
                <w:noProof/>
              </w:rPr>
              <w:t>Glossary</w:t>
            </w:r>
            <w:r w:rsidR="00D43396">
              <w:rPr>
                <w:noProof/>
                <w:webHidden/>
              </w:rPr>
              <w:tab/>
            </w:r>
            <w:r w:rsidR="00D43396">
              <w:rPr>
                <w:noProof/>
                <w:webHidden/>
              </w:rPr>
              <w:fldChar w:fldCharType="begin"/>
            </w:r>
            <w:r w:rsidR="00D43396">
              <w:rPr>
                <w:noProof/>
                <w:webHidden/>
              </w:rPr>
              <w:instrText xml:space="preserve"> PAGEREF _Toc514243840 \h </w:instrText>
            </w:r>
            <w:r w:rsidR="00D43396">
              <w:rPr>
                <w:noProof/>
                <w:webHidden/>
              </w:rPr>
            </w:r>
            <w:r w:rsidR="00D43396">
              <w:rPr>
                <w:noProof/>
                <w:webHidden/>
              </w:rPr>
              <w:fldChar w:fldCharType="separate"/>
            </w:r>
            <w:r w:rsidR="00D43396">
              <w:rPr>
                <w:noProof/>
                <w:webHidden/>
              </w:rPr>
              <w:t>52</w:t>
            </w:r>
            <w:r w:rsidR="00D43396">
              <w:rPr>
                <w:noProof/>
                <w:webHidden/>
              </w:rPr>
              <w:fldChar w:fldCharType="end"/>
            </w:r>
          </w:hyperlink>
        </w:p>
        <w:p w14:paraId="39C9B569" w14:textId="77777777" w:rsidR="00D43396" w:rsidRDefault="00E564EB">
          <w:pPr>
            <w:pStyle w:val="TOC1"/>
            <w:rPr>
              <w:rFonts w:eastAsiaTheme="minorEastAsia" w:cstheme="minorBidi"/>
              <w:b w:val="0"/>
              <w:noProof/>
              <w:lang w:val="en-AU"/>
            </w:rPr>
          </w:pPr>
          <w:hyperlink w:anchor="_Toc514243841" w:history="1">
            <w:r w:rsidR="00D43396" w:rsidRPr="000E1DBE">
              <w:rPr>
                <w:rStyle w:val="Hyperlink"/>
                <w:rFonts w:ascii="Calibri" w:eastAsia="Calibri" w:hAnsi="Calibri" w:cs="Arial"/>
                <w:bCs/>
                <w:noProof/>
                <w:kern w:val="32"/>
                <w:lang w:val="en-US"/>
              </w:rPr>
              <w:t>Appendix A — Assigned MBS items: recommendations list</w:t>
            </w:r>
            <w:r w:rsidR="00D43396">
              <w:rPr>
                <w:noProof/>
                <w:webHidden/>
              </w:rPr>
              <w:tab/>
            </w:r>
            <w:r w:rsidR="00D43396">
              <w:rPr>
                <w:noProof/>
                <w:webHidden/>
              </w:rPr>
              <w:fldChar w:fldCharType="begin"/>
            </w:r>
            <w:r w:rsidR="00D43396">
              <w:rPr>
                <w:noProof/>
                <w:webHidden/>
              </w:rPr>
              <w:instrText xml:space="preserve"> PAGEREF _Toc514243841 \h </w:instrText>
            </w:r>
            <w:r w:rsidR="00D43396">
              <w:rPr>
                <w:noProof/>
                <w:webHidden/>
              </w:rPr>
            </w:r>
            <w:r w:rsidR="00D43396">
              <w:rPr>
                <w:noProof/>
                <w:webHidden/>
              </w:rPr>
              <w:fldChar w:fldCharType="separate"/>
            </w:r>
            <w:r w:rsidR="00D43396">
              <w:rPr>
                <w:noProof/>
                <w:webHidden/>
              </w:rPr>
              <w:t>53</w:t>
            </w:r>
            <w:r w:rsidR="00D43396">
              <w:rPr>
                <w:noProof/>
                <w:webHidden/>
              </w:rPr>
              <w:fldChar w:fldCharType="end"/>
            </w:r>
          </w:hyperlink>
        </w:p>
        <w:p w14:paraId="0A414C6C" w14:textId="77777777" w:rsidR="00D43396" w:rsidRDefault="00E564EB">
          <w:pPr>
            <w:pStyle w:val="TOC1"/>
            <w:rPr>
              <w:rFonts w:eastAsiaTheme="minorEastAsia" w:cstheme="minorBidi"/>
              <w:b w:val="0"/>
              <w:noProof/>
              <w:lang w:val="en-AU"/>
            </w:rPr>
          </w:pPr>
          <w:hyperlink w:anchor="_Toc514243842" w:history="1">
            <w:r w:rsidR="00D43396" w:rsidRPr="000E1DBE">
              <w:rPr>
                <w:rStyle w:val="Hyperlink"/>
                <w:noProof/>
              </w:rPr>
              <w:t>Appendix B- New or split items</w:t>
            </w:r>
            <w:r w:rsidR="00D43396">
              <w:rPr>
                <w:noProof/>
                <w:webHidden/>
              </w:rPr>
              <w:tab/>
            </w:r>
            <w:r w:rsidR="00D43396">
              <w:rPr>
                <w:noProof/>
                <w:webHidden/>
              </w:rPr>
              <w:fldChar w:fldCharType="begin"/>
            </w:r>
            <w:r w:rsidR="00D43396">
              <w:rPr>
                <w:noProof/>
                <w:webHidden/>
              </w:rPr>
              <w:instrText xml:space="preserve"> PAGEREF _Toc514243842 \h </w:instrText>
            </w:r>
            <w:r w:rsidR="00D43396">
              <w:rPr>
                <w:noProof/>
                <w:webHidden/>
              </w:rPr>
            </w:r>
            <w:r w:rsidR="00D43396">
              <w:rPr>
                <w:noProof/>
                <w:webHidden/>
              </w:rPr>
              <w:fldChar w:fldCharType="separate"/>
            </w:r>
            <w:r w:rsidR="00D43396">
              <w:rPr>
                <w:noProof/>
                <w:webHidden/>
              </w:rPr>
              <w:t>60</w:t>
            </w:r>
            <w:r w:rsidR="00D43396">
              <w:rPr>
                <w:noProof/>
                <w:webHidden/>
              </w:rPr>
              <w:fldChar w:fldCharType="end"/>
            </w:r>
          </w:hyperlink>
        </w:p>
        <w:p w14:paraId="061D8575" w14:textId="77777777" w:rsidR="00D43396" w:rsidRDefault="00E564EB">
          <w:pPr>
            <w:pStyle w:val="TOC1"/>
            <w:tabs>
              <w:tab w:val="left" w:pos="1320"/>
            </w:tabs>
            <w:rPr>
              <w:rFonts w:eastAsiaTheme="minorEastAsia" w:cstheme="minorBidi"/>
              <w:b w:val="0"/>
              <w:noProof/>
              <w:lang w:val="en-AU"/>
            </w:rPr>
          </w:pPr>
          <w:hyperlink w:anchor="_Toc514243843" w:history="1">
            <w:r w:rsidR="00D43396" w:rsidRPr="000E1DBE">
              <w:rPr>
                <w:rStyle w:val="Hyperlink"/>
                <w:noProof/>
              </w:rPr>
              <w:t>Appendix C</w:t>
            </w:r>
            <w:r w:rsidR="00D43396">
              <w:rPr>
                <w:rFonts w:eastAsiaTheme="minorEastAsia" w:cstheme="minorBidi"/>
                <w:b w:val="0"/>
                <w:noProof/>
                <w:lang w:val="en-AU"/>
              </w:rPr>
              <w:tab/>
            </w:r>
            <w:r w:rsidR="00D43396" w:rsidRPr="000E1DBE">
              <w:rPr>
                <w:rStyle w:val="Hyperlink"/>
                <w:noProof/>
              </w:rPr>
              <w:t>Summary for consumers</w:t>
            </w:r>
            <w:r w:rsidR="00D43396">
              <w:rPr>
                <w:noProof/>
                <w:webHidden/>
              </w:rPr>
              <w:tab/>
            </w:r>
            <w:r w:rsidR="00D43396">
              <w:rPr>
                <w:noProof/>
                <w:webHidden/>
              </w:rPr>
              <w:fldChar w:fldCharType="begin"/>
            </w:r>
            <w:r w:rsidR="00D43396">
              <w:rPr>
                <w:noProof/>
                <w:webHidden/>
              </w:rPr>
              <w:instrText xml:space="preserve"> PAGEREF _Toc514243843 \h </w:instrText>
            </w:r>
            <w:r w:rsidR="00D43396">
              <w:rPr>
                <w:noProof/>
                <w:webHidden/>
              </w:rPr>
            </w:r>
            <w:r w:rsidR="00D43396">
              <w:rPr>
                <w:noProof/>
                <w:webHidden/>
              </w:rPr>
              <w:fldChar w:fldCharType="separate"/>
            </w:r>
            <w:r w:rsidR="00D43396">
              <w:rPr>
                <w:noProof/>
                <w:webHidden/>
              </w:rPr>
              <w:t>61</w:t>
            </w:r>
            <w:r w:rsidR="00D43396">
              <w:rPr>
                <w:noProof/>
                <w:webHidden/>
              </w:rPr>
              <w:fldChar w:fldCharType="end"/>
            </w:r>
          </w:hyperlink>
        </w:p>
        <w:p w14:paraId="35959227" w14:textId="77777777" w:rsidR="00D43396" w:rsidRDefault="00E564EB">
          <w:pPr>
            <w:pStyle w:val="TOC2"/>
            <w:rPr>
              <w:rFonts w:eastAsiaTheme="minorEastAsia" w:cstheme="minorBidi"/>
              <w:noProof/>
              <w:lang w:val="en-AU"/>
            </w:rPr>
          </w:pPr>
          <w:hyperlink w:anchor="_Toc514243844" w:history="1">
            <w:r w:rsidR="00D43396" w:rsidRPr="000E1DBE">
              <w:rPr>
                <w:rStyle w:val="Hyperlink"/>
                <w:noProof/>
              </w:rPr>
              <w:t>Pathology Clinical Committee (Anatomical Pathology/Cytology Working Group) recommendations</w:t>
            </w:r>
            <w:r w:rsidR="00D43396">
              <w:rPr>
                <w:noProof/>
                <w:webHidden/>
              </w:rPr>
              <w:tab/>
            </w:r>
            <w:r w:rsidR="00D43396">
              <w:rPr>
                <w:noProof/>
                <w:webHidden/>
              </w:rPr>
              <w:fldChar w:fldCharType="begin"/>
            </w:r>
            <w:r w:rsidR="00D43396">
              <w:rPr>
                <w:noProof/>
                <w:webHidden/>
              </w:rPr>
              <w:instrText xml:space="preserve"> PAGEREF _Toc514243844 \h </w:instrText>
            </w:r>
            <w:r w:rsidR="00D43396">
              <w:rPr>
                <w:noProof/>
                <w:webHidden/>
              </w:rPr>
            </w:r>
            <w:r w:rsidR="00D43396">
              <w:rPr>
                <w:noProof/>
                <w:webHidden/>
              </w:rPr>
              <w:fldChar w:fldCharType="separate"/>
            </w:r>
            <w:r w:rsidR="00D43396">
              <w:rPr>
                <w:noProof/>
                <w:webHidden/>
              </w:rPr>
              <w:t>61</w:t>
            </w:r>
            <w:r w:rsidR="00D43396">
              <w:rPr>
                <w:noProof/>
                <w:webHidden/>
              </w:rPr>
              <w:fldChar w:fldCharType="end"/>
            </w:r>
          </w:hyperlink>
        </w:p>
        <w:p w14:paraId="4614A1EF" w14:textId="77777777" w:rsidR="00D1340B" w:rsidRDefault="00555C4C" w:rsidP="00D1340B">
          <w:pPr>
            <w:rPr>
              <w:b/>
              <w:bCs/>
              <w:noProof/>
            </w:rPr>
          </w:pPr>
          <w:r>
            <w:rPr>
              <w:b/>
              <w:bCs/>
              <w:noProof/>
            </w:rPr>
            <w:fldChar w:fldCharType="end"/>
          </w:r>
        </w:p>
      </w:sdtContent>
    </w:sdt>
    <w:p w14:paraId="20951768" w14:textId="77777777" w:rsidR="00326D7D" w:rsidRDefault="00681471" w:rsidP="00F36526">
      <w:pPr>
        <w:pStyle w:val="TableofFigures"/>
        <w:tabs>
          <w:tab w:val="left" w:pos="1100"/>
          <w:tab w:val="right" w:leader="dot" w:pos="9016"/>
        </w:tabs>
        <w:ind w:left="0" w:hanging="14"/>
        <w:rPr>
          <w:b/>
          <w:bCs/>
          <w:noProof/>
          <w:color w:val="01653F"/>
          <w:sz w:val="32"/>
          <w:szCs w:val="32"/>
        </w:rPr>
      </w:pPr>
      <w:r w:rsidRPr="0045210D">
        <w:rPr>
          <w:color w:val="A6A6A6" w:themeColor="background1" w:themeShade="A6"/>
        </w:rPr>
        <w:br w:type="page"/>
      </w:r>
      <w:r w:rsidR="0011166D" w:rsidRPr="003B1222">
        <w:rPr>
          <w:b/>
          <w:bCs/>
          <w:noProof/>
          <w:color w:val="01653F"/>
          <w:sz w:val="32"/>
          <w:szCs w:val="32"/>
        </w:rPr>
        <w:lastRenderedPageBreak/>
        <w:t>List of Tables</w:t>
      </w:r>
    </w:p>
    <w:p w14:paraId="12AFB27F" w14:textId="77777777" w:rsidR="00707180" w:rsidRDefault="00707180">
      <w:pPr>
        <w:pStyle w:val="TableofFigures"/>
        <w:tabs>
          <w:tab w:val="right" w:leader="dot" w:pos="8896"/>
        </w:tabs>
        <w:rPr>
          <w:rFonts w:cs="Arial"/>
          <w:color w:val="808080" w:themeColor="background1" w:themeShade="80"/>
        </w:rPr>
      </w:pPr>
    </w:p>
    <w:p w14:paraId="795F7113" w14:textId="77777777" w:rsidR="002A7552" w:rsidRDefault="00555C4C">
      <w:pPr>
        <w:pStyle w:val="TableofFigures"/>
        <w:tabs>
          <w:tab w:val="right" w:leader="dot" w:pos="8896"/>
        </w:tabs>
        <w:rPr>
          <w:rFonts w:eastAsiaTheme="minorEastAsia" w:cstheme="minorBidi"/>
          <w:noProof/>
          <w:sz w:val="22"/>
          <w:szCs w:val="22"/>
        </w:rPr>
      </w:pPr>
      <w:r>
        <w:rPr>
          <w:rFonts w:cs="Arial"/>
          <w:color w:val="808080" w:themeColor="background1" w:themeShade="80"/>
        </w:rPr>
        <w:fldChar w:fldCharType="begin"/>
      </w:r>
      <w:r w:rsidR="002A7552">
        <w:rPr>
          <w:rFonts w:cs="Arial"/>
          <w:color w:val="808080" w:themeColor="background1" w:themeShade="80"/>
        </w:rPr>
        <w:instrText xml:space="preserve"> TOC \h \z \c "Table" </w:instrText>
      </w:r>
      <w:r>
        <w:rPr>
          <w:rFonts w:cs="Arial"/>
          <w:color w:val="808080" w:themeColor="background1" w:themeShade="80"/>
        </w:rPr>
        <w:fldChar w:fldCharType="separate"/>
      </w:r>
      <w:hyperlink w:anchor="_Toc482213830" w:history="1">
        <w:r w:rsidR="002A7552" w:rsidRPr="008F6138">
          <w:rPr>
            <w:rStyle w:val="Hyperlink"/>
            <w:noProof/>
          </w:rPr>
          <w:t xml:space="preserve">Table 1. </w:t>
        </w:r>
        <w:r w:rsidR="00707180">
          <w:rPr>
            <w:rStyle w:val="Hyperlink"/>
            <w:noProof/>
          </w:rPr>
          <w:t>Pathology Clinical Committee Members</w:t>
        </w:r>
        <w:r w:rsidR="002A7552">
          <w:rPr>
            <w:noProof/>
            <w:webHidden/>
          </w:rPr>
          <w:tab/>
        </w:r>
        <w:r>
          <w:rPr>
            <w:noProof/>
            <w:webHidden/>
          </w:rPr>
          <w:fldChar w:fldCharType="begin"/>
        </w:r>
        <w:r w:rsidR="002A7552">
          <w:rPr>
            <w:noProof/>
            <w:webHidden/>
          </w:rPr>
          <w:instrText xml:space="preserve"> PAGEREF _Toc482213830 \h </w:instrText>
        </w:r>
        <w:r>
          <w:rPr>
            <w:noProof/>
            <w:webHidden/>
          </w:rPr>
        </w:r>
        <w:r>
          <w:rPr>
            <w:noProof/>
            <w:webHidden/>
          </w:rPr>
          <w:fldChar w:fldCharType="separate"/>
        </w:r>
        <w:r w:rsidR="00FC06F1">
          <w:rPr>
            <w:noProof/>
            <w:webHidden/>
          </w:rPr>
          <w:t>1</w:t>
        </w:r>
        <w:r w:rsidR="00707180">
          <w:rPr>
            <w:noProof/>
            <w:webHidden/>
          </w:rPr>
          <w:t>0</w:t>
        </w:r>
        <w:r>
          <w:rPr>
            <w:noProof/>
            <w:webHidden/>
          </w:rPr>
          <w:fldChar w:fldCharType="end"/>
        </w:r>
      </w:hyperlink>
    </w:p>
    <w:p w14:paraId="5D81D5EB" w14:textId="77777777" w:rsidR="00707180" w:rsidRDefault="00707180">
      <w:pPr>
        <w:pStyle w:val="TableofFigures"/>
        <w:tabs>
          <w:tab w:val="right" w:leader="dot" w:pos="8896"/>
        </w:tabs>
      </w:pPr>
      <w:r w:rsidRPr="00707180">
        <w:t xml:space="preserve">Table </w:t>
      </w:r>
      <w:r>
        <w:t>2</w:t>
      </w:r>
      <w:r w:rsidRPr="00707180">
        <w:t xml:space="preserve">. </w:t>
      </w:r>
      <w:r>
        <w:t>Anatomical and Cytology Working Group Members</w:t>
      </w:r>
      <w:r w:rsidRPr="00707180">
        <w:rPr>
          <w:webHidden/>
        </w:rPr>
        <w:tab/>
      </w:r>
      <w:r>
        <w:rPr>
          <w:webHidden/>
        </w:rPr>
        <w:t>11</w:t>
      </w:r>
    </w:p>
    <w:p w14:paraId="58F8877D" w14:textId="77777777" w:rsidR="00707180" w:rsidRDefault="00707180">
      <w:pPr>
        <w:pStyle w:val="TableofFigures"/>
        <w:tabs>
          <w:tab w:val="right" w:leader="dot" w:pos="8896"/>
        </w:tabs>
        <w:rPr>
          <w:webHidden/>
        </w:rPr>
      </w:pPr>
      <w:r w:rsidRPr="00707180">
        <w:t xml:space="preserve">Table </w:t>
      </w:r>
      <w:r>
        <w:t>3</w:t>
      </w:r>
      <w:r w:rsidRPr="00707180">
        <w:t>. MBS data on core Histology billing code usage 2014–15</w:t>
      </w:r>
      <w:r w:rsidRPr="00707180">
        <w:rPr>
          <w:webHidden/>
        </w:rPr>
        <w:tab/>
      </w:r>
      <w:r w:rsidR="00555C4C" w:rsidRPr="00707180">
        <w:rPr>
          <w:webHidden/>
        </w:rPr>
        <w:fldChar w:fldCharType="begin"/>
      </w:r>
      <w:r w:rsidRPr="00707180">
        <w:rPr>
          <w:webHidden/>
        </w:rPr>
        <w:instrText xml:space="preserve"> PAGEREF _Toc482213830 \h </w:instrText>
      </w:r>
      <w:r w:rsidR="00555C4C" w:rsidRPr="00707180">
        <w:rPr>
          <w:webHidden/>
        </w:rPr>
      </w:r>
      <w:r w:rsidR="00555C4C" w:rsidRPr="00707180">
        <w:rPr>
          <w:webHidden/>
        </w:rPr>
        <w:fldChar w:fldCharType="separate"/>
      </w:r>
      <w:r w:rsidRPr="00707180">
        <w:rPr>
          <w:webHidden/>
        </w:rPr>
        <w:t>14</w:t>
      </w:r>
      <w:r w:rsidR="00555C4C" w:rsidRPr="00707180">
        <w:rPr>
          <w:webHidden/>
        </w:rPr>
        <w:fldChar w:fldCharType="end"/>
      </w:r>
    </w:p>
    <w:p w14:paraId="5172AE8F" w14:textId="77777777" w:rsidR="002A7552" w:rsidRDefault="00E564EB">
      <w:pPr>
        <w:pStyle w:val="TableofFigures"/>
        <w:tabs>
          <w:tab w:val="right" w:leader="dot" w:pos="8896"/>
        </w:tabs>
        <w:rPr>
          <w:rFonts w:eastAsiaTheme="minorEastAsia" w:cstheme="minorBidi"/>
          <w:noProof/>
          <w:sz w:val="22"/>
          <w:szCs w:val="22"/>
        </w:rPr>
      </w:pPr>
      <w:hyperlink w:anchor="_Toc482213831" w:history="1">
        <w:r w:rsidR="002A7552" w:rsidRPr="008F6138">
          <w:rPr>
            <w:rStyle w:val="Hyperlink"/>
            <w:noProof/>
          </w:rPr>
          <w:t xml:space="preserve">Table </w:t>
        </w:r>
        <w:r w:rsidR="00707180">
          <w:rPr>
            <w:rStyle w:val="Hyperlink"/>
            <w:noProof/>
          </w:rPr>
          <w:t>4</w:t>
        </w:r>
        <w:r w:rsidR="002A7552" w:rsidRPr="008F6138">
          <w:rPr>
            <w:rStyle w:val="Hyperlink"/>
            <w:noProof/>
          </w:rPr>
          <w:t>. Parameters of data collected from four independent laboratories</w:t>
        </w:r>
        <w:r w:rsidR="002A7552">
          <w:rPr>
            <w:noProof/>
            <w:webHidden/>
          </w:rPr>
          <w:tab/>
        </w:r>
        <w:r w:rsidR="00555C4C">
          <w:rPr>
            <w:noProof/>
            <w:webHidden/>
          </w:rPr>
          <w:fldChar w:fldCharType="begin"/>
        </w:r>
        <w:r w:rsidR="002A7552">
          <w:rPr>
            <w:noProof/>
            <w:webHidden/>
          </w:rPr>
          <w:instrText xml:space="preserve"> PAGEREF _Toc482213831 \h </w:instrText>
        </w:r>
        <w:r w:rsidR="00555C4C">
          <w:rPr>
            <w:noProof/>
            <w:webHidden/>
          </w:rPr>
        </w:r>
        <w:r w:rsidR="00555C4C">
          <w:rPr>
            <w:noProof/>
            <w:webHidden/>
          </w:rPr>
          <w:fldChar w:fldCharType="separate"/>
        </w:r>
        <w:r w:rsidR="00FC06F1">
          <w:rPr>
            <w:noProof/>
            <w:webHidden/>
          </w:rPr>
          <w:t>15</w:t>
        </w:r>
        <w:r w:rsidR="00555C4C">
          <w:rPr>
            <w:noProof/>
            <w:webHidden/>
          </w:rPr>
          <w:fldChar w:fldCharType="end"/>
        </w:r>
      </w:hyperlink>
    </w:p>
    <w:p w14:paraId="379F9039" w14:textId="77777777" w:rsidR="002A7552" w:rsidRDefault="00E564EB">
      <w:pPr>
        <w:pStyle w:val="TableofFigures"/>
        <w:tabs>
          <w:tab w:val="right" w:leader="dot" w:pos="8896"/>
        </w:tabs>
        <w:rPr>
          <w:rFonts w:eastAsiaTheme="minorEastAsia" w:cstheme="minorBidi"/>
          <w:noProof/>
          <w:sz w:val="22"/>
          <w:szCs w:val="22"/>
        </w:rPr>
      </w:pPr>
      <w:hyperlink w:anchor="_Toc482213832" w:history="1">
        <w:r w:rsidR="002A7552" w:rsidRPr="008F6138">
          <w:rPr>
            <w:rStyle w:val="Hyperlink"/>
            <w:noProof/>
          </w:rPr>
          <w:t xml:space="preserve">Table </w:t>
        </w:r>
        <w:r w:rsidR="00707180">
          <w:rPr>
            <w:rStyle w:val="Hyperlink"/>
            <w:noProof/>
          </w:rPr>
          <w:t>5. 2014/</w:t>
        </w:r>
        <w:r w:rsidR="002A7552" w:rsidRPr="008F6138">
          <w:rPr>
            <w:rStyle w:val="Hyperlink"/>
            <w:noProof/>
          </w:rPr>
          <w:t>15</w:t>
        </w:r>
        <w:r w:rsidR="00707180">
          <w:rPr>
            <w:rStyle w:val="Hyperlink"/>
            <w:noProof/>
          </w:rPr>
          <w:t xml:space="preserve"> MBS Cytology item service/benefit data</w:t>
        </w:r>
        <w:r w:rsidR="002A7552">
          <w:rPr>
            <w:noProof/>
            <w:webHidden/>
          </w:rPr>
          <w:tab/>
        </w:r>
        <w:r w:rsidR="00555C4C">
          <w:rPr>
            <w:noProof/>
            <w:webHidden/>
          </w:rPr>
          <w:fldChar w:fldCharType="begin"/>
        </w:r>
        <w:r w:rsidR="002A7552">
          <w:rPr>
            <w:noProof/>
            <w:webHidden/>
          </w:rPr>
          <w:instrText xml:space="preserve"> PAGEREF _Toc482213832 \h </w:instrText>
        </w:r>
        <w:r w:rsidR="00555C4C">
          <w:rPr>
            <w:noProof/>
            <w:webHidden/>
          </w:rPr>
        </w:r>
        <w:r w:rsidR="00555C4C">
          <w:rPr>
            <w:noProof/>
            <w:webHidden/>
          </w:rPr>
          <w:fldChar w:fldCharType="separate"/>
        </w:r>
        <w:r w:rsidR="00FC06F1">
          <w:rPr>
            <w:noProof/>
            <w:webHidden/>
          </w:rPr>
          <w:t>16</w:t>
        </w:r>
        <w:r w:rsidR="00555C4C">
          <w:rPr>
            <w:noProof/>
            <w:webHidden/>
          </w:rPr>
          <w:fldChar w:fldCharType="end"/>
        </w:r>
      </w:hyperlink>
    </w:p>
    <w:p w14:paraId="7F6CA03D" w14:textId="77777777" w:rsidR="002A7552" w:rsidRDefault="00E564EB">
      <w:pPr>
        <w:pStyle w:val="TableofFigures"/>
        <w:tabs>
          <w:tab w:val="right" w:leader="dot" w:pos="8896"/>
        </w:tabs>
        <w:rPr>
          <w:rFonts w:eastAsiaTheme="minorEastAsia" w:cstheme="minorBidi"/>
          <w:noProof/>
          <w:sz w:val="22"/>
          <w:szCs w:val="22"/>
        </w:rPr>
      </w:pPr>
      <w:hyperlink w:anchor="_Toc482213833" w:history="1">
        <w:r w:rsidR="002A7552" w:rsidRPr="008F6138">
          <w:rPr>
            <w:rStyle w:val="Hyperlink"/>
            <w:noProof/>
          </w:rPr>
          <w:t xml:space="preserve">Table </w:t>
        </w:r>
        <w:r w:rsidR="00707180">
          <w:rPr>
            <w:rStyle w:val="Hyperlink"/>
            <w:noProof/>
          </w:rPr>
          <w:t>6</w:t>
        </w:r>
        <w:r w:rsidR="002A7552" w:rsidRPr="008F6138">
          <w:rPr>
            <w:rStyle w:val="Hyperlink"/>
            <w:noProof/>
          </w:rPr>
          <w:t>. Proposed changes to the Complexity Table</w:t>
        </w:r>
        <w:r w:rsidR="002A7552">
          <w:rPr>
            <w:noProof/>
            <w:webHidden/>
          </w:rPr>
          <w:tab/>
        </w:r>
        <w:r w:rsidR="00555C4C">
          <w:rPr>
            <w:noProof/>
            <w:webHidden/>
          </w:rPr>
          <w:fldChar w:fldCharType="begin"/>
        </w:r>
        <w:r w:rsidR="002A7552">
          <w:rPr>
            <w:noProof/>
            <w:webHidden/>
          </w:rPr>
          <w:instrText xml:space="preserve"> PAGEREF _Toc482213833 \h </w:instrText>
        </w:r>
        <w:r w:rsidR="00555C4C">
          <w:rPr>
            <w:noProof/>
            <w:webHidden/>
          </w:rPr>
        </w:r>
        <w:r w:rsidR="00555C4C">
          <w:rPr>
            <w:noProof/>
            <w:webHidden/>
          </w:rPr>
          <w:fldChar w:fldCharType="separate"/>
        </w:r>
        <w:r w:rsidR="00FC06F1">
          <w:rPr>
            <w:noProof/>
            <w:webHidden/>
          </w:rPr>
          <w:t>19</w:t>
        </w:r>
        <w:r w:rsidR="00555C4C">
          <w:rPr>
            <w:noProof/>
            <w:webHidden/>
          </w:rPr>
          <w:fldChar w:fldCharType="end"/>
        </w:r>
      </w:hyperlink>
    </w:p>
    <w:p w14:paraId="054C3395" w14:textId="77777777" w:rsidR="002A7552" w:rsidRDefault="00E564EB">
      <w:pPr>
        <w:pStyle w:val="TableofFigures"/>
        <w:tabs>
          <w:tab w:val="right" w:leader="dot" w:pos="8896"/>
        </w:tabs>
        <w:rPr>
          <w:rFonts w:eastAsiaTheme="minorEastAsia" w:cstheme="minorBidi"/>
          <w:noProof/>
          <w:sz w:val="22"/>
          <w:szCs w:val="22"/>
        </w:rPr>
      </w:pPr>
      <w:hyperlink w:anchor="_Toc482213834" w:history="1">
        <w:r w:rsidR="002A7552" w:rsidRPr="008F6138">
          <w:rPr>
            <w:rStyle w:val="Hyperlink"/>
            <w:noProof/>
          </w:rPr>
          <w:t xml:space="preserve">Table </w:t>
        </w:r>
        <w:r w:rsidR="00707180">
          <w:rPr>
            <w:rStyle w:val="Hyperlink"/>
            <w:noProof/>
          </w:rPr>
          <w:t>7</w:t>
        </w:r>
        <w:r w:rsidR="002A7552" w:rsidRPr="008F6138">
          <w:rPr>
            <w:rStyle w:val="Hyperlink"/>
            <w:noProof/>
          </w:rPr>
          <w:t>. Effect of proposed complexity changes on nominal MBS billings (Laboratory D)</w:t>
        </w:r>
        <w:r w:rsidR="002A7552">
          <w:rPr>
            <w:noProof/>
            <w:webHidden/>
          </w:rPr>
          <w:tab/>
        </w:r>
        <w:r w:rsidR="00555C4C">
          <w:rPr>
            <w:noProof/>
            <w:webHidden/>
          </w:rPr>
          <w:fldChar w:fldCharType="begin"/>
        </w:r>
        <w:r w:rsidR="002A7552">
          <w:rPr>
            <w:noProof/>
            <w:webHidden/>
          </w:rPr>
          <w:instrText xml:space="preserve"> PAGEREF _Toc482213834 \h </w:instrText>
        </w:r>
        <w:r w:rsidR="00555C4C">
          <w:rPr>
            <w:noProof/>
            <w:webHidden/>
          </w:rPr>
        </w:r>
        <w:r w:rsidR="00555C4C">
          <w:rPr>
            <w:noProof/>
            <w:webHidden/>
          </w:rPr>
          <w:fldChar w:fldCharType="separate"/>
        </w:r>
        <w:r w:rsidR="00FC06F1">
          <w:rPr>
            <w:noProof/>
            <w:webHidden/>
          </w:rPr>
          <w:t>28</w:t>
        </w:r>
        <w:r w:rsidR="00555C4C">
          <w:rPr>
            <w:noProof/>
            <w:webHidden/>
          </w:rPr>
          <w:fldChar w:fldCharType="end"/>
        </w:r>
      </w:hyperlink>
    </w:p>
    <w:p w14:paraId="57639280" w14:textId="77777777" w:rsidR="002A7552" w:rsidRDefault="00E564EB">
      <w:pPr>
        <w:pStyle w:val="TableofFigures"/>
        <w:tabs>
          <w:tab w:val="right" w:leader="dot" w:pos="8896"/>
        </w:tabs>
        <w:rPr>
          <w:rFonts w:eastAsiaTheme="minorEastAsia" w:cstheme="minorBidi"/>
          <w:noProof/>
          <w:sz w:val="22"/>
          <w:szCs w:val="22"/>
        </w:rPr>
      </w:pPr>
      <w:hyperlink w:anchor="_Toc482213835" w:history="1">
        <w:r w:rsidR="002A7552" w:rsidRPr="008F6138">
          <w:rPr>
            <w:rStyle w:val="Hyperlink"/>
            <w:noProof/>
          </w:rPr>
          <w:t xml:space="preserve">Table </w:t>
        </w:r>
        <w:r w:rsidR="003752FB">
          <w:rPr>
            <w:rStyle w:val="Hyperlink"/>
            <w:noProof/>
          </w:rPr>
          <w:t>8</w:t>
        </w:r>
        <w:r w:rsidR="002A7552" w:rsidRPr="008F6138">
          <w:rPr>
            <w:rStyle w:val="Hyperlink"/>
            <w:noProof/>
          </w:rPr>
          <w:t>. Current impact of coning/tiering rules on Histology billing</w:t>
        </w:r>
        <w:r w:rsidR="002A7552">
          <w:rPr>
            <w:noProof/>
            <w:webHidden/>
          </w:rPr>
          <w:tab/>
        </w:r>
        <w:r w:rsidR="00555C4C">
          <w:rPr>
            <w:noProof/>
            <w:webHidden/>
          </w:rPr>
          <w:fldChar w:fldCharType="begin"/>
        </w:r>
        <w:r w:rsidR="002A7552">
          <w:rPr>
            <w:noProof/>
            <w:webHidden/>
          </w:rPr>
          <w:instrText xml:space="preserve"> PAGEREF _Toc482213835 \h </w:instrText>
        </w:r>
        <w:r w:rsidR="00555C4C">
          <w:rPr>
            <w:noProof/>
            <w:webHidden/>
          </w:rPr>
        </w:r>
        <w:r w:rsidR="00555C4C">
          <w:rPr>
            <w:noProof/>
            <w:webHidden/>
          </w:rPr>
          <w:fldChar w:fldCharType="separate"/>
        </w:r>
        <w:r w:rsidR="00FC06F1">
          <w:rPr>
            <w:noProof/>
            <w:webHidden/>
          </w:rPr>
          <w:t>31</w:t>
        </w:r>
        <w:r w:rsidR="00555C4C">
          <w:rPr>
            <w:noProof/>
            <w:webHidden/>
          </w:rPr>
          <w:fldChar w:fldCharType="end"/>
        </w:r>
      </w:hyperlink>
    </w:p>
    <w:p w14:paraId="21F81B42" w14:textId="77777777" w:rsidR="002A7552" w:rsidRDefault="00E564EB">
      <w:pPr>
        <w:pStyle w:val="TableofFigures"/>
        <w:tabs>
          <w:tab w:val="right" w:leader="dot" w:pos="8896"/>
        </w:tabs>
        <w:rPr>
          <w:rFonts w:eastAsiaTheme="minorEastAsia" w:cstheme="minorBidi"/>
          <w:noProof/>
          <w:sz w:val="22"/>
          <w:szCs w:val="22"/>
        </w:rPr>
      </w:pPr>
      <w:hyperlink w:anchor="_Toc482213836" w:history="1">
        <w:r w:rsidR="002A7552" w:rsidRPr="008F6138">
          <w:rPr>
            <w:rStyle w:val="Hyperlink"/>
            <w:noProof/>
          </w:rPr>
          <w:t xml:space="preserve">Table </w:t>
        </w:r>
        <w:r w:rsidR="003752FB">
          <w:rPr>
            <w:rStyle w:val="Hyperlink"/>
            <w:noProof/>
          </w:rPr>
          <w:t>9</w:t>
        </w:r>
        <w:r w:rsidR="002A7552" w:rsidRPr="008F6138">
          <w:rPr>
            <w:rStyle w:val="Hyperlink"/>
            <w:noProof/>
          </w:rPr>
          <w:t>. Modelling of ‘Surgical’ and ‘Radiology MRI’ coning strategies</w:t>
        </w:r>
        <w:r w:rsidR="002A7552">
          <w:rPr>
            <w:noProof/>
            <w:webHidden/>
          </w:rPr>
          <w:tab/>
        </w:r>
        <w:r w:rsidR="00555C4C">
          <w:rPr>
            <w:noProof/>
            <w:webHidden/>
          </w:rPr>
          <w:fldChar w:fldCharType="begin"/>
        </w:r>
        <w:r w:rsidR="002A7552">
          <w:rPr>
            <w:noProof/>
            <w:webHidden/>
          </w:rPr>
          <w:instrText xml:space="preserve"> PAGEREF _Toc482213836 \h </w:instrText>
        </w:r>
        <w:r w:rsidR="00555C4C">
          <w:rPr>
            <w:noProof/>
            <w:webHidden/>
          </w:rPr>
        </w:r>
        <w:r w:rsidR="00555C4C">
          <w:rPr>
            <w:noProof/>
            <w:webHidden/>
          </w:rPr>
          <w:fldChar w:fldCharType="separate"/>
        </w:r>
        <w:r w:rsidR="00FC06F1">
          <w:rPr>
            <w:noProof/>
            <w:webHidden/>
          </w:rPr>
          <w:t>3</w:t>
        </w:r>
        <w:r w:rsidR="003752FB">
          <w:rPr>
            <w:noProof/>
            <w:webHidden/>
          </w:rPr>
          <w:t>3</w:t>
        </w:r>
        <w:r w:rsidR="00555C4C">
          <w:rPr>
            <w:noProof/>
            <w:webHidden/>
          </w:rPr>
          <w:fldChar w:fldCharType="end"/>
        </w:r>
      </w:hyperlink>
    </w:p>
    <w:p w14:paraId="463A75E3" w14:textId="77777777" w:rsidR="002A7552" w:rsidRDefault="00E564EB">
      <w:pPr>
        <w:pStyle w:val="TableofFigures"/>
        <w:tabs>
          <w:tab w:val="right" w:leader="dot" w:pos="8896"/>
        </w:tabs>
        <w:rPr>
          <w:rFonts w:eastAsiaTheme="minorEastAsia" w:cstheme="minorBidi"/>
          <w:noProof/>
          <w:sz w:val="22"/>
          <w:szCs w:val="22"/>
        </w:rPr>
      </w:pPr>
      <w:hyperlink w:anchor="_Toc482213837" w:history="1">
        <w:r w:rsidR="002A7552" w:rsidRPr="008F6138">
          <w:rPr>
            <w:rStyle w:val="Hyperlink"/>
            <w:noProof/>
          </w:rPr>
          <w:t xml:space="preserve">Table </w:t>
        </w:r>
        <w:r w:rsidR="003752FB">
          <w:rPr>
            <w:rStyle w:val="Hyperlink"/>
            <w:noProof/>
          </w:rPr>
          <w:t>10</w:t>
        </w:r>
        <w:r w:rsidR="002A7552" w:rsidRPr="008F6138">
          <w:rPr>
            <w:rStyle w:val="Hyperlink"/>
            <w:noProof/>
          </w:rPr>
          <w:t>. Item comparison table for item 72846, 72847, 72849, 72850 (Histology) vs 73059, 73060, 73064, 73065 (Cytology)</w:t>
        </w:r>
        <w:r w:rsidR="002A7552">
          <w:rPr>
            <w:noProof/>
            <w:webHidden/>
          </w:rPr>
          <w:tab/>
        </w:r>
        <w:r w:rsidR="00555C4C">
          <w:rPr>
            <w:noProof/>
            <w:webHidden/>
          </w:rPr>
          <w:fldChar w:fldCharType="begin"/>
        </w:r>
        <w:r w:rsidR="002A7552">
          <w:rPr>
            <w:noProof/>
            <w:webHidden/>
          </w:rPr>
          <w:instrText xml:space="preserve"> PAGEREF _Toc482213837 \h </w:instrText>
        </w:r>
        <w:r w:rsidR="00555C4C">
          <w:rPr>
            <w:noProof/>
            <w:webHidden/>
          </w:rPr>
        </w:r>
        <w:r w:rsidR="00555C4C">
          <w:rPr>
            <w:noProof/>
            <w:webHidden/>
          </w:rPr>
          <w:fldChar w:fldCharType="separate"/>
        </w:r>
        <w:r w:rsidR="00FC06F1">
          <w:rPr>
            <w:noProof/>
            <w:webHidden/>
          </w:rPr>
          <w:t>38</w:t>
        </w:r>
        <w:r w:rsidR="00555C4C">
          <w:rPr>
            <w:noProof/>
            <w:webHidden/>
          </w:rPr>
          <w:fldChar w:fldCharType="end"/>
        </w:r>
      </w:hyperlink>
    </w:p>
    <w:p w14:paraId="4BC9672C" w14:textId="77777777" w:rsidR="002A7552" w:rsidRDefault="00E564EB">
      <w:pPr>
        <w:pStyle w:val="TableofFigures"/>
        <w:tabs>
          <w:tab w:val="right" w:leader="dot" w:pos="8896"/>
        </w:tabs>
        <w:rPr>
          <w:rFonts w:eastAsiaTheme="minorEastAsia" w:cstheme="minorBidi"/>
          <w:noProof/>
          <w:sz w:val="22"/>
          <w:szCs w:val="22"/>
        </w:rPr>
      </w:pPr>
      <w:hyperlink w:anchor="_Toc482213838" w:history="1">
        <w:r w:rsidR="002A7552" w:rsidRPr="008F6138">
          <w:rPr>
            <w:rStyle w:val="Hyperlink"/>
            <w:noProof/>
          </w:rPr>
          <w:t xml:space="preserve">Table </w:t>
        </w:r>
        <w:r w:rsidR="003752FB">
          <w:rPr>
            <w:rStyle w:val="Hyperlink"/>
            <w:noProof/>
          </w:rPr>
          <w:t>11</w:t>
        </w:r>
        <w:r w:rsidR="002A7552" w:rsidRPr="008F6138">
          <w:rPr>
            <w:rStyle w:val="Hyperlink"/>
            <w:noProof/>
          </w:rPr>
          <w:t>. Item comparison table for item 72848 (Histology) vs 73061 (Cytology)</w:t>
        </w:r>
        <w:r w:rsidR="002A7552">
          <w:rPr>
            <w:noProof/>
            <w:webHidden/>
          </w:rPr>
          <w:tab/>
        </w:r>
        <w:r w:rsidR="00555C4C">
          <w:rPr>
            <w:noProof/>
            <w:webHidden/>
          </w:rPr>
          <w:fldChar w:fldCharType="begin"/>
        </w:r>
        <w:r w:rsidR="002A7552">
          <w:rPr>
            <w:noProof/>
            <w:webHidden/>
          </w:rPr>
          <w:instrText xml:space="preserve"> PAGEREF _Toc482213838 \h </w:instrText>
        </w:r>
        <w:r w:rsidR="00555C4C">
          <w:rPr>
            <w:noProof/>
            <w:webHidden/>
          </w:rPr>
        </w:r>
        <w:r w:rsidR="00555C4C">
          <w:rPr>
            <w:noProof/>
            <w:webHidden/>
          </w:rPr>
          <w:fldChar w:fldCharType="separate"/>
        </w:r>
        <w:r w:rsidR="00FC06F1">
          <w:rPr>
            <w:noProof/>
            <w:webHidden/>
          </w:rPr>
          <w:t>38</w:t>
        </w:r>
        <w:r w:rsidR="00555C4C">
          <w:rPr>
            <w:noProof/>
            <w:webHidden/>
          </w:rPr>
          <w:fldChar w:fldCharType="end"/>
        </w:r>
      </w:hyperlink>
    </w:p>
    <w:p w14:paraId="0887D76F" w14:textId="77777777" w:rsidR="002A7552" w:rsidRDefault="00E564EB">
      <w:pPr>
        <w:pStyle w:val="TableofFigures"/>
        <w:tabs>
          <w:tab w:val="right" w:leader="dot" w:pos="8896"/>
        </w:tabs>
        <w:rPr>
          <w:rFonts w:eastAsiaTheme="minorEastAsia" w:cstheme="minorBidi"/>
          <w:noProof/>
          <w:sz w:val="22"/>
          <w:szCs w:val="22"/>
        </w:rPr>
      </w:pPr>
      <w:hyperlink w:anchor="_Toc482213839" w:history="1">
        <w:r w:rsidR="002A7552" w:rsidRPr="008F6138">
          <w:rPr>
            <w:rStyle w:val="Hyperlink"/>
            <w:noProof/>
          </w:rPr>
          <w:t>Table 1</w:t>
        </w:r>
        <w:r w:rsidR="003752FB">
          <w:rPr>
            <w:rStyle w:val="Hyperlink"/>
            <w:noProof/>
          </w:rPr>
          <w:t>2</w:t>
        </w:r>
        <w:r w:rsidR="002A7552" w:rsidRPr="008F6138">
          <w:rPr>
            <w:rStyle w:val="Hyperlink"/>
            <w:noProof/>
          </w:rPr>
          <w:t>. Financial effects of aligning cytology and histology IHC rebates</w:t>
        </w:r>
        <w:r w:rsidR="002A7552">
          <w:rPr>
            <w:noProof/>
            <w:webHidden/>
          </w:rPr>
          <w:tab/>
        </w:r>
        <w:r w:rsidR="00555C4C">
          <w:rPr>
            <w:noProof/>
            <w:webHidden/>
          </w:rPr>
          <w:fldChar w:fldCharType="begin"/>
        </w:r>
        <w:r w:rsidR="002A7552">
          <w:rPr>
            <w:noProof/>
            <w:webHidden/>
          </w:rPr>
          <w:instrText xml:space="preserve"> PAGEREF _Toc482213839 \h </w:instrText>
        </w:r>
        <w:r w:rsidR="00555C4C">
          <w:rPr>
            <w:noProof/>
            <w:webHidden/>
          </w:rPr>
        </w:r>
        <w:r w:rsidR="00555C4C">
          <w:rPr>
            <w:noProof/>
            <w:webHidden/>
          </w:rPr>
          <w:fldChar w:fldCharType="separate"/>
        </w:r>
        <w:r w:rsidR="00FC06F1">
          <w:rPr>
            <w:noProof/>
            <w:webHidden/>
          </w:rPr>
          <w:t>4</w:t>
        </w:r>
        <w:r w:rsidR="003752FB">
          <w:rPr>
            <w:noProof/>
            <w:webHidden/>
          </w:rPr>
          <w:t>1</w:t>
        </w:r>
        <w:r w:rsidR="00555C4C">
          <w:rPr>
            <w:noProof/>
            <w:webHidden/>
          </w:rPr>
          <w:fldChar w:fldCharType="end"/>
        </w:r>
      </w:hyperlink>
    </w:p>
    <w:p w14:paraId="5E6065A2" w14:textId="77777777" w:rsidR="002A7552" w:rsidRDefault="00E564EB">
      <w:pPr>
        <w:pStyle w:val="TableofFigures"/>
        <w:tabs>
          <w:tab w:val="right" w:leader="dot" w:pos="8896"/>
        </w:tabs>
        <w:rPr>
          <w:rFonts w:eastAsiaTheme="minorEastAsia" w:cstheme="minorBidi"/>
          <w:noProof/>
          <w:sz w:val="22"/>
          <w:szCs w:val="22"/>
        </w:rPr>
      </w:pPr>
      <w:hyperlink w:anchor="_Toc482213840" w:history="1">
        <w:r w:rsidR="002A7552" w:rsidRPr="008F6138">
          <w:rPr>
            <w:rStyle w:val="Hyperlink"/>
            <w:noProof/>
          </w:rPr>
          <w:t>Table 1</w:t>
        </w:r>
        <w:r w:rsidR="003752FB">
          <w:rPr>
            <w:rStyle w:val="Hyperlink"/>
            <w:noProof/>
          </w:rPr>
          <w:t>3</w:t>
        </w:r>
        <w:r w:rsidR="002A7552" w:rsidRPr="008F6138">
          <w:rPr>
            <w:rStyle w:val="Hyperlink"/>
            <w:noProof/>
          </w:rPr>
          <w:t>. Laboratory A data on coned and nominal unconed IHC rebates, 8 months 2011</w:t>
        </w:r>
        <w:r w:rsidR="002A7552">
          <w:rPr>
            <w:noProof/>
            <w:webHidden/>
          </w:rPr>
          <w:tab/>
        </w:r>
        <w:r w:rsidR="00555C4C">
          <w:rPr>
            <w:noProof/>
            <w:webHidden/>
          </w:rPr>
          <w:fldChar w:fldCharType="begin"/>
        </w:r>
        <w:r w:rsidR="002A7552">
          <w:rPr>
            <w:noProof/>
            <w:webHidden/>
          </w:rPr>
          <w:instrText xml:space="preserve"> PAGEREF _Toc482213840 \h </w:instrText>
        </w:r>
        <w:r w:rsidR="00555C4C">
          <w:rPr>
            <w:noProof/>
            <w:webHidden/>
          </w:rPr>
        </w:r>
        <w:r w:rsidR="00555C4C">
          <w:rPr>
            <w:noProof/>
            <w:webHidden/>
          </w:rPr>
          <w:fldChar w:fldCharType="separate"/>
        </w:r>
        <w:r w:rsidR="00FC06F1">
          <w:rPr>
            <w:noProof/>
            <w:webHidden/>
          </w:rPr>
          <w:t>41</w:t>
        </w:r>
        <w:r w:rsidR="00555C4C">
          <w:rPr>
            <w:noProof/>
            <w:webHidden/>
          </w:rPr>
          <w:fldChar w:fldCharType="end"/>
        </w:r>
      </w:hyperlink>
    </w:p>
    <w:p w14:paraId="3327ED6A" w14:textId="77777777" w:rsidR="002A7552" w:rsidRDefault="00E564EB">
      <w:pPr>
        <w:pStyle w:val="TableofFigures"/>
        <w:tabs>
          <w:tab w:val="right" w:leader="dot" w:pos="8896"/>
        </w:tabs>
        <w:rPr>
          <w:rFonts w:eastAsiaTheme="minorEastAsia" w:cstheme="minorBidi"/>
          <w:noProof/>
          <w:sz w:val="22"/>
          <w:szCs w:val="22"/>
        </w:rPr>
      </w:pPr>
      <w:hyperlink w:anchor="_Toc482213841" w:history="1">
        <w:r w:rsidR="002A7552" w:rsidRPr="008F6138">
          <w:rPr>
            <w:rStyle w:val="Hyperlink"/>
            <w:noProof/>
          </w:rPr>
          <w:t>Table 1</w:t>
        </w:r>
        <w:r w:rsidR="003752FB">
          <w:rPr>
            <w:rStyle w:val="Hyperlink"/>
            <w:noProof/>
          </w:rPr>
          <w:t>4</w:t>
        </w:r>
        <w:r w:rsidR="002A7552" w:rsidRPr="008F6138">
          <w:rPr>
            <w:rStyle w:val="Hyperlink"/>
            <w:noProof/>
          </w:rPr>
          <w:t>. Percentage multiplier of unit rebate with increasing numbers of the same assay</w:t>
        </w:r>
        <w:r w:rsidR="002A7552">
          <w:rPr>
            <w:noProof/>
            <w:webHidden/>
          </w:rPr>
          <w:tab/>
        </w:r>
        <w:r w:rsidR="00555C4C">
          <w:rPr>
            <w:noProof/>
            <w:webHidden/>
          </w:rPr>
          <w:fldChar w:fldCharType="begin"/>
        </w:r>
        <w:r w:rsidR="002A7552">
          <w:rPr>
            <w:noProof/>
            <w:webHidden/>
          </w:rPr>
          <w:instrText xml:space="preserve"> PAGEREF _Toc482213841 \h </w:instrText>
        </w:r>
        <w:r w:rsidR="00555C4C">
          <w:rPr>
            <w:noProof/>
            <w:webHidden/>
          </w:rPr>
        </w:r>
        <w:r w:rsidR="00555C4C">
          <w:rPr>
            <w:noProof/>
            <w:webHidden/>
          </w:rPr>
          <w:fldChar w:fldCharType="separate"/>
        </w:r>
        <w:r w:rsidR="00FC06F1">
          <w:rPr>
            <w:noProof/>
            <w:webHidden/>
          </w:rPr>
          <w:t>42</w:t>
        </w:r>
        <w:r w:rsidR="00555C4C">
          <w:rPr>
            <w:noProof/>
            <w:webHidden/>
          </w:rPr>
          <w:fldChar w:fldCharType="end"/>
        </w:r>
      </w:hyperlink>
    </w:p>
    <w:p w14:paraId="1DCBD520" w14:textId="77777777" w:rsidR="002A7552" w:rsidRDefault="00E564EB">
      <w:pPr>
        <w:pStyle w:val="TableofFigures"/>
        <w:tabs>
          <w:tab w:val="right" w:leader="dot" w:pos="8896"/>
        </w:tabs>
        <w:rPr>
          <w:rFonts w:eastAsiaTheme="minorEastAsia" w:cstheme="minorBidi"/>
          <w:noProof/>
          <w:sz w:val="22"/>
          <w:szCs w:val="22"/>
        </w:rPr>
      </w:pPr>
      <w:hyperlink w:anchor="_Toc482213842" w:history="1">
        <w:r w:rsidR="002A7552" w:rsidRPr="008F6138">
          <w:rPr>
            <w:rStyle w:val="Hyperlink"/>
            <w:noProof/>
          </w:rPr>
          <w:t>Table 1</w:t>
        </w:r>
        <w:r w:rsidR="003752FB">
          <w:rPr>
            <w:rStyle w:val="Hyperlink"/>
            <w:noProof/>
          </w:rPr>
          <w:t>5</w:t>
        </w:r>
        <w:r w:rsidR="002A7552" w:rsidRPr="008F6138">
          <w:rPr>
            <w:rStyle w:val="Hyperlink"/>
            <w:noProof/>
          </w:rPr>
          <w:t>. Item introduction table for items 72851 and 72852</w:t>
        </w:r>
        <w:r w:rsidR="002A7552">
          <w:rPr>
            <w:noProof/>
            <w:webHidden/>
          </w:rPr>
          <w:tab/>
        </w:r>
        <w:r w:rsidR="00555C4C">
          <w:rPr>
            <w:noProof/>
            <w:webHidden/>
          </w:rPr>
          <w:fldChar w:fldCharType="begin"/>
        </w:r>
        <w:r w:rsidR="002A7552">
          <w:rPr>
            <w:noProof/>
            <w:webHidden/>
          </w:rPr>
          <w:instrText xml:space="preserve"> PAGEREF _Toc482213842 \h </w:instrText>
        </w:r>
        <w:r w:rsidR="00555C4C">
          <w:rPr>
            <w:noProof/>
            <w:webHidden/>
          </w:rPr>
        </w:r>
        <w:r w:rsidR="00555C4C">
          <w:rPr>
            <w:noProof/>
            <w:webHidden/>
          </w:rPr>
          <w:fldChar w:fldCharType="separate"/>
        </w:r>
        <w:r w:rsidR="00FC06F1">
          <w:rPr>
            <w:noProof/>
            <w:webHidden/>
          </w:rPr>
          <w:t>44</w:t>
        </w:r>
        <w:r w:rsidR="00555C4C">
          <w:rPr>
            <w:noProof/>
            <w:webHidden/>
          </w:rPr>
          <w:fldChar w:fldCharType="end"/>
        </w:r>
      </w:hyperlink>
    </w:p>
    <w:p w14:paraId="2FBBE965" w14:textId="77777777" w:rsidR="002A7552" w:rsidRDefault="00E564EB">
      <w:pPr>
        <w:pStyle w:val="TableofFigures"/>
        <w:tabs>
          <w:tab w:val="right" w:leader="dot" w:pos="8896"/>
        </w:tabs>
        <w:rPr>
          <w:rFonts w:eastAsiaTheme="minorEastAsia" w:cstheme="minorBidi"/>
          <w:noProof/>
          <w:sz w:val="22"/>
          <w:szCs w:val="22"/>
        </w:rPr>
      </w:pPr>
      <w:hyperlink w:anchor="_Toc482213843" w:history="1">
        <w:r w:rsidR="002A7552" w:rsidRPr="008F6138">
          <w:rPr>
            <w:rStyle w:val="Hyperlink"/>
            <w:noProof/>
          </w:rPr>
          <w:t>Table 1</w:t>
        </w:r>
        <w:r w:rsidR="003752FB">
          <w:rPr>
            <w:rStyle w:val="Hyperlink"/>
            <w:noProof/>
          </w:rPr>
          <w:t>6</w:t>
        </w:r>
        <w:r w:rsidR="002A7552" w:rsidRPr="008F6138">
          <w:rPr>
            <w:rStyle w:val="Hyperlink"/>
            <w:noProof/>
          </w:rPr>
          <w:t>. Predicted effect on EM rebate if Ernest &amp; Young median value</w:t>
        </w:r>
        <w:r w:rsidR="003752FB">
          <w:rPr>
            <w:rStyle w:val="Hyperlink"/>
            <w:noProof/>
          </w:rPr>
          <w:t>s</w:t>
        </w:r>
        <w:r w:rsidR="002A7552" w:rsidRPr="008F6138">
          <w:rPr>
            <w:rStyle w:val="Hyperlink"/>
            <w:noProof/>
          </w:rPr>
          <w:t xml:space="preserve"> adopted  (MBS data 2014–15)</w:t>
        </w:r>
        <w:r w:rsidR="002A7552">
          <w:rPr>
            <w:noProof/>
            <w:webHidden/>
          </w:rPr>
          <w:tab/>
        </w:r>
        <w:r w:rsidR="00555C4C">
          <w:rPr>
            <w:noProof/>
            <w:webHidden/>
          </w:rPr>
          <w:fldChar w:fldCharType="begin"/>
        </w:r>
        <w:r w:rsidR="002A7552">
          <w:rPr>
            <w:noProof/>
            <w:webHidden/>
          </w:rPr>
          <w:instrText xml:space="preserve"> PAGEREF _Toc482213843 \h </w:instrText>
        </w:r>
        <w:r w:rsidR="00555C4C">
          <w:rPr>
            <w:noProof/>
            <w:webHidden/>
          </w:rPr>
        </w:r>
        <w:r w:rsidR="00555C4C">
          <w:rPr>
            <w:noProof/>
            <w:webHidden/>
          </w:rPr>
          <w:fldChar w:fldCharType="separate"/>
        </w:r>
        <w:r w:rsidR="00FC06F1">
          <w:rPr>
            <w:noProof/>
            <w:webHidden/>
          </w:rPr>
          <w:t>45</w:t>
        </w:r>
        <w:r w:rsidR="00555C4C">
          <w:rPr>
            <w:noProof/>
            <w:webHidden/>
          </w:rPr>
          <w:fldChar w:fldCharType="end"/>
        </w:r>
      </w:hyperlink>
    </w:p>
    <w:p w14:paraId="56F58714" w14:textId="77777777" w:rsidR="002A7552" w:rsidRDefault="00E564EB">
      <w:pPr>
        <w:pStyle w:val="TableofFigures"/>
        <w:tabs>
          <w:tab w:val="right" w:leader="dot" w:pos="8896"/>
        </w:tabs>
        <w:rPr>
          <w:rFonts w:eastAsiaTheme="minorEastAsia" w:cstheme="minorBidi"/>
          <w:noProof/>
          <w:sz w:val="22"/>
          <w:szCs w:val="22"/>
        </w:rPr>
      </w:pPr>
      <w:hyperlink w:anchor="_Toc482213844" w:history="1">
        <w:r w:rsidR="002A7552" w:rsidRPr="008F6138">
          <w:rPr>
            <w:rStyle w:val="Hyperlink"/>
            <w:noProof/>
          </w:rPr>
          <w:t>Table 1</w:t>
        </w:r>
        <w:r w:rsidR="003752FB">
          <w:rPr>
            <w:rStyle w:val="Hyperlink"/>
            <w:noProof/>
          </w:rPr>
          <w:t>7</w:t>
        </w:r>
        <w:r w:rsidR="002A7552" w:rsidRPr="008F6138">
          <w:rPr>
            <w:rStyle w:val="Hyperlink"/>
            <w:noProof/>
          </w:rPr>
          <w:t>. Item introduction table for items 72855, 72856, 72857</w:t>
        </w:r>
        <w:r w:rsidR="002A7552">
          <w:rPr>
            <w:noProof/>
            <w:webHidden/>
          </w:rPr>
          <w:tab/>
        </w:r>
        <w:r w:rsidR="00555C4C">
          <w:rPr>
            <w:noProof/>
            <w:webHidden/>
          </w:rPr>
          <w:fldChar w:fldCharType="begin"/>
        </w:r>
        <w:r w:rsidR="002A7552">
          <w:rPr>
            <w:noProof/>
            <w:webHidden/>
          </w:rPr>
          <w:instrText xml:space="preserve"> PAGEREF _Toc482213844 \h </w:instrText>
        </w:r>
        <w:r w:rsidR="00555C4C">
          <w:rPr>
            <w:noProof/>
            <w:webHidden/>
          </w:rPr>
        </w:r>
        <w:r w:rsidR="00555C4C">
          <w:rPr>
            <w:noProof/>
            <w:webHidden/>
          </w:rPr>
          <w:fldChar w:fldCharType="separate"/>
        </w:r>
        <w:r w:rsidR="00FC06F1">
          <w:rPr>
            <w:noProof/>
            <w:webHidden/>
          </w:rPr>
          <w:t>46</w:t>
        </w:r>
        <w:r w:rsidR="00555C4C">
          <w:rPr>
            <w:noProof/>
            <w:webHidden/>
          </w:rPr>
          <w:fldChar w:fldCharType="end"/>
        </w:r>
      </w:hyperlink>
    </w:p>
    <w:p w14:paraId="244BFDBB" w14:textId="77777777" w:rsidR="002A7552" w:rsidRDefault="00E564EB">
      <w:pPr>
        <w:pStyle w:val="TableofFigures"/>
        <w:tabs>
          <w:tab w:val="right" w:leader="dot" w:pos="8896"/>
        </w:tabs>
        <w:rPr>
          <w:rFonts w:eastAsiaTheme="minorEastAsia" w:cstheme="minorBidi"/>
          <w:noProof/>
          <w:sz w:val="22"/>
          <w:szCs w:val="22"/>
        </w:rPr>
      </w:pPr>
      <w:hyperlink w:anchor="_Toc482213845" w:history="1">
        <w:r w:rsidR="002A7552" w:rsidRPr="008F6138">
          <w:rPr>
            <w:rStyle w:val="Hyperlink"/>
            <w:noProof/>
          </w:rPr>
          <w:t>Table 1</w:t>
        </w:r>
        <w:r w:rsidR="003752FB">
          <w:rPr>
            <w:rStyle w:val="Hyperlink"/>
            <w:noProof/>
          </w:rPr>
          <w:t>8</w:t>
        </w:r>
        <w:r w:rsidR="002A7552" w:rsidRPr="008F6138">
          <w:rPr>
            <w:rStyle w:val="Hyperlink"/>
            <w:noProof/>
          </w:rPr>
          <w:t>. Frozen Sections Laboratory A, coned and unconed data</w:t>
        </w:r>
        <w:r w:rsidR="002A7552">
          <w:rPr>
            <w:noProof/>
            <w:webHidden/>
          </w:rPr>
          <w:tab/>
        </w:r>
        <w:r w:rsidR="00555C4C">
          <w:rPr>
            <w:noProof/>
            <w:webHidden/>
          </w:rPr>
          <w:fldChar w:fldCharType="begin"/>
        </w:r>
        <w:r w:rsidR="002A7552">
          <w:rPr>
            <w:noProof/>
            <w:webHidden/>
          </w:rPr>
          <w:instrText xml:space="preserve"> PAGEREF _Toc482213845 \h </w:instrText>
        </w:r>
        <w:r w:rsidR="00555C4C">
          <w:rPr>
            <w:noProof/>
            <w:webHidden/>
          </w:rPr>
        </w:r>
        <w:r w:rsidR="00555C4C">
          <w:rPr>
            <w:noProof/>
            <w:webHidden/>
          </w:rPr>
          <w:fldChar w:fldCharType="separate"/>
        </w:r>
        <w:r w:rsidR="00FC06F1">
          <w:rPr>
            <w:noProof/>
            <w:webHidden/>
          </w:rPr>
          <w:t>4</w:t>
        </w:r>
        <w:r w:rsidR="003752FB">
          <w:rPr>
            <w:noProof/>
            <w:webHidden/>
          </w:rPr>
          <w:t>7</w:t>
        </w:r>
        <w:r w:rsidR="00555C4C">
          <w:rPr>
            <w:noProof/>
            <w:webHidden/>
          </w:rPr>
          <w:fldChar w:fldCharType="end"/>
        </w:r>
      </w:hyperlink>
    </w:p>
    <w:p w14:paraId="1251C541" w14:textId="77777777" w:rsidR="002A7552" w:rsidRDefault="00E564EB">
      <w:pPr>
        <w:pStyle w:val="TableofFigures"/>
        <w:tabs>
          <w:tab w:val="right" w:leader="dot" w:pos="8896"/>
        </w:tabs>
        <w:rPr>
          <w:rFonts w:eastAsiaTheme="minorEastAsia" w:cstheme="minorBidi"/>
          <w:noProof/>
          <w:sz w:val="22"/>
          <w:szCs w:val="22"/>
        </w:rPr>
      </w:pPr>
      <w:hyperlink w:anchor="_Toc482213846" w:history="1">
        <w:r w:rsidR="002A7552" w:rsidRPr="008F6138">
          <w:rPr>
            <w:rStyle w:val="Hyperlink"/>
            <w:noProof/>
          </w:rPr>
          <w:t>Table 1</w:t>
        </w:r>
        <w:r w:rsidR="003752FB">
          <w:rPr>
            <w:rStyle w:val="Hyperlink"/>
            <w:noProof/>
          </w:rPr>
          <w:t>9</w:t>
        </w:r>
        <w:r w:rsidR="002A7552" w:rsidRPr="008F6138">
          <w:rPr>
            <w:rStyle w:val="Hyperlink"/>
            <w:noProof/>
          </w:rPr>
          <w:t>. Item introduction table for items 72858 and 72859</w:t>
        </w:r>
        <w:r w:rsidR="002A7552">
          <w:rPr>
            <w:noProof/>
            <w:webHidden/>
          </w:rPr>
          <w:tab/>
        </w:r>
        <w:r w:rsidR="00555C4C">
          <w:rPr>
            <w:noProof/>
            <w:webHidden/>
          </w:rPr>
          <w:fldChar w:fldCharType="begin"/>
        </w:r>
        <w:r w:rsidR="002A7552">
          <w:rPr>
            <w:noProof/>
            <w:webHidden/>
          </w:rPr>
          <w:instrText xml:space="preserve"> PAGEREF _Toc482213846 \h </w:instrText>
        </w:r>
        <w:r w:rsidR="00555C4C">
          <w:rPr>
            <w:noProof/>
            <w:webHidden/>
          </w:rPr>
        </w:r>
        <w:r w:rsidR="00555C4C">
          <w:rPr>
            <w:noProof/>
            <w:webHidden/>
          </w:rPr>
          <w:fldChar w:fldCharType="separate"/>
        </w:r>
        <w:r w:rsidR="00FC06F1">
          <w:rPr>
            <w:noProof/>
            <w:webHidden/>
          </w:rPr>
          <w:t>4</w:t>
        </w:r>
        <w:r w:rsidR="003752FB">
          <w:rPr>
            <w:noProof/>
            <w:webHidden/>
          </w:rPr>
          <w:t>9</w:t>
        </w:r>
        <w:r w:rsidR="00555C4C">
          <w:rPr>
            <w:noProof/>
            <w:webHidden/>
          </w:rPr>
          <w:fldChar w:fldCharType="end"/>
        </w:r>
      </w:hyperlink>
    </w:p>
    <w:p w14:paraId="66090BAE" w14:textId="77777777" w:rsidR="002A7552" w:rsidRDefault="00E564EB">
      <w:pPr>
        <w:pStyle w:val="TableofFigures"/>
        <w:tabs>
          <w:tab w:val="right" w:leader="dot" w:pos="8896"/>
        </w:tabs>
        <w:rPr>
          <w:rFonts w:eastAsiaTheme="minorEastAsia" w:cstheme="minorBidi"/>
          <w:noProof/>
          <w:sz w:val="22"/>
          <w:szCs w:val="22"/>
        </w:rPr>
      </w:pPr>
      <w:hyperlink w:anchor="_Toc482213847" w:history="1">
        <w:r w:rsidR="00D10BD9">
          <w:rPr>
            <w:rStyle w:val="Hyperlink"/>
            <w:noProof/>
          </w:rPr>
          <w:t xml:space="preserve">Table </w:t>
        </w:r>
        <w:r w:rsidR="008B0239">
          <w:rPr>
            <w:rStyle w:val="Hyperlink"/>
            <w:noProof/>
          </w:rPr>
          <w:t>20</w:t>
        </w:r>
        <w:r w:rsidR="00D10BD9">
          <w:rPr>
            <w:rStyle w:val="Hyperlink"/>
            <w:noProof/>
          </w:rPr>
          <w:t>. Histopathology ite</w:t>
        </w:r>
        <w:r w:rsidR="002A7552" w:rsidRPr="008F6138">
          <w:rPr>
            <w:rStyle w:val="Hyperlink"/>
            <w:noProof/>
          </w:rPr>
          <w:t>ms</w:t>
        </w:r>
        <w:r w:rsidR="008B0239">
          <w:rPr>
            <w:rStyle w:val="Hyperlink"/>
            <w:noProof/>
          </w:rPr>
          <w:t xml:space="preserve"> recommendations</w:t>
        </w:r>
        <w:r w:rsidR="002A7552">
          <w:rPr>
            <w:noProof/>
            <w:webHidden/>
          </w:rPr>
          <w:tab/>
        </w:r>
        <w:r w:rsidR="00555C4C">
          <w:rPr>
            <w:noProof/>
            <w:webHidden/>
          </w:rPr>
          <w:fldChar w:fldCharType="begin"/>
        </w:r>
        <w:r w:rsidR="002A7552">
          <w:rPr>
            <w:noProof/>
            <w:webHidden/>
          </w:rPr>
          <w:instrText xml:space="preserve"> PAGEREF _Toc482213847 \h </w:instrText>
        </w:r>
        <w:r w:rsidR="00555C4C">
          <w:rPr>
            <w:noProof/>
            <w:webHidden/>
          </w:rPr>
        </w:r>
        <w:r w:rsidR="00555C4C">
          <w:rPr>
            <w:noProof/>
            <w:webHidden/>
          </w:rPr>
          <w:fldChar w:fldCharType="separate"/>
        </w:r>
        <w:r w:rsidR="00FC06F1">
          <w:rPr>
            <w:noProof/>
            <w:webHidden/>
          </w:rPr>
          <w:t>53</w:t>
        </w:r>
        <w:r w:rsidR="00555C4C">
          <w:rPr>
            <w:noProof/>
            <w:webHidden/>
          </w:rPr>
          <w:fldChar w:fldCharType="end"/>
        </w:r>
      </w:hyperlink>
    </w:p>
    <w:p w14:paraId="0411ED7A" w14:textId="77777777" w:rsidR="008B0239" w:rsidRDefault="00E564EB" w:rsidP="008B0239">
      <w:pPr>
        <w:pStyle w:val="TableofFigures"/>
        <w:tabs>
          <w:tab w:val="right" w:leader="dot" w:pos="8896"/>
        </w:tabs>
        <w:rPr>
          <w:rFonts w:eastAsiaTheme="minorEastAsia" w:cstheme="minorBidi"/>
          <w:noProof/>
          <w:sz w:val="22"/>
          <w:szCs w:val="22"/>
        </w:rPr>
      </w:pPr>
      <w:hyperlink w:anchor="_Toc482213848" w:history="1">
        <w:r w:rsidR="008B0239" w:rsidRPr="008F6138">
          <w:rPr>
            <w:rStyle w:val="Hyperlink"/>
            <w:noProof/>
          </w:rPr>
          <w:t xml:space="preserve">Table </w:t>
        </w:r>
        <w:r w:rsidR="008B0239">
          <w:rPr>
            <w:rStyle w:val="Hyperlink"/>
            <w:noProof/>
          </w:rPr>
          <w:t>21</w:t>
        </w:r>
        <w:r w:rsidR="008B0239" w:rsidRPr="008F6138">
          <w:rPr>
            <w:rStyle w:val="Hyperlink"/>
            <w:noProof/>
          </w:rPr>
          <w:t>. Cytopathology items</w:t>
        </w:r>
        <w:r w:rsidR="008B0239">
          <w:rPr>
            <w:rStyle w:val="Hyperlink"/>
            <w:noProof/>
          </w:rPr>
          <w:t xml:space="preserve"> recommendations</w:t>
        </w:r>
        <w:r w:rsidR="008B0239">
          <w:rPr>
            <w:noProof/>
            <w:webHidden/>
          </w:rPr>
          <w:tab/>
        </w:r>
        <w:r w:rsidR="00555C4C">
          <w:rPr>
            <w:noProof/>
            <w:webHidden/>
          </w:rPr>
          <w:fldChar w:fldCharType="begin"/>
        </w:r>
        <w:r w:rsidR="008B0239">
          <w:rPr>
            <w:noProof/>
            <w:webHidden/>
          </w:rPr>
          <w:instrText xml:space="preserve"> PAGEREF _Toc482213848 \h </w:instrText>
        </w:r>
        <w:r w:rsidR="00555C4C">
          <w:rPr>
            <w:noProof/>
            <w:webHidden/>
          </w:rPr>
        </w:r>
        <w:r w:rsidR="00555C4C">
          <w:rPr>
            <w:noProof/>
            <w:webHidden/>
          </w:rPr>
          <w:fldChar w:fldCharType="separate"/>
        </w:r>
        <w:r w:rsidR="008B0239">
          <w:rPr>
            <w:noProof/>
            <w:webHidden/>
          </w:rPr>
          <w:t>56</w:t>
        </w:r>
        <w:r w:rsidR="00555C4C">
          <w:rPr>
            <w:noProof/>
            <w:webHidden/>
          </w:rPr>
          <w:fldChar w:fldCharType="end"/>
        </w:r>
      </w:hyperlink>
    </w:p>
    <w:p w14:paraId="3ED01DF0" w14:textId="77777777" w:rsidR="008B0239" w:rsidRDefault="008B0239" w:rsidP="008B0239">
      <w:pPr>
        <w:pStyle w:val="TableofFigures"/>
        <w:tabs>
          <w:tab w:val="right" w:leader="dot" w:pos="8896"/>
        </w:tabs>
        <w:rPr>
          <w:webHidden/>
        </w:rPr>
      </w:pPr>
      <w:r w:rsidRPr="008B0239">
        <w:t xml:space="preserve">Table </w:t>
      </w:r>
      <w:r>
        <w:t>22</w:t>
      </w:r>
      <w:r w:rsidRPr="008B0239">
        <w:t>. Items considered in discussion with Genetics Working Group</w:t>
      </w:r>
      <w:r w:rsidRPr="008B0239">
        <w:rPr>
          <w:webHidden/>
        </w:rPr>
        <w:tab/>
      </w:r>
      <w:r w:rsidR="00555C4C" w:rsidRPr="008B0239">
        <w:rPr>
          <w:webHidden/>
        </w:rPr>
        <w:fldChar w:fldCharType="begin"/>
      </w:r>
      <w:r w:rsidRPr="008B0239">
        <w:rPr>
          <w:webHidden/>
        </w:rPr>
        <w:instrText xml:space="preserve"> PAGEREF _Toc482213849 \h </w:instrText>
      </w:r>
      <w:r w:rsidR="00555C4C" w:rsidRPr="008B0239">
        <w:rPr>
          <w:webHidden/>
        </w:rPr>
      </w:r>
      <w:r w:rsidR="00555C4C" w:rsidRPr="008B0239">
        <w:rPr>
          <w:webHidden/>
        </w:rPr>
        <w:fldChar w:fldCharType="separate"/>
      </w:r>
      <w:r w:rsidRPr="008B0239">
        <w:rPr>
          <w:webHidden/>
        </w:rPr>
        <w:t>59</w:t>
      </w:r>
      <w:r w:rsidR="00555C4C" w:rsidRPr="008B0239">
        <w:rPr>
          <w:webHidden/>
        </w:rPr>
        <w:fldChar w:fldCharType="end"/>
      </w:r>
    </w:p>
    <w:p w14:paraId="51195801" w14:textId="77777777" w:rsidR="008B0239" w:rsidRDefault="00E564EB" w:rsidP="008B0239">
      <w:pPr>
        <w:pStyle w:val="TableofFigures"/>
        <w:tabs>
          <w:tab w:val="right" w:leader="dot" w:pos="8896"/>
        </w:tabs>
        <w:rPr>
          <w:noProof/>
        </w:rPr>
      </w:pPr>
      <w:hyperlink w:anchor="_Toc482213849" w:history="1">
        <w:r w:rsidR="008B0239" w:rsidRPr="008F6138">
          <w:rPr>
            <w:rStyle w:val="Hyperlink"/>
            <w:noProof/>
          </w:rPr>
          <w:t xml:space="preserve">Table </w:t>
        </w:r>
        <w:r w:rsidR="008B0239">
          <w:rPr>
            <w:rStyle w:val="Hyperlink"/>
            <w:noProof/>
          </w:rPr>
          <w:t>23. New or split items recommendations</w:t>
        </w:r>
        <w:r w:rsidR="008B0239">
          <w:rPr>
            <w:noProof/>
            <w:webHidden/>
          </w:rPr>
          <w:tab/>
          <w:t>60</w:t>
        </w:r>
      </w:hyperlink>
    </w:p>
    <w:p w14:paraId="5451F3B5" w14:textId="77777777" w:rsidR="008B0239" w:rsidRPr="008B0239" w:rsidRDefault="008B0239" w:rsidP="008B0239">
      <w:pPr>
        <w:rPr>
          <w:rFonts w:eastAsiaTheme="minorEastAsia"/>
        </w:rPr>
      </w:pPr>
    </w:p>
    <w:p w14:paraId="66FF3C52" w14:textId="77777777" w:rsidR="008B0239" w:rsidRDefault="00555C4C" w:rsidP="007B3105">
      <w:pPr>
        <w:pStyle w:val="TableofFigures"/>
        <w:tabs>
          <w:tab w:val="left" w:pos="1100"/>
          <w:tab w:val="right" w:leader="dot" w:pos="9016"/>
        </w:tabs>
        <w:spacing w:before="360"/>
        <w:ind w:left="0" w:hanging="11"/>
        <w:rPr>
          <w:rFonts w:cs="Arial"/>
          <w:color w:val="808080" w:themeColor="background1" w:themeShade="80"/>
        </w:rPr>
      </w:pPr>
      <w:r>
        <w:rPr>
          <w:rFonts w:cs="Arial"/>
          <w:color w:val="808080" w:themeColor="background1" w:themeShade="80"/>
        </w:rPr>
        <w:fldChar w:fldCharType="end"/>
      </w:r>
    </w:p>
    <w:p w14:paraId="68BA0043" w14:textId="77777777" w:rsidR="002A7552" w:rsidRDefault="002A7552" w:rsidP="007B3105">
      <w:pPr>
        <w:pStyle w:val="TableofFigures"/>
        <w:tabs>
          <w:tab w:val="left" w:pos="1100"/>
          <w:tab w:val="right" w:leader="dot" w:pos="9016"/>
        </w:tabs>
        <w:spacing w:before="360"/>
        <w:ind w:left="0" w:hanging="11"/>
        <w:rPr>
          <w:b/>
          <w:bCs/>
          <w:noProof/>
          <w:color w:val="01653F"/>
          <w:sz w:val="32"/>
          <w:szCs w:val="32"/>
        </w:rPr>
      </w:pPr>
      <w:r w:rsidRPr="003B1222">
        <w:rPr>
          <w:b/>
          <w:bCs/>
          <w:noProof/>
          <w:color w:val="01653F"/>
          <w:sz w:val="32"/>
          <w:szCs w:val="32"/>
        </w:rPr>
        <w:t xml:space="preserve">List of </w:t>
      </w:r>
      <w:r>
        <w:rPr>
          <w:b/>
          <w:bCs/>
          <w:noProof/>
          <w:color w:val="01653F"/>
          <w:sz w:val="32"/>
          <w:szCs w:val="32"/>
        </w:rPr>
        <w:t>Figures</w:t>
      </w:r>
    </w:p>
    <w:p w14:paraId="42A8E873" w14:textId="77777777" w:rsidR="00707180" w:rsidRPr="00707180" w:rsidRDefault="00555C4C" w:rsidP="00707180">
      <w:pPr>
        <w:pStyle w:val="TableofFigures"/>
        <w:tabs>
          <w:tab w:val="right" w:leader="dot" w:pos="8896"/>
        </w:tabs>
        <w:rPr>
          <w:noProof/>
        </w:rPr>
      </w:pPr>
      <w:r>
        <w:fldChar w:fldCharType="begin"/>
      </w:r>
      <w:r w:rsidR="002A7552">
        <w:instrText xml:space="preserve"> TOC \h \z \c "Figure" </w:instrText>
      </w:r>
      <w:r>
        <w:fldChar w:fldCharType="separate"/>
      </w:r>
      <w:hyperlink w:anchor="_Toc482213877" w:history="1">
        <w:r w:rsidR="00707180">
          <w:rPr>
            <w:rStyle w:val="Hyperlink"/>
            <w:noProof/>
          </w:rPr>
          <w:t>Figure 1. Prioritization matrix</w:t>
        </w:r>
        <w:r w:rsidR="00707180">
          <w:rPr>
            <w:noProof/>
            <w:webHidden/>
          </w:rPr>
          <w:tab/>
        </w:r>
        <w:r>
          <w:rPr>
            <w:noProof/>
            <w:webHidden/>
          </w:rPr>
          <w:fldChar w:fldCharType="begin"/>
        </w:r>
        <w:r w:rsidR="00707180">
          <w:rPr>
            <w:noProof/>
            <w:webHidden/>
          </w:rPr>
          <w:instrText xml:space="preserve"> PAGEREF _Toc482213877 \h </w:instrText>
        </w:r>
        <w:r>
          <w:rPr>
            <w:noProof/>
            <w:webHidden/>
          </w:rPr>
        </w:r>
        <w:r>
          <w:rPr>
            <w:noProof/>
            <w:webHidden/>
          </w:rPr>
          <w:fldChar w:fldCharType="separate"/>
        </w:r>
        <w:r w:rsidR="00707180">
          <w:rPr>
            <w:noProof/>
            <w:webHidden/>
          </w:rPr>
          <w:t>10</w:t>
        </w:r>
        <w:r>
          <w:rPr>
            <w:noProof/>
            <w:webHidden/>
          </w:rPr>
          <w:fldChar w:fldCharType="end"/>
        </w:r>
      </w:hyperlink>
    </w:p>
    <w:p w14:paraId="64EA6302" w14:textId="77777777" w:rsidR="00707180" w:rsidRPr="00707180" w:rsidRDefault="00E564EB" w:rsidP="00707180">
      <w:pPr>
        <w:pStyle w:val="TableofFigures"/>
        <w:tabs>
          <w:tab w:val="right" w:leader="dot" w:pos="8896"/>
        </w:tabs>
        <w:ind w:left="0" w:firstLine="0"/>
        <w:rPr>
          <w:noProof/>
        </w:rPr>
      </w:pPr>
      <w:hyperlink w:anchor="_Toc482213877" w:history="1">
        <w:r w:rsidR="00707180" w:rsidRPr="00F03433">
          <w:rPr>
            <w:rStyle w:val="Hyperlink"/>
            <w:noProof/>
          </w:rPr>
          <w:t xml:space="preserve">Figure </w:t>
        </w:r>
        <w:r w:rsidR="00707180">
          <w:rPr>
            <w:rStyle w:val="Hyperlink"/>
            <w:noProof/>
          </w:rPr>
          <w:t>2</w:t>
        </w:r>
        <w:r w:rsidR="00707180" w:rsidRPr="00F03433">
          <w:rPr>
            <w:rStyle w:val="Hyperlink"/>
            <w:noProof/>
          </w:rPr>
          <w:t>. Graphical representation of distribution of MBS Histology billing</w:t>
        </w:r>
        <w:r w:rsidR="00707180">
          <w:rPr>
            <w:noProof/>
            <w:webHidden/>
          </w:rPr>
          <w:tab/>
        </w:r>
        <w:r w:rsidR="00555C4C">
          <w:rPr>
            <w:noProof/>
            <w:webHidden/>
          </w:rPr>
          <w:fldChar w:fldCharType="begin"/>
        </w:r>
        <w:r w:rsidR="00707180">
          <w:rPr>
            <w:noProof/>
            <w:webHidden/>
          </w:rPr>
          <w:instrText xml:space="preserve"> PAGEREF _Toc482213877 \h </w:instrText>
        </w:r>
        <w:r w:rsidR="00555C4C">
          <w:rPr>
            <w:noProof/>
            <w:webHidden/>
          </w:rPr>
        </w:r>
        <w:r w:rsidR="00555C4C">
          <w:rPr>
            <w:noProof/>
            <w:webHidden/>
          </w:rPr>
          <w:fldChar w:fldCharType="separate"/>
        </w:r>
        <w:r w:rsidR="00707180">
          <w:rPr>
            <w:noProof/>
            <w:webHidden/>
          </w:rPr>
          <w:t>14</w:t>
        </w:r>
        <w:r w:rsidR="00555C4C">
          <w:rPr>
            <w:noProof/>
            <w:webHidden/>
          </w:rPr>
          <w:fldChar w:fldCharType="end"/>
        </w:r>
      </w:hyperlink>
    </w:p>
    <w:p w14:paraId="0EE53EC3" w14:textId="77777777" w:rsidR="002A7552" w:rsidRDefault="00E564EB">
      <w:pPr>
        <w:pStyle w:val="TableofFigures"/>
        <w:tabs>
          <w:tab w:val="right" w:leader="dot" w:pos="8896"/>
        </w:tabs>
        <w:rPr>
          <w:rFonts w:eastAsiaTheme="minorEastAsia" w:cstheme="minorBidi"/>
          <w:noProof/>
          <w:sz w:val="22"/>
          <w:szCs w:val="22"/>
        </w:rPr>
      </w:pPr>
      <w:hyperlink w:anchor="_Toc482213878" w:history="1">
        <w:r w:rsidR="002A7552" w:rsidRPr="00F03433">
          <w:rPr>
            <w:rStyle w:val="Hyperlink"/>
            <w:noProof/>
          </w:rPr>
          <w:t xml:space="preserve">Figure </w:t>
        </w:r>
        <w:r w:rsidR="00707180">
          <w:rPr>
            <w:rStyle w:val="Hyperlink"/>
            <w:noProof/>
          </w:rPr>
          <w:t>2</w:t>
        </w:r>
        <w:r w:rsidR="002A7552" w:rsidRPr="00F03433">
          <w:rPr>
            <w:rStyle w:val="Hyperlink"/>
            <w:noProof/>
          </w:rPr>
          <w:t>. Comparison of distribution of histology billing: Medicare (%</w:t>
        </w:r>
        <w:r w:rsidR="00707180">
          <w:rPr>
            <w:rStyle w:val="Hyperlink"/>
            <w:noProof/>
          </w:rPr>
          <w:t>) compared with Labs A, C and D</w:t>
        </w:r>
        <w:r w:rsidR="002A7552" w:rsidRPr="00F03433">
          <w:rPr>
            <w:rStyle w:val="Hyperlink"/>
            <w:noProof/>
          </w:rPr>
          <w:t>.</w:t>
        </w:r>
        <w:r w:rsidR="002A7552">
          <w:rPr>
            <w:noProof/>
            <w:webHidden/>
          </w:rPr>
          <w:tab/>
        </w:r>
        <w:r w:rsidR="00555C4C">
          <w:rPr>
            <w:noProof/>
            <w:webHidden/>
          </w:rPr>
          <w:fldChar w:fldCharType="begin"/>
        </w:r>
        <w:r w:rsidR="002A7552">
          <w:rPr>
            <w:noProof/>
            <w:webHidden/>
          </w:rPr>
          <w:instrText xml:space="preserve"> PAGEREF _Toc482213878 \h </w:instrText>
        </w:r>
        <w:r w:rsidR="00555C4C">
          <w:rPr>
            <w:noProof/>
            <w:webHidden/>
          </w:rPr>
        </w:r>
        <w:r w:rsidR="00555C4C">
          <w:rPr>
            <w:noProof/>
            <w:webHidden/>
          </w:rPr>
          <w:fldChar w:fldCharType="separate"/>
        </w:r>
        <w:r w:rsidR="00FC06F1">
          <w:rPr>
            <w:noProof/>
            <w:webHidden/>
          </w:rPr>
          <w:t>16</w:t>
        </w:r>
        <w:r w:rsidR="00555C4C">
          <w:rPr>
            <w:noProof/>
            <w:webHidden/>
          </w:rPr>
          <w:fldChar w:fldCharType="end"/>
        </w:r>
      </w:hyperlink>
    </w:p>
    <w:p w14:paraId="0BA57C0F" w14:textId="77777777" w:rsidR="002A7552" w:rsidRDefault="00E564EB">
      <w:pPr>
        <w:pStyle w:val="TableofFigures"/>
        <w:tabs>
          <w:tab w:val="right" w:leader="dot" w:pos="8896"/>
        </w:tabs>
        <w:rPr>
          <w:rFonts w:eastAsiaTheme="minorEastAsia" w:cstheme="minorBidi"/>
          <w:noProof/>
          <w:sz w:val="22"/>
          <w:szCs w:val="22"/>
        </w:rPr>
      </w:pPr>
      <w:hyperlink w:anchor="_Toc482213879" w:history="1">
        <w:r w:rsidR="002A7552" w:rsidRPr="00F03433">
          <w:rPr>
            <w:rStyle w:val="Hyperlink"/>
            <w:noProof/>
          </w:rPr>
          <w:t xml:space="preserve">Figure </w:t>
        </w:r>
        <w:r w:rsidR="00707180">
          <w:rPr>
            <w:rStyle w:val="Hyperlink"/>
            <w:noProof/>
          </w:rPr>
          <w:t>4</w:t>
        </w:r>
        <w:r w:rsidR="002A7552" w:rsidRPr="00F03433">
          <w:rPr>
            <w:rStyle w:val="Hyperlink"/>
            <w:noProof/>
          </w:rPr>
          <w:t xml:space="preserve">. </w:t>
        </w:r>
        <w:r w:rsidR="00707180" w:rsidRPr="00707180">
          <w:rPr>
            <w:rStyle w:val="Hyperlink"/>
            <w:noProof/>
          </w:rPr>
          <w:t>2014/15 MBS Cytology item service/benefit data</w:t>
        </w:r>
        <w:r w:rsidR="002A7552" w:rsidRPr="00F03433">
          <w:rPr>
            <w:rStyle w:val="Hyperlink"/>
            <w:noProof/>
          </w:rPr>
          <w:t>.</w:t>
        </w:r>
        <w:r w:rsidR="002A7552">
          <w:rPr>
            <w:noProof/>
            <w:webHidden/>
          </w:rPr>
          <w:tab/>
        </w:r>
        <w:r w:rsidR="00555C4C">
          <w:rPr>
            <w:noProof/>
            <w:webHidden/>
          </w:rPr>
          <w:fldChar w:fldCharType="begin"/>
        </w:r>
        <w:r w:rsidR="002A7552">
          <w:rPr>
            <w:noProof/>
            <w:webHidden/>
          </w:rPr>
          <w:instrText xml:space="preserve"> PAGEREF _Toc482213879 \h </w:instrText>
        </w:r>
        <w:r w:rsidR="00555C4C">
          <w:rPr>
            <w:noProof/>
            <w:webHidden/>
          </w:rPr>
        </w:r>
        <w:r w:rsidR="00555C4C">
          <w:rPr>
            <w:noProof/>
            <w:webHidden/>
          </w:rPr>
          <w:fldChar w:fldCharType="separate"/>
        </w:r>
        <w:r w:rsidR="00FC06F1">
          <w:rPr>
            <w:noProof/>
            <w:webHidden/>
          </w:rPr>
          <w:t>17</w:t>
        </w:r>
        <w:r w:rsidR="00555C4C">
          <w:rPr>
            <w:noProof/>
            <w:webHidden/>
          </w:rPr>
          <w:fldChar w:fldCharType="end"/>
        </w:r>
      </w:hyperlink>
    </w:p>
    <w:p w14:paraId="66950E49" w14:textId="77777777" w:rsidR="002A7552" w:rsidRDefault="00E564EB">
      <w:pPr>
        <w:pStyle w:val="TableofFigures"/>
        <w:tabs>
          <w:tab w:val="right" w:leader="dot" w:pos="8896"/>
        </w:tabs>
        <w:rPr>
          <w:rFonts w:eastAsiaTheme="minorEastAsia" w:cstheme="minorBidi"/>
          <w:noProof/>
          <w:sz w:val="22"/>
          <w:szCs w:val="22"/>
        </w:rPr>
      </w:pPr>
      <w:hyperlink w:anchor="_Toc482213880" w:history="1">
        <w:r w:rsidR="002A7552" w:rsidRPr="00F03433">
          <w:rPr>
            <w:rStyle w:val="Hyperlink"/>
            <w:noProof/>
          </w:rPr>
          <w:t xml:space="preserve">Figure </w:t>
        </w:r>
        <w:r w:rsidR="002642A6">
          <w:rPr>
            <w:rStyle w:val="Hyperlink"/>
            <w:noProof/>
          </w:rPr>
          <w:t>5</w:t>
        </w:r>
        <w:r w:rsidR="002A7552" w:rsidRPr="00F03433">
          <w:rPr>
            <w:rStyle w:val="Hyperlink"/>
            <w:noProof/>
          </w:rPr>
          <w:t xml:space="preserve">. </w:t>
        </w:r>
        <w:r w:rsidR="002642A6" w:rsidRPr="002642A6">
          <w:rPr>
            <w:rStyle w:val="Hyperlink"/>
            <w:noProof/>
          </w:rPr>
          <w:t>2014/15 MBS Cytology item service/benefit data</w:t>
        </w:r>
        <w:r w:rsidR="002642A6">
          <w:rPr>
            <w:rStyle w:val="Hyperlink"/>
            <w:noProof/>
          </w:rPr>
          <w:t xml:space="preserve"> – excluding gynaecological items</w:t>
        </w:r>
        <w:r w:rsidR="002A7552" w:rsidRPr="00F03433">
          <w:rPr>
            <w:rStyle w:val="Hyperlink"/>
            <w:noProof/>
          </w:rPr>
          <w:t>.</w:t>
        </w:r>
        <w:r w:rsidR="002A7552">
          <w:rPr>
            <w:noProof/>
            <w:webHidden/>
          </w:rPr>
          <w:tab/>
        </w:r>
        <w:r w:rsidR="00555C4C">
          <w:rPr>
            <w:noProof/>
            <w:webHidden/>
          </w:rPr>
          <w:fldChar w:fldCharType="begin"/>
        </w:r>
        <w:r w:rsidR="002A7552">
          <w:rPr>
            <w:noProof/>
            <w:webHidden/>
          </w:rPr>
          <w:instrText xml:space="preserve"> PAGEREF _Toc482213880 \h </w:instrText>
        </w:r>
        <w:r w:rsidR="00555C4C">
          <w:rPr>
            <w:noProof/>
            <w:webHidden/>
          </w:rPr>
        </w:r>
        <w:r w:rsidR="00555C4C">
          <w:rPr>
            <w:noProof/>
            <w:webHidden/>
          </w:rPr>
          <w:fldChar w:fldCharType="separate"/>
        </w:r>
        <w:r w:rsidR="00FC06F1">
          <w:rPr>
            <w:noProof/>
            <w:webHidden/>
          </w:rPr>
          <w:t>18</w:t>
        </w:r>
        <w:r w:rsidR="00555C4C">
          <w:rPr>
            <w:noProof/>
            <w:webHidden/>
          </w:rPr>
          <w:fldChar w:fldCharType="end"/>
        </w:r>
      </w:hyperlink>
    </w:p>
    <w:p w14:paraId="7F51E141" w14:textId="77777777" w:rsidR="002A7552" w:rsidRDefault="00E564EB">
      <w:pPr>
        <w:pStyle w:val="TableofFigures"/>
        <w:tabs>
          <w:tab w:val="right" w:leader="dot" w:pos="8896"/>
        </w:tabs>
        <w:rPr>
          <w:rFonts w:eastAsiaTheme="minorEastAsia" w:cstheme="minorBidi"/>
          <w:noProof/>
          <w:sz w:val="22"/>
          <w:szCs w:val="22"/>
        </w:rPr>
      </w:pPr>
      <w:hyperlink w:anchor="_Toc482213881" w:history="1">
        <w:r w:rsidR="002A7552" w:rsidRPr="00F03433">
          <w:rPr>
            <w:rStyle w:val="Hyperlink"/>
            <w:noProof/>
          </w:rPr>
          <w:t xml:space="preserve">Figure </w:t>
        </w:r>
        <w:r w:rsidR="002642A6">
          <w:rPr>
            <w:rStyle w:val="Hyperlink"/>
            <w:noProof/>
          </w:rPr>
          <w:t>6</w:t>
        </w:r>
        <w:r w:rsidR="002A7552" w:rsidRPr="00F03433">
          <w:rPr>
            <w:rStyle w:val="Hyperlink"/>
            <w:noProof/>
          </w:rPr>
          <w:t>. Laboratory D data showing change in case distribution before and after proposed complexity changes.</w:t>
        </w:r>
        <w:r w:rsidR="002A7552">
          <w:rPr>
            <w:noProof/>
            <w:webHidden/>
          </w:rPr>
          <w:tab/>
        </w:r>
        <w:r w:rsidR="00555C4C">
          <w:rPr>
            <w:noProof/>
            <w:webHidden/>
          </w:rPr>
          <w:fldChar w:fldCharType="begin"/>
        </w:r>
        <w:r w:rsidR="002A7552">
          <w:rPr>
            <w:noProof/>
            <w:webHidden/>
          </w:rPr>
          <w:instrText xml:space="preserve"> PAGEREF _Toc482213881 \h </w:instrText>
        </w:r>
        <w:r w:rsidR="00555C4C">
          <w:rPr>
            <w:noProof/>
            <w:webHidden/>
          </w:rPr>
        </w:r>
        <w:r w:rsidR="00555C4C">
          <w:rPr>
            <w:noProof/>
            <w:webHidden/>
          </w:rPr>
          <w:fldChar w:fldCharType="separate"/>
        </w:r>
        <w:r w:rsidR="00FC06F1">
          <w:rPr>
            <w:noProof/>
            <w:webHidden/>
          </w:rPr>
          <w:t>28</w:t>
        </w:r>
        <w:r w:rsidR="00555C4C">
          <w:rPr>
            <w:noProof/>
            <w:webHidden/>
          </w:rPr>
          <w:fldChar w:fldCharType="end"/>
        </w:r>
      </w:hyperlink>
    </w:p>
    <w:p w14:paraId="033B798C" w14:textId="77777777" w:rsidR="002A7552" w:rsidRDefault="00E564EB">
      <w:pPr>
        <w:pStyle w:val="TableofFigures"/>
        <w:tabs>
          <w:tab w:val="right" w:leader="dot" w:pos="8896"/>
        </w:tabs>
        <w:rPr>
          <w:rFonts w:eastAsiaTheme="minorEastAsia" w:cstheme="minorBidi"/>
          <w:noProof/>
          <w:sz w:val="22"/>
          <w:szCs w:val="22"/>
        </w:rPr>
      </w:pPr>
      <w:hyperlink w:anchor="_Toc482213882" w:history="1">
        <w:r w:rsidR="002A7552" w:rsidRPr="00F03433">
          <w:rPr>
            <w:rStyle w:val="Hyperlink"/>
            <w:noProof/>
          </w:rPr>
          <w:t xml:space="preserve">Figure </w:t>
        </w:r>
        <w:r w:rsidR="003752FB">
          <w:rPr>
            <w:rStyle w:val="Hyperlink"/>
            <w:noProof/>
          </w:rPr>
          <w:t>7</w:t>
        </w:r>
        <w:r w:rsidR="002A7552" w:rsidRPr="00F03433">
          <w:rPr>
            <w:rStyle w:val="Hyperlink"/>
            <w:noProof/>
          </w:rPr>
          <w:t>. Current effective rebate per specimen if additional histology specimens are received at each complexity level.</w:t>
        </w:r>
        <w:r w:rsidR="002A7552">
          <w:rPr>
            <w:noProof/>
            <w:webHidden/>
          </w:rPr>
          <w:tab/>
        </w:r>
        <w:r w:rsidR="00555C4C">
          <w:rPr>
            <w:noProof/>
            <w:webHidden/>
          </w:rPr>
          <w:fldChar w:fldCharType="begin"/>
        </w:r>
        <w:r w:rsidR="002A7552">
          <w:rPr>
            <w:noProof/>
            <w:webHidden/>
          </w:rPr>
          <w:instrText xml:space="preserve"> PAGEREF _Toc482213882 \h </w:instrText>
        </w:r>
        <w:r w:rsidR="00555C4C">
          <w:rPr>
            <w:noProof/>
            <w:webHidden/>
          </w:rPr>
        </w:r>
        <w:r w:rsidR="00555C4C">
          <w:rPr>
            <w:noProof/>
            <w:webHidden/>
          </w:rPr>
          <w:fldChar w:fldCharType="separate"/>
        </w:r>
        <w:r w:rsidR="00FC06F1">
          <w:rPr>
            <w:noProof/>
            <w:webHidden/>
          </w:rPr>
          <w:t>30</w:t>
        </w:r>
        <w:r w:rsidR="00555C4C">
          <w:rPr>
            <w:noProof/>
            <w:webHidden/>
          </w:rPr>
          <w:fldChar w:fldCharType="end"/>
        </w:r>
      </w:hyperlink>
    </w:p>
    <w:p w14:paraId="1BB297F3" w14:textId="77777777" w:rsidR="002A7552" w:rsidRDefault="00E564EB">
      <w:pPr>
        <w:pStyle w:val="TableofFigures"/>
        <w:tabs>
          <w:tab w:val="right" w:leader="dot" w:pos="8896"/>
        </w:tabs>
        <w:rPr>
          <w:rFonts w:eastAsiaTheme="minorEastAsia" w:cstheme="minorBidi"/>
          <w:noProof/>
          <w:sz w:val="22"/>
          <w:szCs w:val="22"/>
        </w:rPr>
      </w:pPr>
      <w:hyperlink w:anchor="_Toc482213883" w:history="1">
        <w:r w:rsidR="002A7552" w:rsidRPr="00F03433">
          <w:rPr>
            <w:rStyle w:val="Hyperlink"/>
            <w:noProof/>
          </w:rPr>
          <w:t xml:space="preserve">Figure </w:t>
        </w:r>
        <w:r w:rsidR="003752FB">
          <w:rPr>
            <w:rStyle w:val="Hyperlink"/>
            <w:noProof/>
          </w:rPr>
          <w:t>8</w:t>
        </w:r>
        <w:r w:rsidR="002A7552" w:rsidRPr="00F03433">
          <w:rPr>
            <w:rStyle w:val="Hyperlink"/>
            <w:noProof/>
          </w:rPr>
          <w:t xml:space="preserve">. Current effective rebates for Cytology specimens of different complexity with increasing numbers </w:t>
        </w:r>
        <w:r w:rsidR="00D10BD9">
          <w:rPr>
            <w:rStyle w:val="Hyperlink"/>
            <w:noProof/>
          </w:rPr>
          <w:t xml:space="preserve"> </w:t>
        </w:r>
        <w:r w:rsidR="002A7552" w:rsidRPr="00F03433">
          <w:rPr>
            <w:rStyle w:val="Hyperlink"/>
            <w:noProof/>
          </w:rPr>
          <w:t>of specimens.</w:t>
        </w:r>
        <w:r w:rsidR="002A7552">
          <w:rPr>
            <w:noProof/>
            <w:webHidden/>
          </w:rPr>
          <w:tab/>
        </w:r>
        <w:r w:rsidR="00555C4C">
          <w:rPr>
            <w:noProof/>
            <w:webHidden/>
          </w:rPr>
          <w:fldChar w:fldCharType="begin"/>
        </w:r>
        <w:r w:rsidR="002A7552">
          <w:rPr>
            <w:noProof/>
            <w:webHidden/>
          </w:rPr>
          <w:instrText xml:space="preserve"> PAGEREF _Toc482213883 \h </w:instrText>
        </w:r>
        <w:r w:rsidR="00555C4C">
          <w:rPr>
            <w:noProof/>
            <w:webHidden/>
          </w:rPr>
        </w:r>
        <w:r w:rsidR="00555C4C">
          <w:rPr>
            <w:noProof/>
            <w:webHidden/>
          </w:rPr>
          <w:fldChar w:fldCharType="separate"/>
        </w:r>
        <w:r w:rsidR="00FC06F1">
          <w:rPr>
            <w:noProof/>
            <w:webHidden/>
          </w:rPr>
          <w:t>35</w:t>
        </w:r>
        <w:r w:rsidR="00555C4C">
          <w:rPr>
            <w:noProof/>
            <w:webHidden/>
          </w:rPr>
          <w:fldChar w:fldCharType="end"/>
        </w:r>
      </w:hyperlink>
    </w:p>
    <w:p w14:paraId="2D7BFF93" w14:textId="77777777" w:rsidR="002A7552" w:rsidRDefault="00E564EB">
      <w:pPr>
        <w:pStyle w:val="TableofFigures"/>
        <w:tabs>
          <w:tab w:val="right" w:leader="dot" w:pos="8896"/>
        </w:tabs>
        <w:rPr>
          <w:rFonts w:eastAsiaTheme="minorEastAsia" w:cstheme="minorBidi"/>
          <w:noProof/>
          <w:sz w:val="22"/>
          <w:szCs w:val="22"/>
        </w:rPr>
      </w:pPr>
      <w:hyperlink w:anchor="_Toc482213884" w:history="1">
        <w:r w:rsidR="002A7552" w:rsidRPr="00F03433">
          <w:rPr>
            <w:rStyle w:val="Hyperlink"/>
            <w:noProof/>
          </w:rPr>
          <w:t xml:space="preserve">Figure </w:t>
        </w:r>
        <w:r w:rsidR="003752FB">
          <w:rPr>
            <w:rStyle w:val="Hyperlink"/>
            <w:noProof/>
          </w:rPr>
          <w:t>9</w:t>
        </w:r>
        <w:r w:rsidR="002A7552" w:rsidRPr="00F03433">
          <w:rPr>
            <w:rStyle w:val="Hyperlink"/>
            <w:noProof/>
          </w:rPr>
          <w:t>. Comparison of potential rebates with Surgical 100</w:t>
        </w:r>
        <w:r w:rsidR="00D10BD9">
          <w:rPr>
            <w:rStyle w:val="Hyperlink"/>
            <w:noProof/>
          </w:rPr>
          <w:t>%</w:t>
        </w:r>
        <w:r w:rsidR="002A7552" w:rsidRPr="00F03433">
          <w:rPr>
            <w:rStyle w:val="Hyperlink"/>
            <w:noProof/>
          </w:rPr>
          <w:t>/50</w:t>
        </w:r>
        <w:r w:rsidR="00D10BD9">
          <w:rPr>
            <w:rStyle w:val="Hyperlink"/>
            <w:noProof/>
          </w:rPr>
          <w:t>%</w:t>
        </w:r>
        <w:r w:rsidR="002A7552" w:rsidRPr="00F03433">
          <w:rPr>
            <w:rStyle w:val="Hyperlink"/>
            <w:noProof/>
          </w:rPr>
          <w:t>/25</w:t>
        </w:r>
        <w:r w:rsidR="00D10BD9">
          <w:rPr>
            <w:rStyle w:val="Hyperlink"/>
            <w:noProof/>
          </w:rPr>
          <w:t>%</w:t>
        </w:r>
        <w:r w:rsidR="002A7552" w:rsidRPr="00F03433">
          <w:rPr>
            <w:rStyle w:val="Hyperlink"/>
            <w:noProof/>
          </w:rPr>
          <w:t xml:space="preserve"> model vs status quo with increasing numbers of FNAB specimens of different complexity.</w:t>
        </w:r>
        <w:r w:rsidR="002A7552">
          <w:rPr>
            <w:noProof/>
            <w:webHidden/>
          </w:rPr>
          <w:tab/>
        </w:r>
        <w:r w:rsidR="00555C4C">
          <w:rPr>
            <w:noProof/>
            <w:webHidden/>
          </w:rPr>
          <w:fldChar w:fldCharType="begin"/>
        </w:r>
        <w:r w:rsidR="002A7552">
          <w:rPr>
            <w:noProof/>
            <w:webHidden/>
          </w:rPr>
          <w:instrText xml:space="preserve"> PAGEREF _Toc482213884 \h </w:instrText>
        </w:r>
        <w:r w:rsidR="00555C4C">
          <w:rPr>
            <w:noProof/>
            <w:webHidden/>
          </w:rPr>
        </w:r>
        <w:r w:rsidR="00555C4C">
          <w:rPr>
            <w:noProof/>
            <w:webHidden/>
          </w:rPr>
          <w:fldChar w:fldCharType="separate"/>
        </w:r>
        <w:r w:rsidR="00FC06F1">
          <w:rPr>
            <w:noProof/>
            <w:webHidden/>
          </w:rPr>
          <w:t>36</w:t>
        </w:r>
        <w:r w:rsidR="00555C4C">
          <w:rPr>
            <w:noProof/>
            <w:webHidden/>
          </w:rPr>
          <w:fldChar w:fldCharType="end"/>
        </w:r>
      </w:hyperlink>
    </w:p>
    <w:p w14:paraId="09088106" w14:textId="77777777" w:rsidR="002A7552" w:rsidRDefault="00E564EB">
      <w:pPr>
        <w:pStyle w:val="TableofFigures"/>
        <w:tabs>
          <w:tab w:val="right" w:leader="dot" w:pos="8896"/>
        </w:tabs>
        <w:rPr>
          <w:rFonts w:eastAsiaTheme="minorEastAsia" w:cstheme="minorBidi"/>
          <w:noProof/>
          <w:sz w:val="22"/>
          <w:szCs w:val="22"/>
        </w:rPr>
      </w:pPr>
      <w:hyperlink w:anchor="_Toc482213885" w:history="1">
        <w:r w:rsidR="002A7552" w:rsidRPr="00F03433">
          <w:rPr>
            <w:rStyle w:val="Hyperlink"/>
            <w:noProof/>
          </w:rPr>
          <w:t xml:space="preserve">Figure </w:t>
        </w:r>
        <w:r w:rsidR="003752FB">
          <w:rPr>
            <w:rStyle w:val="Hyperlink"/>
            <w:noProof/>
          </w:rPr>
          <w:t>10</w:t>
        </w:r>
        <w:r w:rsidR="002A7552" w:rsidRPr="00F03433">
          <w:rPr>
            <w:rStyle w:val="Hyperlink"/>
            <w:noProof/>
          </w:rPr>
          <w:t>. Effective rebate per Immunohis</w:t>
        </w:r>
        <w:r w:rsidR="00D10BD9">
          <w:rPr>
            <w:rStyle w:val="Hyperlink"/>
            <w:noProof/>
          </w:rPr>
          <w:t xml:space="preserve">tochemistry/Immunocytochemistry </w:t>
        </w:r>
        <w:r w:rsidR="002A7552" w:rsidRPr="00F03433">
          <w:rPr>
            <w:rStyle w:val="Hyperlink"/>
            <w:noProof/>
          </w:rPr>
          <w:t>assay when additional assays are performed.</w:t>
        </w:r>
        <w:r w:rsidR="002A7552">
          <w:rPr>
            <w:noProof/>
            <w:webHidden/>
          </w:rPr>
          <w:tab/>
        </w:r>
        <w:r w:rsidR="003752FB">
          <w:rPr>
            <w:noProof/>
            <w:webHidden/>
          </w:rPr>
          <w:t>39</w:t>
        </w:r>
      </w:hyperlink>
    </w:p>
    <w:p w14:paraId="264A75C2" w14:textId="77777777" w:rsidR="002A7552" w:rsidRDefault="00E564EB">
      <w:pPr>
        <w:pStyle w:val="TableofFigures"/>
        <w:tabs>
          <w:tab w:val="right" w:leader="dot" w:pos="8896"/>
        </w:tabs>
        <w:rPr>
          <w:rFonts w:eastAsiaTheme="minorEastAsia" w:cstheme="minorBidi"/>
          <w:noProof/>
          <w:sz w:val="22"/>
          <w:szCs w:val="22"/>
        </w:rPr>
      </w:pPr>
      <w:hyperlink w:anchor="_Toc482213886" w:history="1">
        <w:r w:rsidR="002A7552" w:rsidRPr="00F03433">
          <w:rPr>
            <w:rStyle w:val="Hyperlink"/>
            <w:noProof/>
          </w:rPr>
          <w:t>Figure 1</w:t>
        </w:r>
        <w:r w:rsidR="003752FB">
          <w:rPr>
            <w:rStyle w:val="Hyperlink"/>
            <w:noProof/>
          </w:rPr>
          <w:t>1</w:t>
        </w:r>
        <w:r w:rsidR="002A7552" w:rsidRPr="00F03433">
          <w:rPr>
            <w:rStyle w:val="Hyperlink"/>
            <w:noProof/>
          </w:rPr>
          <w:t>. Comparison of current effective rebate per IHC assay compared to Surgical rebate model of 100%/50%/25% thereafter.</w:t>
        </w:r>
        <w:r w:rsidR="002A7552">
          <w:rPr>
            <w:noProof/>
            <w:webHidden/>
          </w:rPr>
          <w:tab/>
        </w:r>
        <w:r w:rsidR="00555C4C">
          <w:rPr>
            <w:noProof/>
            <w:webHidden/>
          </w:rPr>
          <w:fldChar w:fldCharType="begin"/>
        </w:r>
        <w:r w:rsidR="002A7552">
          <w:rPr>
            <w:noProof/>
            <w:webHidden/>
          </w:rPr>
          <w:instrText xml:space="preserve"> PAGEREF _Toc482213886 \h </w:instrText>
        </w:r>
        <w:r w:rsidR="00555C4C">
          <w:rPr>
            <w:noProof/>
            <w:webHidden/>
          </w:rPr>
        </w:r>
        <w:r w:rsidR="00555C4C">
          <w:rPr>
            <w:noProof/>
            <w:webHidden/>
          </w:rPr>
          <w:fldChar w:fldCharType="separate"/>
        </w:r>
        <w:r w:rsidR="00FC06F1">
          <w:rPr>
            <w:noProof/>
            <w:webHidden/>
          </w:rPr>
          <w:t>42</w:t>
        </w:r>
        <w:r w:rsidR="00555C4C">
          <w:rPr>
            <w:noProof/>
            <w:webHidden/>
          </w:rPr>
          <w:fldChar w:fldCharType="end"/>
        </w:r>
      </w:hyperlink>
    </w:p>
    <w:p w14:paraId="11945E42" w14:textId="77777777" w:rsidR="002A7552" w:rsidRDefault="00E564EB">
      <w:pPr>
        <w:pStyle w:val="TableofFigures"/>
        <w:tabs>
          <w:tab w:val="right" w:leader="dot" w:pos="8896"/>
        </w:tabs>
        <w:rPr>
          <w:rFonts w:eastAsiaTheme="minorEastAsia" w:cstheme="minorBidi"/>
          <w:noProof/>
          <w:sz w:val="22"/>
          <w:szCs w:val="22"/>
        </w:rPr>
      </w:pPr>
      <w:hyperlink w:anchor="_Toc482213887" w:history="1">
        <w:r w:rsidR="002A7552" w:rsidRPr="00F03433">
          <w:rPr>
            <w:rStyle w:val="Hyperlink"/>
            <w:noProof/>
          </w:rPr>
          <w:t>Figure 1</w:t>
        </w:r>
        <w:r w:rsidR="003752FB">
          <w:rPr>
            <w:rStyle w:val="Hyperlink"/>
            <w:noProof/>
          </w:rPr>
          <w:t>2</w:t>
        </w:r>
        <w:r w:rsidR="002A7552" w:rsidRPr="00F03433">
          <w:rPr>
            <w:rStyle w:val="Hyperlink"/>
            <w:noProof/>
          </w:rPr>
          <w:t>. Current effective rebate per Frozen Section with increasing numbers of specimens compared with the Surgical model.</w:t>
        </w:r>
        <w:r w:rsidR="002A7552">
          <w:rPr>
            <w:noProof/>
            <w:webHidden/>
          </w:rPr>
          <w:tab/>
        </w:r>
        <w:r w:rsidR="00555C4C">
          <w:rPr>
            <w:noProof/>
            <w:webHidden/>
          </w:rPr>
          <w:fldChar w:fldCharType="begin"/>
        </w:r>
        <w:r w:rsidR="002A7552">
          <w:rPr>
            <w:noProof/>
            <w:webHidden/>
          </w:rPr>
          <w:instrText xml:space="preserve"> PAGEREF _Toc482213887 \h </w:instrText>
        </w:r>
        <w:r w:rsidR="00555C4C">
          <w:rPr>
            <w:noProof/>
            <w:webHidden/>
          </w:rPr>
        </w:r>
        <w:r w:rsidR="00555C4C">
          <w:rPr>
            <w:noProof/>
            <w:webHidden/>
          </w:rPr>
          <w:fldChar w:fldCharType="separate"/>
        </w:r>
        <w:r w:rsidR="00FC06F1">
          <w:rPr>
            <w:noProof/>
            <w:webHidden/>
          </w:rPr>
          <w:t>47</w:t>
        </w:r>
        <w:r w:rsidR="00555C4C">
          <w:rPr>
            <w:noProof/>
            <w:webHidden/>
          </w:rPr>
          <w:fldChar w:fldCharType="end"/>
        </w:r>
      </w:hyperlink>
    </w:p>
    <w:p w14:paraId="03F0C819" w14:textId="77777777" w:rsidR="00774742" w:rsidRDefault="00555C4C" w:rsidP="00B91E15">
      <w:r>
        <w:fldChar w:fldCharType="end"/>
      </w:r>
    </w:p>
    <w:p w14:paraId="47390A73" w14:textId="77777777" w:rsidR="00774742" w:rsidRDefault="00774742">
      <w:pPr>
        <w:spacing w:before="0" w:after="0"/>
      </w:pPr>
      <w:r>
        <w:br w:type="page"/>
      </w:r>
    </w:p>
    <w:p w14:paraId="7252AD6C" w14:textId="77777777" w:rsidR="009837DB" w:rsidRPr="00EA0A9F" w:rsidRDefault="00262127" w:rsidP="00EA0A9F">
      <w:pPr>
        <w:pStyle w:val="Heading1"/>
      </w:pPr>
      <w:bookmarkStart w:id="2" w:name="_Toc482203566"/>
      <w:bookmarkStart w:id="3" w:name="_Toc514243816"/>
      <w:bookmarkEnd w:id="0"/>
      <w:r w:rsidRPr="00EA0A9F">
        <w:lastRenderedPageBreak/>
        <w:t>Execut</w:t>
      </w:r>
      <w:r w:rsidR="003D1B38">
        <w:t>ive s</w:t>
      </w:r>
      <w:r w:rsidRPr="00EA0A9F">
        <w:t>ummary</w:t>
      </w:r>
      <w:bookmarkEnd w:id="2"/>
      <w:bookmarkEnd w:id="3"/>
    </w:p>
    <w:p w14:paraId="68D40BA8" w14:textId="77777777"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29D01CF3" w14:textId="77777777" w:rsidR="00A962D1" w:rsidRPr="009D0EED" w:rsidRDefault="00A962D1" w:rsidP="00A962D1">
      <w:r w:rsidRPr="009D0EED">
        <w:t>The Taskforce is committed to providing recommendations to the Minister that will allow the MBS to deliver on each of these four key goals:</w:t>
      </w:r>
    </w:p>
    <w:p w14:paraId="2FF365DA" w14:textId="77777777" w:rsidR="00A962D1" w:rsidRPr="003F788A" w:rsidRDefault="00A962D1" w:rsidP="00774742">
      <w:pPr>
        <w:pStyle w:val="NormalBulleted"/>
      </w:pPr>
      <w:r w:rsidRPr="003F788A">
        <w:t>Affordable and universal access</w:t>
      </w:r>
    </w:p>
    <w:p w14:paraId="2797324A" w14:textId="77777777" w:rsidR="00A962D1" w:rsidRPr="003F788A" w:rsidRDefault="00A962D1" w:rsidP="00774742">
      <w:pPr>
        <w:pStyle w:val="NormalBulleted"/>
      </w:pPr>
      <w:r w:rsidRPr="003F788A">
        <w:t>Best practice health services</w:t>
      </w:r>
    </w:p>
    <w:p w14:paraId="6E710F68" w14:textId="77777777" w:rsidR="00A962D1" w:rsidRPr="003F788A" w:rsidRDefault="00A962D1" w:rsidP="00774742">
      <w:pPr>
        <w:pStyle w:val="NormalBulleted"/>
      </w:pPr>
      <w:r w:rsidRPr="003F788A">
        <w:t>Value for the individual patient</w:t>
      </w:r>
    </w:p>
    <w:p w14:paraId="0268F069" w14:textId="77777777" w:rsidR="00A962D1" w:rsidRDefault="00A962D1" w:rsidP="00774742">
      <w:pPr>
        <w:pStyle w:val="NormalBulleted"/>
      </w:pPr>
      <w:r w:rsidRPr="003F788A">
        <w:t>Value</w:t>
      </w:r>
      <w:r w:rsidRPr="009D0EED">
        <w:t xml:space="preserve"> for the health system</w:t>
      </w:r>
      <w:r>
        <w:t>.</w:t>
      </w:r>
    </w:p>
    <w:p w14:paraId="0EDBA7B7" w14:textId="77777777" w:rsidR="00A962D1" w:rsidRPr="009200D8" w:rsidRDefault="00A962D1" w:rsidP="00A962D1">
      <w:r w:rsidRPr="009200D8">
        <w:t>The Taskforce has endorsed a methodology whereby the necessary clinical review of MBS items is undertaken by Clinical Committees and Working Groups.</w:t>
      </w:r>
      <w:r w:rsidR="00D3527C">
        <w:t xml:space="preserve"> </w:t>
      </w:r>
      <w:r w:rsidRPr="009200D8">
        <w:t xml:space="preserve">The Taskforce has asked the Clinical Committees to undertake the following tasks: </w:t>
      </w:r>
    </w:p>
    <w:p w14:paraId="1BBDDA79" w14:textId="77777777" w:rsidR="00A962D1" w:rsidRPr="00BD5C8D" w:rsidRDefault="00A962D1" w:rsidP="00A962D1">
      <w:pPr>
        <w:pStyle w:val="Numbering"/>
        <w:rPr>
          <w:b w:val="0"/>
        </w:rPr>
      </w:pPr>
      <w:r w:rsidRPr="00BD5C8D">
        <w:rPr>
          <w:b w:val="0"/>
        </w:rPr>
        <w:t xml:space="preserve">Consider whether there are MBS items that are obsolete and should be removed from the MBS. </w:t>
      </w:r>
    </w:p>
    <w:p w14:paraId="5D7306E8" w14:textId="77777777" w:rsidR="00A962D1" w:rsidRPr="00BD5C8D" w:rsidRDefault="00A962D1" w:rsidP="00A962D1">
      <w:pPr>
        <w:pStyle w:val="Numbering"/>
        <w:rPr>
          <w:b w:val="0"/>
        </w:rPr>
      </w:pPr>
      <w:r w:rsidRPr="00BD5C8D">
        <w:rPr>
          <w:b w:val="0"/>
        </w:rPr>
        <w:t xml:space="preserve">Consider identified priority reviews of selected MBS services. </w:t>
      </w:r>
    </w:p>
    <w:p w14:paraId="20DCDFE7" w14:textId="77777777" w:rsidR="00A962D1" w:rsidRPr="00BD5C8D" w:rsidRDefault="00A962D1" w:rsidP="00A962D1">
      <w:pPr>
        <w:pStyle w:val="Numbering"/>
        <w:rPr>
          <w:b w:val="0"/>
        </w:rPr>
      </w:pPr>
      <w:r w:rsidRPr="00BD5C8D">
        <w:rPr>
          <w:b w:val="0"/>
        </w:rPr>
        <w:t xml:space="preserve">Develop a program of work to consider the balance of MBS services within its remit and items assigned to the Committee. </w:t>
      </w:r>
    </w:p>
    <w:p w14:paraId="548670CA" w14:textId="77777777" w:rsidR="00A962D1" w:rsidRPr="00A962D1" w:rsidRDefault="00A962D1" w:rsidP="00A962D1">
      <w:pPr>
        <w:pStyle w:val="Numbering"/>
        <w:rPr>
          <w:b w:val="0"/>
        </w:rPr>
      </w:pPr>
      <w:r w:rsidRPr="00BD5C8D">
        <w:rPr>
          <w:b w:val="0"/>
        </w:rPr>
        <w:t xml:space="preserve">Advise the Taskforce on relevant general MBS issues identified by the Committee </w:t>
      </w:r>
      <w:proofErr w:type="gramStart"/>
      <w:r w:rsidRPr="00BD5C8D">
        <w:rPr>
          <w:b w:val="0"/>
        </w:rPr>
        <w:t>in th</w:t>
      </w:r>
      <w:r>
        <w:rPr>
          <w:b w:val="0"/>
        </w:rPr>
        <w:t>e course of</w:t>
      </w:r>
      <w:proofErr w:type="gramEnd"/>
      <w:r>
        <w:rPr>
          <w:b w:val="0"/>
        </w:rPr>
        <w:t xml:space="preserve"> its deliberations. </w:t>
      </w:r>
    </w:p>
    <w:p w14:paraId="44A1E759" w14:textId="77777777" w:rsidR="00CF522D" w:rsidRDefault="00CF522D" w:rsidP="00703DC7">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123525BD" w14:textId="77777777" w:rsidR="00D84161" w:rsidRPr="00D84161" w:rsidRDefault="00D84161" w:rsidP="00772F53">
      <w:pPr>
        <w:pStyle w:val="Heading2"/>
      </w:pPr>
      <w:bookmarkStart w:id="4" w:name="_Toc514243817"/>
      <w:r w:rsidRPr="00D84161">
        <w:t>MBS Review process</w:t>
      </w:r>
      <w:bookmarkEnd w:id="4"/>
    </w:p>
    <w:p w14:paraId="1BF5866C" w14:textId="77777777" w:rsidR="00D84161" w:rsidRDefault="00D84161" w:rsidP="00D84161">
      <w:pPr>
        <w:rPr>
          <w:lang w:val="en-US" w:eastAsia="en-US"/>
        </w:rPr>
      </w:pPr>
      <w:r w:rsidRPr="0021330F">
        <w:rPr>
          <w:lang w:val="en-US" w:eastAsia="en-US"/>
        </w:rPr>
        <w:t>The Taskforce has endorsed a process whereby the necessary clinical review of MBS items is undertaken by Clinical Committees and Working Groups. The Taskforce asked all committees in the second tranche of the Review process to review MBS items using a framework based on Appropriate Use Criteria accepted by the Taskforce</w:t>
      </w:r>
      <w:r>
        <w:rPr>
          <w:lang w:val="en-US" w:eastAsia="en-US"/>
        </w:rPr>
        <w:t xml:space="preserve"> (</w:t>
      </w:r>
      <w:proofErr w:type="spellStart"/>
      <w:r>
        <w:rPr>
          <w:lang w:val="en-US" w:eastAsia="en-US"/>
        </w:rPr>
        <w:t>Elshaug</w:t>
      </w:r>
      <w:proofErr w:type="spellEnd"/>
      <w:r w:rsidRPr="0021330F">
        <w:rPr>
          <w:lang w:val="en-US" w:eastAsia="en-US"/>
        </w:rPr>
        <w:t>). This framework includes the following steps:</w:t>
      </w:r>
    </w:p>
    <w:p w14:paraId="3532B101" w14:textId="77777777" w:rsidR="00D84161" w:rsidRDefault="00D84161" w:rsidP="00D84161">
      <w:pPr>
        <w:numPr>
          <w:ilvl w:val="0"/>
          <w:numId w:val="18"/>
        </w:numPr>
        <w:spacing w:before="120"/>
        <w:ind w:right="142"/>
        <w:rPr>
          <w:szCs w:val="20"/>
          <w:lang w:eastAsia="en-US"/>
        </w:rPr>
      </w:pPr>
      <w:r>
        <w:rPr>
          <w:szCs w:val="20"/>
          <w:lang w:eastAsia="en-US"/>
        </w:rPr>
        <w:t>R</w:t>
      </w:r>
      <w:r w:rsidRPr="00FA78B4">
        <w:rPr>
          <w:szCs w:val="20"/>
          <w:lang w:eastAsia="en-US"/>
        </w:rPr>
        <w:t>eview data and literature relevant to the items under consideration</w:t>
      </w:r>
      <w:r>
        <w:rPr>
          <w:szCs w:val="20"/>
          <w:lang w:eastAsia="en-US"/>
        </w:rPr>
        <w:t>.</w:t>
      </w:r>
    </w:p>
    <w:p w14:paraId="74BD500C" w14:textId="77777777" w:rsidR="00D84161" w:rsidRDefault="00D84161" w:rsidP="00D84161">
      <w:pPr>
        <w:numPr>
          <w:ilvl w:val="0"/>
          <w:numId w:val="18"/>
        </w:numPr>
        <w:spacing w:before="120"/>
        <w:ind w:right="142"/>
        <w:rPr>
          <w:szCs w:val="20"/>
          <w:lang w:eastAsia="en-US"/>
        </w:rPr>
      </w:pPr>
      <w:r>
        <w:rPr>
          <w:szCs w:val="20"/>
          <w:lang w:eastAsia="en-US"/>
        </w:rPr>
        <w:t>I</w:t>
      </w:r>
      <w:r w:rsidRPr="00FA78B4">
        <w:rPr>
          <w:szCs w:val="20"/>
          <w:lang w:eastAsia="en-US"/>
        </w:rPr>
        <w:t>dentify MBS items that are potentially obsolete, are of questionable clinical value, are misused and/or pose a risk to patient safety</w:t>
      </w:r>
      <w:r>
        <w:rPr>
          <w:szCs w:val="20"/>
          <w:lang w:eastAsia="en-US"/>
        </w:rPr>
        <w:t>.</w:t>
      </w:r>
    </w:p>
    <w:p w14:paraId="1DB4D0A7" w14:textId="77777777" w:rsidR="00D84161" w:rsidRPr="00FA78B4" w:rsidRDefault="00D84161" w:rsidP="00D84161">
      <w:pPr>
        <w:numPr>
          <w:ilvl w:val="0"/>
          <w:numId w:val="18"/>
        </w:numPr>
        <w:spacing w:before="120"/>
        <w:ind w:right="142"/>
        <w:rPr>
          <w:szCs w:val="20"/>
          <w:lang w:eastAsia="en-US"/>
        </w:rPr>
      </w:pPr>
      <w:r>
        <w:rPr>
          <w:szCs w:val="20"/>
          <w:lang w:eastAsia="en-US"/>
        </w:rPr>
        <w:t>D</w:t>
      </w:r>
      <w:r w:rsidRPr="00FA78B4">
        <w:rPr>
          <w:szCs w:val="20"/>
          <w:lang w:eastAsia="en-US"/>
        </w:rPr>
        <w:t>evelop and refine recommendations for these items, based on the literature and relevant data, in consultation with relevant stakeholders.</w:t>
      </w:r>
    </w:p>
    <w:p w14:paraId="3CB5468C" w14:textId="77777777" w:rsidR="00D84161" w:rsidRPr="0021330F" w:rsidRDefault="00D84161" w:rsidP="00D84161">
      <w:pPr>
        <w:rPr>
          <w:lang w:val="en-US" w:eastAsia="en-US"/>
        </w:rPr>
      </w:pPr>
      <w:r w:rsidRPr="0021330F">
        <w:rPr>
          <w:lang w:val="en-US" w:eastAsia="en-US"/>
        </w:rPr>
        <w:t>In complex cases, full appropriate use criteria were developed for an item’s descriptor and explanatory notes. All second-tranche committees involved in this Review adopted this framework, which is outlined in more detail in Section 2.3.</w:t>
      </w:r>
    </w:p>
    <w:p w14:paraId="11604553" w14:textId="77777777" w:rsidR="00D84161" w:rsidRPr="0021330F" w:rsidRDefault="00D84161" w:rsidP="00D84161">
      <w:pPr>
        <w:rPr>
          <w:lang w:val="en-US" w:eastAsia="en-US"/>
        </w:rPr>
      </w:pPr>
      <w:r w:rsidRPr="0021330F">
        <w:rPr>
          <w:lang w:val="en-US" w:eastAsia="en-US"/>
        </w:rPr>
        <w:t>The recommendations from the Clinical Committees will be released for stakeholder consultation. The Clinical Committees will consider feedback from stakeholders and then provide recommendations to the Taskforce in Review reports. The Taskforce will consider the Review reports from Clinical Committees, along with stakeholder feedback, before making recommendations to the Minister for Health for consideration by the Government.</w:t>
      </w:r>
    </w:p>
    <w:p w14:paraId="35503A2C" w14:textId="77777777" w:rsidR="00D84161" w:rsidRPr="00D84161" w:rsidRDefault="00D84161" w:rsidP="00772F53">
      <w:pPr>
        <w:pStyle w:val="Heading2"/>
      </w:pPr>
      <w:bookmarkStart w:id="5" w:name="_Toc514243818"/>
      <w:r>
        <w:lastRenderedPageBreak/>
        <w:t>The Pathology Clinical Committee</w:t>
      </w:r>
      <w:bookmarkEnd w:id="5"/>
    </w:p>
    <w:p w14:paraId="61D48C97" w14:textId="77777777" w:rsidR="00D84161" w:rsidRPr="00D84161" w:rsidRDefault="00D84161" w:rsidP="00D84161">
      <w:pPr>
        <w:rPr>
          <w:lang w:val="en-US"/>
        </w:rPr>
      </w:pPr>
      <w:r w:rsidRPr="00D84161">
        <w:rPr>
          <w:lang w:val="en-US"/>
        </w:rPr>
        <w:t>The Pathology Clinical Committee (the Committee) was established in 2016 to make recommendations to the MBS Review Taskforce on the review of MBS items within its remit, based on rapid evidence review and clinical expertise.</w:t>
      </w:r>
    </w:p>
    <w:p w14:paraId="32225832" w14:textId="77777777" w:rsidR="00D84161" w:rsidRPr="00D84161" w:rsidRDefault="00D84161" w:rsidP="00D84161">
      <w:proofErr w:type="gramStart"/>
      <w:r w:rsidRPr="00D84161">
        <w:t>The majority of</w:t>
      </w:r>
      <w:proofErr w:type="gramEnd"/>
      <w:r w:rsidRPr="00D84161">
        <w:t xml:space="preserve"> recommendations relating to these items are included in this report for consultation. The Committee also provided recommendations on items that will be referred to other committees for consultation. </w:t>
      </w:r>
    </w:p>
    <w:p w14:paraId="6A9E39BF" w14:textId="77777777" w:rsidR="00D84161" w:rsidRDefault="00D84161" w:rsidP="00703DC7">
      <w:r w:rsidRPr="00D84161">
        <w:t>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Minister for Health for consideration by the Government.</w:t>
      </w:r>
    </w:p>
    <w:p w14:paraId="531A4E72" w14:textId="77777777" w:rsidR="00CF522D" w:rsidRDefault="00CF522D" w:rsidP="00703DC7">
      <w:r w:rsidRPr="009200D8">
        <w:t xml:space="preserve">The </w:t>
      </w:r>
      <w:r w:rsidR="006D6A16">
        <w:t>Anatomical and Cytology Working Group is one of six clinical working groups established to support the work of Pathology</w:t>
      </w:r>
      <w:r w:rsidRPr="009200D8">
        <w:t xml:space="preserve"> Cli</w:t>
      </w:r>
      <w:r w:rsidR="006D6A16">
        <w:t xml:space="preserve">nical Committee (the Committee). The Committee </w:t>
      </w:r>
      <w:r w:rsidRPr="009200D8">
        <w:t xml:space="preserve">was established in </w:t>
      </w:r>
      <w:r w:rsidR="006D6A16">
        <w:t>2016</w:t>
      </w:r>
      <w:r w:rsidRPr="009200D8">
        <w:t xml:space="preserve"> to make recommendations to the MBS Review Taskforce on the review of MBS items in its area of responsibility, based on rapid evidence review and clinical expertise. </w:t>
      </w:r>
      <w:r w:rsidR="000869E6" w:rsidRPr="000B2F8F">
        <w:t xml:space="preserve">The Taskforce asked the Committee to </w:t>
      </w:r>
      <w:r w:rsidR="000869E6">
        <w:t xml:space="preserve">review </w:t>
      </w:r>
      <w:r w:rsidR="00C61BA1">
        <w:t>tissue</w:t>
      </w:r>
      <w:r w:rsidR="00D10BD9">
        <w:t xml:space="preserve"> (anatomical)</w:t>
      </w:r>
      <w:r w:rsidR="006D6A16">
        <w:t xml:space="preserve"> and cytology </w:t>
      </w:r>
      <w:r w:rsidR="000869E6">
        <w:t xml:space="preserve">pathology </w:t>
      </w:r>
      <w:r w:rsidR="00BF612A">
        <w:t>items as</w:t>
      </w:r>
      <w:r w:rsidR="000869E6" w:rsidRPr="000B2F8F">
        <w:t xml:space="preserve"> </w:t>
      </w:r>
      <w:r w:rsidR="000869E6">
        <w:t>a priority review.</w:t>
      </w:r>
    </w:p>
    <w:p w14:paraId="33404122" w14:textId="77777777" w:rsidR="005A4A56" w:rsidRDefault="005A4A56">
      <w:pPr>
        <w:spacing w:before="0" w:after="0"/>
      </w:pPr>
      <w:r>
        <w:br w:type="page"/>
      </w:r>
    </w:p>
    <w:p w14:paraId="430F8766" w14:textId="77777777" w:rsidR="00C72869" w:rsidRPr="00A50A03" w:rsidRDefault="00D84161" w:rsidP="00772F53">
      <w:pPr>
        <w:pStyle w:val="Heading2"/>
      </w:pPr>
      <w:bookmarkStart w:id="6" w:name="_Toc514243819"/>
      <w:r w:rsidRPr="00772F53">
        <w:lastRenderedPageBreak/>
        <w:t>Recommendations</w:t>
      </w:r>
      <w:bookmarkEnd w:id="6"/>
    </w:p>
    <w:p w14:paraId="45CA29EC" w14:textId="77777777" w:rsidR="00D84161" w:rsidRDefault="00D84161" w:rsidP="00D84161">
      <w:r w:rsidRPr="00F63F53">
        <w:t>The Committee has highlighted its most important recommendations below. The complete recommendations (and the accompanying rationales) for all items can be found in Section 4. A</w:t>
      </w:r>
      <w:r>
        <w:t> </w:t>
      </w:r>
      <w:r w:rsidRPr="00F63F53">
        <w:t>complete list of items, including the nature of the recommendations and the page number for each recommendation, can be found in Appendices A and B (in table summary form</w:t>
      </w:r>
      <w:r w:rsidRPr="00F46F00">
        <w:t>).</w:t>
      </w:r>
    </w:p>
    <w:p w14:paraId="77B722B7" w14:textId="77777777" w:rsidR="006D1776" w:rsidRPr="00654A41" w:rsidRDefault="000869E6" w:rsidP="000869E6">
      <w:pPr>
        <w:rPr>
          <w:lang w:val="en-US" w:eastAsia="en-US"/>
        </w:rPr>
      </w:pPr>
      <w:r w:rsidRPr="00654A41">
        <w:rPr>
          <w:lang w:val="en-US" w:eastAsia="en-US"/>
        </w:rPr>
        <w:t xml:space="preserve">The Committee recommends that </w:t>
      </w:r>
      <w:proofErr w:type="gramStart"/>
      <w:r w:rsidRPr="00654A41">
        <w:rPr>
          <w:lang w:val="en-US" w:eastAsia="en-US"/>
        </w:rPr>
        <w:t>a number of</w:t>
      </w:r>
      <w:proofErr w:type="gramEnd"/>
      <w:r w:rsidRPr="00654A41">
        <w:rPr>
          <w:lang w:val="en-US" w:eastAsia="en-US"/>
        </w:rPr>
        <w:t xml:space="preserve"> items be significantly amended to ensure the clinical criteria are appropriate</w:t>
      </w:r>
      <w:r w:rsidR="006D1776" w:rsidRPr="00654A41">
        <w:rPr>
          <w:lang w:val="en-US" w:eastAsia="en-US"/>
        </w:rPr>
        <w:t>.</w:t>
      </w:r>
      <w:r w:rsidR="001E1B6D" w:rsidRPr="00654A41">
        <w:rPr>
          <w:lang w:val="en-US" w:eastAsia="en-US"/>
        </w:rPr>
        <w:t xml:space="preserve"> </w:t>
      </w:r>
      <w:r w:rsidR="00E11BC0">
        <w:rPr>
          <w:lang w:val="en-US" w:eastAsia="en-US"/>
        </w:rPr>
        <w:t xml:space="preserve">Most </w:t>
      </w:r>
      <w:r w:rsidR="001E1B6D" w:rsidRPr="00654A41">
        <w:rPr>
          <w:lang w:val="en-US" w:eastAsia="en-US"/>
        </w:rPr>
        <w:t xml:space="preserve">of the changes are structural changes to the </w:t>
      </w:r>
      <w:proofErr w:type="spellStart"/>
      <w:r w:rsidR="001E1B6D" w:rsidRPr="00654A41">
        <w:rPr>
          <w:lang w:val="en-US" w:eastAsia="en-US"/>
        </w:rPr>
        <w:t>organi</w:t>
      </w:r>
      <w:r w:rsidR="00DF7C6A">
        <w:rPr>
          <w:lang w:val="en-US" w:eastAsia="en-US"/>
        </w:rPr>
        <w:t>sation</w:t>
      </w:r>
      <w:proofErr w:type="spellEnd"/>
      <w:r w:rsidR="00DF7C6A">
        <w:rPr>
          <w:lang w:val="en-US" w:eastAsia="en-US"/>
        </w:rPr>
        <w:t xml:space="preserve"> </w:t>
      </w:r>
      <w:r w:rsidR="001E1B6D" w:rsidRPr="00654A41">
        <w:rPr>
          <w:lang w:val="en-US" w:eastAsia="en-US"/>
        </w:rPr>
        <w:t>of items, rather than changes to the items themselves.</w:t>
      </w:r>
    </w:p>
    <w:p w14:paraId="47BBBA78" w14:textId="77777777" w:rsidR="006D1776" w:rsidRDefault="001E1B6D" w:rsidP="00D43396">
      <w:pPr>
        <w:pStyle w:val="Rec"/>
        <w:ind w:left="0" w:firstLine="0"/>
      </w:pPr>
      <w:r>
        <w:t>Changes</w:t>
      </w:r>
      <w:r w:rsidR="006D1776">
        <w:t xml:space="preserve"> to the </w:t>
      </w:r>
      <w:r w:rsidR="0032611C">
        <w:t xml:space="preserve">histopathology (tissue pathology) </w:t>
      </w:r>
      <w:r w:rsidR="008D64E5">
        <w:t>C</w:t>
      </w:r>
      <w:r w:rsidR="006D1776">
        <w:t xml:space="preserve">omplexity </w:t>
      </w:r>
      <w:r w:rsidR="007452B3">
        <w:t>Level</w:t>
      </w:r>
      <w:r w:rsidR="00E720E2">
        <w:t>s</w:t>
      </w:r>
      <w:r w:rsidR="007452B3">
        <w:t xml:space="preserve"> </w:t>
      </w:r>
      <w:r w:rsidR="008D64E5">
        <w:t>T</w:t>
      </w:r>
      <w:r w:rsidR="006D1776">
        <w:t>able</w:t>
      </w:r>
    </w:p>
    <w:p w14:paraId="07ED6E54" w14:textId="77777777" w:rsidR="001E1B6D" w:rsidRPr="001323BC" w:rsidRDefault="007452B3" w:rsidP="00BE52EB">
      <w:pPr>
        <w:pStyle w:val="NormalBulleted"/>
        <w:spacing w:before="0" w:after="0"/>
        <w:rPr>
          <w:lang w:val="en-US"/>
        </w:rPr>
      </w:pPr>
      <w:r>
        <w:rPr>
          <w:lang w:val="en-US"/>
        </w:rPr>
        <w:t xml:space="preserve">78 </w:t>
      </w:r>
      <w:r w:rsidR="006D1776" w:rsidRPr="001323BC">
        <w:rPr>
          <w:lang w:val="en-US"/>
        </w:rPr>
        <w:t xml:space="preserve">changes to the </w:t>
      </w:r>
      <w:r w:rsidR="008D64E5" w:rsidRPr="001323BC">
        <w:rPr>
          <w:lang w:val="en-US"/>
        </w:rPr>
        <w:t>C</w:t>
      </w:r>
      <w:r w:rsidR="006D1776" w:rsidRPr="001323BC">
        <w:rPr>
          <w:lang w:val="en-US"/>
        </w:rPr>
        <w:t xml:space="preserve">omplexity </w:t>
      </w:r>
      <w:r w:rsidR="008D64E5" w:rsidRPr="001323BC">
        <w:rPr>
          <w:lang w:val="en-US"/>
        </w:rPr>
        <w:t xml:space="preserve">Table </w:t>
      </w:r>
      <w:r w:rsidR="001E1B6D" w:rsidRPr="001323BC">
        <w:rPr>
          <w:lang w:val="en-US"/>
        </w:rPr>
        <w:t>are recommended in order to provide equity of classification of comparable work.</w:t>
      </w:r>
    </w:p>
    <w:p w14:paraId="3AAE5319" w14:textId="77777777" w:rsidR="001E1B6D" w:rsidRPr="001323BC" w:rsidRDefault="001E1B6D" w:rsidP="00BE52EB">
      <w:pPr>
        <w:pStyle w:val="NormalBulleted"/>
        <w:spacing w:before="0" w:after="0"/>
        <w:rPr>
          <w:lang w:val="en-US"/>
        </w:rPr>
      </w:pPr>
      <w:r w:rsidRPr="001323BC">
        <w:rPr>
          <w:lang w:val="en-US"/>
        </w:rPr>
        <w:t xml:space="preserve">The mandatory </w:t>
      </w:r>
      <w:r w:rsidR="00197454">
        <w:rPr>
          <w:lang w:val="en-US"/>
        </w:rPr>
        <w:t>use</w:t>
      </w:r>
      <w:r w:rsidR="007452B3">
        <w:rPr>
          <w:lang w:val="en-US"/>
        </w:rPr>
        <w:t xml:space="preserve"> </w:t>
      </w:r>
      <w:r w:rsidRPr="001323BC">
        <w:rPr>
          <w:lang w:val="en-US"/>
        </w:rPr>
        <w:t xml:space="preserve">of </w:t>
      </w:r>
      <w:r w:rsidR="00E720E2">
        <w:rPr>
          <w:lang w:val="en-US"/>
        </w:rPr>
        <w:t>s</w:t>
      </w:r>
      <w:r w:rsidRPr="001323BC">
        <w:rPr>
          <w:lang w:val="en-US"/>
        </w:rPr>
        <w:t xml:space="preserve">tructured </w:t>
      </w:r>
      <w:r w:rsidR="00E720E2">
        <w:rPr>
          <w:lang w:val="en-US"/>
        </w:rPr>
        <w:t>r</w:t>
      </w:r>
      <w:r w:rsidRPr="001323BC">
        <w:rPr>
          <w:lang w:val="en-US"/>
        </w:rPr>
        <w:t xml:space="preserve">eports for complexity 6 and 7 cancer cases </w:t>
      </w:r>
      <w:r w:rsidR="00F75AA2" w:rsidRPr="001323BC">
        <w:rPr>
          <w:lang w:val="en-US"/>
        </w:rPr>
        <w:t>is recommended</w:t>
      </w:r>
      <w:r w:rsidR="00816467">
        <w:rPr>
          <w:lang w:val="en-US"/>
        </w:rPr>
        <w:t>.</w:t>
      </w:r>
    </w:p>
    <w:p w14:paraId="4CB6C3F7" w14:textId="77777777" w:rsidR="00AD2AD4" w:rsidRDefault="001E1B6D" w:rsidP="00BE52EB">
      <w:pPr>
        <w:spacing w:before="0" w:after="0"/>
        <w:ind w:left="567"/>
        <w:rPr>
          <w:rFonts w:ascii="Calibri" w:hAnsi="Calibri"/>
          <w:lang w:val="en-US"/>
        </w:rPr>
      </w:pPr>
      <w:r>
        <w:rPr>
          <w:rFonts w:ascii="Calibri" w:hAnsi="Calibri"/>
          <w:lang w:val="en-US"/>
        </w:rPr>
        <w:t xml:space="preserve">The </w:t>
      </w:r>
      <w:r w:rsidR="007452B3">
        <w:rPr>
          <w:rFonts w:ascii="Calibri" w:hAnsi="Calibri"/>
          <w:lang w:val="en-US"/>
        </w:rPr>
        <w:t xml:space="preserve">Complexity </w:t>
      </w:r>
      <w:r>
        <w:rPr>
          <w:rFonts w:ascii="Calibri" w:hAnsi="Calibri"/>
          <w:lang w:val="en-US"/>
        </w:rPr>
        <w:t xml:space="preserve">Table </w:t>
      </w:r>
      <w:r w:rsidR="008D64E5">
        <w:rPr>
          <w:rFonts w:ascii="Calibri" w:hAnsi="Calibri"/>
          <w:lang w:val="en-US"/>
        </w:rPr>
        <w:t xml:space="preserve">classifies tissue specimens into </w:t>
      </w:r>
      <w:r w:rsidR="00E11BC0">
        <w:rPr>
          <w:rFonts w:ascii="Calibri" w:hAnsi="Calibri"/>
          <w:lang w:val="en-US"/>
        </w:rPr>
        <w:t xml:space="preserve">six </w:t>
      </w:r>
      <w:r w:rsidR="00AD2AD4">
        <w:rPr>
          <w:rFonts w:ascii="Calibri" w:hAnsi="Calibri"/>
          <w:lang w:val="en-US"/>
        </w:rPr>
        <w:t xml:space="preserve">complexity </w:t>
      </w:r>
      <w:r w:rsidR="00B21D4A">
        <w:rPr>
          <w:rFonts w:ascii="Calibri" w:hAnsi="Calibri"/>
          <w:lang w:val="en-US"/>
        </w:rPr>
        <w:t>level</w:t>
      </w:r>
      <w:r w:rsidR="00E11BC0">
        <w:rPr>
          <w:rFonts w:ascii="Calibri" w:hAnsi="Calibri"/>
          <w:lang w:val="en-US"/>
        </w:rPr>
        <w:t xml:space="preserve">s </w:t>
      </w:r>
      <w:r w:rsidR="008D64E5">
        <w:rPr>
          <w:rFonts w:ascii="Calibri" w:hAnsi="Calibri"/>
          <w:lang w:val="en-US"/>
        </w:rPr>
        <w:t>with different MBS rebates</w:t>
      </w:r>
      <w:r w:rsidR="006D1776">
        <w:rPr>
          <w:rFonts w:ascii="Calibri" w:hAnsi="Calibri"/>
          <w:lang w:val="en-US"/>
        </w:rPr>
        <w:t xml:space="preserve">. </w:t>
      </w:r>
      <w:r w:rsidR="00D37FFE">
        <w:rPr>
          <w:rFonts w:ascii="Calibri" w:hAnsi="Calibri"/>
          <w:lang w:val="en-US"/>
        </w:rPr>
        <w:t>Recommendations</w:t>
      </w:r>
      <w:r w:rsidR="001323BC">
        <w:rPr>
          <w:rFonts w:ascii="Calibri" w:hAnsi="Calibri"/>
          <w:lang w:val="en-US"/>
        </w:rPr>
        <w:t xml:space="preserve"> </w:t>
      </w:r>
      <w:r w:rsidR="006D1776">
        <w:rPr>
          <w:rFonts w:ascii="Calibri" w:hAnsi="Calibri"/>
          <w:lang w:val="en-US"/>
        </w:rPr>
        <w:t>include</w:t>
      </w:r>
      <w:r w:rsidR="00AD2AD4">
        <w:rPr>
          <w:rFonts w:ascii="Calibri" w:hAnsi="Calibri"/>
          <w:lang w:val="en-US"/>
        </w:rPr>
        <w:t>:</w:t>
      </w:r>
    </w:p>
    <w:p w14:paraId="1A88CB6D" w14:textId="77777777" w:rsidR="00AD2AD4" w:rsidRDefault="00197454" w:rsidP="00BE52EB">
      <w:pPr>
        <w:pStyle w:val="NormalBulleted"/>
        <w:numPr>
          <w:ilvl w:val="0"/>
          <w:numId w:val="0"/>
        </w:numPr>
        <w:spacing w:before="0" w:after="0"/>
        <w:ind w:left="567"/>
      </w:pPr>
      <w:r>
        <w:t xml:space="preserve">- </w:t>
      </w:r>
      <w:r w:rsidR="006D1776" w:rsidRPr="00B40614">
        <w:t xml:space="preserve">increasing or decreasing </w:t>
      </w:r>
      <w:r w:rsidR="001323BC" w:rsidRPr="00B40614">
        <w:t xml:space="preserve">some </w:t>
      </w:r>
      <w:r w:rsidR="006D1776" w:rsidRPr="00B40614">
        <w:t xml:space="preserve">complexity </w:t>
      </w:r>
      <w:proofErr w:type="gramStart"/>
      <w:r w:rsidR="00B21D4A" w:rsidRPr="00B40614">
        <w:t>level</w:t>
      </w:r>
      <w:r w:rsidR="006D1776" w:rsidRPr="00B40614">
        <w:t>s</w:t>
      </w:r>
      <w:r w:rsidR="00AD2AD4">
        <w:t>;</w:t>
      </w:r>
      <w:proofErr w:type="gramEnd"/>
    </w:p>
    <w:p w14:paraId="0CF0CF45" w14:textId="77777777" w:rsidR="00AD2AD4" w:rsidRDefault="00197454" w:rsidP="00BE52EB">
      <w:pPr>
        <w:pStyle w:val="NormalBulleted"/>
        <w:numPr>
          <w:ilvl w:val="0"/>
          <w:numId w:val="0"/>
        </w:numPr>
        <w:spacing w:before="0" w:after="0"/>
        <w:ind w:left="567"/>
      </w:pPr>
      <w:r>
        <w:t xml:space="preserve">- </w:t>
      </w:r>
      <w:r w:rsidR="006D1776" w:rsidRPr="00B40614">
        <w:t>splitting current listings to separate examinations of neoplastic lesio</w:t>
      </w:r>
      <w:r w:rsidR="008D64E5" w:rsidRPr="00B40614">
        <w:t xml:space="preserve">ns from other </w:t>
      </w:r>
      <w:proofErr w:type="gramStart"/>
      <w:r w:rsidR="008D64E5" w:rsidRPr="00B40614">
        <w:t>examinations</w:t>
      </w:r>
      <w:r w:rsidR="00AD2AD4">
        <w:t>;</w:t>
      </w:r>
      <w:proofErr w:type="gramEnd"/>
      <w:r w:rsidR="008D64E5" w:rsidRPr="00B40614">
        <w:t xml:space="preserve"> </w:t>
      </w:r>
    </w:p>
    <w:p w14:paraId="0D4C462A" w14:textId="77777777" w:rsidR="00AD2AD4" w:rsidRDefault="00197454" w:rsidP="00BE52EB">
      <w:pPr>
        <w:pStyle w:val="NormalBulleted"/>
        <w:numPr>
          <w:ilvl w:val="0"/>
          <w:numId w:val="0"/>
        </w:numPr>
        <w:spacing w:before="0" w:after="0"/>
        <w:ind w:left="567"/>
      </w:pPr>
      <w:r>
        <w:t xml:space="preserve">- </w:t>
      </w:r>
      <w:r w:rsidR="006D1776" w:rsidRPr="00B40614">
        <w:t>deleting some listings and pooling with other listings of similar types</w:t>
      </w:r>
      <w:r w:rsidR="00AD2AD4">
        <w:t>;</w:t>
      </w:r>
      <w:r w:rsidR="008D64E5" w:rsidRPr="00B40614">
        <w:t xml:space="preserve"> and </w:t>
      </w:r>
    </w:p>
    <w:p w14:paraId="422C604C" w14:textId="77777777" w:rsidR="00AD2AD4" w:rsidRDefault="00197454" w:rsidP="00BE52EB">
      <w:pPr>
        <w:pStyle w:val="NormalBulleted"/>
        <w:numPr>
          <w:ilvl w:val="0"/>
          <w:numId w:val="0"/>
        </w:numPr>
        <w:spacing w:before="0" w:after="0"/>
        <w:ind w:left="567"/>
      </w:pPr>
      <w:r>
        <w:t xml:space="preserve">- </w:t>
      </w:r>
      <w:r w:rsidR="008D64E5" w:rsidRPr="00B40614">
        <w:t>clarifying the requirements for certain specimen types</w:t>
      </w:r>
      <w:r w:rsidR="006D1776" w:rsidRPr="00B40614">
        <w:t>.</w:t>
      </w:r>
      <w:r w:rsidR="00E11BC0" w:rsidRPr="00B40614">
        <w:t xml:space="preserve"> </w:t>
      </w:r>
    </w:p>
    <w:p w14:paraId="3B770F70" w14:textId="77777777" w:rsidR="00BE52EB" w:rsidRDefault="006D1776" w:rsidP="00BE52EB">
      <w:pPr>
        <w:spacing w:before="0" w:after="0"/>
        <w:ind w:left="567"/>
        <w:rPr>
          <w:rFonts w:ascii="Calibri" w:hAnsi="Calibri"/>
          <w:lang w:val="en-US"/>
        </w:rPr>
      </w:pPr>
      <w:r w:rsidRPr="00B40614">
        <w:rPr>
          <w:rFonts w:ascii="Calibri" w:hAnsi="Calibri"/>
          <w:lang w:val="en-US"/>
        </w:rPr>
        <w:t xml:space="preserve">These proposed changes are </w:t>
      </w:r>
      <w:r w:rsidR="001323BC" w:rsidRPr="00B40614">
        <w:rPr>
          <w:rFonts w:ascii="Calibri" w:hAnsi="Calibri"/>
          <w:lang w:val="en-US"/>
        </w:rPr>
        <w:t xml:space="preserve">intended </w:t>
      </w:r>
      <w:r w:rsidRPr="00B40614">
        <w:rPr>
          <w:rFonts w:ascii="Calibri" w:hAnsi="Calibri"/>
          <w:lang w:val="en-US"/>
        </w:rPr>
        <w:t xml:space="preserve">to provide equity between different organ systems and work of the same </w:t>
      </w:r>
      <w:r w:rsidR="009850CC" w:rsidRPr="00B40614">
        <w:rPr>
          <w:rFonts w:ascii="Calibri" w:hAnsi="Calibri"/>
          <w:lang w:val="en-US"/>
        </w:rPr>
        <w:t>difficulty</w:t>
      </w:r>
      <w:r w:rsidRPr="00B40614">
        <w:rPr>
          <w:rFonts w:ascii="Calibri" w:hAnsi="Calibri"/>
          <w:lang w:val="en-US"/>
        </w:rPr>
        <w:t xml:space="preserve">. </w:t>
      </w:r>
      <w:r w:rsidR="00E11BC0" w:rsidRPr="00B40614">
        <w:rPr>
          <w:rFonts w:ascii="Calibri" w:hAnsi="Calibri"/>
          <w:lang w:val="en-US"/>
        </w:rPr>
        <w:t>T</w:t>
      </w:r>
      <w:r w:rsidRPr="00B40614">
        <w:rPr>
          <w:rFonts w:ascii="Calibri" w:hAnsi="Calibri"/>
          <w:lang w:val="en-US"/>
        </w:rPr>
        <w:t xml:space="preserve">o drive best practice, the use of </w:t>
      </w:r>
      <w:r w:rsidR="00E720E2">
        <w:rPr>
          <w:rFonts w:ascii="Calibri" w:hAnsi="Calibri"/>
          <w:lang w:val="en-US"/>
        </w:rPr>
        <w:t>s</w:t>
      </w:r>
      <w:r w:rsidRPr="00B40614">
        <w:rPr>
          <w:rFonts w:ascii="Calibri" w:hAnsi="Calibri"/>
          <w:lang w:val="en-US"/>
        </w:rPr>
        <w:t xml:space="preserve">tructured </w:t>
      </w:r>
      <w:r w:rsidR="00E720E2">
        <w:rPr>
          <w:rFonts w:ascii="Calibri" w:hAnsi="Calibri"/>
          <w:lang w:val="en-US"/>
        </w:rPr>
        <w:t>r</w:t>
      </w:r>
      <w:r w:rsidRPr="00B40614">
        <w:rPr>
          <w:rFonts w:ascii="Calibri" w:hAnsi="Calibri"/>
          <w:lang w:val="en-US"/>
        </w:rPr>
        <w:t xml:space="preserve">eports has been mandated for complex cancer cases. </w:t>
      </w:r>
    </w:p>
    <w:p w14:paraId="61980EA2" w14:textId="77777777" w:rsidR="00BE52EB" w:rsidRPr="00B40614" w:rsidRDefault="00BE52EB" w:rsidP="00BE52EB">
      <w:pPr>
        <w:spacing w:before="0" w:after="0"/>
        <w:ind w:left="567"/>
        <w:rPr>
          <w:rFonts w:ascii="Calibri" w:hAnsi="Calibri"/>
          <w:lang w:val="en-US"/>
        </w:rPr>
      </w:pPr>
    </w:p>
    <w:p w14:paraId="2176399D" w14:textId="77777777" w:rsidR="006D1776" w:rsidRDefault="00AD2AD4" w:rsidP="00D43396">
      <w:pPr>
        <w:pStyle w:val="Rec"/>
        <w:ind w:left="0" w:firstLine="0"/>
      </w:pPr>
      <w:r>
        <w:t xml:space="preserve">Item </w:t>
      </w:r>
      <w:r w:rsidR="00774742">
        <w:t xml:space="preserve">tiering and coning </w:t>
      </w:r>
      <w:r w:rsidR="0032611C">
        <w:t>in</w:t>
      </w:r>
      <w:r w:rsidR="00774742">
        <w:t xml:space="preserve"> tissue pathology </w:t>
      </w:r>
      <w:r>
        <w:t>services</w:t>
      </w:r>
    </w:p>
    <w:p w14:paraId="4F8D10EE" w14:textId="77777777" w:rsidR="001E1B6D" w:rsidRDefault="00F75AA2" w:rsidP="00BE52EB">
      <w:pPr>
        <w:pStyle w:val="NormalBulleted"/>
        <w:spacing w:before="60" w:after="0"/>
        <w:rPr>
          <w:lang w:val="en-US" w:eastAsia="en-US"/>
        </w:rPr>
      </w:pPr>
      <w:r w:rsidRPr="001323BC">
        <w:rPr>
          <w:lang w:val="en-US" w:eastAsia="en-US"/>
        </w:rPr>
        <w:t>Removal</w:t>
      </w:r>
      <w:r w:rsidR="001E1B6D" w:rsidRPr="001323BC">
        <w:rPr>
          <w:lang w:val="en-US" w:eastAsia="en-US"/>
        </w:rPr>
        <w:t xml:space="preserve"> of</w:t>
      </w:r>
      <w:r w:rsidR="006D1776" w:rsidRPr="001323BC">
        <w:rPr>
          <w:lang w:val="en-US" w:eastAsia="en-US"/>
        </w:rPr>
        <w:t xml:space="preserve"> current </w:t>
      </w:r>
      <w:r w:rsidR="00AD2AD4">
        <w:rPr>
          <w:lang w:val="en-US" w:eastAsia="en-US"/>
        </w:rPr>
        <w:t xml:space="preserve">tissue pathology </w:t>
      </w:r>
      <w:r w:rsidR="001E1B6D" w:rsidRPr="001323BC">
        <w:rPr>
          <w:lang w:val="en-US" w:eastAsia="en-US"/>
        </w:rPr>
        <w:t>item tier</w:t>
      </w:r>
      <w:r w:rsidR="001C09B5">
        <w:rPr>
          <w:lang w:val="en-US" w:eastAsia="en-US"/>
        </w:rPr>
        <w:t>ing</w:t>
      </w:r>
      <w:r w:rsidR="001E1B6D" w:rsidRPr="001323BC">
        <w:rPr>
          <w:lang w:val="en-US" w:eastAsia="en-US"/>
        </w:rPr>
        <w:t xml:space="preserve"> is recommended</w:t>
      </w:r>
      <w:r w:rsidR="006D1776" w:rsidRPr="001323BC">
        <w:rPr>
          <w:lang w:val="en-US" w:eastAsia="en-US"/>
        </w:rPr>
        <w:t>, with a single item for specimens of each complexity</w:t>
      </w:r>
      <w:r w:rsidR="001323BC">
        <w:rPr>
          <w:lang w:val="en-US" w:eastAsia="en-US"/>
        </w:rPr>
        <w:t xml:space="preserve"> </w:t>
      </w:r>
      <w:r w:rsidR="00B21D4A">
        <w:rPr>
          <w:lang w:val="en-US" w:eastAsia="en-US"/>
        </w:rPr>
        <w:t>level</w:t>
      </w:r>
      <w:r w:rsidR="00197454">
        <w:rPr>
          <w:lang w:val="en-US" w:eastAsia="en-US"/>
        </w:rPr>
        <w:t xml:space="preserve"> and a modified remuneration model</w:t>
      </w:r>
      <w:r w:rsidR="006D1776" w:rsidRPr="001323BC">
        <w:rPr>
          <w:lang w:val="en-US" w:eastAsia="en-US"/>
        </w:rPr>
        <w:t>.</w:t>
      </w:r>
    </w:p>
    <w:p w14:paraId="71CF4C94" w14:textId="77777777" w:rsidR="0083633D" w:rsidRDefault="0083633D" w:rsidP="00BE52EB">
      <w:pPr>
        <w:pStyle w:val="NormalBulleted"/>
        <w:numPr>
          <w:ilvl w:val="0"/>
          <w:numId w:val="0"/>
        </w:numPr>
        <w:spacing w:before="0" w:after="0"/>
        <w:ind w:left="567"/>
        <w:rPr>
          <w:lang w:val="en-US" w:eastAsia="en-US"/>
        </w:rPr>
      </w:pPr>
      <w:r>
        <w:rPr>
          <w:lang w:val="en-US" w:eastAsia="en-US"/>
        </w:rPr>
        <w:t xml:space="preserve">Currently there are different tiered </w:t>
      </w:r>
      <w:r w:rsidR="002A6298">
        <w:rPr>
          <w:lang w:val="en-US" w:eastAsia="en-US"/>
        </w:rPr>
        <w:t>items</w:t>
      </w:r>
      <w:r>
        <w:rPr>
          <w:lang w:val="en-US" w:eastAsia="en-US"/>
        </w:rPr>
        <w:t xml:space="preserve"> for specimens of complexity levels 3 and 4, with reduc</w:t>
      </w:r>
      <w:r w:rsidR="002A6298">
        <w:rPr>
          <w:lang w:val="en-US" w:eastAsia="en-US"/>
        </w:rPr>
        <w:t xml:space="preserve">ed effective </w:t>
      </w:r>
      <w:r>
        <w:rPr>
          <w:lang w:val="en-US" w:eastAsia="en-US"/>
        </w:rPr>
        <w:t>rebate</w:t>
      </w:r>
      <w:r w:rsidR="002A6298">
        <w:rPr>
          <w:lang w:val="en-US" w:eastAsia="en-US"/>
        </w:rPr>
        <w:t xml:space="preserve"> per specimen</w:t>
      </w:r>
      <w:r>
        <w:rPr>
          <w:lang w:val="en-US" w:eastAsia="en-US"/>
        </w:rPr>
        <w:t xml:space="preserve"> with increasing numbers of specimens. There is no capacity to fund multiple specimens of complexity levels 2, 5, 6 or 7.</w:t>
      </w:r>
    </w:p>
    <w:p w14:paraId="38B9CCF7" w14:textId="77777777" w:rsidR="00197454" w:rsidRPr="0083633D" w:rsidRDefault="00F75AA2" w:rsidP="00BE52EB">
      <w:pPr>
        <w:pStyle w:val="NormalBulleted"/>
        <w:spacing w:before="0" w:after="0"/>
        <w:rPr>
          <w:lang w:val="en-US" w:eastAsia="en-US"/>
        </w:rPr>
      </w:pPr>
      <w:r w:rsidRPr="001323BC">
        <w:rPr>
          <w:lang w:val="en-US" w:eastAsia="en-US"/>
        </w:rPr>
        <w:t>Removal of Rule 13 is recommended, with alternate funding strategy prop</w:t>
      </w:r>
      <w:r w:rsidR="0083633D">
        <w:rPr>
          <w:lang w:val="en-US" w:eastAsia="en-US"/>
        </w:rPr>
        <w:t>osed.</w:t>
      </w:r>
    </w:p>
    <w:p w14:paraId="4AF8FBAB" w14:textId="77777777" w:rsidR="0083633D" w:rsidRDefault="00B220D3" w:rsidP="00BE52EB">
      <w:pPr>
        <w:spacing w:before="0" w:after="0"/>
        <w:ind w:left="567"/>
        <w:rPr>
          <w:szCs w:val="22"/>
        </w:rPr>
      </w:pPr>
      <w:r>
        <w:rPr>
          <w:szCs w:val="22"/>
        </w:rPr>
        <w:t xml:space="preserve">Rule 13 </w:t>
      </w:r>
      <w:r w:rsidRPr="00AB5985">
        <w:rPr>
          <w:szCs w:val="22"/>
        </w:rPr>
        <w:t>dictates that a billing code for a specimen of higher complexity overrides a billing code for lower</w:t>
      </w:r>
      <w:r>
        <w:rPr>
          <w:szCs w:val="22"/>
        </w:rPr>
        <w:t>-</w:t>
      </w:r>
      <w:r w:rsidRPr="00AB5985">
        <w:rPr>
          <w:szCs w:val="22"/>
        </w:rPr>
        <w:t>complexity item/s, unless the dollar value of a tiered lower</w:t>
      </w:r>
      <w:r>
        <w:rPr>
          <w:szCs w:val="22"/>
        </w:rPr>
        <w:t>-</w:t>
      </w:r>
      <w:r w:rsidRPr="00AB5985">
        <w:rPr>
          <w:szCs w:val="22"/>
        </w:rPr>
        <w:t>complexity item is greater.</w:t>
      </w:r>
      <w:r>
        <w:rPr>
          <w:szCs w:val="22"/>
        </w:rPr>
        <w:t xml:space="preserve"> </w:t>
      </w:r>
    </w:p>
    <w:p w14:paraId="4CDBA417" w14:textId="77777777" w:rsidR="00BE52EB" w:rsidRDefault="00BE52EB" w:rsidP="00BE52EB">
      <w:pPr>
        <w:spacing w:before="0" w:after="0"/>
        <w:ind w:left="567"/>
        <w:rPr>
          <w:lang w:val="en-US" w:eastAsia="en-US"/>
        </w:rPr>
      </w:pPr>
    </w:p>
    <w:p w14:paraId="2132DF73" w14:textId="77777777" w:rsidR="006D1776" w:rsidRPr="0083633D" w:rsidRDefault="006D1776" w:rsidP="00BE52EB">
      <w:pPr>
        <w:spacing w:before="0" w:after="0"/>
        <w:ind w:left="567"/>
        <w:rPr>
          <w:szCs w:val="22"/>
        </w:rPr>
      </w:pPr>
      <w:r>
        <w:rPr>
          <w:lang w:val="en-US" w:eastAsia="en-US"/>
        </w:rPr>
        <w:t xml:space="preserve">There are no economies of scale in the processing and examination </w:t>
      </w:r>
      <w:r w:rsidR="00197454">
        <w:rPr>
          <w:lang w:val="en-US" w:eastAsia="en-US"/>
        </w:rPr>
        <w:t xml:space="preserve">of tissue </w:t>
      </w:r>
      <w:r>
        <w:rPr>
          <w:lang w:val="en-US" w:eastAsia="en-US"/>
        </w:rPr>
        <w:t>specimens, and the current coning rules are particularly inequitable for complex specimens</w:t>
      </w:r>
      <w:r w:rsidRPr="00F75AA2">
        <w:rPr>
          <w:lang w:val="en-US" w:eastAsia="en-US"/>
        </w:rPr>
        <w:t>.</w:t>
      </w:r>
      <w:r w:rsidR="008D64E5" w:rsidRPr="00F75AA2">
        <w:rPr>
          <w:lang w:val="en-US" w:eastAsia="en-US"/>
        </w:rPr>
        <w:t xml:space="preserve"> </w:t>
      </w:r>
      <w:r w:rsidR="001323BC">
        <w:rPr>
          <w:lang w:val="en-US" w:eastAsia="en-US"/>
        </w:rPr>
        <w:t>F</w:t>
      </w:r>
      <w:r w:rsidR="008D64E5" w:rsidRPr="001323BC">
        <w:rPr>
          <w:lang w:val="en-US" w:eastAsia="en-US"/>
        </w:rPr>
        <w:t>unding strategies</w:t>
      </w:r>
      <w:r w:rsidR="00BB0B37">
        <w:rPr>
          <w:lang w:val="en-US" w:eastAsia="en-US"/>
        </w:rPr>
        <w:t>,</w:t>
      </w:r>
      <w:r w:rsidR="008D64E5" w:rsidRPr="001323BC">
        <w:rPr>
          <w:lang w:val="en-US" w:eastAsia="en-US"/>
        </w:rPr>
        <w:t xml:space="preserve"> including the </w:t>
      </w:r>
      <w:r w:rsidR="00BB0B37">
        <w:rPr>
          <w:lang w:val="en-US" w:eastAsia="en-US"/>
        </w:rPr>
        <w:t>‘</w:t>
      </w:r>
      <w:r w:rsidR="008D64E5" w:rsidRPr="001323BC">
        <w:rPr>
          <w:lang w:val="en-US" w:eastAsia="en-US"/>
        </w:rPr>
        <w:t>Surgical</w:t>
      </w:r>
      <w:r w:rsidR="00BB0B37">
        <w:rPr>
          <w:lang w:val="en-US" w:eastAsia="en-US"/>
        </w:rPr>
        <w:t xml:space="preserve">’ </w:t>
      </w:r>
      <w:r w:rsidR="008D64E5" w:rsidRPr="001323BC">
        <w:rPr>
          <w:lang w:val="en-US" w:eastAsia="en-US"/>
        </w:rPr>
        <w:t>model</w:t>
      </w:r>
      <w:r w:rsidR="00197454">
        <w:rPr>
          <w:lang w:val="en-US" w:eastAsia="en-US"/>
        </w:rPr>
        <w:t xml:space="preserve"> (where the first </w:t>
      </w:r>
      <w:r w:rsidR="0083633D">
        <w:rPr>
          <w:lang w:val="en-US" w:eastAsia="en-US"/>
        </w:rPr>
        <w:t>item is rebated at 100%, the second at 50% and subsequent items at 25%)</w:t>
      </w:r>
      <w:r w:rsidR="00BB0B37">
        <w:rPr>
          <w:lang w:val="en-US" w:eastAsia="en-US"/>
        </w:rPr>
        <w:t>,</w:t>
      </w:r>
      <w:r w:rsidR="008D64E5" w:rsidRPr="001323BC">
        <w:rPr>
          <w:lang w:val="en-US" w:eastAsia="en-US"/>
        </w:rPr>
        <w:t xml:space="preserve"> have been examined</w:t>
      </w:r>
      <w:r w:rsidR="009850CC" w:rsidRPr="001323BC">
        <w:rPr>
          <w:lang w:val="en-US" w:eastAsia="en-US"/>
        </w:rPr>
        <w:t xml:space="preserve"> as an alternative to renegotiating the rebate for each item.</w:t>
      </w:r>
    </w:p>
    <w:p w14:paraId="37B2F121" w14:textId="77777777" w:rsidR="006D1776" w:rsidRDefault="00AD2AD4" w:rsidP="00D43396">
      <w:pPr>
        <w:pStyle w:val="Rec"/>
        <w:ind w:left="0" w:firstLine="0"/>
      </w:pPr>
      <w:r>
        <w:t xml:space="preserve">Item </w:t>
      </w:r>
      <w:r w:rsidR="00774742">
        <w:t xml:space="preserve">tiering and </w:t>
      </w:r>
      <w:r w:rsidR="00774742" w:rsidRPr="008D78C5">
        <w:t xml:space="preserve">coning </w:t>
      </w:r>
      <w:r w:rsidR="0032611C">
        <w:t>in</w:t>
      </w:r>
      <w:r w:rsidR="00774742" w:rsidRPr="008D78C5">
        <w:t xml:space="preserve"> cytology </w:t>
      </w:r>
      <w:r>
        <w:t>services</w:t>
      </w:r>
    </w:p>
    <w:p w14:paraId="66D95B39" w14:textId="77777777" w:rsidR="001E1B6D" w:rsidRDefault="001E1B6D" w:rsidP="00774742">
      <w:pPr>
        <w:pStyle w:val="NormalBulleted"/>
        <w:rPr>
          <w:lang w:val="en-US"/>
        </w:rPr>
      </w:pPr>
      <w:r w:rsidRPr="001323BC">
        <w:rPr>
          <w:lang w:val="en-US"/>
        </w:rPr>
        <w:t>Abolition of current item tier</w:t>
      </w:r>
      <w:r w:rsidR="001C09B5">
        <w:rPr>
          <w:lang w:val="en-US"/>
        </w:rPr>
        <w:t>ing</w:t>
      </w:r>
      <w:r w:rsidRPr="001323BC">
        <w:rPr>
          <w:lang w:val="en-US"/>
        </w:rPr>
        <w:t xml:space="preserve"> is recommended, </w:t>
      </w:r>
      <w:r w:rsidR="008D64E5" w:rsidRPr="001323BC">
        <w:rPr>
          <w:lang w:val="en-US"/>
        </w:rPr>
        <w:t xml:space="preserve">with a single item for each examination type. </w:t>
      </w:r>
    </w:p>
    <w:p w14:paraId="3B8D8A8D" w14:textId="77777777" w:rsidR="0007015D" w:rsidRPr="00B40614" w:rsidRDefault="0007015D" w:rsidP="00774742">
      <w:pPr>
        <w:pStyle w:val="NormalBulleted"/>
        <w:rPr>
          <w:lang w:val="en-US" w:eastAsia="en-US"/>
        </w:rPr>
      </w:pPr>
      <w:r w:rsidRPr="001323BC">
        <w:rPr>
          <w:lang w:val="en-US" w:eastAsia="en-US"/>
        </w:rPr>
        <w:t>Removal of Rule 13 is recommended, with alternate funding strategy proposed.</w:t>
      </w:r>
    </w:p>
    <w:p w14:paraId="40090BD4" w14:textId="77777777" w:rsidR="006D1776" w:rsidRPr="00A50A03" w:rsidRDefault="000C49F4" w:rsidP="00BE52EB">
      <w:pPr>
        <w:spacing w:before="0" w:after="0"/>
        <w:ind w:left="567"/>
        <w:rPr>
          <w:lang w:val="en-US" w:eastAsia="en-US"/>
        </w:rPr>
      </w:pPr>
      <w:r>
        <w:rPr>
          <w:szCs w:val="22"/>
        </w:rPr>
        <w:t xml:space="preserve">Rule 13 </w:t>
      </w:r>
      <w:r w:rsidRPr="00AB5985">
        <w:rPr>
          <w:szCs w:val="22"/>
        </w:rPr>
        <w:t>dictates that a billing code for a specimen of higher complexity overrides a billing code for lower</w:t>
      </w:r>
      <w:r>
        <w:rPr>
          <w:szCs w:val="22"/>
        </w:rPr>
        <w:t>-</w:t>
      </w:r>
      <w:r w:rsidRPr="00AB5985">
        <w:rPr>
          <w:szCs w:val="22"/>
        </w:rPr>
        <w:t>complexity item/s, unless the dollar value of a tiered lower</w:t>
      </w:r>
      <w:r>
        <w:rPr>
          <w:szCs w:val="22"/>
        </w:rPr>
        <w:t>-</w:t>
      </w:r>
      <w:r w:rsidRPr="00AB5985">
        <w:rPr>
          <w:szCs w:val="22"/>
        </w:rPr>
        <w:t>complexity item is greater.</w:t>
      </w:r>
      <w:r>
        <w:rPr>
          <w:szCs w:val="22"/>
        </w:rPr>
        <w:t xml:space="preserve"> </w:t>
      </w:r>
      <w:r w:rsidR="0083633D">
        <w:rPr>
          <w:szCs w:val="22"/>
        </w:rPr>
        <w:t xml:space="preserve"> As with tissue specimens, </w:t>
      </w:r>
      <w:r w:rsidR="0083633D">
        <w:rPr>
          <w:lang w:val="en-US" w:eastAsia="en-US"/>
        </w:rPr>
        <w:t>t</w:t>
      </w:r>
      <w:r w:rsidR="005A4A56">
        <w:rPr>
          <w:lang w:val="en-US" w:eastAsia="en-US"/>
        </w:rPr>
        <w:t xml:space="preserve">here are no economies of scale in the processing and examination of cytological specimens, and the current coning rules are particularly </w:t>
      </w:r>
      <w:r w:rsidR="005A4A56">
        <w:rPr>
          <w:lang w:val="en-US" w:eastAsia="en-US"/>
        </w:rPr>
        <w:lastRenderedPageBreak/>
        <w:t xml:space="preserve">inequitable for </w:t>
      </w:r>
      <w:r w:rsidR="009850CC">
        <w:rPr>
          <w:lang w:val="en-US" w:eastAsia="en-US"/>
        </w:rPr>
        <w:t>multiple fine</w:t>
      </w:r>
      <w:r w:rsidR="008A6FD2">
        <w:rPr>
          <w:lang w:val="en-US" w:eastAsia="en-US"/>
        </w:rPr>
        <w:t>-</w:t>
      </w:r>
      <w:r w:rsidR="009850CC">
        <w:rPr>
          <w:lang w:val="en-US" w:eastAsia="en-US"/>
        </w:rPr>
        <w:t xml:space="preserve">needle biopsy </w:t>
      </w:r>
      <w:r w:rsidR="005A4A56">
        <w:rPr>
          <w:lang w:val="en-US" w:eastAsia="en-US"/>
        </w:rPr>
        <w:t>specimens</w:t>
      </w:r>
      <w:r w:rsidR="001323BC">
        <w:rPr>
          <w:lang w:val="en-US" w:eastAsia="en-US"/>
        </w:rPr>
        <w:t>.</w:t>
      </w:r>
      <w:r w:rsidR="008D64E5">
        <w:rPr>
          <w:lang w:val="en-US" w:eastAsia="en-US"/>
        </w:rPr>
        <w:t xml:space="preserve"> </w:t>
      </w:r>
      <w:r w:rsidR="001323BC">
        <w:rPr>
          <w:lang w:val="en-US" w:eastAsia="en-US"/>
        </w:rPr>
        <w:t>F</w:t>
      </w:r>
      <w:r w:rsidR="008D64E5">
        <w:rPr>
          <w:lang w:val="en-US" w:eastAsia="en-US"/>
        </w:rPr>
        <w:t>unding strategies</w:t>
      </w:r>
      <w:r w:rsidR="008A6FD2">
        <w:rPr>
          <w:lang w:val="en-US" w:eastAsia="en-US"/>
        </w:rPr>
        <w:t>,</w:t>
      </w:r>
      <w:r w:rsidR="008D64E5">
        <w:rPr>
          <w:lang w:val="en-US" w:eastAsia="en-US"/>
        </w:rPr>
        <w:t xml:space="preserve"> including the </w:t>
      </w:r>
      <w:r w:rsidR="008A6FD2">
        <w:rPr>
          <w:lang w:val="en-US" w:eastAsia="en-US"/>
        </w:rPr>
        <w:t>‘</w:t>
      </w:r>
      <w:r w:rsidR="008D64E5">
        <w:rPr>
          <w:lang w:val="en-US" w:eastAsia="en-US"/>
        </w:rPr>
        <w:t>Surgical</w:t>
      </w:r>
      <w:r w:rsidR="008A6FD2">
        <w:rPr>
          <w:lang w:val="en-US" w:eastAsia="en-US"/>
        </w:rPr>
        <w:t xml:space="preserve">’ </w:t>
      </w:r>
      <w:r w:rsidR="008D64E5">
        <w:rPr>
          <w:lang w:val="en-US" w:eastAsia="en-US"/>
        </w:rPr>
        <w:t>model</w:t>
      </w:r>
      <w:r w:rsidR="0083633D">
        <w:rPr>
          <w:lang w:val="en-US" w:eastAsia="en-US"/>
        </w:rPr>
        <w:t xml:space="preserve"> (where the first item is rebated at 100%, the second at 50% and subsequent items at 25%)</w:t>
      </w:r>
      <w:r w:rsidR="008A6FD2">
        <w:rPr>
          <w:lang w:val="en-US" w:eastAsia="en-US"/>
        </w:rPr>
        <w:t>,</w:t>
      </w:r>
      <w:r w:rsidR="008D64E5">
        <w:rPr>
          <w:lang w:val="en-US" w:eastAsia="en-US"/>
        </w:rPr>
        <w:t xml:space="preserve"> have been examined</w:t>
      </w:r>
      <w:r w:rsidR="009850CC">
        <w:rPr>
          <w:lang w:val="en-US" w:eastAsia="en-US"/>
        </w:rPr>
        <w:t xml:space="preserve"> </w:t>
      </w:r>
      <w:r w:rsidR="009850CC" w:rsidRPr="001323BC">
        <w:rPr>
          <w:lang w:val="en-US" w:eastAsia="en-US"/>
        </w:rPr>
        <w:t>as an alternative to renegotiating the rebate for each item</w:t>
      </w:r>
      <w:r w:rsidR="008D64E5" w:rsidRPr="00F75AA2">
        <w:rPr>
          <w:lang w:val="en-US" w:eastAsia="en-US"/>
        </w:rPr>
        <w:t>.</w:t>
      </w:r>
    </w:p>
    <w:p w14:paraId="36179E3B" w14:textId="77777777" w:rsidR="008D64E5" w:rsidRDefault="008D64E5" w:rsidP="00D43396">
      <w:pPr>
        <w:pStyle w:val="Rec"/>
        <w:ind w:left="0" w:firstLine="0"/>
      </w:pPr>
      <w:r>
        <w:t xml:space="preserve">Alignment </w:t>
      </w:r>
      <w:r w:rsidR="001323BC">
        <w:t xml:space="preserve">and coning </w:t>
      </w:r>
      <w:r w:rsidR="0032611C">
        <w:t>of i</w:t>
      </w:r>
      <w:r>
        <w:t xml:space="preserve">mmunohistochemistry and </w:t>
      </w:r>
      <w:r w:rsidR="0032611C">
        <w:t>i</w:t>
      </w:r>
      <w:r>
        <w:t>mmunocytochemistry items</w:t>
      </w:r>
    </w:p>
    <w:p w14:paraId="431E0B95" w14:textId="77777777" w:rsidR="001323BC" w:rsidRDefault="00F75AA2" w:rsidP="00BE52EB">
      <w:pPr>
        <w:pStyle w:val="NormalBulleted"/>
        <w:rPr>
          <w:lang w:val="en-US" w:eastAsia="en-US"/>
        </w:rPr>
      </w:pPr>
      <w:r w:rsidRPr="001323BC">
        <w:rPr>
          <w:lang w:val="en-US" w:eastAsia="en-US"/>
        </w:rPr>
        <w:t>Alignment of immunohistochemistry and immunocytochemistry items by removal of the latter is recommended</w:t>
      </w:r>
      <w:r w:rsidR="001C09B5">
        <w:rPr>
          <w:lang w:val="en-US" w:eastAsia="en-US"/>
        </w:rPr>
        <w:t>.</w:t>
      </w:r>
    </w:p>
    <w:p w14:paraId="72AF3E46" w14:textId="77777777" w:rsidR="00F75AA2" w:rsidRPr="00C803EF" w:rsidRDefault="001323BC" w:rsidP="00774742">
      <w:pPr>
        <w:pStyle w:val="NormalBulleted"/>
        <w:rPr>
          <w:lang w:val="en-US" w:eastAsia="en-US"/>
        </w:rPr>
      </w:pPr>
      <w:r>
        <w:rPr>
          <w:lang w:val="en-US" w:eastAsia="en-US"/>
        </w:rPr>
        <w:t>R</w:t>
      </w:r>
      <w:r w:rsidR="00F75AA2" w:rsidRPr="001323BC">
        <w:rPr>
          <w:lang w:val="en-US" w:eastAsia="en-US"/>
        </w:rPr>
        <w:t>emoval of tiering of immunohistochemistry items</w:t>
      </w:r>
      <w:r>
        <w:rPr>
          <w:lang w:val="en-US" w:eastAsia="en-US"/>
        </w:rPr>
        <w:t xml:space="preserve"> is recommended, with alternative </w:t>
      </w:r>
      <w:r w:rsidRPr="00C803EF">
        <w:rPr>
          <w:lang w:val="en-US" w:eastAsia="en-US"/>
        </w:rPr>
        <w:t>strategy proposed</w:t>
      </w:r>
      <w:r w:rsidR="001C09B5" w:rsidRPr="00C803EF">
        <w:rPr>
          <w:lang w:val="en-US" w:eastAsia="en-US"/>
        </w:rPr>
        <w:t>.</w:t>
      </w:r>
    </w:p>
    <w:p w14:paraId="47F4F9E4" w14:textId="77777777" w:rsidR="0083633D" w:rsidRDefault="00C803EF" w:rsidP="00774742">
      <w:pPr>
        <w:pStyle w:val="NormalBulleted"/>
        <w:rPr>
          <w:lang w:val="en-US" w:eastAsia="en-US"/>
        </w:rPr>
      </w:pPr>
      <w:r w:rsidRPr="00C803EF">
        <w:rPr>
          <w:lang w:val="en-US" w:eastAsia="en-US"/>
        </w:rPr>
        <w:t>Retention of simple and complex immunohistochemistry items is recommended.</w:t>
      </w:r>
    </w:p>
    <w:p w14:paraId="1C23806A" w14:textId="77777777" w:rsidR="00C803EF" w:rsidRPr="00F73114" w:rsidRDefault="0083633D" w:rsidP="00774742">
      <w:pPr>
        <w:pStyle w:val="NormalBulleted"/>
        <w:rPr>
          <w:lang w:val="en-US" w:eastAsia="en-US"/>
        </w:rPr>
      </w:pPr>
      <w:r w:rsidRPr="00F73114">
        <w:rPr>
          <w:lang w:val="en-US" w:eastAsia="en-US"/>
        </w:rPr>
        <w:t>Creation of a new item for chromogenic in situ hybridization item (exclusive of current in situ hybridization assays on the Genetics schedule) is recommended.</w:t>
      </w:r>
      <w:r w:rsidR="00E11BC0" w:rsidRPr="00F73114">
        <w:rPr>
          <w:lang w:val="en-US" w:eastAsia="en-US"/>
        </w:rPr>
        <w:t xml:space="preserve"> </w:t>
      </w:r>
    </w:p>
    <w:p w14:paraId="19021B28" w14:textId="77777777" w:rsidR="00BE52EB" w:rsidRPr="00F73114" w:rsidRDefault="008D64E5" w:rsidP="00BE52EB">
      <w:pPr>
        <w:spacing w:before="0" w:after="0"/>
        <w:ind w:left="567"/>
        <w:rPr>
          <w:lang w:val="en-US" w:eastAsia="en-US"/>
        </w:rPr>
      </w:pPr>
      <w:r w:rsidRPr="00F73114">
        <w:rPr>
          <w:lang w:val="en-US" w:eastAsia="en-US"/>
        </w:rPr>
        <w:t>The</w:t>
      </w:r>
      <w:r w:rsidR="00F75AA2" w:rsidRPr="00F73114">
        <w:rPr>
          <w:lang w:val="en-US" w:eastAsia="en-US"/>
        </w:rPr>
        <w:t>re is no necessity for separate immunocytochemistry items for the same test.</w:t>
      </w:r>
      <w:r w:rsidR="00E11BC0" w:rsidRPr="00F73114">
        <w:rPr>
          <w:lang w:val="en-US" w:eastAsia="en-US"/>
        </w:rPr>
        <w:t xml:space="preserve"> </w:t>
      </w:r>
      <w:r w:rsidR="00F75AA2" w:rsidRPr="00F73114">
        <w:rPr>
          <w:lang w:val="en-US" w:eastAsia="en-US"/>
        </w:rPr>
        <w:t>Current complex tiering rules are inequitable</w:t>
      </w:r>
      <w:r w:rsidR="008D78C5" w:rsidRPr="00F73114">
        <w:rPr>
          <w:lang w:val="en-US" w:eastAsia="en-US"/>
        </w:rPr>
        <w:t xml:space="preserve"> and should be replaced by an alternative funding model.</w:t>
      </w:r>
    </w:p>
    <w:p w14:paraId="00D88D4D" w14:textId="77777777" w:rsidR="0083633D" w:rsidRPr="00F456C0" w:rsidRDefault="00BE52EB" w:rsidP="00BE52EB">
      <w:pPr>
        <w:spacing w:before="0" w:after="0"/>
        <w:ind w:left="567"/>
        <w:rPr>
          <w:lang w:val="en-US" w:eastAsia="en-US"/>
        </w:rPr>
      </w:pPr>
      <w:r w:rsidRPr="00F73114">
        <w:rPr>
          <w:lang w:val="en-US" w:eastAsia="en-US"/>
        </w:rPr>
        <w:t xml:space="preserve">Assays of different complexity involving immunohistochemical detection should be recognized. </w:t>
      </w:r>
      <w:r w:rsidR="0083633D" w:rsidRPr="00F73114">
        <w:rPr>
          <w:lang w:val="en-US" w:eastAsia="en-US"/>
        </w:rPr>
        <w:t xml:space="preserve">Detection of certain targets by in situ hybridization with chromogenic detection is required for </w:t>
      </w:r>
      <w:proofErr w:type="spellStart"/>
      <w:r w:rsidR="0083633D" w:rsidRPr="00F73114">
        <w:rPr>
          <w:lang w:val="en-US" w:eastAsia="en-US"/>
        </w:rPr>
        <w:t>tumour</w:t>
      </w:r>
      <w:proofErr w:type="spellEnd"/>
      <w:r w:rsidR="0083633D" w:rsidRPr="00F73114">
        <w:rPr>
          <w:lang w:val="en-US" w:eastAsia="en-US"/>
        </w:rPr>
        <w:t xml:space="preserve"> classification and should be recognized by a separate item</w:t>
      </w:r>
      <w:r w:rsidRPr="00F73114">
        <w:rPr>
          <w:lang w:val="en-US" w:eastAsia="en-US"/>
        </w:rPr>
        <w:t xml:space="preserve"> in view of increased costs and complexity</w:t>
      </w:r>
      <w:r w:rsidR="0083633D" w:rsidRPr="00F73114">
        <w:rPr>
          <w:lang w:val="en-US" w:eastAsia="en-US"/>
        </w:rPr>
        <w:t>.</w:t>
      </w:r>
    </w:p>
    <w:p w14:paraId="0EB16631" w14:textId="77777777" w:rsidR="006D1776" w:rsidRDefault="006D1776" w:rsidP="00D43396">
      <w:pPr>
        <w:pStyle w:val="Rec"/>
        <w:ind w:left="0" w:firstLine="0"/>
      </w:pPr>
      <w:r>
        <w:t>Electron microscope</w:t>
      </w:r>
      <w:r w:rsidR="005A4A56">
        <w:t xml:space="preserve"> rebate</w:t>
      </w:r>
    </w:p>
    <w:p w14:paraId="46AA2784" w14:textId="77777777" w:rsidR="008D78C5" w:rsidRPr="001323BC" w:rsidRDefault="00F75AA2" w:rsidP="00774742">
      <w:pPr>
        <w:pStyle w:val="NormalBulleted"/>
        <w:rPr>
          <w:lang w:val="en-US" w:eastAsia="en-US"/>
        </w:rPr>
      </w:pPr>
      <w:r w:rsidRPr="001323BC">
        <w:rPr>
          <w:lang w:val="en-US" w:eastAsia="en-US"/>
        </w:rPr>
        <w:t xml:space="preserve">An immediate increase in the rebate is recommended </w:t>
      </w:r>
      <w:r w:rsidR="008D78C5" w:rsidRPr="001323BC">
        <w:rPr>
          <w:lang w:val="en-US" w:eastAsia="en-US"/>
        </w:rPr>
        <w:t>commensurate with the work involved.</w:t>
      </w:r>
    </w:p>
    <w:p w14:paraId="08BABD66" w14:textId="77777777" w:rsidR="006D1776" w:rsidRPr="00F456C0" w:rsidRDefault="008D78C5" w:rsidP="00CA2A04">
      <w:pPr>
        <w:spacing w:before="0" w:after="0"/>
        <w:ind w:left="567"/>
        <w:rPr>
          <w:lang w:val="en-US" w:eastAsia="en-US"/>
        </w:rPr>
      </w:pPr>
      <w:r>
        <w:rPr>
          <w:lang w:val="en-US" w:eastAsia="en-US"/>
        </w:rPr>
        <w:t xml:space="preserve">This </w:t>
      </w:r>
      <w:proofErr w:type="spellStart"/>
      <w:r w:rsidR="00C803EF">
        <w:rPr>
          <w:lang w:val="en-US" w:eastAsia="en-US"/>
        </w:rPr>
        <w:t>speciali</w:t>
      </w:r>
      <w:r w:rsidR="008A6FD2">
        <w:rPr>
          <w:lang w:val="en-US" w:eastAsia="en-US"/>
        </w:rPr>
        <w:t>s</w:t>
      </w:r>
      <w:r w:rsidR="00C803EF">
        <w:rPr>
          <w:lang w:val="en-US" w:eastAsia="en-US"/>
        </w:rPr>
        <w:t>ed</w:t>
      </w:r>
      <w:proofErr w:type="spellEnd"/>
      <w:r w:rsidR="00C803EF">
        <w:rPr>
          <w:lang w:val="en-US" w:eastAsia="en-US"/>
        </w:rPr>
        <w:t xml:space="preserve"> </w:t>
      </w:r>
      <w:r>
        <w:rPr>
          <w:lang w:val="en-US" w:eastAsia="en-US"/>
        </w:rPr>
        <w:t>low</w:t>
      </w:r>
      <w:r w:rsidR="008A6FD2">
        <w:rPr>
          <w:lang w:val="en-US" w:eastAsia="en-US"/>
        </w:rPr>
        <w:t>-</w:t>
      </w:r>
      <w:r>
        <w:rPr>
          <w:lang w:val="en-US" w:eastAsia="en-US"/>
        </w:rPr>
        <w:t>volume item has been markedly underfunded for many years to the detriment of electron microscopy services.</w:t>
      </w:r>
      <w:r w:rsidR="00E11BC0">
        <w:rPr>
          <w:lang w:val="en-US" w:eastAsia="en-US"/>
        </w:rPr>
        <w:t xml:space="preserve"> </w:t>
      </w:r>
    </w:p>
    <w:p w14:paraId="7F00A3F4" w14:textId="77777777" w:rsidR="005A4A56" w:rsidRDefault="005A4A56" w:rsidP="00D43396">
      <w:pPr>
        <w:pStyle w:val="Rec"/>
        <w:ind w:left="0" w:firstLine="0"/>
      </w:pPr>
      <w:r>
        <w:t>Frozen</w:t>
      </w:r>
      <w:r w:rsidR="00424EF3">
        <w:t>-</w:t>
      </w:r>
      <w:r>
        <w:t>section items</w:t>
      </w:r>
    </w:p>
    <w:p w14:paraId="569EC6CB" w14:textId="77777777" w:rsidR="004D4B8D" w:rsidRDefault="008D78C5" w:rsidP="004D4B8D">
      <w:pPr>
        <w:pStyle w:val="NormalBulleted"/>
        <w:rPr>
          <w:lang w:val="en-US" w:eastAsia="en-US"/>
        </w:rPr>
      </w:pPr>
      <w:r w:rsidRPr="001323BC">
        <w:rPr>
          <w:lang w:val="en-US" w:eastAsia="en-US"/>
        </w:rPr>
        <w:t xml:space="preserve">Removal of current tiering for </w:t>
      </w:r>
      <w:r w:rsidR="008A6FD2">
        <w:rPr>
          <w:lang w:val="en-US" w:eastAsia="en-US"/>
        </w:rPr>
        <w:t>f</w:t>
      </w:r>
      <w:r w:rsidR="00424EF3">
        <w:rPr>
          <w:lang w:val="en-US" w:eastAsia="en-US"/>
        </w:rPr>
        <w:t>rozen-</w:t>
      </w:r>
      <w:r w:rsidR="008A6FD2">
        <w:rPr>
          <w:lang w:val="en-US" w:eastAsia="en-US"/>
        </w:rPr>
        <w:t>s</w:t>
      </w:r>
      <w:r w:rsidR="008A6FD2" w:rsidRPr="001323BC">
        <w:rPr>
          <w:lang w:val="en-US" w:eastAsia="en-US"/>
        </w:rPr>
        <w:t xml:space="preserve">ection </w:t>
      </w:r>
      <w:r w:rsidR="00BE52EB">
        <w:rPr>
          <w:lang w:val="en-US" w:eastAsia="en-US"/>
        </w:rPr>
        <w:t xml:space="preserve">examinations </w:t>
      </w:r>
      <w:r w:rsidR="004D4B8D">
        <w:rPr>
          <w:lang w:val="en-US" w:eastAsia="en-US"/>
        </w:rPr>
        <w:t>is recommended.</w:t>
      </w:r>
    </w:p>
    <w:p w14:paraId="243D3D07" w14:textId="77777777" w:rsidR="005A4A56" w:rsidRPr="004D4B8D" w:rsidRDefault="00BE52EB" w:rsidP="004D4B8D">
      <w:pPr>
        <w:pStyle w:val="NormalBulleted"/>
        <w:numPr>
          <w:ilvl w:val="0"/>
          <w:numId w:val="0"/>
        </w:numPr>
        <w:spacing w:before="240"/>
        <w:ind w:left="357"/>
        <w:rPr>
          <w:lang w:val="en-US" w:eastAsia="en-US"/>
        </w:rPr>
      </w:pPr>
      <w:r w:rsidRPr="004D4B8D">
        <w:rPr>
          <w:lang w:val="en-US" w:eastAsia="en-US"/>
        </w:rPr>
        <w:t>T</w:t>
      </w:r>
      <w:r w:rsidR="005A4A56" w:rsidRPr="004D4B8D">
        <w:rPr>
          <w:lang w:val="en-US" w:eastAsia="en-US"/>
        </w:rPr>
        <w:t xml:space="preserve">he current tiering of </w:t>
      </w:r>
      <w:r w:rsidR="008A6FD2" w:rsidRPr="004D4B8D">
        <w:rPr>
          <w:lang w:val="en-US" w:eastAsia="en-US"/>
        </w:rPr>
        <w:t xml:space="preserve">frozen section </w:t>
      </w:r>
      <w:r w:rsidR="005A4A56" w:rsidRPr="004D4B8D">
        <w:rPr>
          <w:lang w:val="en-US" w:eastAsia="en-US"/>
        </w:rPr>
        <w:t xml:space="preserve">rebates </w:t>
      </w:r>
      <w:r w:rsidR="008D78C5" w:rsidRPr="004D4B8D">
        <w:rPr>
          <w:lang w:val="en-US" w:eastAsia="en-US"/>
        </w:rPr>
        <w:t xml:space="preserve">is unequitable and is impacting on the availability of the service. </w:t>
      </w:r>
    </w:p>
    <w:p w14:paraId="5C5B02DE" w14:textId="77777777" w:rsidR="006D1776" w:rsidRDefault="006D1776" w:rsidP="00D43396">
      <w:pPr>
        <w:pStyle w:val="Rec"/>
        <w:ind w:left="0" w:firstLine="0"/>
      </w:pPr>
      <w:r>
        <w:t>Second</w:t>
      </w:r>
      <w:r w:rsidR="00424EF3">
        <w:t>-</w:t>
      </w:r>
      <w:r>
        <w:t>opinion items</w:t>
      </w:r>
    </w:p>
    <w:p w14:paraId="2A89E9DF" w14:textId="77777777" w:rsidR="00CA2A04" w:rsidRDefault="001323BC" w:rsidP="00CA2A04">
      <w:pPr>
        <w:pStyle w:val="NormalBulleted"/>
        <w:rPr>
          <w:lang w:val="en-US" w:eastAsia="en-US"/>
        </w:rPr>
      </w:pPr>
      <w:r w:rsidRPr="00D37FFE">
        <w:rPr>
          <w:lang w:val="en-US" w:eastAsia="en-US"/>
        </w:rPr>
        <w:t xml:space="preserve">Splitting of the current items to differentiate </w:t>
      </w:r>
      <w:r w:rsidR="005A4A56" w:rsidRPr="00D37FFE">
        <w:rPr>
          <w:lang w:val="en-US" w:eastAsia="en-US"/>
        </w:rPr>
        <w:t>between pathologist</w:t>
      </w:r>
      <w:r w:rsidR="00424EF3">
        <w:rPr>
          <w:lang w:val="en-US" w:eastAsia="en-US"/>
        </w:rPr>
        <w:t>-initiated</w:t>
      </w:r>
      <w:r w:rsidR="005A4A56" w:rsidRPr="00D37FFE">
        <w:rPr>
          <w:lang w:val="en-US" w:eastAsia="en-US"/>
        </w:rPr>
        <w:t xml:space="preserve"> and non-pathologist</w:t>
      </w:r>
      <w:r w:rsidR="00424EF3">
        <w:rPr>
          <w:lang w:val="en-US" w:eastAsia="en-US"/>
        </w:rPr>
        <w:t>-</w:t>
      </w:r>
      <w:r w:rsidR="005A4A56" w:rsidRPr="00D37FFE">
        <w:rPr>
          <w:lang w:val="en-US" w:eastAsia="en-US"/>
        </w:rPr>
        <w:t>initiated requests</w:t>
      </w:r>
      <w:r w:rsidRPr="00D37FFE">
        <w:rPr>
          <w:lang w:val="en-US" w:eastAsia="en-US"/>
        </w:rPr>
        <w:t xml:space="preserve"> is recommended</w:t>
      </w:r>
      <w:r w:rsidR="00D37FFE">
        <w:rPr>
          <w:lang w:val="en-US" w:eastAsia="en-US"/>
        </w:rPr>
        <w:t>.</w:t>
      </w:r>
    </w:p>
    <w:p w14:paraId="07DDE715" w14:textId="77777777" w:rsidR="00D37FFE" w:rsidRPr="00CA2A04" w:rsidRDefault="001323BC" w:rsidP="00CA2A04">
      <w:pPr>
        <w:pStyle w:val="NormalBulleted"/>
        <w:rPr>
          <w:lang w:val="en-US" w:eastAsia="en-US"/>
        </w:rPr>
      </w:pPr>
      <w:r w:rsidRPr="00CA2A04">
        <w:rPr>
          <w:lang w:val="en-US" w:eastAsia="en-US"/>
        </w:rPr>
        <w:t xml:space="preserve">Minor changes to the </w:t>
      </w:r>
      <w:r w:rsidR="006D1776" w:rsidRPr="00CA2A04">
        <w:rPr>
          <w:lang w:val="en-US" w:eastAsia="en-US"/>
        </w:rPr>
        <w:t xml:space="preserve">item descriptor and explanatory notes </w:t>
      </w:r>
      <w:r w:rsidR="00D37FFE" w:rsidRPr="00CA2A04">
        <w:rPr>
          <w:lang w:val="en-US" w:eastAsia="en-US"/>
        </w:rPr>
        <w:t>are recommended.</w:t>
      </w:r>
    </w:p>
    <w:p w14:paraId="66F6C6A6" w14:textId="77777777" w:rsidR="001323BC" w:rsidRDefault="001323BC" w:rsidP="00CA2A04">
      <w:pPr>
        <w:pStyle w:val="NormalBulleted"/>
        <w:numPr>
          <w:ilvl w:val="0"/>
          <w:numId w:val="0"/>
        </w:numPr>
        <w:ind w:left="567"/>
        <w:rPr>
          <w:lang w:val="en-US" w:eastAsia="en-US"/>
        </w:rPr>
      </w:pPr>
      <w:r w:rsidRPr="00D37FFE">
        <w:rPr>
          <w:lang w:val="en-US" w:eastAsia="en-US"/>
        </w:rPr>
        <w:t>Current wording has caused confusion and poor uptake of the item. The recommended changes are to ensure that the items are used appropriately.</w:t>
      </w:r>
    </w:p>
    <w:p w14:paraId="242FCD16" w14:textId="77777777" w:rsidR="00BE52EB" w:rsidRDefault="00BE52EB" w:rsidP="00D43396">
      <w:pPr>
        <w:pStyle w:val="Rec"/>
        <w:ind w:left="0" w:firstLine="0"/>
      </w:pPr>
      <w:r>
        <w:t>Pathologist-determinable items</w:t>
      </w:r>
    </w:p>
    <w:p w14:paraId="58DB855B" w14:textId="77777777" w:rsidR="00D37FFE" w:rsidRPr="00D37FFE" w:rsidRDefault="00D37FFE" w:rsidP="00774742">
      <w:pPr>
        <w:pStyle w:val="NormalBulleted"/>
        <w:rPr>
          <w:lang w:val="en-US" w:eastAsia="en-US"/>
        </w:rPr>
      </w:pPr>
      <w:r w:rsidRPr="00D37FFE">
        <w:rPr>
          <w:lang w:val="en-US" w:eastAsia="en-US"/>
        </w:rPr>
        <w:t xml:space="preserve">Clarification of the pathologist-determinable status of </w:t>
      </w:r>
      <w:r>
        <w:rPr>
          <w:lang w:val="en-US" w:eastAsia="en-US"/>
        </w:rPr>
        <w:t xml:space="preserve">MBS </w:t>
      </w:r>
      <w:r w:rsidRPr="00D37FFE">
        <w:rPr>
          <w:lang w:val="en-US" w:eastAsia="en-US"/>
        </w:rPr>
        <w:t>items is recommended.</w:t>
      </w:r>
    </w:p>
    <w:p w14:paraId="7897CF05" w14:textId="77777777" w:rsidR="00D37FFE" w:rsidRPr="00D37FFE" w:rsidRDefault="00D37FFE" w:rsidP="00774742">
      <w:pPr>
        <w:pStyle w:val="NormalBulleted"/>
        <w:rPr>
          <w:lang w:val="en-US" w:eastAsia="en-US"/>
        </w:rPr>
      </w:pPr>
      <w:r w:rsidRPr="00D37FFE">
        <w:rPr>
          <w:lang w:val="en-US" w:eastAsia="en-US"/>
        </w:rPr>
        <w:t>Consideration of the current limitations to pathologist</w:t>
      </w:r>
      <w:r w:rsidR="00424EF3">
        <w:rPr>
          <w:lang w:val="en-US" w:eastAsia="en-US"/>
        </w:rPr>
        <w:t>-</w:t>
      </w:r>
      <w:r w:rsidRPr="00D37FFE">
        <w:rPr>
          <w:lang w:val="en-US" w:eastAsia="en-US"/>
        </w:rPr>
        <w:t>determinable biomarker testing by MSAC is recommended.</w:t>
      </w:r>
    </w:p>
    <w:p w14:paraId="72EDE049" w14:textId="77777777" w:rsidR="006D6A16" w:rsidRPr="00AB6CE6" w:rsidRDefault="00D37FFE" w:rsidP="00CA2A04">
      <w:pPr>
        <w:spacing w:before="0" w:after="0"/>
        <w:ind w:left="567"/>
        <w:rPr>
          <w:lang w:val="en-US" w:eastAsia="en-US"/>
        </w:rPr>
      </w:pPr>
      <w:r>
        <w:rPr>
          <w:lang w:val="en-US" w:eastAsia="en-US"/>
        </w:rPr>
        <w:t>The current inability of pathologists to cross</w:t>
      </w:r>
      <w:r w:rsidR="00424EF3">
        <w:rPr>
          <w:lang w:val="en-US" w:eastAsia="en-US"/>
        </w:rPr>
        <w:t>-</w:t>
      </w:r>
      <w:r>
        <w:rPr>
          <w:lang w:val="en-US" w:eastAsia="en-US"/>
        </w:rPr>
        <w:t>refer biomarker testing</w:t>
      </w:r>
      <w:r w:rsidR="005A4A56">
        <w:rPr>
          <w:lang w:val="en-US" w:eastAsia="en-US"/>
        </w:rPr>
        <w:t xml:space="preserve"> </w:t>
      </w:r>
      <w:r>
        <w:rPr>
          <w:lang w:val="en-US" w:eastAsia="en-US"/>
        </w:rPr>
        <w:t>causes logistic</w:t>
      </w:r>
      <w:r w:rsidR="00424EF3">
        <w:rPr>
          <w:lang w:val="en-US" w:eastAsia="en-US"/>
        </w:rPr>
        <w:t>al</w:t>
      </w:r>
      <w:r>
        <w:rPr>
          <w:lang w:val="en-US" w:eastAsia="en-US"/>
        </w:rPr>
        <w:t xml:space="preserve"> problems and </w:t>
      </w:r>
      <w:r w:rsidR="005A4A56">
        <w:rPr>
          <w:lang w:val="en-US" w:eastAsia="en-US"/>
        </w:rPr>
        <w:t xml:space="preserve">adversely </w:t>
      </w:r>
      <w:r w:rsidR="00424EF3">
        <w:rPr>
          <w:lang w:val="en-US" w:eastAsia="en-US"/>
        </w:rPr>
        <w:t xml:space="preserve">affects </w:t>
      </w:r>
      <w:r>
        <w:rPr>
          <w:lang w:val="en-US" w:eastAsia="en-US"/>
        </w:rPr>
        <w:t>timely</w:t>
      </w:r>
      <w:r w:rsidR="005A4A56">
        <w:rPr>
          <w:lang w:val="en-US" w:eastAsia="en-US"/>
        </w:rPr>
        <w:t xml:space="preserve"> </w:t>
      </w:r>
      <w:r>
        <w:rPr>
          <w:lang w:val="en-US" w:eastAsia="en-US"/>
        </w:rPr>
        <w:t>testing</w:t>
      </w:r>
      <w:r w:rsidR="005A4A56">
        <w:rPr>
          <w:lang w:val="en-US" w:eastAsia="en-US"/>
        </w:rPr>
        <w:t>. The pathologist</w:t>
      </w:r>
      <w:r w:rsidR="00424EF3">
        <w:rPr>
          <w:lang w:val="en-US" w:eastAsia="en-US"/>
        </w:rPr>
        <w:t>-</w:t>
      </w:r>
      <w:r w:rsidR="005A4A56">
        <w:rPr>
          <w:lang w:val="en-US" w:eastAsia="en-US"/>
        </w:rPr>
        <w:t>determinable status of items should b</w:t>
      </w:r>
      <w:r w:rsidR="00AB6CE6">
        <w:rPr>
          <w:lang w:val="en-US" w:eastAsia="en-US"/>
        </w:rPr>
        <w:t>e clearly indicated on the MBS.</w:t>
      </w:r>
    </w:p>
    <w:p w14:paraId="2AC238E5" w14:textId="77777777" w:rsidR="006F45B4" w:rsidRDefault="006F45B4" w:rsidP="006F45B4">
      <w:pPr>
        <w:pStyle w:val="Heading2"/>
        <w:spacing w:before="280" w:after="120"/>
        <w:ind w:left="576"/>
        <w:rPr>
          <w:rFonts w:eastAsia="Times New Roman"/>
        </w:rPr>
      </w:pPr>
      <w:bookmarkStart w:id="7" w:name="_Toc498516939"/>
      <w:r>
        <w:rPr>
          <w:rFonts w:eastAsia="Times New Roman"/>
        </w:rPr>
        <w:t>Consumer engagement and impact</w:t>
      </w:r>
      <w:bookmarkEnd w:id="7"/>
    </w:p>
    <w:p w14:paraId="780D8414"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 xml:space="preserve">The Committee includes experienced and committed health practitioners and consumer representatives. This section </w:t>
      </w:r>
      <w:proofErr w:type="spellStart"/>
      <w:r w:rsidRPr="006F45B4">
        <w:rPr>
          <w:rFonts w:cs="Arial"/>
          <w:szCs w:val="22"/>
          <w:lang w:val="en-US" w:eastAsia="en-US"/>
        </w:rPr>
        <w:t>summarises</w:t>
      </w:r>
      <w:proofErr w:type="spellEnd"/>
      <w:r w:rsidRPr="006F45B4">
        <w:rPr>
          <w:rFonts w:cs="Arial"/>
          <w:szCs w:val="22"/>
          <w:lang w:val="en-US" w:eastAsia="en-US"/>
        </w:rPr>
        <w:t xml:space="preserve"> the report’s key recommendations from a consumer </w:t>
      </w:r>
      <w:r w:rsidRPr="006F45B4">
        <w:rPr>
          <w:rFonts w:cs="Arial"/>
          <w:szCs w:val="22"/>
          <w:lang w:val="en-US" w:eastAsia="en-US"/>
        </w:rPr>
        <w:lastRenderedPageBreak/>
        <w:t xml:space="preserve">perspective. It aims to make it easier for health consumers and members of the general public to understand the report’s recommendations. </w:t>
      </w:r>
    </w:p>
    <w:p w14:paraId="3990D9C5"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 xml:space="preserve">A complete list of the recommendations can be found in Appendix C, including a description in plain English of the medical service and the Committee’s recommendation, as well as an explanation of why the recommendation has been made. </w:t>
      </w:r>
    </w:p>
    <w:p w14:paraId="04FF20A1"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4A936D98"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 xml:space="preserve">Both consumers and clinicians are expected to benefit from these recommendations because they address concerns regarding consumer safety and quality of </w:t>
      </w:r>
      <w:proofErr w:type="gramStart"/>
      <w:r w:rsidRPr="006F45B4">
        <w:rPr>
          <w:rFonts w:cs="Arial"/>
          <w:szCs w:val="22"/>
          <w:lang w:val="en-US" w:eastAsia="en-US"/>
        </w:rPr>
        <w:t>care, and</w:t>
      </w:r>
      <w:proofErr w:type="gramEnd"/>
      <w:r w:rsidRPr="006F45B4">
        <w:rPr>
          <w:rFonts w:cs="Arial"/>
          <w:szCs w:val="22"/>
          <w:lang w:val="en-US" w:eastAsia="en-US"/>
        </w:rPr>
        <w:t xml:space="preserve"> take steps to simplify the MBS and make it easier to use and understand. Consumer access to services was considered for each recommendation. The Committee also considered the impact of each recommendation on requestor 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14E04766"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 xml:space="preserve">The Committee expects these recommendations to support better requesting, with the aim of ensuring that patients are provided with clinically indicated, high-quality care that reflects modern best practice. </w:t>
      </w:r>
    </w:p>
    <w:p w14:paraId="7B1FCC19" w14:textId="77777777" w:rsidR="006F45B4" w:rsidRPr="006F45B4" w:rsidRDefault="006F45B4" w:rsidP="006F45B4">
      <w:pPr>
        <w:spacing w:before="120" w:after="120"/>
        <w:ind w:right="-25"/>
        <w:rPr>
          <w:rFonts w:cs="Arial"/>
          <w:szCs w:val="22"/>
          <w:lang w:val="en-US" w:eastAsia="en-US"/>
        </w:rPr>
      </w:pPr>
      <w:r w:rsidRPr="006F45B4">
        <w:rPr>
          <w:rFonts w:cs="Arial"/>
          <w:szCs w:val="22"/>
          <w:lang w:val="en-US" w:eastAsia="en-US"/>
        </w:rPr>
        <w:t>The consumer representatives used the following framework to assess recommendations:</w:t>
      </w:r>
    </w:p>
    <w:p w14:paraId="0DE5D631" w14:textId="77777777" w:rsidR="006F45B4" w:rsidRDefault="006F45B4" w:rsidP="006F45B4">
      <w:pPr>
        <w:pStyle w:val="02dash"/>
        <w:numPr>
          <w:ilvl w:val="0"/>
          <w:numId w:val="0"/>
        </w:numPr>
        <w:tabs>
          <w:tab w:val="left" w:pos="720"/>
        </w:tabs>
        <w:ind w:left="567"/>
      </w:pPr>
      <w:r>
        <w:rPr>
          <w:b/>
          <w:bCs/>
        </w:rPr>
        <w:t>Safety</w:t>
      </w:r>
      <w:r>
        <w:t>: None of the recommendations negatively affects the safety of pathology services.</w:t>
      </w:r>
    </w:p>
    <w:p w14:paraId="4556DA0F" w14:textId="77777777" w:rsidR="006F45B4" w:rsidRDefault="006F45B4" w:rsidP="006F45B4">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2FF85D7F" w14:textId="77777777" w:rsidR="006F45B4" w:rsidRDefault="006F45B4" w:rsidP="006F45B4">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6627A820" w14:textId="77777777" w:rsidR="006F45B4" w:rsidRDefault="006F45B4" w:rsidP="006F45B4">
      <w:pPr>
        <w:pStyle w:val="02dash"/>
        <w:numPr>
          <w:ilvl w:val="0"/>
          <w:numId w:val="0"/>
        </w:numPr>
        <w:tabs>
          <w:tab w:val="left" w:pos="720"/>
        </w:tabs>
        <w:ind w:left="567"/>
      </w:pPr>
      <w:r>
        <w:rPr>
          <w:b/>
          <w:bCs/>
        </w:rPr>
        <w:t>Effectiveness</w:t>
      </w:r>
      <w:r>
        <w:t xml:space="preserve">: None of the recommendations reduces the effectiveness of pathology services. </w:t>
      </w:r>
    </w:p>
    <w:p w14:paraId="1A69CF69" w14:textId="77777777" w:rsidR="006F45B4" w:rsidRDefault="006F45B4" w:rsidP="006F45B4">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6846A551" w14:textId="77777777" w:rsidR="006F45B4" w:rsidRDefault="006F45B4" w:rsidP="006F45B4">
      <w:pPr>
        <w:pStyle w:val="02dash"/>
        <w:numPr>
          <w:ilvl w:val="0"/>
          <w:numId w:val="0"/>
        </w:numPr>
        <w:tabs>
          <w:tab w:val="left" w:pos="720"/>
        </w:tabs>
        <w:ind w:left="567"/>
      </w:pPr>
      <w:r>
        <w:rPr>
          <w:b/>
          <w:bCs/>
        </w:rPr>
        <w:t>Accountability</w:t>
      </w:r>
      <w:r>
        <w:t>: Many of the changes include wording that facilitates future auditing for quality purposes.</w:t>
      </w:r>
    </w:p>
    <w:p w14:paraId="7940FAC6" w14:textId="77777777" w:rsidR="006F45B4" w:rsidRDefault="006F45B4" w:rsidP="006F45B4">
      <w:pPr>
        <w:pStyle w:val="02dash"/>
        <w:numPr>
          <w:ilvl w:val="0"/>
          <w:numId w:val="0"/>
        </w:numPr>
        <w:tabs>
          <w:tab w:val="left" w:pos="720"/>
        </w:tabs>
        <w:ind w:left="567"/>
      </w:pPr>
      <w:r>
        <w:rPr>
          <w:b/>
          <w:bCs/>
        </w:rPr>
        <w:t>Data collection</w:t>
      </w:r>
      <w:r>
        <w:t>: Data collection for research, monitoring and auditing presents a huge opportunity for a revised MBS, and the recommendations should improve the opportunities to use this data for targeted research in the future.</w:t>
      </w:r>
    </w:p>
    <w:p w14:paraId="4CE182C7" w14:textId="77777777" w:rsidR="000869E6" w:rsidRPr="006D6A16" w:rsidRDefault="000869E6" w:rsidP="00F623CB">
      <w:pPr>
        <w:rPr>
          <w:rFonts w:eastAsiaTheme="minorHAnsi" w:cs="Arial"/>
          <w:b/>
          <w:bCs/>
          <w:color w:val="808080" w:themeColor="background1" w:themeShade="80"/>
          <w:kern w:val="32"/>
          <w:sz w:val="32"/>
          <w:szCs w:val="28"/>
          <w:lang w:val="en-US" w:eastAsia="en-US"/>
        </w:rPr>
      </w:pPr>
      <w:r w:rsidRPr="006D6A16">
        <w:rPr>
          <w:color w:val="808080" w:themeColor="background1" w:themeShade="80"/>
        </w:rPr>
        <w:br w:type="page"/>
      </w:r>
    </w:p>
    <w:p w14:paraId="0262E816" w14:textId="77777777" w:rsidR="009837DB" w:rsidRPr="007E02E9" w:rsidRDefault="00817A04" w:rsidP="007E02E9">
      <w:pPr>
        <w:pStyle w:val="Heading1"/>
      </w:pPr>
      <w:bookmarkStart w:id="8" w:name="_Toc482203569"/>
      <w:bookmarkStart w:id="9" w:name="_Toc514243821"/>
      <w:r w:rsidRPr="007E02E9">
        <w:lastRenderedPageBreak/>
        <w:t>About the Medicare Benefits Schedule (MBS) Review</w:t>
      </w:r>
      <w:bookmarkEnd w:id="8"/>
      <w:bookmarkEnd w:id="9"/>
      <w:r w:rsidRPr="007E02E9">
        <w:t xml:space="preserve"> </w:t>
      </w:r>
    </w:p>
    <w:p w14:paraId="276E34AA" w14:textId="77777777" w:rsidR="008A05B8" w:rsidRPr="007E02E9" w:rsidRDefault="00463B1C" w:rsidP="00772F53">
      <w:pPr>
        <w:pStyle w:val="Heading2"/>
      </w:pPr>
      <w:bookmarkStart w:id="10" w:name="_Toc482203570"/>
      <w:bookmarkStart w:id="11" w:name="_Toc514243822"/>
      <w:r w:rsidRPr="007E02E9">
        <w:t>Medicare and the MBS</w:t>
      </w:r>
      <w:bookmarkEnd w:id="10"/>
      <w:bookmarkEnd w:id="11"/>
    </w:p>
    <w:p w14:paraId="49E718BA" w14:textId="77777777" w:rsidR="006B0D15" w:rsidRPr="009200D8" w:rsidRDefault="006B0D15" w:rsidP="00707EF7">
      <w:pPr>
        <w:pStyle w:val="Rec"/>
        <w:ind w:left="0" w:firstLine="0"/>
      </w:pPr>
      <w:r w:rsidRPr="009200D8">
        <w:t xml:space="preserve">What is </w:t>
      </w:r>
      <w:r w:rsidRPr="006D6A16">
        <w:t>Medicare</w:t>
      </w:r>
      <w:r w:rsidRPr="009200D8">
        <w:t>?</w:t>
      </w:r>
    </w:p>
    <w:p w14:paraId="41AC868A" w14:textId="77777777" w:rsidR="006B0D15" w:rsidRPr="001F743D" w:rsidRDefault="006B0D15" w:rsidP="001F743D">
      <w:pPr>
        <w:spacing w:before="120" w:after="120"/>
        <w:ind w:right="-25"/>
        <w:rPr>
          <w:rFonts w:cs="Arial"/>
          <w:szCs w:val="22"/>
          <w:lang w:val="en-US" w:eastAsia="en-US"/>
        </w:rPr>
      </w:pPr>
      <w:r w:rsidRPr="001F743D">
        <w:rPr>
          <w:rFonts w:cs="Arial"/>
          <w:szCs w:val="22"/>
          <w:lang w:val="en-US" w:eastAsia="en-US"/>
        </w:rPr>
        <w:t>Medicare is Australia’s universal health scheme</w:t>
      </w:r>
      <w:r w:rsidR="00B61B68">
        <w:rPr>
          <w:rFonts w:cs="Arial"/>
          <w:szCs w:val="22"/>
          <w:lang w:val="en-US" w:eastAsia="en-US"/>
        </w:rPr>
        <w:t>,</w:t>
      </w:r>
      <w:r w:rsidR="00A13A3C" w:rsidRPr="001F743D">
        <w:rPr>
          <w:rFonts w:cs="Arial"/>
          <w:szCs w:val="22"/>
          <w:lang w:val="en-US" w:eastAsia="en-US"/>
        </w:rPr>
        <w:t xml:space="preserve"> which</w:t>
      </w:r>
      <w:r w:rsidR="00B61B68">
        <w:rPr>
          <w:rFonts w:cs="Arial"/>
          <w:szCs w:val="22"/>
          <w:lang w:val="en-US" w:eastAsia="en-US"/>
        </w:rPr>
        <w:t xml:space="preserve"> </w:t>
      </w:r>
      <w:r w:rsidR="00A13A3C" w:rsidRPr="001F743D">
        <w:rPr>
          <w:rFonts w:cs="Arial"/>
          <w:szCs w:val="22"/>
          <w:lang w:val="en-US" w:eastAsia="en-US"/>
        </w:rPr>
        <w:t>enables</w:t>
      </w:r>
      <w:r w:rsidRPr="001F743D">
        <w:rPr>
          <w:rFonts w:cs="Arial"/>
          <w:szCs w:val="22"/>
          <w:lang w:val="en-US" w:eastAsia="en-US"/>
        </w:rPr>
        <w:t xml:space="preserve"> all</w:t>
      </w:r>
      <w:r w:rsidR="00A473A6" w:rsidRPr="001F743D">
        <w:rPr>
          <w:rFonts w:cs="Arial"/>
          <w:szCs w:val="22"/>
          <w:lang w:val="en-US" w:eastAsia="en-US"/>
        </w:rPr>
        <w:t xml:space="preserve"> Australian residents</w:t>
      </w:r>
      <w:r w:rsidRPr="001F743D">
        <w:rPr>
          <w:rFonts w:cs="Arial"/>
          <w:szCs w:val="22"/>
          <w:lang w:val="en-US" w:eastAsia="en-US"/>
        </w:rPr>
        <w:t xml:space="preserve"> (and some overseas visitors) </w:t>
      </w:r>
      <w:r w:rsidR="00F971B5" w:rsidRPr="001F743D">
        <w:rPr>
          <w:rFonts w:cs="Arial"/>
          <w:szCs w:val="22"/>
          <w:lang w:val="en-US" w:eastAsia="en-US"/>
        </w:rPr>
        <w:t xml:space="preserve">to </w:t>
      </w:r>
      <w:r w:rsidR="00AE0B4C" w:rsidRPr="001F743D">
        <w:rPr>
          <w:rFonts w:cs="Arial"/>
          <w:szCs w:val="22"/>
          <w:lang w:val="en-US" w:eastAsia="en-US"/>
        </w:rPr>
        <w:t>have</w:t>
      </w:r>
      <w:r w:rsidRPr="001F743D">
        <w:rPr>
          <w:rFonts w:cs="Arial"/>
          <w:szCs w:val="22"/>
          <w:lang w:val="en-US" w:eastAsia="en-US"/>
        </w:rPr>
        <w:t xml:space="preserve"> access to a wide range of health services </w:t>
      </w:r>
      <w:r w:rsidR="00F971B5" w:rsidRPr="001F743D">
        <w:rPr>
          <w:rFonts w:cs="Arial"/>
          <w:szCs w:val="22"/>
          <w:lang w:val="en-US" w:eastAsia="en-US"/>
        </w:rPr>
        <w:t xml:space="preserve">and medicines </w:t>
      </w:r>
      <w:r w:rsidRPr="001F743D">
        <w:rPr>
          <w:rFonts w:cs="Arial"/>
          <w:szCs w:val="22"/>
          <w:lang w:val="en-US" w:eastAsia="en-US"/>
        </w:rPr>
        <w:t xml:space="preserve">at little or no cost. </w:t>
      </w:r>
    </w:p>
    <w:p w14:paraId="12B23659" w14:textId="77777777" w:rsidR="006B0D15" w:rsidRPr="001F743D" w:rsidRDefault="00A13A3C" w:rsidP="001F743D">
      <w:pPr>
        <w:spacing w:before="120" w:after="120"/>
        <w:ind w:right="-25"/>
        <w:rPr>
          <w:rFonts w:eastAsiaTheme="minorHAnsi" w:cs="Arial"/>
          <w:b/>
          <w:szCs w:val="22"/>
          <w:lang w:eastAsia="en-US"/>
        </w:rPr>
      </w:pPr>
      <w:r w:rsidRPr="001F743D">
        <w:rPr>
          <w:rFonts w:cs="Arial"/>
          <w:szCs w:val="22"/>
        </w:rPr>
        <w:t>Introduced in 1984,</w:t>
      </w:r>
      <w:r w:rsidR="00536EB8" w:rsidRPr="001F743D">
        <w:rPr>
          <w:rFonts w:cs="Arial"/>
          <w:szCs w:val="22"/>
        </w:rPr>
        <w:t xml:space="preserve"> </w:t>
      </w:r>
      <w:r w:rsidR="006B0D15" w:rsidRPr="001F743D">
        <w:rPr>
          <w:rFonts w:cs="Arial"/>
          <w:szCs w:val="22"/>
        </w:rPr>
        <w:t xml:space="preserve">Medicare </w:t>
      </w:r>
      <w:r w:rsidRPr="001F743D">
        <w:rPr>
          <w:rFonts w:cs="Arial"/>
          <w:szCs w:val="22"/>
        </w:rPr>
        <w:t>has three components</w:t>
      </w:r>
      <w:r w:rsidR="0076332F" w:rsidRPr="001F743D">
        <w:rPr>
          <w:rFonts w:cs="Arial"/>
          <w:szCs w:val="22"/>
        </w:rPr>
        <w:t>,</w:t>
      </w:r>
      <w:r w:rsidRPr="001F743D">
        <w:rPr>
          <w:rFonts w:cs="Arial"/>
          <w:szCs w:val="22"/>
        </w:rPr>
        <w:t xml:space="preserve"> being free public hospital services for public patients, subsidised drugs covered by the Pharmaceutical Benefits Scheme</w:t>
      </w:r>
      <w:r w:rsidR="0076332F" w:rsidRPr="001F743D">
        <w:rPr>
          <w:rFonts w:cs="Arial"/>
          <w:szCs w:val="22"/>
        </w:rPr>
        <w:t>,</w:t>
      </w:r>
      <w:r w:rsidRPr="001F743D">
        <w:rPr>
          <w:rFonts w:cs="Arial"/>
          <w:szCs w:val="22"/>
        </w:rPr>
        <w:t xml:space="preserve"> and subsidised health professional services listed on the Medicare Benefits Schedule (MBS</w:t>
      </w:r>
      <w:r w:rsidR="00F971B5" w:rsidRPr="001F743D">
        <w:rPr>
          <w:rFonts w:cs="Arial"/>
          <w:szCs w:val="22"/>
        </w:rPr>
        <w:t>)</w:t>
      </w:r>
      <w:r w:rsidR="006B0D15" w:rsidRPr="001F743D">
        <w:rPr>
          <w:rFonts w:cs="Arial"/>
          <w:szCs w:val="22"/>
        </w:rPr>
        <w:t>.</w:t>
      </w:r>
    </w:p>
    <w:p w14:paraId="59DBC27B" w14:textId="77777777" w:rsidR="008A05B8" w:rsidRPr="001F743D" w:rsidRDefault="008A05B8" w:rsidP="00707EF7">
      <w:pPr>
        <w:pStyle w:val="Rec"/>
        <w:ind w:left="0" w:firstLine="0"/>
      </w:pPr>
      <w:r w:rsidRPr="001F743D">
        <w:t>What is the Medicare Benefits Schedule (MBS)?</w:t>
      </w:r>
    </w:p>
    <w:p w14:paraId="5EC0D3D4" w14:textId="77777777" w:rsidR="008A05B8" w:rsidRPr="001F743D" w:rsidRDefault="00D57793" w:rsidP="001F743D">
      <w:pPr>
        <w:spacing w:before="120" w:after="120"/>
        <w:ind w:right="-25"/>
        <w:rPr>
          <w:rFonts w:cs="Arial"/>
          <w:szCs w:val="22"/>
          <w:lang w:val="en-US" w:eastAsia="en-US"/>
        </w:rPr>
      </w:pPr>
      <w:r w:rsidRPr="001F743D">
        <w:rPr>
          <w:rFonts w:cs="Arial"/>
          <w:szCs w:val="22"/>
          <w:lang w:val="en-US" w:eastAsia="en-US"/>
        </w:rPr>
        <w:t>The Medicare Benefits Schedule is a listing of the</w:t>
      </w:r>
      <w:r w:rsidR="00A13A3C" w:rsidRPr="001F743D">
        <w:rPr>
          <w:rFonts w:cs="Arial"/>
          <w:szCs w:val="22"/>
          <w:lang w:val="en-US" w:eastAsia="en-US"/>
        </w:rPr>
        <w:t xml:space="preserve"> health </w:t>
      </w:r>
      <w:r w:rsidR="00536EB8" w:rsidRPr="001F743D">
        <w:rPr>
          <w:rFonts w:cs="Arial"/>
          <w:szCs w:val="22"/>
          <w:lang w:val="en-US" w:eastAsia="en-US"/>
        </w:rPr>
        <w:t>professional services</w:t>
      </w:r>
      <w:r w:rsidRPr="001F743D">
        <w:rPr>
          <w:rFonts w:cs="Arial"/>
          <w:szCs w:val="22"/>
          <w:lang w:val="en-US" w:eastAsia="en-US"/>
        </w:rPr>
        <w:t xml:space="preserve"> </w:t>
      </w:r>
      <w:proofErr w:type="spellStart"/>
      <w:r w:rsidRPr="001F743D">
        <w:rPr>
          <w:rFonts w:cs="Arial"/>
          <w:szCs w:val="22"/>
          <w:lang w:val="en-US" w:eastAsia="en-US"/>
        </w:rPr>
        <w:t>subsidised</w:t>
      </w:r>
      <w:proofErr w:type="spellEnd"/>
      <w:r w:rsidRPr="001F743D">
        <w:rPr>
          <w:rFonts w:cs="Arial"/>
          <w:szCs w:val="22"/>
          <w:lang w:val="en-US" w:eastAsia="en-US"/>
        </w:rPr>
        <w:t xml:space="preserve"> by the Australian </w:t>
      </w:r>
      <w:r w:rsidR="00536EB8" w:rsidRPr="001F743D">
        <w:rPr>
          <w:rFonts w:cs="Arial"/>
          <w:szCs w:val="22"/>
          <w:lang w:val="en-US" w:eastAsia="en-US"/>
        </w:rPr>
        <w:t>government. There</w:t>
      </w:r>
      <w:r w:rsidR="00F971B5" w:rsidRPr="001F743D">
        <w:rPr>
          <w:rFonts w:cs="Arial"/>
          <w:szCs w:val="22"/>
          <w:lang w:val="en-US" w:eastAsia="en-US"/>
        </w:rPr>
        <w:t xml:space="preserve"> are 5</w:t>
      </w:r>
      <w:r w:rsidR="0076332F" w:rsidRPr="001F743D">
        <w:rPr>
          <w:rFonts w:cs="Arial"/>
          <w:szCs w:val="22"/>
          <w:lang w:val="en-US" w:eastAsia="en-US"/>
        </w:rPr>
        <w:t>,</w:t>
      </w:r>
      <w:r w:rsidR="00F971B5" w:rsidRPr="001F743D">
        <w:rPr>
          <w:rFonts w:cs="Arial"/>
          <w:szCs w:val="22"/>
          <w:lang w:val="en-US" w:eastAsia="en-US"/>
        </w:rPr>
        <w:t>700 MBS items</w:t>
      </w:r>
      <w:r w:rsidR="00B61B68">
        <w:rPr>
          <w:rFonts w:cs="Arial"/>
          <w:szCs w:val="22"/>
          <w:lang w:val="en-US" w:eastAsia="en-US"/>
        </w:rPr>
        <w:t>,</w:t>
      </w:r>
      <w:r w:rsidR="00F971B5" w:rsidRPr="001F743D">
        <w:rPr>
          <w:rFonts w:cs="Arial"/>
          <w:szCs w:val="22"/>
          <w:lang w:val="en-US" w:eastAsia="en-US"/>
        </w:rPr>
        <w:t xml:space="preserve"> </w:t>
      </w:r>
      <w:r w:rsidR="00536EB8" w:rsidRPr="001F743D">
        <w:rPr>
          <w:rFonts w:cs="Arial"/>
          <w:szCs w:val="22"/>
          <w:lang w:val="en-US" w:eastAsia="en-US"/>
        </w:rPr>
        <w:t>which provide</w:t>
      </w:r>
      <w:r w:rsidR="00F971B5" w:rsidRPr="001F743D">
        <w:rPr>
          <w:rFonts w:cs="Arial"/>
          <w:szCs w:val="22"/>
          <w:lang w:val="en-US" w:eastAsia="en-US"/>
        </w:rPr>
        <w:t xml:space="preserve"> </w:t>
      </w:r>
      <w:r w:rsidR="00A473A6" w:rsidRPr="001F743D">
        <w:rPr>
          <w:rFonts w:cs="Arial"/>
          <w:szCs w:val="22"/>
          <w:lang w:val="en-US" w:eastAsia="en-US"/>
        </w:rPr>
        <w:t>benefits to patients</w:t>
      </w:r>
      <w:r w:rsidR="00536EB8" w:rsidRPr="001F743D">
        <w:rPr>
          <w:rFonts w:cs="Arial"/>
          <w:szCs w:val="22"/>
          <w:lang w:val="en-US" w:eastAsia="en-US"/>
        </w:rPr>
        <w:t xml:space="preserve"> for</w:t>
      </w:r>
      <w:r w:rsidR="00F971B5" w:rsidRPr="001F743D">
        <w:rPr>
          <w:rFonts w:cs="Arial"/>
          <w:szCs w:val="22"/>
          <w:lang w:val="en-US" w:eastAsia="en-US"/>
        </w:rPr>
        <w:t xml:space="preserve"> a comprehensive range </w:t>
      </w:r>
      <w:r w:rsidR="0054443F" w:rsidRPr="001F743D">
        <w:rPr>
          <w:rFonts w:cs="Arial"/>
          <w:szCs w:val="22"/>
          <w:lang w:val="en-US" w:eastAsia="en-US"/>
        </w:rPr>
        <w:t>of services</w:t>
      </w:r>
      <w:r w:rsidR="00B61B68">
        <w:rPr>
          <w:rFonts w:cs="Arial"/>
          <w:szCs w:val="22"/>
          <w:lang w:val="en-US" w:eastAsia="en-US"/>
        </w:rPr>
        <w:t>,</w:t>
      </w:r>
      <w:r w:rsidR="00F971B5" w:rsidRPr="001F743D">
        <w:rPr>
          <w:rFonts w:cs="Arial"/>
          <w:szCs w:val="22"/>
          <w:lang w:val="en-US" w:eastAsia="en-US"/>
        </w:rPr>
        <w:t xml:space="preserve"> including consultations, diagnostic tests and operations. </w:t>
      </w:r>
    </w:p>
    <w:p w14:paraId="268B627B" w14:textId="77777777" w:rsidR="008A05B8" w:rsidRPr="001F743D" w:rsidRDefault="008A05B8" w:rsidP="00772F53">
      <w:pPr>
        <w:pStyle w:val="Heading2"/>
      </w:pPr>
      <w:bookmarkStart w:id="12" w:name="_Toc482203571"/>
      <w:bookmarkStart w:id="13" w:name="_Toc514243823"/>
      <w:r w:rsidRPr="001F743D">
        <w:t>What is the MBS Review Taskforce?</w:t>
      </w:r>
      <w:bookmarkEnd w:id="12"/>
      <w:bookmarkEnd w:id="13"/>
    </w:p>
    <w:p w14:paraId="4C4DC2D4" w14:textId="77777777" w:rsidR="008A05B8" w:rsidRPr="001F743D" w:rsidRDefault="008A05B8" w:rsidP="001F743D">
      <w:pPr>
        <w:spacing w:before="120" w:after="120"/>
        <w:ind w:right="-25"/>
        <w:contextualSpacing/>
        <w:rPr>
          <w:rFonts w:cs="Arial"/>
          <w:szCs w:val="22"/>
          <w:lang w:val="en-US" w:eastAsia="en-US"/>
        </w:rPr>
      </w:pPr>
      <w:r w:rsidRPr="001F743D">
        <w:rPr>
          <w:rFonts w:cs="Arial"/>
          <w:szCs w:val="22"/>
          <w:lang w:val="en-US" w:eastAsia="en-US"/>
        </w:rPr>
        <w:t xml:space="preserve">The </w:t>
      </w:r>
      <w:r w:rsidR="00CA0275" w:rsidRPr="001F743D">
        <w:rPr>
          <w:rFonts w:cs="Arial"/>
          <w:szCs w:val="22"/>
          <w:lang w:val="en-US" w:eastAsia="en-US"/>
        </w:rPr>
        <w:t>G</w:t>
      </w:r>
      <w:r w:rsidRPr="001F743D">
        <w:rPr>
          <w:rFonts w:cs="Arial"/>
          <w:szCs w:val="22"/>
          <w:lang w:val="en-US" w:eastAsia="en-US"/>
        </w:rPr>
        <w:t>overnment has established a</w:t>
      </w:r>
      <w:r w:rsidR="00B61B68">
        <w:rPr>
          <w:rFonts w:cs="Arial"/>
          <w:szCs w:val="22"/>
          <w:lang w:val="en-US" w:eastAsia="en-US"/>
        </w:rPr>
        <w:t>n</w:t>
      </w:r>
      <w:r w:rsidRPr="001F743D">
        <w:rPr>
          <w:rFonts w:cs="Arial"/>
          <w:szCs w:val="22"/>
          <w:lang w:val="en-US" w:eastAsia="en-US"/>
        </w:rPr>
        <w:t xml:space="preserve"> </w:t>
      </w:r>
      <w:r w:rsidR="006234D9" w:rsidRPr="001F743D">
        <w:rPr>
          <w:rFonts w:cs="Arial"/>
          <w:szCs w:val="22"/>
          <w:lang w:val="en-US" w:eastAsia="en-US"/>
        </w:rPr>
        <w:t xml:space="preserve">MBS </w:t>
      </w:r>
      <w:r w:rsidRPr="001F743D">
        <w:rPr>
          <w:rFonts w:cs="Arial"/>
          <w:szCs w:val="22"/>
          <w:lang w:val="en-US" w:eastAsia="en-US"/>
        </w:rPr>
        <w:t>Review Taskforce</w:t>
      </w:r>
      <w:r w:rsidR="006234D9" w:rsidRPr="001F743D">
        <w:rPr>
          <w:rFonts w:cs="Arial"/>
          <w:szCs w:val="22"/>
          <w:lang w:val="en-US" w:eastAsia="en-US"/>
        </w:rPr>
        <w:t xml:space="preserve"> (the Taskforce)</w:t>
      </w:r>
      <w:r w:rsidRPr="001F743D">
        <w:rPr>
          <w:rFonts w:cs="Arial"/>
          <w:szCs w:val="22"/>
          <w:lang w:val="en-US" w:eastAsia="en-US"/>
        </w:rPr>
        <w:t xml:space="preserve"> to review all 5</w:t>
      </w:r>
      <w:r w:rsidR="0076332F" w:rsidRPr="001F743D">
        <w:rPr>
          <w:rFonts w:cs="Arial"/>
          <w:szCs w:val="22"/>
          <w:lang w:val="en-US" w:eastAsia="en-US"/>
        </w:rPr>
        <w:t>,</w:t>
      </w:r>
      <w:r w:rsidRPr="001F743D">
        <w:rPr>
          <w:rFonts w:cs="Arial"/>
          <w:szCs w:val="22"/>
          <w:lang w:val="en-US" w:eastAsia="en-US"/>
        </w:rPr>
        <w:t>700 M</w:t>
      </w:r>
      <w:r w:rsidR="00F971B5" w:rsidRPr="001F743D">
        <w:rPr>
          <w:rFonts w:cs="Arial"/>
          <w:szCs w:val="22"/>
          <w:lang w:val="en-US" w:eastAsia="en-US"/>
        </w:rPr>
        <w:t>BS</w:t>
      </w:r>
      <w:r w:rsidRPr="001F743D">
        <w:rPr>
          <w:rFonts w:cs="Arial"/>
          <w:szCs w:val="22"/>
          <w:lang w:val="en-US" w:eastAsia="en-US"/>
        </w:rPr>
        <w:t xml:space="preserve"> items to ensure they are aligned with contemporary clinical evidence and practice and improve health outcomes for patients.</w:t>
      </w:r>
    </w:p>
    <w:p w14:paraId="5E38170E" w14:textId="77777777" w:rsidR="008A05B8" w:rsidRPr="001F743D" w:rsidRDefault="00202DB4" w:rsidP="00707EF7">
      <w:pPr>
        <w:pStyle w:val="Rec"/>
        <w:ind w:left="0" w:firstLine="0"/>
      </w:pPr>
      <w:r w:rsidRPr="001F743D">
        <w:t>What are the g</w:t>
      </w:r>
      <w:r w:rsidR="009A1898" w:rsidRPr="001F743D">
        <w:t>oals of the Taskforce?</w:t>
      </w:r>
    </w:p>
    <w:p w14:paraId="28D95E56" w14:textId="77777777" w:rsidR="00AE0B4C" w:rsidRPr="001F743D" w:rsidRDefault="00AE0B4C" w:rsidP="001F743D">
      <w:pPr>
        <w:spacing w:before="120" w:after="120"/>
        <w:ind w:right="-25"/>
        <w:rPr>
          <w:rFonts w:cs="Arial"/>
          <w:szCs w:val="22"/>
        </w:rPr>
      </w:pPr>
      <w:r w:rsidRPr="001F743D">
        <w:rPr>
          <w:rFonts w:cs="Arial"/>
          <w:szCs w:val="22"/>
        </w:rPr>
        <w:t>The Taskforce is committed to providing recommendations to the Minister that will allow the MBS to deliver on each of these four key goals:</w:t>
      </w:r>
    </w:p>
    <w:p w14:paraId="3604D273" w14:textId="77777777" w:rsidR="00AE0B4C" w:rsidRPr="000869E6" w:rsidRDefault="00AE0B4C" w:rsidP="00774742">
      <w:pPr>
        <w:pStyle w:val="NormalBulleted"/>
      </w:pPr>
      <w:r w:rsidRPr="000869E6">
        <w:rPr>
          <w:b/>
        </w:rPr>
        <w:t>Affordable and universal access</w:t>
      </w:r>
      <w:r w:rsidRPr="000869E6">
        <w:t>—</w:t>
      </w:r>
      <w:r w:rsidR="00306AC2" w:rsidRPr="000869E6">
        <w:t>the</w:t>
      </w:r>
      <w:r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w:t>
      </w:r>
      <w:r w:rsidR="00B61B68">
        <w:t>,</w:t>
      </w:r>
      <w:r w:rsidRPr="000869E6">
        <w:t xml:space="preserve"> with some rural patients being particularly under-serviced.</w:t>
      </w:r>
    </w:p>
    <w:p w14:paraId="720A4B02" w14:textId="77777777" w:rsidR="00AE0B4C" w:rsidRPr="000869E6" w:rsidRDefault="00AE0B4C" w:rsidP="00774742">
      <w:pPr>
        <w:pStyle w:val="NormalBulleted"/>
      </w:pPr>
      <w:r w:rsidRPr="000869E6">
        <w:rPr>
          <w:b/>
        </w:rPr>
        <w:t>Best practice health services</w:t>
      </w:r>
      <w:r w:rsidRPr="000869E6">
        <w:t>—</w:t>
      </w:r>
      <w:r w:rsidR="00306AC2" w:rsidRPr="000869E6">
        <w:t>one</w:t>
      </w:r>
      <w:r w:rsidRPr="000869E6">
        <w:t xml:space="preserv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Pr="000869E6">
        <w:t xml:space="preserve"> never been reviewed.</w:t>
      </w:r>
    </w:p>
    <w:p w14:paraId="0FEC85A3" w14:textId="77777777" w:rsidR="00AE0B4C" w:rsidRPr="000869E6" w:rsidRDefault="00AE0B4C" w:rsidP="00774742">
      <w:pPr>
        <w:pStyle w:val="NormalBulleted"/>
      </w:pPr>
      <w:r w:rsidRPr="000869E6">
        <w:rPr>
          <w:b/>
        </w:rPr>
        <w:t>Value for the individual patient</w:t>
      </w:r>
      <w:r w:rsidR="00306AC2" w:rsidRPr="000869E6">
        <w:t>—a</w:t>
      </w:r>
      <w:r w:rsidRPr="000869E6">
        <w:t>nother core objective of the Review is to have a MBS that supports the delivery of services that are appropriate to the patient’s needs, provide real clinical value and do not expose the patient to unnecessary risk or expense.</w:t>
      </w:r>
    </w:p>
    <w:p w14:paraId="7FCF8611" w14:textId="77777777" w:rsidR="00AE0B4C" w:rsidRPr="000869E6" w:rsidRDefault="00AE0B4C" w:rsidP="00774742">
      <w:pPr>
        <w:pStyle w:val="NormalBulleted"/>
      </w:pPr>
      <w:r w:rsidRPr="000869E6">
        <w:rPr>
          <w:b/>
        </w:rPr>
        <w:t>Value for the health system</w:t>
      </w:r>
      <w:r w:rsidR="00306AC2" w:rsidRPr="000869E6">
        <w:t>—a</w:t>
      </w:r>
      <w:r w:rsidRPr="000869E6">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575741CB" w14:textId="77777777" w:rsidR="00715996" w:rsidRPr="009200D8" w:rsidRDefault="00715996" w:rsidP="00772F53">
      <w:pPr>
        <w:pStyle w:val="Heading2"/>
      </w:pPr>
      <w:bookmarkStart w:id="14" w:name="_Toc482203572"/>
      <w:bookmarkStart w:id="15" w:name="_Toc514243824"/>
      <w:r w:rsidRPr="009200D8">
        <w:t>The Taskforce’s approach</w:t>
      </w:r>
      <w:bookmarkEnd w:id="14"/>
      <w:bookmarkEnd w:id="15"/>
    </w:p>
    <w:p w14:paraId="49840042" w14:textId="77777777" w:rsidR="00AE0B4C" w:rsidRPr="009D0EED" w:rsidRDefault="00715996" w:rsidP="003F788A">
      <w:pPr>
        <w:spacing w:before="120" w:after="120"/>
        <w:rPr>
          <w:rFonts w:cs="Arial"/>
        </w:rPr>
      </w:pPr>
      <w:r w:rsidRPr="00253F2C">
        <w:rPr>
          <w:rFonts w:cs="Arial"/>
        </w:rPr>
        <w:t xml:space="preserve">The Taskforce is </w:t>
      </w:r>
      <w:r w:rsidR="00AE0B4C" w:rsidRPr="009D0EED">
        <w:rPr>
          <w:rFonts w:cs="Arial"/>
        </w:rPr>
        <w:t xml:space="preserve">reviewing the existing MBS items, with </w:t>
      </w:r>
      <w:r w:rsidRPr="009D0EED">
        <w:rPr>
          <w:rFonts w:cs="Arial"/>
        </w:rPr>
        <w:t>a</w:t>
      </w:r>
      <w:r w:rsidR="00AE0B4C" w:rsidRPr="009D0EED">
        <w:rPr>
          <w:rFonts w:cs="Arial"/>
        </w:rPr>
        <w:t xml:space="preserve"> </w:t>
      </w:r>
      <w:r w:rsidRPr="009D0EED">
        <w:rPr>
          <w:rFonts w:cs="Arial"/>
        </w:rPr>
        <w:t xml:space="preserve">primary </w:t>
      </w:r>
      <w:r w:rsidR="00CE0E68" w:rsidRPr="009D0EED">
        <w:rPr>
          <w:rFonts w:cs="Arial"/>
        </w:rPr>
        <w:t>focus</w:t>
      </w:r>
      <w:r w:rsidR="00AE0B4C" w:rsidRPr="009D0EED">
        <w:rPr>
          <w:rFonts w:cs="Arial"/>
        </w:rPr>
        <w:t xml:space="preserve"> on ensuring that individual items and usage meet the definition of best practice. Within the Taskforce’s brief there is considerable scope to review and </w:t>
      </w:r>
      <w:r w:rsidR="00B40614">
        <w:rPr>
          <w:rFonts w:cs="Arial"/>
        </w:rPr>
        <w:t>provide advice</w:t>
      </w:r>
      <w:r w:rsidR="00B40614" w:rsidRPr="009D0EED">
        <w:rPr>
          <w:rFonts w:cs="Arial"/>
        </w:rPr>
        <w:t xml:space="preserve"> </w:t>
      </w:r>
      <w:r w:rsidR="00AE0B4C" w:rsidRPr="009D0EED">
        <w:rPr>
          <w:rFonts w:cs="Arial"/>
        </w:rPr>
        <w:t xml:space="preserve">on all aspects which would contribute to a modern, transparent and responsive system. This includes not only making recommendations </w:t>
      </w:r>
      <w:r w:rsidR="00AE0B4C" w:rsidRPr="009D0EED">
        <w:rPr>
          <w:rFonts w:cs="Arial"/>
        </w:rPr>
        <w:lastRenderedPageBreak/>
        <w:t>about new items or services being added to the MBS, but also about a</w:t>
      </w:r>
      <w:r w:rsidR="00B40614">
        <w:rPr>
          <w:rFonts w:cs="Arial"/>
        </w:rPr>
        <w:t>n</w:t>
      </w:r>
      <w:r w:rsidR="00AE0B4C" w:rsidRPr="009D0EED">
        <w:rPr>
          <w:rFonts w:cs="Arial"/>
        </w:rPr>
        <w:t xml:space="preserve"> MBS structure that could better accommodate changing health service models. The Taskforce has made a conscious decision to be ambitious in its approach and seize this unique opportunity to recommend changes to modernise the MBS on all </w:t>
      </w:r>
      <w:r w:rsidR="00B21D4A">
        <w:rPr>
          <w:rFonts w:cs="Arial"/>
        </w:rPr>
        <w:t>level</w:t>
      </w:r>
      <w:r w:rsidR="00AE0B4C" w:rsidRPr="009D0EED">
        <w:rPr>
          <w:rFonts w:cs="Arial"/>
        </w:rPr>
        <w:t xml:space="preserve">s, from the clinical detail of individual items, to administrative rules and mechanisms, to structural, whole-of-MBS issues. </w:t>
      </w:r>
      <w:r w:rsidRPr="009D0EED">
        <w:rPr>
          <w:rFonts w:cs="Arial"/>
        </w:rPr>
        <w:t>The</w:t>
      </w:r>
      <w:r w:rsidR="00AE0B4C" w:rsidRPr="009D0EED">
        <w:rPr>
          <w:rFonts w:cs="Arial"/>
        </w:rPr>
        <w:t xml:space="preserve"> Taskforce will </w:t>
      </w:r>
      <w:r w:rsidRPr="009D0EED">
        <w:rPr>
          <w:rFonts w:cs="Arial"/>
        </w:rPr>
        <w:t>also develop a</w:t>
      </w:r>
      <w:r w:rsidR="00AE0B4C" w:rsidRPr="009D0EED">
        <w:rPr>
          <w:rFonts w:cs="Arial"/>
        </w:rPr>
        <w:t xml:space="preserve"> mechanism for the ongoing review of the MBS </w:t>
      </w:r>
      <w:r w:rsidR="00224520">
        <w:rPr>
          <w:rFonts w:cs="Arial"/>
        </w:rPr>
        <w:t>o</w:t>
      </w:r>
      <w:r w:rsidR="00224520" w:rsidRPr="009D0EED">
        <w:rPr>
          <w:rFonts w:cs="Arial"/>
        </w:rPr>
        <w:t>nce</w:t>
      </w:r>
      <w:r w:rsidR="00AE0B4C" w:rsidRPr="009D0EED">
        <w:rPr>
          <w:rFonts w:cs="Arial"/>
        </w:rPr>
        <w:t xml:space="preserve"> the current Review is concluded.</w:t>
      </w:r>
    </w:p>
    <w:p w14:paraId="680AB2F3" w14:textId="77777777" w:rsidR="00D84161" w:rsidRDefault="00F971B5" w:rsidP="00D84161">
      <w:pPr>
        <w:spacing w:before="120" w:after="120"/>
        <w:rPr>
          <w:rFonts w:cs="Arial"/>
        </w:rPr>
      </w:pPr>
      <w:r w:rsidRPr="009D0EED">
        <w:rPr>
          <w:rFonts w:cs="Arial"/>
        </w:rPr>
        <w:t xml:space="preserve">As the </w:t>
      </w:r>
      <w:r w:rsidR="00D84161">
        <w:rPr>
          <w:rFonts w:cs="Arial"/>
        </w:rPr>
        <w:t xml:space="preserve">MBS </w:t>
      </w:r>
      <w:r w:rsidRPr="009D0EED">
        <w:rPr>
          <w:rFonts w:cs="Arial"/>
        </w:rPr>
        <w:t>Review is to be clinician</w:t>
      </w:r>
      <w:r w:rsidR="0076332F">
        <w:rPr>
          <w:rFonts w:cs="Arial"/>
        </w:rPr>
        <w:t>-</w:t>
      </w:r>
      <w:r w:rsidRPr="009D0EED">
        <w:rPr>
          <w:rFonts w:cs="Arial"/>
        </w:rPr>
        <w:t xml:space="preserve">led, </w:t>
      </w:r>
      <w:r w:rsidR="00B40614">
        <w:rPr>
          <w:lang w:val="en-AU"/>
        </w:rPr>
        <w:t>the Taskforce decided that Clinical Committees should conduct the detailed review of MBS items</w:t>
      </w:r>
      <w:r w:rsidR="009A0DC4" w:rsidRPr="009D0EED">
        <w:rPr>
          <w:rFonts w:cs="Arial"/>
        </w:rPr>
        <w:t>. The Committees are broad</w:t>
      </w:r>
      <w:r w:rsidR="00B40614">
        <w:rPr>
          <w:rFonts w:cs="Arial"/>
        </w:rPr>
        <w:t>-</w:t>
      </w:r>
      <w:r w:rsidR="009A0DC4" w:rsidRPr="009D0EED">
        <w:rPr>
          <w:rFonts w:cs="Arial"/>
        </w:rPr>
        <w:t xml:space="preserve">based in their membership and members have been appointed in </w:t>
      </w:r>
      <w:r w:rsidR="00B40614">
        <w:rPr>
          <w:rFonts w:cs="Arial"/>
        </w:rPr>
        <w:t>an</w:t>
      </w:r>
      <w:r w:rsidR="00B40614" w:rsidRPr="009D0EED">
        <w:rPr>
          <w:rFonts w:cs="Arial"/>
        </w:rPr>
        <w:t xml:space="preserve"> </w:t>
      </w:r>
      <w:r w:rsidR="009A0DC4" w:rsidRPr="009D0EED">
        <w:rPr>
          <w:rFonts w:cs="Arial"/>
        </w:rPr>
        <w:t>individual capacity</w:t>
      </w:r>
      <w:r w:rsidR="0076332F">
        <w:rPr>
          <w:rFonts w:cs="Arial"/>
        </w:rPr>
        <w:t>,</w:t>
      </w:r>
      <w:r w:rsidR="009A0DC4" w:rsidRPr="009D0EED">
        <w:rPr>
          <w:rFonts w:cs="Arial"/>
        </w:rPr>
        <w:t xml:space="preserve"> </w:t>
      </w:r>
      <w:r w:rsidR="00B40614">
        <w:rPr>
          <w:rFonts w:cs="Arial"/>
        </w:rPr>
        <w:t>rather than</w:t>
      </w:r>
      <w:r w:rsidR="00B40614" w:rsidRPr="009D0EED">
        <w:rPr>
          <w:rFonts w:cs="Arial"/>
        </w:rPr>
        <w:t xml:space="preserve"> </w:t>
      </w:r>
      <w:r w:rsidR="009A0DC4" w:rsidRPr="009D0EED">
        <w:rPr>
          <w:rFonts w:cs="Arial"/>
        </w:rPr>
        <w:t xml:space="preserve">as representatives of any organisation. </w:t>
      </w:r>
      <w:bookmarkStart w:id="16" w:name="_Toc482203573"/>
    </w:p>
    <w:p w14:paraId="7D7FFF59" w14:textId="77777777" w:rsidR="00D84161" w:rsidRPr="00FC1976" w:rsidRDefault="00D84161" w:rsidP="00D84161">
      <w:r w:rsidRPr="00FC1976">
        <w:t xml:space="preserve">The Taskforce asked all committees to review MBS items using a framework based on </w:t>
      </w:r>
      <w:r>
        <w:t>A</w:t>
      </w:r>
      <w:r w:rsidRPr="00FC1976">
        <w:t xml:space="preserve">ppropriate </w:t>
      </w:r>
      <w:r>
        <w:t>U</w:t>
      </w:r>
      <w:r w:rsidRPr="00FC1976">
        <w:t xml:space="preserve">se </w:t>
      </w:r>
      <w:r>
        <w:t>C</w:t>
      </w:r>
      <w:r w:rsidRPr="00FC1976">
        <w:t>riteria</w:t>
      </w:r>
      <w:r>
        <w:t xml:space="preserve"> accepted by the Taskforce (</w:t>
      </w:r>
      <w:proofErr w:type="spellStart"/>
      <w:r>
        <w:t>Elshaug</w:t>
      </w:r>
      <w:proofErr w:type="spellEnd"/>
      <w:r w:rsidR="00625B89">
        <w:t xml:space="preserve"> et al., 2012</w:t>
      </w:r>
      <w:r>
        <w:t>).</w:t>
      </w:r>
      <w:r w:rsidRPr="00FC1976">
        <w:t xml:space="preserve"> The framework consists of seven steps:</w:t>
      </w:r>
    </w:p>
    <w:p w14:paraId="3273E8D4" w14:textId="77777777" w:rsidR="00D84161" w:rsidRPr="00FC1976" w:rsidRDefault="00D84161" w:rsidP="00D84161">
      <w:pPr>
        <w:pStyle w:val="01squarebullet"/>
        <w:numPr>
          <w:ilvl w:val="0"/>
          <w:numId w:val="19"/>
        </w:numPr>
        <w:rPr>
          <w:lang w:val="en-AU"/>
        </w:rPr>
      </w:pPr>
      <w:r w:rsidRPr="00FC1976">
        <w:rPr>
          <w:lang w:val="en-AU"/>
        </w:rPr>
        <w:t xml:space="preserve">Develop an initial fact base for all items under consideration, drawing on the relevant data and literature. </w:t>
      </w:r>
    </w:p>
    <w:p w14:paraId="23B7CB48" w14:textId="77777777" w:rsidR="00D84161" w:rsidRPr="00FC1976" w:rsidRDefault="00D84161" w:rsidP="00D84161">
      <w:pPr>
        <w:pStyle w:val="01squarebullet"/>
        <w:numPr>
          <w:ilvl w:val="0"/>
          <w:numId w:val="19"/>
        </w:numPr>
        <w:rPr>
          <w:lang w:val="en-AU"/>
        </w:rPr>
      </w:pPr>
      <w:r w:rsidRPr="00FC1976">
        <w:rPr>
          <w:lang w:val="en-AU"/>
        </w:rPr>
        <w:t xml:space="preserve">Identify items that are obsolete, are of questionable clinical value, are misused and/or pose a risk to patient safety. This step includes prioritising items as </w:t>
      </w:r>
      <w:r>
        <w:rPr>
          <w:lang w:val="en-AU"/>
        </w:rPr>
        <w:t>‘</w:t>
      </w:r>
      <w:r w:rsidRPr="00FC1976">
        <w:rPr>
          <w:lang w:val="en-AU"/>
        </w:rPr>
        <w:t>priority 1</w:t>
      </w:r>
      <w:r>
        <w:rPr>
          <w:lang w:val="en-AU"/>
        </w:rPr>
        <w:t>,’</w:t>
      </w:r>
      <w:r w:rsidRPr="00FC1976">
        <w:rPr>
          <w:lang w:val="en-AU"/>
        </w:rPr>
        <w:t xml:space="preserve"> </w:t>
      </w:r>
      <w:r>
        <w:rPr>
          <w:lang w:val="en-AU"/>
        </w:rPr>
        <w:t>‘</w:t>
      </w:r>
      <w:r w:rsidRPr="00FC1976">
        <w:rPr>
          <w:lang w:val="en-AU"/>
        </w:rPr>
        <w:t>priority 2</w:t>
      </w:r>
      <w:r>
        <w:rPr>
          <w:lang w:val="en-AU"/>
        </w:rPr>
        <w:t>’</w:t>
      </w:r>
      <w:r w:rsidRPr="00FC1976">
        <w:rPr>
          <w:lang w:val="en-AU"/>
        </w:rPr>
        <w:t xml:space="preserve"> or </w:t>
      </w:r>
      <w:r>
        <w:rPr>
          <w:lang w:val="en-AU"/>
        </w:rPr>
        <w:t>‘</w:t>
      </w:r>
      <w:r w:rsidRPr="00FC1976">
        <w:rPr>
          <w:lang w:val="en-AU"/>
        </w:rPr>
        <w:t>priority 3,</w:t>
      </w:r>
      <w:r>
        <w:rPr>
          <w:lang w:val="en-AU"/>
        </w:rPr>
        <w:t>’</w:t>
      </w:r>
      <w:r w:rsidRPr="00FC1976">
        <w:rPr>
          <w:lang w:val="en-AU"/>
        </w:rPr>
        <w:t xml:space="preserve"> using a prioritisation methodology (described in more detail below).</w:t>
      </w:r>
    </w:p>
    <w:p w14:paraId="5CFE60D2" w14:textId="77777777" w:rsidR="00D84161" w:rsidRPr="00FC1976" w:rsidRDefault="00D84161" w:rsidP="00D84161">
      <w:pPr>
        <w:pStyle w:val="01squarebullet"/>
        <w:numPr>
          <w:ilvl w:val="0"/>
          <w:numId w:val="19"/>
        </w:numPr>
        <w:rPr>
          <w:lang w:val="en-AU"/>
        </w:rPr>
      </w:pPr>
      <w:r w:rsidRPr="00FC1976">
        <w:rPr>
          <w:lang w:val="en-AU"/>
        </w:rPr>
        <w:t xml:space="preserve">Identify any issues, develop hypotheses for recommendations and create a work plan (including establishing </w:t>
      </w:r>
      <w:r>
        <w:rPr>
          <w:lang w:val="en-AU"/>
        </w:rPr>
        <w:t>Working Group</w:t>
      </w:r>
      <w:r w:rsidRPr="00FC1976">
        <w:rPr>
          <w:lang w:val="en-AU"/>
        </w:rPr>
        <w:t>s, when required) to arrive at recommendations for each item.</w:t>
      </w:r>
    </w:p>
    <w:p w14:paraId="25D54610" w14:textId="77777777" w:rsidR="00D84161" w:rsidRPr="00FC1976" w:rsidRDefault="00D84161" w:rsidP="00D84161">
      <w:pPr>
        <w:pStyle w:val="01squarebullet"/>
        <w:numPr>
          <w:ilvl w:val="0"/>
          <w:numId w:val="19"/>
        </w:numPr>
        <w:rPr>
          <w:lang w:val="en-AU"/>
        </w:rPr>
      </w:pPr>
      <w:r w:rsidRPr="00FC1976">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Pr>
          <w:lang w:val="en-AU"/>
        </w:rPr>
        <w:t>Working Group</w:t>
      </w:r>
      <w:r w:rsidRPr="00FC1976">
        <w:rPr>
          <w:lang w:val="en-AU"/>
        </w:rPr>
        <w:t>s, and relevant colleagues or colleges. For complex cases, full appropriate use criteria were developed for the item’s explanatory notes.</w:t>
      </w:r>
    </w:p>
    <w:p w14:paraId="01ED8B43" w14:textId="77777777" w:rsidR="00D84161" w:rsidRPr="00FC1976" w:rsidRDefault="00D84161" w:rsidP="00D84161">
      <w:pPr>
        <w:pStyle w:val="01squarebullet"/>
        <w:numPr>
          <w:ilvl w:val="0"/>
          <w:numId w:val="19"/>
        </w:numPr>
        <w:rPr>
          <w:lang w:val="en-AU"/>
        </w:rPr>
      </w:pPr>
      <w:r w:rsidRPr="00FC1976">
        <w:rPr>
          <w:lang w:val="en-AU"/>
        </w:rPr>
        <w:t xml:space="preserve">Review </w:t>
      </w:r>
      <w:r>
        <w:rPr>
          <w:lang w:val="en-AU"/>
        </w:rPr>
        <w:t xml:space="preserve">the </w:t>
      </w:r>
      <w:r w:rsidRPr="00FC1976">
        <w:rPr>
          <w:lang w:val="en-AU"/>
        </w:rPr>
        <w:t>provisional recommendations and the accompanying rationales, and gather further evidence as required.</w:t>
      </w:r>
    </w:p>
    <w:p w14:paraId="11044CB4" w14:textId="77777777" w:rsidR="00D84161" w:rsidRPr="00FC1976" w:rsidRDefault="00D84161" w:rsidP="00D84161">
      <w:pPr>
        <w:pStyle w:val="01squarebullet"/>
        <w:numPr>
          <w:ilvl w:val="0"/>
          <w:numId w:val="19"/>
        </w:numPr>
        <w:rPr>
          <w:lang w:val="en-AU"/>
        </w:rPr>
      </w:pPr>
      <w:r w:rsidRPr="00FC1976">
        <w:rPr>
          <w:lang w:val="en-AU"/>
        </w:rPr>
        <w:t xml:space="preserve">Finalise </w:t>
      </w:r>
      <w:r>
        <w:rPr>
          <w:lang w:val="en-AU"/>
        </w:rPr>
        <w:t xml:space="preserve">the </w:t>
      </w:r>
      <w:r w:rsidRPr="00FC1976">
        <w:rPr>
          <w:lang w:val="en-AU"/>
        </w:rPr>
        <w:t>recommendations in preparation for broader stakeholder consultation.</w:t>
      </w:r>
    </w:p>
    <w:p w14:paraId="6CFF542E" w14:textId="77777777" w:rsidR="00D84161" w:rsidRPr="00FC1976" w:rsidRDefault="00D84161" w:rsidP="00D84161">
      <w:pPr>
        <w:pStyle w:val="01squarebullet"/>
        <w:numPr>
          <w:ilvl w:val="0"/>
          <w:numId w:val="19"/>
        </w:numPr>
        <w:rPr>
          <w:lang w:val="en-AU"/>
        </w:rPr>
      </w:pPr>
      <w:r w:rsidRPr="00FC1976">
        <w:rPr>
          <w:lang w:val="en-AU"/>
        </w:rPr>
        <w:t xml:space="preserve">Incorporate feedback gathered during stakeholder consultation and finalise the </w:t>
      </w:r>
      <w:r>
        <w:rPr>
          <w:lang w:val="en-AU"/>
        </w:rPr>
        <w:t>Review</w:t>
      </w:r>
      <w:r w:rsidRPr="00FC1976">
        <w:rPr>
          <w:lang w:val="en-AU"/>
        </w:rPr>
        <w:t xml:space="preserve"> report, which provides recommendations for the Taskforce. </w:t>
      </w:r>
    </w:p>
    <w:p w14:paraId="1A4D61CC" w14:textId="77777777" w:rsidR="00D84161" w:rsidRPr="00FC1976" w:rsidRDefault="00D84161" w:rsidP="00D84161">
      <w:r w:rsidRPr="00FC1976">
        <w:t xml:space="preserve">All MBS items </w:t>
      </w:r>
      <w:r w:rsidRPr="00FC1976">
        <w:rPr>
          <w:rFonts w:cs="Arial"/>
        </w:rPr>
        <w:t>will be</w:t>
      </w:r>
      <w:r w:rsidRPr="00FC1976">
        <w:t xml:space="preserve"> reviewed </w:t>
      </w:r>
      <w:proofErr w:type="gramStart"/>
      <w:r w:rsidRPr="00FC1976">
        <w:t>during the course of</w:t>
      </w:r>
      <w:proofErr w:type="gramEnd"/>
      <w:r w:rsidRPr="00FC1976">
        <w:t xml:space="preserve"> the MBS Review. However, given the breadth of and timeframe for the </w:t>
      </w:r>
      <w:r>
        <w:t>Review</w:t>
      </w:r>
      <w:r w:rsidRPr="00FC1976">
        <w:t xml:space="preserve">, each </w:t>
      </w:r>
      <w:r>
        <w:t>Clinical Committee</w:t>
      </w:r>
      <w:r w:rsidRPr="00FC1976">
        <w:t xml:space="preserve"> had to develop a work plan and assign priorities, keeping in mind the objectives of the </w:t>
      </w:r>
      <w:r>
        <w:t>Review</w:t>
      </w:r>
      <w:r w:rsidRPr="00FC1976">
        <w:t>. Committees used a robust prioritisation methodology to focus their attention and resources on the most important items requiring review. This was determined based on a combination of two standard metrics, derived from the appropriate use criteria</w:t>
      </w:r>
      <w:r>
        <w:t xml:space="preserve"> (</w:t>
      </w:r>
      <w:proofErr w:type="spellStart"/>
      <w:r>
        <w:t>Elshaug</w:t>
      </w:r>
      <w:proofErr w:type="spellEnd"/>
      <w:r w:rsidR="00B0793A">
        <w:t xml:space="preserve"> et al, 2012</w:t>
      </w:r>
      <w:r>
        <w:t>):</w:t>
      </w:r>
    </w:p>
    <w:p w14:paraId="25AD96F8" w14:textId="77777777" w:rsidR="00D84161" w:rsidRPr="00FC1976" w:rsidRDefault="00D84161" w:rsidP="00774742">
      <w:pPr>
        <w:pStyle w:val="NormalBulleted"/>
      </w:pPr>
      <w:r w:rsidRPr="00FC1976">
        <w:t>Service volume</w:t>
      </w:r>
      <w:r>
        <w:t>.</w:t>
      </w:r>
    </w:p>
    <w:p w14:paraId="0F8562FE" w14:textId="77777777" w:rsidR="00D84161" w:rsidRPr="00EF500C" w:rsidRDefault="00D84161" w:rsidP="00774742">
      <w:pPr>
        <w:pStyle w:val="NormalBulleted"/>
      </w:pPr>
      <w:r w:rsidRPr="00EF500C">
        <w:t>The likelihood that the item needed to be revised, determined by indicators such as identified safety concerns, geographic or temporal variation, delivery irregularity, the potential misuse of indications or other concerns raised by the Committee (such as inappropriate co-claiming).</w:t>
      </w:r>
    </w:p>
    <w:p w14:paraId="0B3354E9" w14:textId="77777777" w:rsidR="00D84161" w:rsidRPr="00FC1976" w:rsidRDefault="00D84161" w:rsidP="00D84161">
      <w:r w:rsidRPr="00FC1976">
        <w:t xml:space="preserve">For each item, these two metrics were ranked high, medium or low. These rankings were then combined to generate a priority ranking ranging from </w:t>
      </w:r>
      <w:r>
        <w:t>1</w:t>
      </w:r>
      <w:r w:rsidRPr="00FC1976">
        <w:t xml:space="preserve"> to </w:t>
      </w:r>
      <w:r>
        <w:t>3</w:t>
      </w:r>
      <w:r w:rsidRPr="00FC1976">
        <w:t xml:space="preserve"> (where priority 1 items are the highest priority and priority 3 items are the lowest priority for review), using a prioritisation matrix</w:t>
      </w:r>
      <w:r>
        <w:t xml:space="preserve"> (</w:t>
      </w:r>
      <w:r w:rsidRPr="00625B89">
        <w:rPr>
          <w:i/>
        </w:rPr>
        <w:t>Figure</w:t>
      </w:r>
      <w:r w:rsidR="00625B89">
        <w:rPr>
          <w:i/>
        </w:rPr>
        <w:t xml:space="preserve"> </w:t>
      </w:r>
      <w:r w:rsidRPr="00625B89">
        <w:rPr>
          <w:i/>
        </w:rPr>
        <w:t>1</w:t>
      </w:r>
      <w:r w:rsidRPr="00FC1976">
        <w:rPr>
          <w:rFonts w:cs="Arial"/>
        </w:rPr>
        <w:t>).</w:t>
      </w:r>
      <w:r w:rsidRPr="00FC1976">
        <w:t xml:space="preserve"> The Committee used this priority ranking to organise its review of item numbers and apportion the amount of time spent on each item. </w:t>
      </w:r>
    </w:p>
    <w:p w14:paraId="4B4D2FAF" w14:textId="77777777" w:rsidR="00D84161" w:rsidRPr="0050434D" w:rsidRDefault="00D84161" w:rsidP="00D84161">
      <w:pPr>
        <w:pStyle w:val="FigureCaption"/>
      </w:pPr>
      <w:bookmarkStart w:id="17" w:name="_Toc459891304"/>
      <w:bookmarkStart w:id="18" w:name="_Toc458167034"/>
      <w:bookmarkStart w:id="19" w:name="_Ref459985112"/>
      <w:bookmarkStart w:id="20" w:name="_Toc459996843"/>
      <w:bookmarkStart w:id="21" w:name="_Toc459985370"/>
      <w:bookmarkStart w:id="22" w:name="_Toc477785343"/>
      <w:bookmarkStart w:id="23" w:name="_Toc481140373"/>
      <w:r w:rsidRPr="0050434D">
        <w:lastRenderedPageBreak/>
        <w:t>Figure</w:t>
      </w:r>
      <w:r>
        <w:t xml:space="preserve"> </w:t>
      </w:r>
      <w:r w:rsidR="00625B89">
        <w:t>1</w:t>
      </w:r>
      <w:r>
        <w:t>.</w:t>
      </w:r>
      <w:bookmarkEnd w:id="17"/>
      <w:bookmarkEnd w:id="18"/>
      <w:bookmarkEnd w:id="19"/>
      <w:r w:rsidRPr="0050434D">
        <w:t xml:space="preserve"> Prioritisation matrix</w:t>
      </w:r>
      <w:bookmarkEnd w:id="20"/>
      <w:bookmarkEnd w:id="21"/>
      <w:bookmarkEnd w:id="22"/>
      <w:r w:rsidRPr="0050434D">
        <w:t>.</w:t>
      </w:r>
      <w:bookmarkEnd w:id="23"/>
    </w:p>
    <w:p w14:paraId="6B2B1986" w14:textId="77777777" w:rsidR="00D84161" w:rsidRPr="00FC1976" w:rsidRDefault="00D84161" w:rsidP="00D84161">
      <w:r>
        <w:t xml:space="preserve"> </w:t>
      </w:r>
      <w:bookmarkStart w:id="24" w:name="_Toc477786657"/>
      <w:bookmarkStart w:id="25" w:name="_Toc478249927"/>
      <w:r w:rsidRPr="00337817">
        <w:rPr>
          <w:noProof/>
          <w:lang w:val="en-AU"/>
        </w:rPr>
        <w:drawing>
          <wp:inline distT="0" distB="0" distL="0" distR="0" wp14:anchorId="32BED52C" wp14:editId="5E04D0B9">
            <wp:extent cx="4475480" cy="3368675"/>
            <wp:effectExtent l="0" t="0" r="1270" b="3175"/>
            <wp:docPr id="3" name="Picture 3"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24"/>
      <w:bookmarkEnd w:id="25"/>
    </w:p>
    <w:p w14:paraId="6F7F186C" w14:textId="77777777" w:rsidR="004D72E6" w:rsidRPr="009200D8" w:rsidRDefault="004D72E6" w:rsidP="007E02E9">
      <w:pPr>
        <w:pStyle w:val="Heading1"/>
      </w:pPr>
      <w:bookmarkStart w:id="26" w:name="_Toc482203574"/>
      <w:bookmarkStart w:id="27" w:name="_Toc514243825"/>
      <w:bookmarkEnd w:id="16"/>
      <w:r w:rsidRPr="009200D8">
        <w:t>About the</w:t>
      </w:r>
      <w:r w:rsidR="004004C3">
        <w:t xml:space="preserve"> </w:t>
      </w:r>
      <w:r w:rsidR="006D6A16">
        <w:t>Pathology</w:t>
      </w:r>
      <w:r w:rsidRPr="009200D8">
        <w:t xml:space="preserve"> </w:t>
      </w:r>
      <w:r w:rsidR="00B40614">
        <w:t xml:space="preserve">Clinical </w:t>
      </w:r>
      <w:r w:rsidR="00437F91">
        <w:t>Committee</w:t>
      </w:r>
      <w:bookmarkEnd w:id="26"/>
      <w:bookmarkEnd w:id="27"/>
    </w:p>
    <w:p w14:paraId="79D8D30E" w14:textId="77777777" w:rsidR="00437F91" w:rsidRDefault="008E31AA" w:rsidP="00437F91">
      <w:pPr>
        <w:rPr>
          <w:lang w:val="en-US" w:eastAsia="en-US"/>
        </w:rPr>
      </w:pPr>
      <w:bookmarkStart w:id="28" w:name="_Toc455669872"/>
      <w:r w:rsidRPr="00684817">
        <w:rPr>
          <w:lang w:val="en-US" w:eastAsia="en-US"/>
        </w:rPr>
        <w:t xml:space="preserve">The </w:t>
      </w:r>
      <w:r>
        <w:rPr>
          <w:lang w:val="en-US" w:eastAsia="en-US"/>
        </w:rPr>
        <w:t>Pathology</w:t>
      </w:r>
      <w:r w:rsidRPr="00684817">
        <w:rPr>
          <w:lang w:val="en-US" w:eastAsia="en-US"/>
        </w:rPr>
        <w:t xml:space="preserve"> Clinical Committee (the Committee) was established in </w:t>
      </w:r>
      <w:r>
        <w:rPr>
          <w:lang w:val="en-US" w:eastAsia="en-US"/>
        </w:rPr>
        <w:t>2016</w:t>
      </w:r>
      <w:r w:rsidRPr="00684817">
        <w:rPr>
          <w:lang w:val="en-US" w:eastAsia="en-US"/>
        </w:rPr>
        <w:t xml:space="preserve"> to make </w:t>
      </w:r>
      <w:r w:rsidR="00437F91" w:rsidRPr="00684817">
        <w:rPr>
          <w:lang w:val="en-US" w:eastAsia="en-US"/>
        </w:rPr>
        <w:t>recommendations to the MBS Review Taskforce on the review of MBS items within its remit, based on rapid evidence review and clinical expertise.</w:t>
      </w:r>
      <w:r w:rsidR="00D3527C">
        <w:rPr>
          <w:lang w:val="en-US" w:eastAsia="en-US"/>
        </w:rPr>
        <w:t xml:space="preserve"> </w:t>
      </w:r>
      <w:r w:rsidR="00437F91" w:rsidRPr="00684817">
        <w:rPr>
          <w:lang w:val="en-US" w:eastAsia="en-US"/>
        </w:rPr>
        <w:t xml:space="preserve">The Taskforce has asked the Committee to review </w:t>
      </w:r>
      <w:r w:rsidR="00224520">
        <w:rPr>
          <w:lang w:val="en-US" w:eastAsia="en-US"/>
        </w:rPr>
        <w:t xml:space="preserve">anatomical pathology and cytology items </w:t>
      </w:r>
      <w:r w:rsidR="00437F91" w:rsidRPr="00684817">
        <w:rPr>
          <w:lang w:val="en-US" w:eastAsia="en-US"/>
        </w:rPr>
        <w:t>as a priority review.</w:t>
      </w:r>
    </w:p>
    <w:p w14:paraId="0E25A89D" w14:textId="77777777" w:rsidR="00690BF3" w:rsidRDefault="004D72E6" w:rsidP="00772F53">
      <w:pPr>
        <w:pStyle w:val="Heading2"/>
      </w:pPr>
      <w:bookmarkStart w:id="29" w:name="_Toc482203575"/>
      <w:bookmarkStart w:id="30" w:name="_Toc514243826"/>
      <w:r w:rsidRPr="00573594">
        <w:t>Committee</w:t>
      </w:r>
      <w:r>
        <w:t xml:space="preserve"> m</w:t>
      </w:r>
      <w:r w:rsidRPr="009200D8">
        <w:t>embers</w:t>
      </w:r>
      <w:bookmarkEnd w:id="28"/>
      <w:bookmarkEnd w:id="29"/>
      <w:bookmarkEnd w:id="30"/>
    </w:p>
    <w:p w14:paraId="55C2517F" w14:textId="77777777" w:rsidR="00B40614" w:rsidRPr="00C702A9" w:rsidRDefault="00B40614" w:rsidP="00B40614">
      <w:pPr>
        <w:pStyle w:val="Caption"/>
      </w:pPr>
      <w:bookmarkStart w:id="31" w:name="_Toc458167025"/>
      <w:bookmarkStart w:id="32" w:name="_Toc459971207"/>
      <w:bookmarkStart w:id="33" w:name="_Toc459996834"/>
      <w:bookmarkStart w:id="34" w:name="_Toc459891295"/>
      <w:bookmarkStart w:id="35" w:name="_Toc477785174"/>
      <w:bookmarkStart w:id="36" w:name="_Toc481493768"/>
      <w:r w:rsidRPr="00C702A9">
        <w:t xml:space="preserve">Table </w:t>
      </w:r>
      <w:r w:rsidR="00555C4C" w:rsidRPr="00C702A9">
        <w:fldChar w:fldCharType="begin"/>
      </w:r>
      <w:r w:rsidRPr="004D7CE1">
        <w:instrText xml:space="preserve"> SEQ Table \* ARABIC </w:instrText>
      </w:r>
      <w:r w:rsidR="00555C4C" w:rsidRPr="00C702A9">
        <w:fldChar w:fldCharType="separate"/>
      </w:r>
      <w:r w:rsidR="00FC06F1">
        <w:rPr>
          <w:noProof/>
        </w:rPr>
        <w:t>1</w:t>
      </w:r>
      <w:r w:rsidR="00555C4C" w:rsidRPr="00C702A9">
        <w:fldChar w:fldCharType="end"/>
      </w:r>
      <w:r w:rsidRPr="00C702A9">
        <w:t>: Pathology Clinical Committee members</w:t>
      </w:r>
      <w:bookmarkEnd w:id="31"/>
      <w:bookmarkEnd w:id="32"/>
      <w:bookmarkEnd w:id="33"/>
      <w:bookmarkEnd w:id="34"/>
      <w:bookmarkEnd w:id="35"/>
      <w:bookmarkEnd w:id="36"/>
    </w:p>
    <w:tbl>
      <w:tblPr>
        <w:tblStyle w:val="TableGrid"/>
        <w:tblW w:w="4955" w:type="pct"/>
        <w:tblLook w:val="04A0" w:firstRow="1" w:lastRow="0" w:firstColumn="1" w:lastColumn="0" w:noHBand="0" w:noVBand="1"/>
      </w:tblPr>
      <w:tblGrid>
        <w:gridCol w:w="2278"/>
        <w:gridCol w:w="3909"/>
        <w:gridCol w:w="2629"/>
      </w:tblGrid>
      <w:tr w:rsidR="004D72E6" w:rsidRPr="00F648DD" w14:paraId="54379272" w14:textId="77777777" w:rsidTr="0074607A">
        <w:trPr>
          <w:trHeight w:val="187"/>
          <w:tblHeader/>
        </w:trPr>
        <w:tc>
          <w:tcPr>
            <w:tcW w:w="1292" w:type="pct"/>
            <w:shd w:val="clear" w:color="auto" w:fill="F2F2F2" w:themeFill="background1" w:themeFillShade="F2"/>
          </w:tcPr>
          <w:p w14:paraId="1ABD5366" w14:textId="77777777" w:rsidR="004D72E6" w:rsidRPr="00F648DD" w:rsidRDefault="004D72E6" w:rsidP="00573594">
            <w:pPr>
              <w:pStyle w:val="01Tableheaderrow"/>
            </w:pPr>
            <w:r w:rsidRPr="00F648DD">
              <w:t>Name</w:t>
            </w:r>
          </w:p>
        </w:tc>
        <w:tc>
          <w:tcPr>
            <w:tcW w:w="2217" w:type="pct"/>
            <w:shd w:val="clear" w:color="auto" w:fill="F2F2F2" w:themeFill="background1" w:themeFillShade="F2"/>
          </w:tcPr>
          <w:p w14:paraId="6C3536DC" w14:textId="77777777" w:rsidR="004D72E6" w:rsidRPr="00F648DD" w:rsidRDefault="004D72E6" w:rsidP="00573594">
            <w:pPr>
              <w:pStyle w:val="01Tableheaderrow"/>
            </w:pPr>
            <w:r w:rsidRPr="00F648DD">
              <w:t>Position/Organisation</w:t>
            </w:r>
          </w:p>
        </w:tc>
        <w:tc>
          <w:tcPr>
            <w:tcW w:w="1491" w:type="pct"/>
            <w:shd w:val="clear" w:color="auto" w:fill="F2F2F2" w:themeFill="background1" w:themeFillShade="F2"/>
          </w:tcPr>
          <w:p w14:paraId="508688B6" w14:textId="77777777" w:rsidR="004D72E6" w:rsidRPr="00F648DD" w:rsidRDefault="004D72E6" w:rsidP="00573594">
            <w:pPr>
              <w:pStyle w:val="01Tableheaderrow"/>
            </w:pPr>
            <w:r w:rsidRPr="00F648DD">
              <w:t>Declared conflict of interest</w:t>
            </w:r>
          </w:p>
        </w:tc>
      </w:tr>
      <w:tr w:rsidR="006D6A16" w:rsidRPr="00804630" w14:paraId="4A768852" w14:textId="77777777" w:rsidTr="0074607A">
        <w:trPr>
          <w:trHeight w:val="187"/>
        </w:trPr>
        <w:tc>
          <w:tcPr>
            <w:tcW w:w="1292" w:type="pct"/>
            <w:hideMark/>
          </w:tcPr>
          <w:p w14:paraId="72FA0191" w14:textId="77777777" w:rsidR="006D6A16" w:rsidRPr="00804630" w:rsidRDefault="006D6A16" w:rsidP="00573594">
            <w:pPr>
              <w:pStyle w:val="02Tabletext"/>
            </w:pPr>
            <w:r w:rsidRPr="00027AFB">
              <w:t xml:space="preserve">Associate Professor </w:t>
            </w:r>
            <w:r w:rsidR="00081367" w:rsidRPr="00027AFB">
              <w:t>Peter</w:t>
            </w:r>
            <w:r w:rsidR="00081367">
              <w:t> </w:t>
            </w:r>
            <w:r w:rsidRPr="00027AFB">
              <w:t>Stewart</w:t>
            </w:r>
          </w:p>
        </w:tc>
        <w:tc>
          <w:tcPr>
            <w:tcW w:w="2217" w:type="pct"/>
          </w:tcPr>
          <w:p w14:paraId="7C1B15ED" w14:textId="77777777" w:rsidR="006D6A16" w:rsidRPr="00804630" w:rsidRDefault="006D6A16" w:rsidP="00573594">
            <w:pPr>
              <w:pStyle w:val="02Tabletext"/>
            </w:pPr>
            <w:r w:rsidRPr="00027AFB">
              <w:t>Royal Prince Alfred Hospital (Public)</w:t>
            </w:r>
          </w:p>
        </w:tc>
        <w:tc>
          <w:tcPr>
            <w:tcW w:w="1491" w:type="pct"/>
          </w:tcPr>
          <w:p w14:paraId="362527D9" w14:textId="77777777" w:rsidR="006D6A16" w:rsidRPr="00804630" w:rsidRDefault="006D6A16" w:rsidP="00573594">
            <w:pPr>
              <w:pStyle w:val="02Tabletext"/>
            </w:pPr>
            <w:r w:rsidRPr="00027AFB">
              <w:t>None</w:t>
            </w:r>
          </w:p>
        </w:tc>
      </w:tr>
      <w:tr w:rsidR="006D6A16" w:rsidRPr="00804630" w14:paraId="50AFC37A" w14:textId="77777777" w:rsidTr="0074607A">
        <w:trPr>
          <w:trHeight w:val="187"/>
        </w:trPr>
        <w:tc>
          <w:tcPr>
            <w:tcW w:w="1292" w:type="pct"/>
            <w:hideMark/>
          </w:tcPr>
          <w:p w14:paraId="40589F7C" w14:textId="77777777" w:rsidR="006D6A16" w:rsidRPr="00804630" w:rsidRDefault="006D6A16" w:rsidP="00573594">
            <w:pPr>
              <w:pStyle w:val="02Tabletext"/>
            </w:pPr>
            <w:r w:rsidRPr="00027AFB">
              <w:t xml:space="preserve">Professor Rita Horvath </w:t>
            </w:r>
          </w:p>
        </w:tc>
        <w:tc>
          <w:tcPr>
            <w:tcW w:w="2217" w:type="pct"/>
          </w:tcPr>
          <w:p w14:paraId="22EB2EE4" w14:textId="77777777" w:rsidR="006D6A16" w:rsidRPr="00804630" w:rsidRDefault="006D6A16" w:rsidP="00573594">
            <w:pPr>
              <w:pStyle w:val="02Tabletext"/>
            </w:pPr>
            <w:r w:rsidRPr="00027AFB">
              <w:t>South Eastern Area Laboratory Services (Public)</w:t>
            </w:r>
          </w:p>
        </w:tc>
        <w:tc>
          <w:tcPr>
            <w:tcW w:w="1491" w:type="pct"/>
          </w:tcPr>
          <w:p w14:paraId="3372A850" w14:textId="77777777" w:rsidR="006D6A16" w:rsidRPr="00804630" w:rsidRDefault="006D6A16" w:rsidP="00573594">
            <w:pPr>
              <w:pStyle w:val="02Tabletext"/>
            </w:pPr>
            <w:r w:rsidRPr="00027AFB">
              <w:t>None</w:t>
            </w:r>
          </w:p>
        </w:tc>
      </w:tr>
      <w:tr w:rsidR="006D6A16" w:rsidRPr="00804630" w14:paraId="4104683D" w14:textId="77777777" w:rsidTr="0074607A">
        <w:trPr>
          <w:trHeight w:val="187"/>
        </w:trPr>
        <w:tc>
          <w:tcPr>
            <w:tcW w:w="1292" w:type="pct"/>
            <w:hideMark/>
          </w:tcPr>
          <w:p w14:paraId="01EB04ED" w14:textId="77777777" w:rsidR="006D6A16" w:rsidRPr="00804630" w:rsidRDefault="006D6A16" w:rsidP="00573594">
            <w:pPr>
              <w:pStyle w:val="02Tabletext"/>
            </w:pPr>
            <w:r w:rsidRPr="00027AFB">
              <w:t xml:space="preserve">Dr Debra Norris </w:t>
            </w:r>
          </w:p>
        </w:tc>
        <w:tc>
          <w:tcPr>
            <w:tcW w:w="2217" w:type="pct"/>
          </w:tcPr>
          <w:p w14:paraId="3028B743" w14:textId="77777777" w:rsidR="006D6A16" w:rsidRPr="00804630" w:rsidRDefault="006D6A16" w:rsidP="00573594">
            <w:pPr>
              <w:pStyle w:val="02Tabletext"/>
            </w:pPr>
            <w:r w:rsidRPr="00027AFB">
              <w:t>QML Pathology (Primary)</w:t>
            </w:r>
          </w:p>
        </w:tc>
        <w:tc>
          <w:tcPr>
            <w:tcW w:w="1491" w:type="pct"/>
          </w:tcPr>
          <w:p w14:paraId="250B63E7" w14:textId="77777777" w:rsidR="006D6A16" w:rsidRPr="00804630" w:rsidRDefault="006D6A16" w:rsidP="00573594">
            <w:pPr>
              <w:pStyle w:val="02Tabletext"/>
            </w:pPr>
            <w:r w:rsidRPr="00027AFB">
              <w:t>None</w:t>
            </w:r>
          </w:p>
        </w:tc>
      </w:tr>
      <w:tr w:rsidR="006D6A16" w:rsidRPr="00804630" w14:paraId="261997FB" w14:textId="77777777" w:rsidTr="0074607A">
        <w:trPr>
          <w:trHeight w:val="187"/>
        </w:trPr>
        <w:tc>
          <w:tcPr>
            <w:tcW w:w="1292" w:type="pct"/>
            <w:hideMark/>
          </w:tcPr>
          <w:p w14:paraId="611FC566" w14:textId="77777777" w:rsidR="006D6A16" w:rsidRPr="00804630" w:rsidRDefault="006D6A16" w:rsidP="00573594">
            <w:pPr>
              <w:pStyle w:val="02Tabletext"/>
            </w:pPr>
            <w:r w:rsidRPr="00027AFB">
              <w:t xml:space="preserve">Dr Michael Harrison </w:t>
            </w:r>
          </w:p>
        </w:tc>
        <w:tc>
          <w:tcPr>
            <w:tcW w:w="2217" w:type="pct"/>
          </w:tcPr>
          <w:p w14:paraId="1AE4C0B6" w14:textId="77777777" w:rsidR="006D6A16" w:rsidRPr="00804630" w:rsidRDefault="006D6A16" w:rsidP="00573594">
            <w:pPr>
              <w:pStyle w:val="02Tabletext"/>
            </w:pPr>
            <w:r w:rsidRPr="00027AFB">
              <w:t>Sullivan Nicolaides Pathology (Sonic)</w:t>
            </w:r>
          </w:p>
        </w:tc>
        <w:tc>
          <w:tcPr>
            <w:tcW w:w="1491" w:type="pct"/>
          </w:tcPr>
          <w:p w14:paraId="54C1B3BF" w14:textId="77777777" w:rsidR="006D6A16" w:rsidRPr="00804630" w:rsidRDefault="006D6A16" w:rsidP="00573594">
            <w:pPr>
              <w:pStyle w:val="02Tabletext"/>
            </w:pPr>
            <w:r w:rsidRPr="00027AFB">
              <w:t>None</w:t>
            </w:r>
          </w:p>
        </w:tc>
      </w:tr>
      <w:tr w:rsidR="006D6A16" w:rsidRPr="00804630" w14:paraId="47280419" w14:textId="77777777" w:rsidTr="0074607A">
        <w:trPr>
          <w:trHeight w:val="187"/>
        </w:trPr>
        <w:tc>
          <w:tcPr>
            <w:tcW w:w="1292" w:type="pct"/>
            <w:hideMark/>
          </w:tcPr>
          <w:p w14:paraId="3EE839BF" w14:textId="77777777" w:rsidR="006D6A16" w:rsidRPr="00804630" w:rsidRDefault="006D6A16" w:rsidP="00573594">
            <w:pPr>
              <w:pStyle w:val="02Tabletext"/>
            </w:pPr>
            <w:r w:rsidRPr="00027AFB">
              <w:t xml:space="preserve">Associate Professor Ken </w:t>
            </w:r>
            <w:proofErr w:type="spellStart"/>
            <w:r w:rsidRPr="00027AFB">
              <w:t>Sikaris</w:t>
            </w:r>
            <w:proofErr w:type="spellEnd"/>
            <w:r w:rsidRPr="00027AFB">
              <w:t xml:space="preserve"> </w:t>
            </w:r>
          </w:p>
        </w:tc>
        <w:tc>
          <w:tcPr>
            <w:tcW w:w="2217" w:type="pct"/>
          </w:tcPr>
          <w:p w14:paraId="6DFC2BC0" w14:textId="77777777" w:rsidR="006D6A16" w:rsidRPr="00804630" w:rsidRDefault="006D6A16" w:rsidP="00573594">
            <w:pPr>
              <w:pStyle w:val="02Tabletext"/>
            </w:pPr>
            <w:r w:rsidRPr="00027AFB">
              <w:t>Melbourne Pathology (Sonic)</w:t>
            </w:r>
          </w:p>
        </w:tc>
        <w:tc>
          <w:tcPr>
            <w:tcW w:w="1491" w:type="pct"/>
          </w:tcPr>
          <w:p w14:paraId="7E275D02" w14:textId="77777777" w:rsidR="006D6A16" w:rsidRPr="00804630" w:rsidRDefault="006D6A16" w:rsidP="00573594">
            <w:pPr>
              <w:pStyle w:val="02Tabletext"/>
            </w:pPr>
            <w:r w:rsidRPr="00027AFB">
              <w:t>None</w:t>
            </w:r>
          </w:p>
        </w:tc>
      </w:tr>
      <w:tr w:rsidR="006D6A16" w:rsidRPr="00804630" w14:paraId="37650E63" w14:textId="77777777" w:rsidTr="0074607A">
        <w:trPr>
          <w:trHeight w:val="187"/>
        </w:trPr>
        <w:tc>
          <w:tcPr>
            <w:tcW w:w="1292" w:type="pct"/>
            <w:hideMark/>
          </w:tcPr>
          <w:p w14:paraId="6531FBFC" w14:textId="77777777" w:rsidR="006D6A16" w:rsidRPr="00804630" w:rsidRDefault="006D6A16" w:rsidP="00573594">
            <w:pPr>
              <w:pStyle w:val="02Tabletext"/>
            </w:pPr>
            <w:r w:rsidRPr="00027AFB">
              <w:t xml:space="preserve">Dr Melody </w:t>
            </w:r>
            <w:proofErr w:type="spellStart"/>
            <w:r w:rsidRPr="00027AFB">
              <w:t>Caramins</w:t>
            </w:r>
            <w:proofErr w:type="spellEnd"/>
            <w:r w:rsidRPr="00027AFB">
              <w:t xml:space="preserve"> </w:t>
            </w:r>
          </w:p>
        </w:tc>
        <w:tc>
          <w:tcPr>
            <w:tcW w:w="2217" w:type="pct"/>
          </w:tcPr>
          <w:p w14:paraId="499CE8A2" w14:textId="77777777" w:rsidR="006D6A16" w:rsidRPr="00804630" w:rsidRDefault="006D6A16" w:rsidP="00573594">
            <w:pPr>
              <w:pStyle w:val="02Tabletext"/>
            </w:pPr>
            <w:r w:rsidRPr="00027AFB">
              <w:t>Specialist Diagnostic Services (Primary)</w:t>
            </w:r>
          </w:p>
        </w:tc>
        <w:tc>
          <w:tcPr>
            <w:tcW w:w="1491" w:type="pct"/>
          </w:tcPr>
          <w:p w14:paraId="239572E2" w14:textId="77777777" w:rsidR="006D6A16" w:rsidRPr="00804630" w:rsidRDefault="006D6A16" w:rsidP="00573594">
            <w:pPr>
              <w:pStyle w:val="02Tabletext"/>
            </w:pPr>
            <w:r w:rsidRPr="00027AFB">
              <w:t>None</w:t>
            </w:r>
          </w:p>
        </w:tc>
      </w:tr>
      <w:tr w:rsidR="006D6A16" w:rsidRPr="00804630" w14:paraId="17316826" w14:textId="77777777" w:rsidTr="0074607A">
        <w:trPr>
          <w:trHeight w:val="187"/>
        </w:trPr>
        <w:tc>
          <w:tcPr>
            <w:tcW w:w="1292" w:type="pct"/>
            <w:hideMark/>
          </w:tcPr>
          <w:p w14:paraId="3AE5ADFA" w14:textId="77777777" w:rsidR="006D6A16" w:rsidRPr="00804630" w:rsidRDefault="006D6A16" w:rsidP="00573594">
            <w:pPr>
              <w:pStyle w:val="02Tabletext"/>
            </w:pPr>
            <w:r w:rsidRPr="00027AFB">
              <w:t xml:space="preserve">Dr John Rowell </w:t>
            </w:r>
          </w:p>
        </w:tc>
        <w:tc>
          <w:tcPr>
            <w:tcW w:w="2217" w:type="pct"/>
          </w:tcPr>
          <w:p w14:paraId="18502AA3" w14:textId="77777777" w:rsidR="006D6A16" w:rsidRPr="00804630" w:rsidRDefault="006D6A16" w:rsidP="00573594">
            <w:pPr>
              <w:pStyle w:val="02Tabletext"/>
            </w:pPr>
            <w:r w:rsidRPr="00027AFB">
              <w:t>Royal Brisbane &amp; Women's Hospital</w:t>
            </w:r>
          </w:p>
        </w:tc>
        <w:tc>
          <w:tcPr>
            <w:tcW w:w="1491" w:type="pct"/>
          </w:tcPr>
          <w:p w14:paraId="56806862" w14:textId="77777777" w:rsidR="006D6A16" w:rsidRPr="00804630" w:rsidRDefault="006D6A16" w:rsidP="00573594">
            <w:pPr>
              <w:pStyle w:val="02Tabletext"/>
            </w:pPr>
            <w:r w:rsidRPr="00027AFB">
              <w:t>None</w:t>
            </w:r>
          </w:p>
        </w:tc>
      </w:tr>
      <w:tr w:rsidR="006D6A16" w:rsidRPr="00804630" w14:paraId="3E5B2BD5" w14:textId="77777777" w:rsidTr="0074607A">
        <w:trPr>
          <w:trHeight w:val="187"/>
        </w:trPr>
        <w:tc>
          <w:tcPr>
            <w:tcW w:w="1292" w:type="pct"/>
            <w:hideMark/>
          </w:tcPr>
          <w:p w14:paraId="5D752689" w14:textId="77777777" w:rsidR="006D6A16" w:rsidRPr="00804630" w:rsidRDefault="006D6A16" w:rsidP="00573594">
            <w:pPr>
              <w:pStyle w:val="02Tabletext"/>
            </w:pPr>
            <w:r w:rsidRPr="00027AFB">
              <w:t>Professor Dominic Mallon</w:t>
            </w:r>
          </w:p>
        </w:tc>
        <w:tc>
          <w:tcPr>
            <w:tcW w:w="2217" w:type="pct"/>
          </w:tcPr>
          <w:p w14:paraId="72544077" w14:textId="77777777" w:rsidR="006D6A16" w:rsidRPr="00804630" w:rsidRDefault="006D6A16" w:rsidP="00573594">
            <w:pPr>
              <w:pStyle w:val="02Tabletext"/>
            </w:pPr>
            <w:proofErr w:type="spellStart"/>
            <w:r w:rsidRPr="00027AFB">
              <w:t>PathWest</w:t>
            </w:r>
            <w:proofErr w:type="spellEnd"/>
          </w:p>
        </w:tc>
        <w:tc>
          <w:tcPr>
            <w:tcW w:w="1491" w:type="pct"/>
          </w:tcPr>
          <w:p w14:paraId="253A083F" w14:textId="77777777" w:rsidR="006D6A16" w:rsidRPr="00804630" w:rsidRDefault="006D6A16" w:rsidP="00573594">
            <w:pPr>
              <w:pStyle w:val="02Tabletext"/>
            </w:pPr>
            <w:r w:rsidRPr="00027AFB">
              <w:t>None</w:t>
            </w:r>
          </w:p>
        </w:tc>
      </w:tr>
      <w:tr w:rsidR="006D6A16" w:rsidRPr="00804630" w14:paraId="7CA42899" w14:textId="77777777" w:rsidTr="0074607A">
        <w:trPr>
          <w:trHeight w:val="187"/>
        </w:trPr>
        <w:tc>
          <w:tcPr>
            <w:tcW w:w="1292" w:type="pct"/>
            <w:hideMark/>
          </w:tcPr>
          <w:p w14:paraId="4AAD6724" w14:textId="77777777" w:rsidR="006D6A16" w:rsidRPr="00804630" w:rsidRDefault="006D6A16" w:rsidP="00573594">
            <w:pPr>
              <w:pStyle w:val="02Tabletext"/>
            </w:pPr>
            <w:r w:rsidRPr="00027AFB">
              <w:t>Dr Peter Roberts</w:t>
            </w:r>
          </w:p>
        </w:tc>
        <w:tc>
          <w:tcPr>
            <w:tcW w:w="2217" w:type="pct"/>
          </w:tcPr>
          <w:p w14:paraId="795AA4F8" w14:textId="77777777" w:rsidR="006D6A16" w:rsidRPr="00804630" w:rsidRDefault="006D6A16" w:rsidP="00573594">
            <w:pPr>
              <w:pStyle w:val="02Tabletext"/>
            </w:pPr>
            <w:r w:rsidRPr="00027AFB">
              <w:t>Ryde Hospital (AESM)</w:t>
            </w:r>
          </w:p>
        </w:tc>
        <w:tc>
          <w:tcPr>
            <w:tcW w:w="1491" w:type="pct"/>
          </w:tcPr>
          <w:p w14:paraId="2577B695" w14:textId="77777777" w:rsidR="006D6A16" w:rsidRPr="00804630" w:rsidRDefault="006D6A16" w:rsidP="00573594">
            <w:pPr>
              <w:pStyle w:val="02Tabletext"/>
            </w:pPr>
            <w:r w:rsidRPr="00027AFB">
              <w:t>None</w:t>
            </w:r>
          </w:p>
        </w:tc>
      </w:tr>
      <w:tr w:rsidR="006D6A16" w:rsidRPr="00804630" w14:paraId="5C06D9C8" w14:textId="77777777" w:rsidTr="0074607A">
        <w:trPr>
          <w:trHeight w:val="187"/>
        </w:trPr>
        <w:tc>
          <w:tcPr>
            <w:tcW w:w="1292" w:type="pct"/>
            <w:hideMark/>
          </w:tcPr>
          <w:p w14:paraId="40B677CF" w14:textId="77777777" w:rsidR="006D6A16" w:rsidRPr="00804630" w:rsidRDefault="006D6A16" w:rsidP="00573594">
            <w:pPr>
              <w:pStyle w:val="02Tabletext"/>
            </w:pPr>
            <w:r w:rsidRPr="00027AFB">
              <w:t xml:space="preserve">Associate Professor </w:t>
            </w:r>
            <w:r w:rsidR="00081367" w:rsidRPr="00027AFB">
              <w:t>Anthony</w:t>
            </w:r>
            <w:r w:rsidR="00081367">
              <w:t> </w:t>
            </w:r>
            <w:r w:rsidRPr="00027AFB">
              <w:t>Landgren</w:t>
            </w:r>
          </w:p>
        </w:tc>
        <w:tc>
          <w:tcPr>
            <w:tcW w:w="2217" w:type="pct"/>
          </w:tcPr>
          <w:p w14:paraId="331F0E5A" w14:textId="77777777" w:rsidR="006D6A16" w:rsidRPr="00804630" w:rsidRDefault="006D6A16" w:rsidP="00573594">
            <w:pPr>
              <w:pStyle w:val="02Tabletext"/>
            </w:pPr>
            <w:r w:rsidRPr="00027AFB">
              <w:t>Australian Clinical Labs</w:t>
            </w:r>
          </w:p>
        </w:tc>
        <w:tc>
          <w:tcPr>
            <w:tcW w:w="1491" w:type="pct"/>
          </w:tcPr>
          <w:p w14:paraId="4976577B" w14:textId="77777777" w:rsidR="006D6A16" w:rsidRPr="00804630" w:rsidRDefault="006D6A16" w:rsidP="00573594">
            <w:pPr>
              <w:pStyle w:val="02Tabletext"/>
            </w:pPr>
            <w:r w:rsidRPr="00027AFB">
              <w:t>None</w:t>
            </w:r>
          </w:p>
        </w:tc>
      </w:tr>
      <w:tr w:rsidR="006D6A16" w:rsidRPr="00804630" w14:paraId="6D919B20" w14:textId="77777777" w:rsidTr="0074607A">
        <w:trPr>
          <w:trHeight w:val="187"/>
        </w:trPr>
        <w:tc>
          <w:tcPr>
            <w:tcW w:w="1292" w:type="pct"/>
            <w:hideMark/>
          </w:tcPr>
          <w:p w14:paraId="0DDDAE2B" w14:textId="77777777" w:rsidR="006D6A16" w:rsidRPr="00804630" w:rsidRDefault="006D6A16" w:rsidP="00573594">
            <w:pPr>
              <w:pStyle w:val="02Tabletext"/>
            </w:pPr>
            <w:r w:rsidRPr="00027AFB">
              <w:t xml:space="preserve">Associate Professor </w:t>
            </w:r>
            <w:r w:rsidR="00081367">
              <w:br/>
            </w:r>
            <w:r w:rsidRPr="00027AFB">
              <w:t xml:space="preserve">Mary-Jo Waters </w:t>
            </w:r>
          </w:p>
        </w:tc>
        <w:tc>
          <w:tcPr>
            <w:tcW w:w="2217" w:type="pct"/>
          </w:tcPr>
          <w:p w14:paraId="0C6F594D" w14:textId="77777777" w:rsidR="006D6A16" w:rsidRPr="00804630" w:rsidRDefault="006D6A16" w:rsidP="00573594">
            <w:pPr>
              <w:pStyle w:val="02Tabletext"/>
            </w:pPr>
            <w:r w:rsidRPr="00027AFB">
              <w:t xml:space="preserve">St Vincent's </w:t>
            </w:r>
            <w:proofErr w:type="gramStart"/>
            <w:r w:rsidRPr="00027AFB">
              <w:t xml:space="preserve">Pathology </w:t>
            </w:r>
            <w:r w:rsidR="00C42819">
              <w:t>,</w:t>
            </w:r>
            <w:proofErr w:type="gramEnd"/>
            <w:r w:rsidR="00C42819">
              <w:t xml:space="preserve"> Melbourne </w:t>
            </w:r>
            <w:r w:rsidRPr="00027AFB">
              <w:t>(CHA)</w:t>
            </w:r>
          </w:p>
        </w:tc>
        <w:tc>
          <w:tcPr>
            <w:tcW w:w="1491" w:type="pct"/>
          </w:tcPr>
          <w:p w14:paraId="26C1A2DC" w14:textId="77777777" w:rsidR="006D6A16" w:rsidRPr="00804630" w:rsidRDefault="006D6A16" w:rsidP="00573594">
            <w:pPr>
              <w:pStyle w:val="02Tabletext"/>
            </w:pPr>
            <w:r w:rsidRPr="00027AFB">
              <w:t>None</w:t>
            </w:r>
          </w:p>
        </w:tc>
      </w:tr>
      <w:tr w:rsidR="006D6A16" w:rsidRPr="00804630" w14:paraId="12C239FC" w14:textId="77777777" w:rsidTr="0074607A">
        <w:trPr>
          <w:trHeight w:val="187"/>
        </w:trPr>
        <w:tc>
          <w:tcPr>
            <w:tcW w:w="1292" w:type="pct"/>
          </w:tcPr>
          <w:p w14:paraId="05F9063A" w14:textId="77777777" w:rsidR="006D6A16" w:rsidRDefault="006D6A16" w:rsidP="00573594">
            <w:pPr>
              <w:pStyle w:val="02Tabletext"/>
              <w:rPr>
                <w:bCs/>
                <w:color w:val="000000"/>
              </w:rPr>
            </w:pPr>
            <w:r w:rsidRPr="00027AFB">
              <w:t xml:space="preserve">Professor Richard </w:t>
            </w:r>
            <w:proofErr w:type="spellStart"/>
            <w:r w:rsidRPr="00027AFB">
              <w:t>Maclsaac</w:t>
            </w:r>
            <w:proofErr w:type="spellEnd"/>
          </w:p>
        </w:tc>
        <w:tc>
          <w:tcPr>
            <w:tcW w:w="2217" w:type="pct"/>
          </w:tcPr>
          <w:p w14:paraId="3D708C41" w14:textId="77777777" w:rsidR="006D6A16" w:rsidRDefault="006D6A16" w:rsidP="00573594">
            <w:pPr>
              <w:pStyle w:val="02Tabletext"/>
              <w:rPr>
                <w:color w:val="000000"/>
              </w:rPr>
            </w:pPr>
            <w:r w:rsidRPr="00027AFB">
              <w:t>St Vincent's Hospital</w:t>
            </w:r>
            <w:r w:rsidR="00C42819">
              <w:t xml:space="preserve"> Melbourne (CHA)</w:t>
            </w:r>
          </w:p>
        </w:tc>
        <w:tc>
          <w:tcPr>
            <w:tcW w:w="1491" w:type="pct"/>
          </w:tcPr>
          <w:p w14:paraId="21C16166" w14:textId="77777777" w:rsidR="006D6A16" w:rsidRDefault="006D6A16" w:rsidP="00573594">
            <w:pPr>
              <w:pStyle w:val="02Tabletext"/>
            </w:pPr>
            <w:r w:rsidRPr="00027AFB">
              <w:t>None</w:t>
            </w:r>
          </w:p>
        </w:tc>
      </w:tr>
      <w:tr w:rsidR="006D6A16" w:rsidRPr="00804630" w14:paraId="72D00AF1" w14:textId="77777777" w:rsidTr="0074607A">
        <w:trPr>
          <w:trHeight w:val="187"/>
        </w:trPr>
        <w:tc>
          <w:tcPr>
            <w:tcW w:w="1292" w:type="pct"/>
          </w:tcPr>
          <w:p w14:paraId="4037274D" w14:textId="77777777" w:rsidR="006D6A16" w:rsidRDefault="006D6A16" w:rsidP="00573594">
            <w:pPr>
              <w:pStyle w:val="02Tabletext"/>
              <w:rPr>
                <w:bCs/>
                <w:color w:val="000000"/>
              </w:rPr>
            </w:pPr>
            <w:r w:rsidRPr="00027AFB">
              <w:t xml:space="preserve">Dr Emil </w:t>
            </w:r>
            <w:proofErr w:type="spellStart"/>
            <w:r w:rsidRPr="00027AFB">
              <w:t>Djakic</w:t>
            </w:r>
            <w:proofErr w:type="spellEnd"/>
          </w:p>
        </w:tc>
        <w:tc>
          <w:tcPr>
            <w:tcW w:w="2217" w:type="pct"/>
          </w:tcPr>
          <w:p w14:paraId="1EEB9C00" w14:textId="77777777" w:rsidR="006D6A16" w:rsidRDefault="006D6A16" w:rsidP="00573594">
            <w:pPr>
              <w:pStyle w:val="02Tabletext"/>
              <w:rPr>
                <w:color w:val="000000"/>
              </w:rPr>
            </w:pPr>
            <w:r w:rsidRPr="00027AFB">
              <w:t xml:space="preserve">General </w:t>
            </w:r>
            <w:r w:rsidR="00081367">
              <w:t>P</w:t>
            </w:r>
            <w:r w:rsidR="00081367" w:rsidRPr="00027AFB">
              <w:t>ractitioner</w:t>
            </w:r>
          </w:p>
        </w:tc>
        <w:tc>
          <w:tcPr>
            <w:tcW w:w="1491" w:type="pct"/>
          </w:tcPr>
          <w:p w14:paraId="4FCC7C79" w14:textId="77777777" w:rsidR="006D6A16" w:rsidRDefault="006D6A16" w:rsidP="00573594">
            <w:pPr>
              <w:pStyle w:val="02Tabletext"/>
            </w:pPr>
            <w:r w:rsidRPr="00027AFB">
              <w:t>None</w:t>
            </w:r>
          </w:p>
        </w:tc>
      </w:tr>
      <w:tr w:rsidR="006D6A16" w:rsidRPr="00804630" w14:paraId="253115E5" w14:textId="77777777" w:rsidTr="0074607A">
        <w:trPr>
          <w:trHeight w:val="187"/>
        </w:trPr>
        <w:tc>
          <w:tcPr>
            <w:tcW w:w="1292" w:type="pct"/>
          </w:tcPr>
          <w:p w14:paraId="3240A95A" w14:textId="77777777" w:rsidR="006D6A16" w:rsidRDefault="006D6A16" w:rsidP="00573594">
            <w:pPr>
              <w:pStyle w:val="02Tabletext"/>
              <w:rPr>
                <w:bCs/>
                <w:color w:val="000000"/>
              </w:rPr>
            </w:pPr>
            <w:r w:rsidRPr="00027AFB">
              <w:t xml:space="preserve">Dr Bev </w:t>
            </w:r>
            <w:proofErr w:type="spellStart"/>
            <w:r w:rsidRPr="00027AFB">
              <w:t>Rowbotham</w:t>
            </w:r>
            <w:proofErr w:type="spellEnd"/>
          </w:p>
        </w:tc>
        <w:tc>
          <w:tcPr>
            <w:tcW w:w="2217" w:type="pct"/>
          </w:tcPr>
          <w:p w14:paraId="75ADA773" w14:textId="77777777" w:rsidR="006D6A16" w:rsidRDefault="006D6A16" w:rsidP="00573594">
            <w:pPr>
              <w:pStyle w:val="02Tabletext"/>
              <w:rPr>
                <w:color w:val="000000"/>
              </w:rPr>
            </w:pPr>
            <w:r w:rsidRPr="00027AFB">
              <w:t>MBS Taskforce</w:t>
            </w:r>
          </w:p>
        </w:tc>
        <w:tc>
          <w:tcPr>
            <w:tcW w:w="1491" w:type="pct"/>
          </w:tcPr>
          <w:p w14:paraId="21FDEB1A" w14:textId="77777777" w:rsidR="006D6A16" w:rsidRDefault="006D6A16" w:rsidP="00573594">
            <w:pPr>
              <w:pStyle w:val="02Tabletext"/>
            </w:pPr>
            <w:r w:rsidRPr="00027AFB">
              <w:t>None</w:t>
            </w:r>
          </w:p>
        </w:tc>
      </w:tr>
      <w:tr w:rsidR="006D6A16" w:rsidRPr="00804630" w14:paraId="1FDF2DF8" w14:textId="77777777" w:rsidTr="0074607A">
        <w:trPr>
          <w:trHeight w:val="187"/>
        </w:trPr>
        <w:tc>
          <w:tcPr>
            <w:tcW w:w="1292" w:type="pct"/>
          </w:tcPr>
          <w:p w14:paraId="6721B6AC" w14:textId="77777777" w:rsidR="006D6A16" w:rsidRDefault="006D6A16" w:rsidP="00573594">
            <w:pPr>
              <w:pStyle w:val="02Tabletext"/>
              <w:rPr>
                <w:bCs/>
                <w:color w:val="000000"/>
              </w:rPr>
            </w:pPr>
            <w:r w:rsidRPr="00027AFB">
              <w:t xml:space="preserve">Dr Jill </w:t>
            </w:r>
            <w:proofErr w:type="spellStart"/>
            <w:r w:rsidRPr="00027AFB">
              <w:t>Thistlethwaite</w:t>
            </w:r>
            <w:proofErr w:type="spellEnd"/>
          </w:p>
        </w:tc>
        <w:tc>
          <w:tcPr>
            <w:tcW w:w="2217" w:type="pct"/>
          </w:tcPr>
          <w:p w14:paraId="1369E570" w14:textId="77777777" w:rsidR="006D6A16" w:rsidRDefault="006D6A16" w:rsidP="00573594">
            <w:pPr>
              <w:pStyle w:val="02Tabletext"/>
              <w:rPr>
                <w:color w:val="000000"/>
              </w:rPr>
            </w:pPr>
            <w:r w:rsidRPr="00027AFB">
              <w:t xml:space="preserve">General </w:t>
            </w:r>
            <w:r w:rsidR="00081367">
              <w:t>P</w:t>
            </w:r>
            <w:r w:rsidR="00081367" w:rsidRPr="00027AFB">
              <w:t>ractitioner</w:t>
            </w:r>
          </w:p>
        </w:tc>
        <w:tc>
          <w:tcPr>
            <w:tcW w:w="1491" w:type="pct"/>
          </w:tcPr>
          <w:p w14:paraId="6093C450" w14:textId="77777777" w:rsidR="006D6A16" w:rsidRDefault="006D6A16" w:rsidP="00573594">
            <w:pPr>
              <w:pStyle w:val="02Tabletext"/>
            </w:pPr>
            <w:r w:rsidRPr="00027AFB">
              <w:t>None</w:t>
            </w:r>
          </w:p>
        </w:tc>
      </w:tr>
      <w:tr w:rsidR="006D6A16" w:rsidRPr="00804630" w14:paraId="7938DEF9" w14:textId="77777777" w:rsidTr="0074607A">
        <w:trPr>
          <w:trHeight w:val="187"/>
        </w:trPr>
        <w:tc>
          <w:tcPr>
            <w:tcW w:w="1292" w:type="pct"/>
          </w:tcPr>
          <w:p w14:paraId="4FF35511" w14:textId="77777777" w:rsidR="006D6A16" w:rsidRPr="002D79BC" w:rsidRDefault="006D6A16" w:rsidP="00573594">
            <w:pPr>
              <w:pStyle w:val="02Tabletext"/>
            </w:pPr>
            <w:r w:rsidRPr="00027AFB">
              <w:t>Ms Valerie Hanrahan</w:t>
            </w:r>
          </w:p>
        </w:tc>
        <w:tc>
          <w:tcPr>
            <w:tcW w:w="2217" w:type="pct"/>
          </w:tcPr>
          <w:p w14:paraId="45133C13" w14:textId="77777777" w:rsidR="006D6A16" w:rsidRDefault="006D6A16" w:rsidP="00573594">
            <w:pPr>
              <w:pStyle w:val="02Tabletext"/>
              <w:rPr>
                <w:color w:val="000000"/>
              </w:rPr>
            </w:pPr>
            <w:r w:rsidRPr="00027AFB">
              <w:t>Consumers Health Forum</w:t>
            </w:r>
          </w:p>
        </w:tc>
        <w:tc>
          <w:tcPr>
            <w:tcW w:w="1491" w:type="pct"/>
          </w:tcPr>
          <w:p w14:paraId="0DF48903" w14:textId="77777777" w:rsidR="006D6A16" w:rsidRDefault="006D6A16" w:rsidP="00573594">
            <w:pPr>
              <w:pStyle w:val="02Tabletext"/>
            </w:pPr>
            <w:r w:rsidRPr="00027AFB">
              <w:t>None</w:t>
            </w:r>
          </w:p>
        </w:tc>
      </w:tr>
      <w:tr w:rsidR="006D6A16" w:rsidRPr="00804630" w14:paraId="543374DE" w14:textId="77777777" w:rsidTr="0074607A">
        <w:trPr>
          <w:trHeight w:val="187"/>
        </w:trPr>
        <w:tc>
          <w:tcPr>
            <w:tcW w:w="1292" w:type="pct"/>
          </w:tcPr>
          <w:p w14:paraId="15CF0114" w14:textId="77777777" w:rsidR="006D6A16" w:rsidRPr="002D79BC" w:rsidRDefault="006D6A16" w:rsidP="00573594">
            <w:pPr>
              <w:pStyle w:val="02Tabletext"/>
            </w:pPr>
            <w:r w:rsidRPr="00027AFB">
              <w:t>Dr Robyn Lindner</w:t>
            </w:r>
          </w:p>
        </w:tc>
        <w:tc>
          <w:tcPr>
            <w:tcW w:w="2217" w:type="pct"/>
          </w:tcPr>
          <w:p w14:paraId="4169113D" w14:textId="77777777" w:rsidR="006D6A16" w:rsidRDefault="006D6A16" w:rsidP="00573594">
            <w:pPr>
              <w:pStyle w:val="02Tabletext"/>
              <w:rPr>
                <w:color w:val="000000"/>
              </w:rPr>
            </w:pPr>
            <w:r w:rsidRPr="00027AFB">
              <w:t>National Prescribing Service</w:t>
            </w:r>
          </w:p>
        </w:tc>
        <w:tc>
          <w:tcPr>
            <w:tcW w:w="1491" w:type="pct"/>
          </w:tcPr>
          <w:p w14:paraId="76C73B1B" w14:textId="77777777" w:rsidR="006D6A16" w:rsidRDefault="006D6A16" w:rsidP="00573594">
            <w:pPr>
              <w:pStyle w:val="02Tabletext"/>
            </w:pPr>
            <w:r w:rsidRPr="00027AFB">
              <w:t>None</w:t>
            </w:r>
          </w:p>
        </w:tc>
      </w:tr>
    </w:tbl>
    <w:p w14:paraId="55173E71" w14:textId="77777777" w:rsidR="004D72E6" w:rsidRPr="009200D8" w:rsidRDefault="006D6A16" w:rsidP="00772F53">
      <w:pPr>
        <w:pStyle w:val="Heading2"/>
      </w:pPr>
      <w:bookmarkStart w:id="37" w:name="_Toc482203576"/>
      <w:bookmarkStart w:id="38" w:name="_Toc514243827"/>
      <w:r>
        <w:lastRenderedPageBreak/>
        <w:t>Anatomical and Cytology Working Group</w:t>
      </w:r>
      <w:bookmarkEnd w:id="37"/>
      <w:bookmarkEnd w:id="38"/>
    </w:p>
    <w:p w14:paraId="77C34E10" w14:textId="77777777" w:rsidR="006D6A16" w:rsidRDefault="004D72E6" w:rsidP="006A286B">
      <w:pPr>
        <w:spacing w:before="120" w:after="120"/>
        <w:rPr>
          <w:rFonts w:cs="Arial"/>
          <w:lang w:val="en-US" w:eastAsia="en-US"/>
        </w:rPr>
      </w:pPr>
      <w:r w:rsidRPr="009D0EED">
        <w:rPr>
          <w:rFonts w:cs="Arial"/>
          <w:lang w:val="en-US" w:eastAsia="en-US"/>
        </w:rPr>
        <w:t>All members of the Taskforce, Clinical Committees and Working Groups are asked to declare any conflicts of interest at the start of their involvement and reminded to update their declarations periodically.</w:t>
      </w:r>
    </w:p>
    <w:p w14:paraId="1A96B3ED" w14:textId="77777777" w:rsidR="00AD2541" w:rsidRDefault="00B220D3" w:rsidP="001D0680">
      <w:pPr>
        <w:pStyle w:val="Caption"/>
      </w:pPr>
      <w:r>
        <w:t xml:space="preserve">Table </w:t>
      </w:r>
      <w:r w:rsidR="00555C4C">
        <w:fldChar w:fldCharType="begin"/>
      </w:r>
      <w:r>
        <w:instrText xml:space="preserve"> SEQ Table \* ARABIC </w:instrText>
      </w:r>
      <w:r w:rsidR="00555C4C">
        <w:fldChar w:fldCharType="separate"/>
      </w:r>
      <w:r w:rsidR="00FC06F1">
        <w:rPr>
          <w:noProof/>
        </w:rPr>
        <w:t>2</w:t>
      </w:r>
      <w:r w:rsidR="00555C4C">
        <w:fldChar w:fldCharType="end"/>
      </w:r>
      <w:r w:rsidR="001D0680">
        <w:t>:</w:t>
      </w:r>
      <w:r w:rsidR="00AD2541">
        <w:t xml:space="preserve"> Anatomical and Cytology Working Group members</w:t>
      </w:r>
    </w:p>
    <w:tbl>
      <w:tblPr>
        <w:tblStyle w:val="GridTable1Light1"/>
        <w:tblW w:w="4955" w:type="pct"/>
        <w:tblLook w:val="04A0" w:firstRow="1" w:lastRow="0" w:firstColumn="1" w:lastColumn="0" w:noHBand="0" w:noVBand="1"/>
      </w:tblPr>
      <w:tblGrid>
        <w:gridCol w:w="2178"/>
        <w:gridCol w:w="3683"/>
        <w:gridCol w:w="2955"/>
      </w:tblGrid>
      <w:tr w:rsidR="00E060DE" w14:paraId="14FADE51" w14:textId="77777777" w:rsidTr="0074607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235" w:type="pct"/>
            <w:shd w:val="clear" w:color="auto" w:fill="F2F2F2" w:themeFill="background1" w:themeFillShade="F2"/>
            <w:vAlign w:val="bottom"/>
            <w:hideMark/>
          </w:tcPr>
          <w:p w14:paraId="2281452B" w14:textId="77777777" w:rsidR="006D6A16" w:rsidRDefault="006D6A16" w:rsidP="001D0680">
            <w:pPr>
              <w:pStyle w:val="01Tableheaderrow"/>
            </w:pPr>
            <w:r>
              <w:t>Name</w:t>
            </w:r>
          </w:p>
        </w:tc>
        <w:tc>
          <w:tcPr>
            <w:tcW w:w="2089" w:type="pct"/>
            <w:shd w:val="clear" w:color="auto" w:fill="F2F2F2" w:themeFill="background1" w:themeFillShade="F2"/>
            <w:vAlign w:val="bottom"/>
            <w:hideMark/>
          </w:tcPr>
          <w:p w14:paraId="544753B1" w14:textId="77777777" w:rsidR="006D6A16" w:rsidRDefault="006D6A16" w:rsidP="001D0680">
            <w:pPr>
              <w:pStyle w:val="01Tableheaderrow"/>
              <w:cnfStyle w:val="100000000000" w:firstRow="1" w:lastRow="0" w:firstColumn="0" w:lastColumn="0" w:oddVBand="0" w:evenVBand="0" w:oddHBand="0" w:evenHBand="0" w:firstRowFirstColumn="0" w:firstRowLastColumn="0" w:lastRowFirstColumn="0" w:lastRowLastColumn="0"/>
            </w:pPr>
            <w:r>
              <w:t>Position/organisation</w:t>
            </w:r>
          </w:p>
        </w:tc>
        <w:tc>
          <w:tcPr>
            <w:tcW w:w="1676" w:type="pct"/>
            <w:shd w:val="clear" w:color="auto" w:fill="F2F2F2" w:themeFill="background1" w:themeFillShade="F2"/>
            <w:vAlign w:val="bottom"/>
            <w:hideMark/>
          </w:tcPr>
          <w:p w14:paraId="4F629BAB" w14:textId="77777777" w:rsidR="006D6A16" w:rsidRPr="00E060DE" w:rsidRDefault="006D6A16" w:rsidP="001D0680">
            <w:pPr>
              <w:pStyle w:val="01Tableheaderrow"/>
              <w:cnfStyle w:val="100000000000" w:firstRow="1" w:lastRow="0" w:firstColumn="0" w:lastColumn="0" w:oddVBand="0" w:evenVBand="0" w:oddHBand="0" w:evenHBand="0" w:firstRowFirstColumn="0" w:firstRowLastColumn="0" w:lastRowFirstColumn="0" w:lastRowLastColumn="0"/>
              <w:rPr>
                <w:i/>
              </w:rPr>
            </w:pPr>
            <w:r w:rsidRPr="00E060DE">
              <w:rPr>
                <w:i/>
              </w:rPr>
              <w:t>Declared conflict of interest</w:t>
            </w:r>
          </w:p>
        </w:tc>
      </w:tr>
      <w:tr w:rsidR="006D6A16" w14:paraId="32C2DD84"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hideMark/>
          </w:tcPr>
          <w:p w14:paraId="772F922E" w14:textId="77777777" w:rsidR="006D6A16" w:rsidRPr="001D0680" w:rsidRDefault="006D6A16" w:rsidP="001D0680">
            <w:pPr>
              <w:pStyle w:val="02Tabletext"/>
              <w:rPr>
                <w:b w:val="0"/>
              </w:rPr>
            </w:pPr>
            <w:r w:rsidRPr="001D0680">
              <w:rPr>
                <w:b w:val="0"/>
              </w:rPr>
              <w:t>Associate Professor Adrienne Morey</w:t>
            </w:r>
          </w:p>
        </w:tc>
        <w:tc>
          <w:tcPr>
            <w:tcW w:w="2089" w:type="pct"/>
            <w:hideMark/>
          </w:tcPr>
          <w:p w14:paraId="7707D6DC" w14:textId="77777777" w:rsidR="006D6A16" w:rsidRDefault="0022244D" w:rsidP="001D0680">
            <w:pPr>
              <w:pStyle w:val="02Tabletext"/>
              <w:cnfStyle w:val="000000000000" w:firstRow="0" w:lastRow="0" w:firstColumn="0" w:lastColumn="0" w:oddVBand="0" w:evenVBand="0" w:oddHBand="0" w:evenHBand="0" w:firstRowFirstColumn="0" w:firstRowLastColumn="0" w:lastRowFirstColumn="0" w:lastRowLastColumn="0"/>
            </w:pPr>
            <w:r w:rsidRPr="001C09B5">
              <w:t xml:space="preserve">ACT Pathology (Public Sector): formerly </w:t>
            </w:r>
            <w:proofErr w:type="spellStart"/>
            <w:r w:rsidRPr="001C09B5">
              <w:t>SydPath</w:t>
            </w:r>
            <w:proofErr w:type="spellEnd"/>
            <w:r w:rsidRPr="001C09B5">
              <w:t xml:space="preserve">, </w:t>
            </w:r>
            <w:r w:rsidR="006D6A16" w:rsidRPr="001C09B5">
              <w:t>St Vincent</w:t>
            </w:r>
            <w:r w:rsidR="00CC4AF5" w:rsidRPr="001C09B5">
              <w:t>’</w:t>
            </w:r>
            <w:r w:rsidR="006D6A16" w:rsidRPr="001C09B5">
              <w:t>s (Catholic)</w:t>
            </w:r>
          </w:p>
        </w:tc>
        <w:tc>
          <w:tcPr>
            <w:tcW w:w="1676" w:type="pct"/>
          </w:tcPr>
          <w:p w14:paraId="02CAA259"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Practi</w:t>
            </w:r>
            <w:r w:rsidR="00081367">
              <w:t>s</w:t>
            </w:r>
            <w:r>
              <w:t>ing Anatomical Pathologist</w:t>
            </w:r>
          </w:p>
        </w:tc>
      </w:tr>
      <w:tr w:rsidR="006D6A16" w14:paraId="5622E521"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hideMark/>
          </w:tcPr>
          <w:p w14:paraId="78B8D8BC" w14:textId="77777777" w:rsidR="006D6A16" w:rsidRPr="001D0680" w:rsidRDefault="006D6A16" w:rsidP="001D0680">
            <w:pPr>
              <w:pStyle w:val="02Tabletext"/>
              <w:rPr>
                <w:b w:val="0"/>
              </w:rPr>
            </w:pPr>
            <w:r w:rsidRPr="001D0680">
              <w:rPr>
                <w:b w:val="0"/>
              </w:rPr>
              <w:t>Dr Nick Musgrave</w:t>
            </w:r>
          </w:p>
        </w:tc>
        <w:tc>
          <w:tcPr>
            <w:tcW w:w="2089" w:type="pct"/>
            <w:hideMark/>
          </w:tcPr>
          <w:p w14:paraId="665F9596" w14:textId="77777777" w:rsidR="006D6A16" w:rsidRDefault="006D6A16" w:rsidP="001D0680">
            <w:pPr>
              <w:pStyle w:val="02Tabletext"/>
              <w:cnfStyle w:val="000000000000" w:firstRow="0" w:lastRow="0" w:firstColumn="0" w:lastColumn="0" w:oddVBand="0" w:evenVBand="0" w:oddHBand="0" w:evenHBand="0" w:firstRowFirstColumn="0" w:firstRowLastColumn="0" w:lastRowFirstColumn="0" w:lastRowLastColumn="0"/>
            </w:pPr>
            <w:r>
              <w:t>Sullivan Nicolaides Pathology (Sonic)</w:t>
            </w:r>
          </w:p>
        </w:tc>
        <w:tc>
          <w:tcPr>
            <w:tcW w:w="1676" w:type="pct"/>
          </w:tcPr>
          <w:p w14:paraId="7BFA8DE8"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Practi</w:t>
            </w:r>
            <w:r w:rsidR="00081367">
              <w:t>s</w:t>
            </w:r>
            <w:r>
              <w:t>ing Anatomical Pathologist</w:t>
            </w:r>
          </w:p>
        </w:tc>
      </w:tr>
      <w:tr w:rsidR="006D6A16" w14:paraId="30C95A6A"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hideMark/>
          </w:tcPr>
          <w:p w14:paraId="13BD19E7" w14:textId="77777777" w:rsidR="006D6A16" w:rsidRPr="001D0680" w:rsidRDefault="006D6A16" w:rsidP="001D0680">
            <w:pPr>
              <w:pStyle w:val="02Tabletext"/>
              <w:rPr>
                <w:b w:val="0"/>
              </w:rPr>
            </w:pPr>
            <w:r w:rsidRPr="001D0680">
              <w:rPr>
                <w:b w:val="0"/>
              </w:rPr>
              <w:t>Dr Chris Douglas</w:t>
            </w:r>
          </w:p>
        </w:tc>
        <w:tc>
          <w:tcPr>
            <w:tcW w:w="2089" w:type="pct"/>
            <w:hideMark/>
          </w:tcPr>
          <w:p w14:paraId="58977082" w14:textId="77777777" w:rsidR="006D6A16" w:rsidRDefault="006D6A16" w:rsidP="001D0680">
            <w:pPr>
              <w:pStyle w:val="02Tabletext"/>
              <w:cnfStyle w:val="000000000000" w:firstRow="0" w:lastRow="0" w:firstColumn="0" w:lastColumn="0" w:oddVBand="0" w:evenVBand="0" w:oddHBand="0" w:evenHBand="0" w:firstRowFirstColumn="0" w:firstRowLastColumn="0" w:lastRowFirstColumn="0" w:lastRowLastColumn="0"/>
            </w:pPr>
            <w:proofErr w:type="spellStart"/>
            <w:r>
              <w:t>Histopath</w:t>
            </w:r>
            <w:proofErr w:type="spellEnd"/>
            <w:r>
              <w:t xml:space="preserve"> Specialist Pathology</w:t>
            </w:r>
          </w:p>
        </w:tc>
        <w:tc>
          <w:tcPr>
            <w:tcW w:w="1676" w:type="pct"/>
          </w:tcPr>
          <w:p w14:paraId="44C410E7"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Practi</w:t>
            </w:r>
            <w:r w:rsidR="00081367">
              <w:t>s</w:t>
            </w:r>
            <w:r>
              <w:t>ing Anatomical Pathologist</w:t>
            </w:r>
          </w:p>
        </w:tc>
      </w:tr>
      <w:tr w:rsidR="006D6A16" w14:paraId="6C386CF5"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hideMark/>
          </w:tcPr>
          <w:p w14:paraId="379E6EF2" w14:textId="77777777" w:rsidR="006D6A16" w:rsidRPr="001D0680" w:rsidRDefault="006D6A16" w:rsidP="001D0680">
            <w:pPr>
              <w:pStyle w:val="02Tabletext"/>
              <w:rPr>
                <w:b w:val="0"/>
              </w:rPr>
            </w:pPr>
            <w:r w:rsidRPr="001D0680">
              <w:rPr>
                <w:b w:val="0"/>
              </w:rPr>
              <w:t xml:space="preserve">Professor Yee </w:t>
            </w:r>
            <w:proofErr w:type="spellStart"/>
            <w:r w:rsidRPr="001D0680">
              <w:rPr>
                <w:b w:val="0"/>
              </w:rPr>
              <w:t>Khong</w:t>
            </w:r>
            <w:proofErr w:type="spellEnd"/>
          </w:p>
        </w:tc>
        <w:tc>
          <w:tcPr>
            <w:tcW w:w="2089" w:type="pct"/>
            <w:hideMark/>
          </w:tcPr>
          <w:p w14:paraId="54131CF8" w14:textId="77777777" w:rsidR="006D6A16" w:rsidRDefault="006D6A16" w:rsidP="001D0680">
            <w:pPr>
              <w:pStyle w:val="02Tabletext"/>
              <w:cnfStyle w:val="000000000000" w:firstRow="0" w:lastRow="0" w:firstColumn="0" w:lastColumn="0" w:oddVBand="0" w:evenVBand="0" w:oddHBand="0" w:evenHBand="0" w:firstRowFirstColumn="0" w:firstRowLastColumn="0" w:lastRowFirstColumn="0" w:lastRowLastColumn="0"/>
            </w:pPr>
            <w:r>
              <w:t>SA Pathology</w:t>
            </w:r>
          </w:p>
        </w:tc>
        <w:tc>
          <w:tcPr>
            <w:tcW w:w="1676" w:type="pct"/>
          </w:tcPr>
          <w:p w14:paraId="7C4B34E0"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Practi</w:t>
            </w:r>
            <w:r w:rsidR="00081367">
              <w:t>s</w:t>
            </w:r>
            <w:r>
              <w:t>ing Anatomical Pathologist</w:t>
            </w:r>
          </w:p>
        </w:tc>
      </w:tr>
      <w:tr w:rsidR="006D6A16" w14:paraId="024082FC"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tcPr>
          <w:p w14:paraId="4BB8EF4F" w14:textId="77777777" w:rsidR="006D6A16" w:rsidRPr="001D0680" w:rsidRDefault="006D6A16" w:rsidP="001D0680">
            <w:pPr>
              <w:pStyle w:val="02Tabletext"/>
              <w:rPr>
                <w:b w:val="0"/>
              </w:rPr>
            </w:pPr>
            <w:r w:rsidRPr="001D0680">
              <w:rPr>
                <w:b w:val="0"/>
              </w:rPr>
              <w:t xml:space="preserve">Professor </w:t>
            </w:r>
            <w:proofErr w:type="spellStart"/>
            <w:r w:rsidR="009B5C0C" w:rsidRPr="001D0680">
              <w:rPr>
                <w:b w:val="0"/>
              </w:rPr>
              <w:t>Danforn</w:t>
            </w:r>
            <w:proofErr w:type="spellEnd"/>
            <w:r w:rsidR="009B5C0C" w:rsidRPr="001D0680">
              <w:rPr>
                <w:b w:val="0"/>
              </w:rPr>
              <w:t xml:space="preserve"> </w:t>
            </w:r>
            <w:r w:rsidRPr="001D0680">
              <w:rPr>
                <w:b w:val="0"/>
              </w:rPr>
              <w:t>Lim</w:t>
            </w:r>
          </w:p>
        </w:tc>
        <w:tc>
          <w:tcPr>
            <w:tcW w:w="2089" w:type="pct"/>
          </w:tcPr>
          <w:p w14:paraId="10C190BB" w14:textId="77777777" w:rsidR="006D6A16" w:rsidRDefault="006D6A16" w:rsidP="001D0680">
            <w:pPr>
              <w:pStyle w:val="02Tabletext"/>
              <w:cnfStyle w:val="000000000000" w:firstRow="0" w:lastRow="0" w:firstColumn="0" w:lastColumn="0" w:oddVBand="0" w:evenVBand="0" w:oddHBand="0" w:evenHBand="0" w:firstRowFirstColumn="0" w:firstRowLastColumn="0" w:lastRowFirstColumn="0" w:lastRowLastColumn="0"/>
            </w:pPr>
            <w:r>
              <w:t>G</w:t>
            </w:r>
            <w:r w:rsidR="009B5C0C">
              <w:t xml:space="preserve">eneral Practitioner </w:t>
            </w:r>
            <w:r w:rsidR="00C42819">
              <w:t>R</w:t>
            </w:r>
            <w:r>
              <w:t>epresentative</w:t>
            </w:r>
          </w:p>
        </w:tc>
        <w:tc>
          <w:tcPr>
            <w:tcW w:w="1676" w:type="pct"/>
          </w:tcPr>
          <w:p w14:paraId="6CDA000A"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Nil relevant</w:t>
            </w:r>
          </w:p>
        </w:tc>
      </w:tr>
      <w:tr w:rsidR="006D6A16" w14:paraId="7D50C446" w14:textId="77777777" w:rsidTr="0074607A">
        <w:trPr>
          <w:trHeight w:val="197"/>
        </w:trPr>
        <w:tc>
          <w:tcPr>
            <w:cnfStyle w:val="001000000000" w:firstRow="0" w:lastRow="0" w:firstColumn="1" w:lastColumn="0" w:oddVBand="0" w:evenVBand="0" w:oddHBand="0" w:evenHBand="0" w:firstRowFirstColumn="0" w:firstRowLastColumn="0" w:lastRowFirstColumn="0" w:lastRowLastColumn="0"/>
            <w:tcW w:w="1235" w:type="pct"/>
            <w:hideMark/>
          </w:tcPr>
          <w:p w14:paraId="7FEDC10E" w14:textId="77777777" w:rsidR="006D6A16" w:rsidRPr="001D0680" w:rsidRDefault="006D6A16" w:rsidP="001D0680">
            <w:pPr>
              <w:pStyle w:val="02Tabletext"/>
              <w:rPr>
                <w:b w:val="0"/>
              </w:rPr>
            </w:pPr>
            <w:r w:rsidRPr="001D0680">
              <w:rPr>
                <w:b w:val="0"/>
              </w:rPr>
              <w:t>Mr John Stubbs</w:t>
            </w:r>
          </w:p>
        </w:tc>
        <w:tc>
          <w:tcPr>
            <w:tcW w:w="2089" w:type="pct"/>
          </w:tcPr>
          <w:p w14:paraId="5F14292D" w14:textId="77777777" w:rsidR="006D6A16" w:rsidRDefault="006D6A16" w:rsidP="001D0680">
            <w:pPr>
              <w:pStyle w:val="02Tabletext"/>
              <w:cnfStyle w:val="000000000000" w:firstRow="0" w:lastRow="0" w:firstColumn="0" w:lastColumn="0" w:oddVBand="0" w:evenVBand="0" w:oddHBand="0" w:evenHBand="0" w:firstRowFirstColumn="0" w:firstRowLastColumn="0" w:lastRowFirstColumn="0" w:lastRowLastColumn="0"/>
            </w:pPr>
            <w:r>
              <w:t>Consumer consultant</w:t>
            </w:r>
          </w:p>
        </w:tc>
        <w:tc>
          <w:tcPr>
            <w:tcW w:w="1676" w:type="pct"/>
          </w:tcPr>
          <w:p w14:paraId="237C9444" w14:textId="77777777" w:rsidR="006D6A16" w:rsidRDefault="009B5C0C" w:rsidP="001D0680">
            <w:pPr>
              <w:pStyle w:val="02Tabletext"/>
              <w:cnfStyle w:val="000000000000" w:firstRow="0" w:lastRow="0" w:firstColumn="0" w:lastColumn="0" w:oddVBand="0" w:evenVBand="0" w:oddHBand="0" w:evenHBand="0" w:firstRowFirstColumn="0" w:firstRowLastColumn="0" w:lastRowFirstColumn="0" w:lastRowLastColumn="0"/>
            </w:pPr>
            <w:r>
              <w:t>Nil relevant</w:t>
            </w:r>
          </w:p>
        </w:tc>
      </w:tr>
    </w:tbl>
    <w:p w14:paraId="1E86ADE3" w14:textId="77777777" w:rsidR="007B4368" w:rsidRDefault="007B4368" w:rsidP="00707EF7">
      <w:pPr>
        <w:pStyle w:val="Rec"/>
        <w:ind w:left="0" w:firstLine="0"/>
      </w:pPr>
      <w:bookmarkStart w:id="39" w:name="_Toc482203577"/>
      <w:r>
        <w:t>Conflicts of interest</w:t>
      </w:r>
      <w:bookmarkEnd w:id="39"/>
    </w:p>
    <w:p w14:paraId="2FC9AC11" w14:textId="77777777" w:rsidR="001F743D" w:rsidRDefault="009C1C93" w:rsidP="007B4368">
      <w:pPr>
        <w:spacing w:before="120" w:after="120"/>
        <w:rPr>
          <w:rFonts w:ascii="Calibri" w:hAnsi="Calibri" w:cs="Arial"/>
          <w:lang w:val="en-US"/>
        </w:rPr>
      </w:pPr>
      <w:r w:rsidRPr="003A4F35">
        <w:rPr>
          <w:rFonts w:ascii="Calibri" w:hAnsi="Calibri" w:cs="Arial"/>
          <w:lang w:val="en-US"/>
        </w:rPr>
        <w:t xml:space="preserve">It is noted that </w:t>
      </w:r>
      <w:proofErr w:type="gramStart"/>
      <w:r w:rsidRPr="003A4F35">
        <w:rPr>
          <w:rFonts w:ascii="Calibri" w:hAnsi="Calibri" w:cs="Arial"/>
          <w:lang w:val="en-US"/>
        </w:rPr>
        <w:t>the majority of</w:t>
      </w:r>
      <w:proofErr w:type="gramEnd"/>
      <w:r w:rsidRPr="003A4F35">
        <w:rPr>
          <w:rFonts w:ascii="Calibri" w:hAnsi="Calibri" w:cs="Arial"/>
          <w:lang w:val="en-US"/>
        </w:rPr>
        <w:t xml:space="preserve"> the Committee members share a common conflict of interest in reviewing items that are a source of revenue for them (i.e. Committee members claim the items under review). This conflict is inherent in a clinician-led </w:t>
      </w:r>
      <w:proofErr w:type="gramStart"/>
      <w:r w:rsidRPr="003A4F35">
        <w:rPr>
          <w:rFonts w:ascii="Calibri" w:hAnsi="Calibri" w:cs="Arial"/>
          <w:lang w:val="en-US"/>
        </w:rPr>
        <w:t>process, and</w:t>
      </w:r>
      <w:proofErr w:type="gramEnd"/>
      <w:r w:rsidRPr="003A4F35">
        <w:rPr>
          <w:rFonts w:ascii="Calibri" w:hAnsi="Calibri" w:cs="Arial"/>
          <w:lang w:val="en-US"/>
        </w:rPr>
        <w:t xml:space="preserve"> having been acknowledged by the Committee and the Taskforce, it was agreed that this should not prevent a clinician from participating in the review.</w:t>
      </w:r>
    </w:p>
    <w:p w14:paraId="66DAD068" w14:textId="77777777" w:rsidR="00AD2541" w:rsidRDefault="00AD2541" w:rsidP="00772F53">
      <w:pPr>
        <w:pStyle w:val="Heading2"/>
      </w:pPr>
      <w:bookmarkStart w:id="40" w:name="_Toc514243828"/>
      <w:r>
        <w:t>Areas of responsibility of the Committee</w:t>
      </w:r>
      <w:bookmarkEnd w:id="40"/>
    </w:p>
    <w:p w14:paraId="737A0384" w14:textId="77777777" w:rsidR="00AD2541" w:rsidRPr="00225E41" w:rsidRDefault="00AD2541" w:rsidP="00225E41">
      <w:pPr>
        <w:spacing w:before="180"/>
        <w:rPr>
          <w:lang w:val="en-US" w:eastAsia="en-US"/>
        </w:rPr>
      </w:pPr>
      <w:r>
        <w:rPr>
          <w:lang w:val="en-US" w:eastAsia="en-US"/>
        </w:rPr>
        <w:t>The Committee was assigned 43 MBS Tissue Pathology and Cytology items. A complete list of these items can be found in Appendix A.</w:t>
      </w:r>
    </w:p>
    <w:p w14:paraId="2AE5C1B6" w14:textId="77777777" w:rsidR="004D72E6" w:rsidRPr="009200D8" w:rsidRDefault="00AD2541" w:rsidP="00772F53">
      <w:pPr>
        <w:pStyle w:val="Heading2"/>
      </w:pPr>
      <w:bookmarkStart w:id="41" w:name="_Toc514243829"/>
      <w:r>
        <w:t xml:space="preserve">Summary of the </w:t>
      </w:r>
      <w:r w:rsidRPr="0074607A">
        <w:t>Committee’s review approach</w:t>
      </w:r>
      <w:bookmarkEnd w:id="41"/>
      <w:r w:rsidR="004D72E6" w:rsidRPr="009200D8">
        <w:t xml:space="preserve"> </w:t>
      </w:r>
    </w:p>
    <w:p w14:paraId="4B45262D" w14:textId="77777777" w:rsidR="007B4368" w:rsidRPr="00A50A03" w:rsidRDefault="007B4368" w:rsidP="007B4368">
      <w:pPr>
        <w:rPr>
          <w:lang w:val="en-US"/>
        </w:rPr>
      </w:pPr>
      <w:r w:rsidRPr="00A50A03">
        <w:rPr>
          <w:lang w:val="en-US"/>
        </w:rPr>
        <w:t xml:space="preserve">The Committee </w:t>
      </w:r>
      <w:r w:rsidR="00225E41">
        <w:rPr>
          <w:lang w:val="en-US"/>
        </w:rPr>
        <w:t>reviewed</w:t>
      </w:r>
      <w:r w:rsidR="00CC4AF5" w:rsidRPr="00A50A03">
        <w:rPr>
          <w:lang w:val="en-US"/>
        </w:rPr>
        <w:t xml:space="preserve"> </w:t>
      </w:r>
      <w:r w:rsidR="008E31AA">
        <w:rPr>
          <w:lang w:val="en-US"/>
        </w:rPr>
        <w:t xml:space="preserve">43 </w:t>
      </w:r>
      <w:r w:rsidR="00C61BA1">
        <w:rPr>
          <w:lang w:val="en-US"/>
        </w:rPr>
        <w:t>Tissue</w:t>
      </w:r>
      <w:r w:rsidR="00CC4AF5" w:rsidRPr="00A50A03">
        <w:rPr>
          <w:lang w:val="en-US"/>
        </w:rPr>
        <w:t xml:space="preserve"> Pathology </w:t>
      </w:r>
      <w:r w:rsidRPr="00A50A03">
        <w:rPr>
          <w:lang w:val="en-US"/>
        </w:rPr>
        <w:t xml:space="preserve">and </w:t>
      </w:r>
      <w:r w:rsidR="00CC4AF5" w:rsidRPr="00A50A03">
        <w:rPr>
          <w:lang w:val="en-US"/>
        </w:rPr>
        <w:t>Cytology</w:t>
      </w:r>
      <w:r w:rsidRPr="00A50A03">
        <w:rPr>
          <w:lang w:val="en-US"/>
        </w:rPr>
        <w:t xml:space="preserve"> items on the MBS</w:t>
      </w:r>
      <w:r w:rsidR="00C61BA1">
        <w:rPr>
          <w:lang w:val="en-US"/>
        </w:rPr>
        <w:t>,</w:t>
      </w:r>
      <w:r w:rsidRPr="00A50A03">
        <w:rPr>
          <w:lang w:val="en-US"/>
        </w:rPr>
        <w:t xml:space="preserve"> and made recommendations to the Taskforce and relevant committees, based on rapid evidence review and clinical expertise. </w:t>
      </w:r>
    </w:p>
    <w:p w14:paraId="36D67BFE" w14:textId="77777777" w:rsidR="005C78C3" w:rsidRPr="00A50A03" w:rsidRDefault="005C78C3" w:rsidP="007B4368">
      <w:pPr>
        <w:rPr>
          <w:lang w:val="en-US"/>
        </w:rPr>
      </w:pPr>
      <w:r w:rsidRPr="00A50A03">
        <w:rPr>
          <w:lang w:val="en-US"/>
        </w:rPr>
        <w:t>The Committee also liaised with the Genetics Working Group on items with relevance to both groups</w:t>
      </w:r>
      <w:r w:rsidR="009C1C93" w:rsidRPr="00A50A03">
        <w:rPr>
          <w:lang w:val="en-US"/>
        </w:rPr>
        <w:t xml:space="preserve"> (i</w:t>
      </w:r>
      <w:r w:rsidR="00443A6F">
        <w:rPr>
          <w:lang w:val="en-US"/>
        </w:rPr>
        <w:t>.</w:t>
      </w:r>
      <w:r w:rsidR="009C1C93" w:rsidRPr="00A50A03">
        <w:rPr>
          <w:lang w:val="en-US"/>
        </w:rPr>
        <w:t>e</w:t>
      </w:r>
      <w:r w:rsidR="00443A6F">
        <w:rPr>
          <w:lang w:val="en-US"/>
        </w:rPr>
        <w:t>.</w:t>
      </w:r>
      <w:r w:rsidR="00443A6F" w:rsidRPr="00A50A03">
        <w:rPr>
          <w:lang w:val="en-US"/>
        </w:rPr>
        <w:t xml:space="preserve"> </w:t>
      </w:r>
      <w:r w:rsidR="009C1C93" w:rsidRPr="00A50A03">
        <w:rPr>
          <w:lang w:val="en-US"/>
        </w:rPr>
        <w:t>items relating to biomarker testing on tissue samples)</w:t>
      </w:r>
      <w:r w:rsidRPr="00A50A03">
        <w:rPr>
          <w:lang w:val="en-US"/>
        </w:rPr>
        <w:t>.</w:t>
      </w:r>
    </w:p>
    <w:p w14:paraId="5D5F8B79" w14:textId="77777777" w:rsidR="001C09B5" w:rsidRDefault="007B4368" w:rsidP="007B4368">
      <w:pPr>
        <w:rPr>
          <w:lang w:val="en-US"/>
        </w:rPr>
      </w:pPr>
      <w:r w:rsidRPr="00E04CA8">
        <w:rPr>
          <w:lang w:val="en-US"/>
        </w:rPr>
        <w:t>A complete list of these items can be found in Appendix A of this report</w:t>
      </w:r>
      <w:r w:rsidR="001C09B5" w:rsidRPr="001C09B5">
        <w:rPr>
          <w:lang w:val="en-US"/>
        </w:rPr>
        <w:t>.</w:t>
      </w:r>
    </w:p>
    <w:p w14:paraId="357696BF" w14:textId="77777777" w:rsidR="001F7405" w:rsidRDefault="007B4368" w:rsidP="007B4368">
      <w:r w:rsidRPr="00A50A03">
        <w:t>The Review drew on various types of MBS data, including data on</w:t>
      </w:r>
      <w:r w:rsidR="001F7405">
        <w:t>:</w:t>
      </w:r>
    </w:p>
    <w:p w14:paraId="2181E58B" w14:textId="77777777" w:rsidR="001F7405" w:rsidRDefault="007B4368" w:rsidP="00774742">
      <w:pPr>
        <w:pStyle w:val="NormalBulleted"/>
      </w:pPr>
      <w:r w:rsidRPr="00A50A03">
        <w:t>utilisation of items (services, benefits, patients, providers and growth rates</w:t>
      </w:r>
      <w:proofErr w:type="gramStart"/>
      <w:r w:rsidRPr="00A50A03">
        <w:t>)</w:t>
      </w:r>
      <w:r w:rsidR="002E6BFE">
        <w:t>;</w:t>
      </w:r>
      <w:proofErr w:type="gramEnd"/>
    </w:p>
    <w:p w14:paraId="0F4FDC44" w14:textId="77777777" w:rsidR="001F7405" w:rsidRDefault="007B4368" w:rsidP="00774742">
      <w:pPr>
        <w:pStyle w:val="NormalBulleted"/>
      </w:pPr>
      <w:r w:rsidRPr="00A50A03">
        <w:t>service provision (type of provider, geography of service provision</w:t>
      </w:r>
      <w:proofErr w:type="gramStart"/>
      <w:r w:rsidRPr="00A50A03">
        <w:t>)</w:t>
      </w:r>
      <w:r w:rsidR="002E6BFE">
        <w:t>;</w:t>
      </w:r>
      <w:proofErr w:type="gramEnd"/>
    </w:p>
    <w:p w14:paraId="05C1DD38" w14:textId="77777777" w:rsidR="001F7405" w:rsidRDefault="007B4368" w:rsidP="00774742">
      <w:pPr>
        <w:pStyle w:val="NormalBulleted"/>
      </w:pPr>
      <w:r w:rsidRPr="00A50A03">
        <w:t>patients (demographics and services per patient</w:t>
      </w:r>
      <w:proofErr w:type="gramStart"/>
      <w:r w:rsidRPr="00A50A03">
        <w:t>)</w:t>
      </w:r>
      <w:r w:rsidR="002E6BFE">
        <w:t>;</w:t>
      </w:r>
      <w:proofErr w:type="gramEnd"/>
    </w:p>
    <w:p w14:paraId="79506FE0" w14:textId="77777777" w:rsidR="001F7405" w:rsidRDefault="007B4368" w:rsidP="00774742">
      <w:pPr>
        <w:pStyle w:val="NormalBulleted"/>
      </w:pPr>
      <w:r w:rsidRPr="00A50A03">
        <w:t>co-claiming or episodes of services (</w:t>
      </w:r>
      <w:proofErr w:type="gramStart"/>
      <w:r w:rsidRPr="00A50A03">
        <w:t>same-day</w:t>
      </w:r>
      <w:proofErr w:type="gramEnd"/>
      <w:r w:rsidRPr="00A50A03">
        <w:t xml:space="preserve"> claiming and claiming with specific items over time</w:t>
      </w:r>
      <w:r w:rsidR="0074607A">
        <w:t>); and</w:t>
      </w:r>
    </w:p>
    <w:p w14:paraId="1DE0EFF8" w14:textId="77777777" w:rsidR="001F7405" w:rsidRDefault="007B4368" w:rsidP="00774742">
      <w:pPr>
        <w:pStyle w:val="NormalBulleted"/>
      </w:pPr>
      <w:r w:rsidRPr="00A50A03">
        <w:t>additional provider and patient-</w:t>
      </w:r>
      <w:r w:rsidR="00B21D4A">
        <w:t>level</w:t>
      </w:r>
      <w:r w:rsidRPr="00A50A03">
        <w:t xml:space="preserve"> data, when required.</w:t>
      </w:r>
    </w:p>
    <w:p w14:paraId="5962BFDB" w14:textId="77777777" w:rsidR="007B4368" w:rsidRPr="00A50A03" w:rsidRDefault="007B4368" w:rsidP="007B4368">
      <w:r w:rsidRPr="00A50A03">
        <w:t xml:space="preserve">The review also drew on data presented in the relevant literature and clinical guidelines, all of which are referenced in the report. </w:t>
      </w:r>
    </w:p>
    <w:p w14:paraId="3C670854" w14:textId="77777777" w:rsidR="007B4368" w:rsidRPr="00A50A03" w:rsidRDefault="007B4368" w:rsidP="007B4368">
      <w:r w:rsidRPr="00A50A03">
        <w:t xml:space="preserve">An inclusive set of stakeholders is now engaged in consultation on the recommendations resulting from this process, which are outlined in this report. Following this period of consultation, the Committee will consider stakeholder feedback before finalising the recommendations and presenting them to the Taskforce. The Taskforce will consider the report and stakeholder feedback before making recommendations to the Minister for Health for consideration by the Government. </w:t>
      </w:r>
    </w:p>
    <w:p w14:paraId="57B75B33" w14:textId="77777777" w:rsidR="000B18FD" w:rsidRDefault="000B18FD">
      <w:pPr>
        <w:spacing w:before="0" w:after="0"/>
        <w:rPr>
          <w:rFonts w:eastAsiaTheme="minorHAnsi" w:cs="Arial"/>
          <w:szCs w:val="22"/>
          <w:lang w:val="en-US" w:eastAsia="en-US"/>
        </w:rPr>
      </w:pPr>
      <w:r>
        <w:rPr>
          <w:lang w:val="en-US" w:eastAsia="en-US"/>
        </w:rPr>
        <w:lastRenderedPageBreak/>
        <w:br w:type="page"/>
      </w:r>
    </w:p>
    <w:p w14:paraId="3032A7D1" w14:textId="77777777" w:rsidR="004D72E6" w:rsidRPr="0074607A" w:rsidRDefault="003357A1" w:rsidP="003F788A">
      <w:pPr>
        <w:pStyle w:val="Heading1"/>
      </w:pPr>
      <w:bookmarkStart w:id="42" w:name="_Toc482203579"/>
      <w:bookmarkStart w:id="43" w:name="_Toc514243830"/>
      <w:r w:rsidRPr="0074607A">
        <w:lastRenderedPageBreak/>
        <w:t>R</w:t>
      </w:r>
      <w:r w:rsidR="007B4368" w:rsidRPr="0074607A">
        <w:t>ecommendations</w:t>
      </w:r>
      <w:bookmarkEnd w:id="42"/>
      <w:bookmarkEnd w:id="43"/>
    </w:p>
    <w:p w14:paraId="225CD32C" w14:textId="77777777" w:rsidR="00AD2541" w:rsidRPr="00AC7370" w:rsidRDefault="00AD2541" w:rsidP="00AD2541">
      <w:pPr>
        <w:rPr>
          <w:lang w:val="en-US"/>
        </w:rPr>
      </w:pPr>
      <w:r w:rsidRPr="00AC7370">
        <w:rPr>
          <w:lang w:val="en-US"/>
        </w:rPr>
        <w:t xml:space="preserve">The </w:t>
      </w:r>
      <w:r>
        <w:rPr>
          <w:lang w:val="en-US"/>
        </w:rPr>
        <w:t>43 A</w:t>
      </w:r>
      <w:r w:rsidRPr="00AC7370">
        <w:rPr>
          <w:lang w:val="en-US"/>
        </w:rPr>
        <w:t>natomical</w:t>
      </w:r>
      <w:r>
        <w:rPr>
          <w:lang w:val="en-US"/>
        </w:rPr>
        <w:t xml:space="preserve"> (Tissue) Pathology</w:t>
      </w:r>
      <w:r w:rsidRPr="00AC7370">
        <w:rPr>
          <w:lang w:val="en-US"/>
        </w:rPr>
        <w:t xml:space="preserve"> and </w:t>
      </w:r>
      <w:r>
        <w:rPr>
          <w:lang w:val="en-US"/>
        </w:rPr>
        <w:t>C</w:t>
      </w:r>
      <w:r w:rsidRPr="00AC7370">
        <w:rPr>
          <w:lang w:val="en-US"/>
        </w:rPr>
        <w:t xml:space="preserve">ytology-related pathology test items </w:t>
      </w:r>
      <w:r>
        <w:rPr>
          <w:lang w:val="en-US"/>
        </w:rPr>
        <w:t xml:space="preserve">accounted for </w:t>
      </w:r>
      <w:r w:rsidRPr="00AC7370">
        <w:rPr>
          <w:lang w:val="en-US"/>
        </w:rPr>
        <w:t xml:space="preserve">about </w:t>
      </w:r>
      <w:r>
        <w:rPr>
          <w:lang w:val="en-US"/>
        </w:rPr>
        <w:t>3.3</w:t>
      </w:r>
      <w:r w:rsidRPr="00AC7370">
        <w:rPr>
          <w:lang w:val="en-US"/>
        </w:rPr>
        <w:t xml:space="preserve"> million </w:t>
      </w:r>
      <w:r>
        <w:rPr>
          <w:lang w:val="en-US"/>
        </w:rPr>
        <w:t xml:space="preserve">and 2.1 million </w:t>
      </w:r>
      <w:r w:rsidRPr="00AC7370">
        <w:rPr>
          <w:lang w:val="en-US"/>
        </w:rPr>
        <w:t>services</w:t>
      </w:r>
      <w:r>
        <w:rPr>
          <w:lang w:val="en-US"/>
        </w:rPr>
        <w:t>, respectively, in the 2014–15 financial year,</w:t>
      </w:r>
      <w:r w:rsidRPr="00AC7370">
        <w:rPr>
          <w:lang w:val="en-US"/>
        </w:rPr>
        <w:t xml:space="preserve"> and $</w:t>
      </w:r>
      <w:r w:rsidR="00C566E1">
        <w:rPr>
          <w:lang w:val="en-US"/>
        </w:rPr>
        <w:t>291</w:t>
      </w:r>
      <w:r w:rsidRPr="00AC7370">
        <w:rPr>
          <w:lang w:val="en-US"/>
        </w:rPr>
        <w:t>million</w:t>
      </w:r>
      <w:r>
        <w:rPr>
          <w:lang w:val="en-US"/>
        </w:rPr>
        <w:t xml:space="preserve"> and $</w:t>
      </w:r>
      <w:r w:rsidR="00C566E1">
        <w:rPr>
          <w:lang w:val="en-US"/>
        </w:rPr>
        <w:t xml:space="preserve">47 </w:t>
      </w:r>
      <w:r>
        <w:rPr>
          <w:lang w:val="en-US"/>
        </w:rPr>
        <w:t>million</w:t>
      </w:r>
      <w:r w:rsidRPr="00AC7370">
        <w:rPr>
          <w:lang w:val="en-US"/>
        </w:rPr>
        <w:t xml:space="preserve"> in benefits.</w:t>
      </w:r>
      <w:r>
        <w:rPr>
          <w:lang w:val="en-US"/>
        </w:rPr>
        <w:t xml:space="preserve"> Substantial changes are currently under way in the Cytology sector due to changes in the National Cervical Screening Program.</w:t>
      </w:r>
      <w:r w:rsidRPr="00AC7370">
        <w:rPr>
          <w:lang w:val="en-US"/>
        </w:rPr>
        <w:t xml:space="preserve"> </w:t>
      </w:r>
    </w:p>
    <w:p w14:paraId="5E1DF515" w14:textId="77777777" w:rsidR="00B63EE7" w:rsidRPr="00AB5985" w:rsidRDefault="00872718" w:rsidP="0022244D">
      <w:pPr>
        <w:rPr>
          <w:szCs w:val="22"/>
        </w:rPr>
      </w:pPr>
      <w:r>
        <w:rPr>
          <w:szCs w:val="22"/>
        </w:rPr>
        <w:t xml:space="preserve">Most </w:t>
      </w:r>
      <w:r w:rsidR="00B63EE7" w:rsidRPr="00AB5985">
        <w:rPr>
          <w:szCs w:val="22"/>
        </w:rPr>
        <w:t xml:space="preserve">of the Committee’s recommendations relate to revising the </w:t>
      </w:r>
      <w:r w:rsidR="00B63EE7" w:rsidRPr="00DB4B1F">
        <w:rPr>
          <w:szCs w:val="22"/>
        </w:rPr>
        <w:t>structure</w:t>
      </w:r>
      <w:r w:rsidR="00B63EE7" w:rsidRPr="00AB5985">
        <w:rPr>
          <w:szCs w:val="22"/>
        </w:rPr>
        <w:t xml:space="preserve"> of the MBS for Histopathology</w:t>
      </w:r>
      <w:r w:rsidR="00B0793A">
        <w:rPr>
          <w:szCs w:val="22"/>
        </w:rPr>
        <w:t xml:space="preserve"> (Tissue Pathology)</w:t>
      </w:r>
      <w:r w:rsidR="00B63EE7" w:rsidRPr="00AB5985">
        <w:rPr>
          <w:szCs w:val="22"/>
        </w:rPr>
        <w:t xml:space="preserve"> and Cytology, currently complicated by inequitable tiering and coning rules. Background information on the status quo is therefore provided </w:t>
      </w:r>
      <w:r>
        <w:rPr>
          <w:szCs w:val="22"/>
        </w:rPr>
        <w:t xml:space="preserve">before </w:t>
      </w:r>
      <w:r w:rsidR="00B63EE7" w:rsidRPr="00AB5985">
        <w:rPr>
          <w:szCs w:val="22"/>
        </w:rPr>
        <w:t xml:space="preserve">a detailed discussion of the </w:t>
      </w:r>
      <w:r w:rsidR="00902B36">
        <w:rPr>
          <w:szCs w:val="22"/>
        </w:rPr>
        <w:t xml:space="preserve">specific </w:t>
      </w:r>
      <w:r w:rsidR="00B63EE7" w:rsidRPr="00AB5985">
        <w:rPr>
          <w:szCs w:val="22"/>
        </w:rPr>
        <w:t>recommendations.</w:t>
      </w:r>
    </w:p>
    <w:p w14:paraId="3E500603" w14:textId="77777777" w:rsidR="00B0793A" w:rsidRDefault="00B0793A" w:rsidP="0022244D">
      <w:pPr>
        <w:rPr>
          <w:b/>
          <w:i/>
          <w:color w:val="01653F"/>
          <w:sz w:val="24"/>
        </w:rPr>
      </w:pPr>
    </w:p>
    <w:p w14:paraId="1F0383B3" w14:textId="77777777" w:rsidR="004F4A03" w:rsidRPr="0074607A" w:rsidRDefault="0022244D" w:rsidP="0022244D">
      <w:pPr>
        <w:rPr>
          <w:color w:val="01653F"/>
          <w:sz w:val="24"/>
        </w:rPr>
      </w:pPr>
      <w:r w:rsidRPr="0074607A">
        <w:rPr>
          <w:b/>
          <w:i/>
          <w:color w:val="01653F"/>
          <w:sz w:val="24"/>
        </w:rPr>
        <w:t>Background</w:t>
      </w:r>
    </w:p>
    <w:p w14:paraId="64E01F00" w14:textId="77777777" w:rsidR="00DE3ACF" w:rsidRDefault="0022244D" w:rsidP="00B63EE7">
      <w:pPr>
        <w:rPr>
          <w:szCs w:val="22"/>
        </w:rPr>
      </w:pPr>
      <w:r w:rsidRPr="00B63EE7">
        <w:rPr>
          <w:szCs w:val="22"/>
        </w:rPr>
        <w:t xml:space="preserve">The </w:t>
      </w:r>
      <w:r w:rsidR="00E86DF1" w:rsidRPr="00B63EE7">
        <w:rPr>
          <w:szCs w:val="22"/>
        </w:rPr>
        <w:t>Tissue Pathology</w:t>
      </w:r>
      <w:r w:rsidRPr="00B63EE7">
        <w:rPr>
          <w:szCs w:val="22"/>
        </w:rPr>
        <w:t xml:space="preserve"> and Cytology </w:t>
      </w:r>
      <w:r w:rsidR="00F2789E">
        <w:rPr>
          <w:szCs w:val="22"/>
        </w:rPr>
        <w:t xml:space="preserve">services listed in the </w:t>
      </w:r>
      <w:r w:rsidRPr="00B63EE7">
        <w:rPr>
          <w:szCs w:val="22"/>
        </w:rPr>
        <w:t>MBS</w:t>
      </w:r>
      <w:r w:rsidR="00BF703F">
        <w:rPr>
          <w:szCs w:val="22"/>
        </w:rPr>
        <w:t xml:space="preserve"> (items 72813-72859 &amp; 73043-73067)</w:t>
      </w:r>
      <w:r w:rsidRPr="00B63EE7">
        <w:rPr>
          <w:szCs w:val="22"/>
        </w:rPr>
        <w:t xml:space="preserve"> </w:t>
      </w:r>
      <w:r w:rsidR="0074607A">
        <w:rPr>
          <w:szCs w:val="22"/>
        </w:rPr>
        <w:t xml:space="preserve">essentially </w:t>
      </w:r>
      <w:r w:rsidRPr="00B63EE7">
        <w:rPr>
          <w:szCs w:val="22"/>
        </w:rPr>
        <w:t>consist of only two</w:t>
      </w:r>
      <w:r w:rsidR="0059521B">
        <w:rPr>
          <w:szCs w:val="22"/>
        </w:rPr>
        <w:t xml:space="preserve"> key</w:t>
      </w:r>
      <w:r w:rsidRPr="00B63EE7">
        <w:rPr>
          <w:szCs w:val="22"/>
        </w:rPr>
        <w:t xml:space="preserve"> procedures</w:t>
      </w:r>
      <w:r w:rsidR="00872718">
        <w:rPr>
          <w:szCs w:val="22"/>
        </w:rPr>
        <w:t>—</w:t>
      </w:r>
      <w:r w:rsidRPr="00B63EE7">
        <w:rPr>
          <w:szCs w:val="22"/>
        </w:rPr>
        <w:t>histological examination (involving formalin-fixed paraffin embedded tissues) and cytological examination (involving dispersed cells</w:t>
      </w:r>
      <w:r w:rsidR="005668FD" w:rsidRPr="00AB5985">
        <w:rPr>
          <w:szCs w:val="22"/>
        </w:rPr>
        <w:t xml:space="preserve"> fixed on slides</w:t>
      </w:r>
      <w:r w:rsidRPr="00AB5985">
        <w:rPr>
          <w:szCs w:val="22"/>
        </w:rPr>
        <w:t>), the latter being subdivided into gynaecological and non-gynaecological cytology.</w:t>
      </w:r>
    </w:p>
    <w:p w14:paraId="05122CF4" w14:textId="77777777" w:rsidR="0022244D" w:rsidRPr="00AB5985" w:rsidRDefault="0022244D" w:rsidP="00B63EE7">
      <w:pPr>
        <w:rPr>
          <w:szCs w:val="22"/>
        </w:rPr>
      </w:pPr>
      <w:r w:rsidRPr="00AB5985">
        <w:rPr>
          <w:szCs w:val="22"/>
        </w:rPr>
        <w:t>A small number of additional items for ancillary investigations (</w:t>
      </w:r>
      <w:r w:rsidR="005668FD" w:rsidRPr="00AB5985">
        <w:rPr>
          <w:szCs w:val="22"/>
        </w:rPr>
        <w:t xml:space="preserve">frozen section, </w:t>
      </w:r>
      <w:r w:rsidR="00BF703F">
        <w:rPr>
          <w:szCs w:val="22"/>
        </w:rPr>
        <w:t xml:space="preserve">electron microscopy, </w:t>
      </w:r>
      <w:r w:rsidRPr="00AB5985">
        <w:rPr>
          <w:szCs w:val="22"/>
        </w:rPr>
        <w:t>immunohistochemistry</w:t>
      </w:r>
      <w:r w:rsidR="005668FD" w:rsidRPr="00AB5985">
        <w:rPr>
          <w:szCs w:val="22"/>
        </w:rPr>
        <w:t>/</w:t>
      </w:r>
      <w:r w:rsidR="00BF703F">
        <w:rPr>
          <w:szCs w:val="22"/>
        </w:rPr>
        <w:t xml:space="preserve"> immunocytochemistry</w:t>
      </w:r>
      <w:r w:rsidRPr="00AB5985">
        <w:rPr>
          <w:szCs w:val="22"/>
        </w:rPr>
        <w:t>) are</w:t>
      </w:r>
      <w:r w:rsidR="002E6BFE">
        <w:rPr>
          <w:szCs w:val="22"/>
        </w:rPr>
        <w:t xml:space="preserve"> also</w:t>
      </w:r>
      <w:r w:rsidRPr="00AB5985">
        <w:rPr>
          <w:szCs w:val="22"/>
        </w:rPr>
        <w:t xml:space="preserve"> </w:t>
      </w:r>
      <w:r w:rsidR="002E6BFE">
        <w:rPr>
          <w:szCs w:val="22"/>
        </w:rPr>
        <w:t>listed.</w:t>
      </w:r>
      <w:r w:rsidR="00BF703F">
        <w:rPr>
          <w:szCs w:val="22"/>
        </w:rPr>
        <w:t xml:space="preserve"> </w:t>
      </w:r>
      <w:r w:rsidRPr="00AB5985">
        <w:rPr>
          <w:szCs w:val="22"/>
        </w:rPr>
        <w:t>Recently</w:t>
      </w:r>
      <w:r w:rsidR="00F2789E">
        <w:rPr>
          <w:szCs w:val="22"/>
        </w:rPr>
        <w:t>,</w:t>
      </w:r>
      <w:r w:rsidRPr="00AB5985">
        <w:rPr>
          <w:szCs w:val="22"/>
        </w:rPr>
        <w:t xml:space="preserve"> items for second opinions in morphological pathology have also been added.</w:t>
      </w:r>
    </w:p>
    <w:p w14:paraId="255339F9" w14:textId="77777777" w:rsidR="00DE3ACF" w:rsidRDefault="0022244D" w:rsidP="00AB5985">
      <w:pPr>
        <w:rPr>
          <w:szCs w:val="22"/>
        </w:rPr>
      </w:pPr>
      <w:r w:rsidRPr="00AB5985">
        <w:rPr>
          <w:szCs w:val="22"/>
        </w:rPr>
        <w:t xml:space="preserve">In </w:t>
      </w:r>
      <w:r w:rsidR="00E86DF1" w:rsidRPr="00AB5985">
        <w:rPr>
          <w:szCs w:val="22"/>
        </w:rPr>
        <w:t>Tissue Pathology</w:t>
      </w:r>
      <w:r w:rsidR="002E6BFE">
        <w:rPr>
          <w:szCs w:val="22"/>
        </w:rPr>
        <w:t xml:space="preserve">, </w:t>
      </w:r>
      <w:r w:rsidRPr="00AB5985">
        <w:rPr>
          <w:szCs w:val="22"/>
        </w:rPr>
        <w:t xml:space="preserve">the multiplicity of current MBS items </w:t>
      </w:r>
      <w:proofErr w:type="gramStart"/>
      <w:r w:rsidRPr="00AB5985">
        <w:rPr>
          <w:szCs w:val="22"/>
        </w:rPr>
        <w:t>relate</w:t>
      </w:r>
      <w:proofErr w:type="gramEnd"/>
      <w:r w:rsidRPr="00AB5985">
        <w:rPr>
          <w:szCs w:val="22"/>
        </w:rPr>
        <w:t xml:space="preserve"> to examination of specimen types of different complexity (</w:t>
      </w:r>
      <w:r w:rsidR="00B21D4A">
        <w:rPr>
          <w:szCs w:val="22"/>
        </w:rPr>
        <w:t>level</w:t>
      </w:r>
      <w:r w:rsidRPr="00AB5985">
        <w:rPr>
          <w:szCs w:val="22"/>
        </w:rPr>
        <w:t>s 2</w:t>
      </w:r>
      <w:r w:rsidR="00DE3ACF">
        <w:rPr>
          <w:szCs w:val="22"/>
        </w:rPr>
        <w:t>–</w:t>
      </w:r>
      <w:r w:rsidRPr="00AB5985">
        <w:rPr>
          <w:szCs w:val="22"/>
        </w:rPr>
        <w:t>7, as defined in the Complexity Table</w:t>
      </w:r>
      <w:r w:rsidR="005C78C3" w:rsidRPr="00AB5985">
        <w:rPr>
          <w:szCs w:val="22"/>
        </w:rPr>
        <w:t xml:space="preserve"> included at the end of the Pathology</w:t>
      </w:r>
      <w:r w:rsidR="002E6BFE">
        <w:rPr>
          <w:szCs w:val="22"/>
        </w:rPr>
        <w:t xml:space="preserve"> listing</w:t>
      </w:r>
      <w:r w:rsidRPr="00AB5985">
        <w:rPr>
          <w:szCs w:val="22"/>
        </w:rPr>
        <w:t>)</w:t>
      </w:r>
      <w:r w:rsidR="00DE3ACF">
        <w:rPr>
          <w:szCs w:val="22"/>
        </w:rPr>
        <w:t>. I</w:t>
      </w:r>
      <w:r w:rsidRPr="00AB5985">
        <w:rPr>
          <w:szCs w:val="22"/>
        </w:rPr>
        <w:t xml:space="preserve">n addition, </w:t>
      </w:r>
      <w:r w:rsidR="00DE3ACF" w:rsidRPr="00AB5985">
        <w:rPr>
          <w:szCs w:val="22"/>
        </w:rPr>
        <w:t>complexity</w:t>
      </w:r>
      <w:r w:rsidR="00DE3ACF" w:rsidRPr="00AB5985" w:rsidDel="00DE3ACF">
        <w:rPr>
          <w:szCs w:val="22"/>
        </w:rPr>
        <w:t xml:space="preserve"> </w:t>
      </w:r>
      <w:r w:rsidR="00B21D4A">
        <w:rPr>
          <w:szCs w:val="22"/>
        </w:rPr>
        <w:t>level</w:t>
      </w:r>
      <w:r w:rsidRPr="00AB5985">
        <w:rPr>
          <w:szCs w:val="22"/>
        </w:rPr>
        <w:t>s 3 and 4 include tiering related to the number of specimens (</w:t>
      </w:r>
      <w:r w:rsidR="005C78C3" w:rsidRPr="00AB5985">
        <w:rPr>
          <w:szCs w:val="22"/>
        </w:rPr>
        <w:t xml:space="preserve">item for </w:t>
      </w:r>
      <w:r w:rsidR="00DE3ACF">
        <w:rPr>
          <w:szCs w:val="22"/>
        </w:rPr>
        <w:t>one</w:t>
      </w:r>
      <w:r w:rsidR="00DE3ACF" w:rsidRPr="00AB5985">
        <w:rPr>
          <w:szCs w:val="22"/>
        </w:rPr>
        <w:t xml:space="preserve"> </w:t>
      </w:r>
      <w:r w:rsidRPr="00AB5985">
        <w:rPr>
          <w:szCs w:val="22"/>
        </w:rPr>
        <w:t xml:space="preserve">specimen, </w:t>
      </w:r>
      <w:r w:rsidR="005C78C3" w:rsidRPr="00AB5985">
        <w:rPr>
          <w:szCs w:val="22"/>
        </w:rPr>
        <w:t xml:space="preserve">item for </w:t>
      </w:r>
      <w:r w:rsidRPr="00AB5985">
        <w:rPr>
          <w:szCs w:val="22"/>
        </w:rPr>
        <w:t>2</w:t>
      </w:r>
      <w:r w:rsidR="00DE3ACF">
        <w:rPr>
          <w:szCs w:val="22"/>
        </w:rPr>
        <w:t>–</w:t>
      </w:r>
      <w:r w:rsidRPr="00AB5985">
        <w:rPr>
          <w:szCs w:val="22"/>
        </w:rPr>
        <w:t>4</w:t>
      </w:r>
      <w:r w:rsidR="0093235E" w:rsidRPr="00AB5985">
        <w:rPr>
          <w:szCs w:val="22"/>
        </w:rPr>
        <w:t xml:space="preserve"> specimens, </w:t>
      </w:r>
      <w:r w:rsidR="005C78C3" w:rsidRPr="00AB5985">
        <w:rPr>
          <w:szCs w:val="22"/>
        </w:rPr>
        <w:t xml:space="preserve">item for </w:t>
      </w:r>
      <w:r w:rsidR="0093235E" w:rsidRPr="00AB5985">
        <w:rPr>
          <w:szCs w:val="22"/>
        </w:rPr>
        <w:t>5</w:t>
      </w:r>
      <w:r w:rsidR="00DE3ACF">
        <w:rPr>
          <w:szCs w:val="22"/>
        </w:rPr>
        <w:t>–</w:t>
      </w:r>
      <w:r w:rsidR="0093235E" w:rsidRPr="00AB5985">
        <w:rPr>
          <w:szCs w:val="22"/>
        </w:rPr>
        <w:t>7 specimens</w:t>
      </w:r>
      <w:r w:rsidR="00DE3ACF">
        <w:rPr>
          <w:szCs w:val="22"/>
        </w:rPr>
        <w:t>,</w:t>
      </w:r>
      <w:r w:rsidR="0093235E" w:rsidRPr="00AB5985">
        <w:rPr>
          <w:szCs w:val="22"/>
        </w:rPr>
        <w:t xml:space="preserve"> etc</w:t>
      </w:r>
      <w:r w:rsidR="00DE3ACF">
        <w:rPr>
          <w:szCs w:val="22"/>
        </w:rPr>
        <w:t>.</w:t>
      </w:r>
      <w:r w:rsidR="0093235E" w:rsidRPr="00AB5985">
        <w:rPr>
          <w:szCs w:val="22"/>
        </w:rPr>
        <w:t>)</w:t>
      </w:r>
      <w:r w:rsidRPr="00AB5985">
        <w:rPr>
          <w:szCs w:val="22"/>
        </w:rPr>
        <w:t>.</w:t>
      </w:r>
    </w:p>
    <w:p w14:paraId="04E3DB2E" w14:textId="77777777" w:rsidR="00DE3ACF" w:rsidRDefault="0022244D" w:rsidP="00AB5985">
      <w:pPr>
        <w:rPr>
          <w:szCs w:val="22"/>
        </w:rPr>
      </w:pPr>
      <w:r w:rsidRPr="00BF703F">
        <w:rPr>
          <w:szCs w:val="22"/>
        </w:rPr>
        <w:t>Superimposed over this is Rule 13, which dictates that a billin</w:t>
      </w:r>
      <w:r w:rsidR="00BF703F" w:rsidRPr="00BF703F">
        <w:rPr>
          <w:szCs w:val="22"/>
        </w:rPr>
        <w:t xml:space="preserve">g code for a specimen of higher </w:t>
      </w:r>
      <w:r w:rsidRPr="00BF703F">
        <w:rPr>
          <w:szCs w:val="22"/>
        </w:rPr>
        <w:t>complexity overrides (</w:t>
      </w:r>
      <w:r w:rsidR="00DE3ACF" w:rsidRPr="00BF703F">
        <w:rPr>
          <w:szCs w:val="22"/>
        </w:rPr>
        <w:t>‘</w:t>
      </w:r>
      <w:r w:rsidRPr="00BF703F">
        <w:rPr>
          <w:szCs w:val="22"/>
        </w:rPr>
        <w:t>trumps</w:t>
      </w:r>
      <w:r w:rsidR="00DE3ACF" w:rsidRPr="00BF703F">
        <w:rPr>
          <w:szCs w:val="22"/>
        </w:rPr>
        <w:t>’</w:t>
      </w:r>
      <w:r w:rsidRPr="00BF703F">
        <w:rPr>
          <w:szCs w:val="22"/>
        </w:rPr>
        <w:t>) a billing code for lower</w:t>
      </w:r>
      <w:r w:rsidR="00DE3ACF" w:rsidRPr="00BF703F">
        <w:rPr>
          <w:szCs w:val="22"/>
        </w:rPr>
        <w:t>-</w:t>
      </w:r>
      <w:r w:rsidRPr="00BF703F">
        <w:rPr>
          <w:szCs w:val="22"/>
        </w:rPr>
        <w:t xml:space="preserve">complexity item/s, unless the dollar value of </w:t>
      </w:r>
      <w:r w:rsidR="005C78C3" w:rsidRPr="00BF703F">
        <w:rPr>
          <w:szCs w:val="22"/>
        </w:rPr>
        <w:t xml:space="preserve">a tiered </w:t>
      </w:r>
      <w:r w:rsidRPr="00BF703F">
        <w:rPr>
          <w:szCs w:val="22"/>
        </w:rPr>
        <w:t>lower</w:t>
      </w:r>
      <w:r w:rsidR="00DE3ACF" w:rsidRPr="00BF703F">
        <w:rPr>
          <w:szCs w:val="22"/>
        </w:rPr>
        <w:t>-</w:t>
      </w:r>
      <w:r w:rsidRPr="00BF703F">
        <w:rPr>
          <w:szCs w:val="22"/>
        </w:rPr>
        <w:t>complexity item is greater.</w:t>
      </w:r>
      <w:r w:rsidR="00E11BC0" w:rsidRPr="00BF703F">
        <w:rPr>
          <w:szCs w:val="22"/>
        </w:rPr>
        <w:t xml:space="preserve"> </w:t>
      </w:r>
      <w:r w:rsidR="00E86DF1" w:rsidRPr="00BF703F">
        <w:rPr>
          <w:szCs w:val="22"/>
        </w:rPr>
        <w:t xml:space="preserve">The Cytology component of the </w:t>
      </w:r>
      <w:r w:rsidR="00F2789E" w:rsidRPr="00BF703F">
        <w:rPr>
          <w:szCs w:val="22"/>
        </w:rPr>
        <w:t>MBS</w:t>
      </w:r>
      <w:r w:rsidR="00B220D3" w:rsidRPr="00BF703F">
        <w:rPr>
          <w:szCs w:val="22"/>
        </w:rPr>
        <w:t xml:space="preserve"> </w:t>
      </w:r>
      <w:r w:rsidR="00E86DF1" w:rsidRPr="00BF703F">
        <w:rPr>
          <w:szCs w:val="22"/>
        </w:rPr>
        <w:t>likewise includes a variety of items related to multiples of the basic types of examination.</w:t>
      </w:r>
    </w:p>
    <w:p w14:paraId="345C1F65" w14:textId="77777777" w:rsidR="00BF703F" w:rsidRPr="00BF703F" w:rsidRDefault="00BF703F" w:rsidP="00AB5985">
      <w:pPr>
        <w:rPr>
          <w:szCs w:val="22"/>
        </w:rPr>
      </w:pPr>
      <w:r w:rsidRPr="00AB5985">
        <w:rPr>
          <w:szCs w:val="22"/>
        </w:rPr>
        <w:t xml:space="preserve">This complicated system has numerous intrinsic </w:t>
      </w:r>
      <w:proofErr w:type="gramStart"/>
      <w:r w:rsidRPr="00AB5985">
        <w:rPr>
          <w:szCs w:val="22"/>
        </w:rPr>
        <w:t>flaws, and</w:t>
      </w:r>
      <w:proofErr w:type="gramEnd"/>
      <w:r w:rsidRPr="00AB5985">
        <w:rPr>
          <w:szCs w:val="22"/>
        </w:rPr>
        <w:t xml:space="preserve"> addressing these issues has been the main focus of the Anatomical Pathology/Cytology Working Group.</w:t>
      </w:r>
    </w:p>
    <w:p w14:paraId="4D2D3B8F" w14:textId="77777777" w:rsidR="00B0793A" w:rsidRDefault="00B0793A" w:rsidP="0022244D">
      <w:pPr>
        <w:rPr>
          <w:b/>
          <w:i/>
          <w:color w:val="01653F"/>
          <w:sz w:val="24"/>
        </w:rPr>
      </w:pPr>
    </w:p>
    <w:p w14:paraId="5B52BCEE" w14:textId="77777777" w:rsidR="004F4A03" w:rsidRPr="00BF703F" w:rsidRDefault="00E86DF1" w:rsidP="0022244D">
      <w:pPr>
        <w:rPr>
          <w:color w:val="01653F"/>
          <w:sz w:val="24"/>
        </w:rPr>
      </w:pPr>
      <w:r w:rsidRPr="00BF703F">
        <w:rPr>
          <w:b/>
          <w:i/>
          <w:color w:val="01653F"/>
          <w:sz w:val="24"/>
        </w:rPr>
        <w:t xml:space="preserve">Tissue Pathology </w:t>
      </w:r>
      <w:r w:rsidR="00DE3ACF" w:rsidRPr="00BF703F">
        <w:rPr>
          <w:b/>
          <w:i/>
          <w:color w:val="01653F"/>
          <w:sz w:val="24"/>
        </w:rPr>
        <w:t>s</w:t>
      </w:r>
      <w:r w:rsidRPr="00BF703F">
        <w:rPr>
          <w:b/>
          <w:i/>
          <w:color w:val="01653F"/>
          <w:sz w:val="24"/>
        </w:rPr>
        <w:t>ervice</w:t>
      </w:r>
      <w:r w:rsidR="00E720E2" w:rsidRPr="00BF703F">
        <w:rPr>
          <w:b/>
          <w:i/>
          <w:color w:val="01653F"/>
          <w:sz w:val="24"/>
        </w:rPr>
        <w:t xml:space="preserve"> data</w:t>
      </w:r>
    </w:p>
    <w:p w14:paraId="1026EA74" w14:textId="77777777" w:rsidR="00C96A81" w:rsidRPr="006529AB" w:rsidRDefault="00715C81" w:rsidP="0022244D">
      <w:r>
        <w:t xml:space="preserve">Tissue Pathology </w:t>
      </w:r>
      <w:r w:rsidR="00C96A81" w:rsidRPr="006529AB">
        <w:t>item</w:t>
      </w:r>
      <w:r w:rsidR="000F1102">
        <w:t xml:space="preserve"> service</w:t>
      </w:r>
      <w:r>
        <w:t xml:space="preserve"> data</w:t>
      </w:r>
      <w:r w:rsidR="000F1102">
        <w:t xml:space="preserve"> </w:t>
      </w:r>
      <w:r w:rsidR="00BF703F">
        <w:t>are</w:t>
      </w:r>
      <w:r w:rsidR="00C96A81" w:rsidRPr="006529AB">
        <w:t xml:space="preserve"> shown </w:t>
      </w:r>
      <w:r w:rsidR="00C96A81" w:rsidRPr="00B30875">
        <w:t xml:space="preserve">in </w:t>
      </w:r>
      <w:r w:rsidR="002E75C7" w:rsidRPr="005D395D">
        <w:rPr>
          <w:i/>
        </w:rPr>
        <w:t xml:space="preserve">Table </w:t>
      </w:r>
      <w:r w:rsidR="004D4B8D">
        <w:rPr>
          <w:i/>
        </w:rPr>
        <w:t>3</w:t>
      </w:r>
      <w:r w:rsidR="00AD71F3" w:rsidRPr="00B45D06">
        <w:t xml:space="preserve"> </w:t>
      </w:r>
      <w:r w:rsidR="00C96A81" w:rsidRPr="00DE3ACF">
        <w:t>below</w:t>
      </w:r>
      <w:r w:rsidR="00530C46" w:rsidRPr="00DE3ACF">
        <w:t xml:space="preserve"> and represented graphically in </w:t>
      </w:r>
      <w:r w:rsidR="00530C46" w:rsidRPr="005657E4">
        <w:rPr>
          <w:i/>
        </w:rPr>
        <w:t xml:space="preserve">Figure </w:t>
      </w:r>
      <w:r w:rsidR="004D4B8D">
        <w:rPr>
          <w:i/>
        </w:rPr>
        <w:t>2</w:t>
      </w:r>
      <w:r w:rsidR="00530C46" w:rsidRPr="0000348C">
        <w:rPr>
          <w:i/>
        </w:rPr>
        <w:t>.</w:t>
      </w:r>
      <w:r w:rsidR="0012711C">
        <w:t xml:space="preserve"> </w:t>
      </w:r>
      <w:proofErr w:type="gramStart"/>
      <w:r w:rsidR="0012711C">
        <w:t>The majority of</w:t>
      </w:r>
      <w:proofErr w:type="gramEnd"/>
      <w:r w:rsidR="0012711C">
        <w:t xml:space="preserve"> rebated specimens are simple single skin biopsies (</w:t>
      </w:r>
      <w:r w:rsidR="00B21D4A">
        <w:t>level</w:t>
      </w:r>
      <w:r w:rsidR="0012711C">
        <w:t xml:space="preserve"> 3</w:t>
      </w:r>
      <w:r w:rsidR="00DE3ACF">
        <w:t xml:space="preserve">: </w:t>
      </w:r>
      <w:r w:rsidR="0012711C">
        <w:t>72816) and gastrointestinal biopsies (</w:t>
      </w:r>
      <w:r w:rsidR="00B21D4A">
        <w:t>level</w:t>
      </w:r>
      <w:r w:rsidR="0012711C">
        <w:t xml:space="preserve"> 4: 72823, 72824</w:t>
      </w:r>
      <w:r w:rsidR="00DE3ACF">
        <w:t>,</w:t>
      </w:r>
      <w:r w:rsidR="0012711C">
        <w:t xml:space="preserve"> etc</w:t>
      </w:r>
      <w:r w:rsidR="00DE3ACF">
        <w:t>.</w:t>
      </w:r>
      <w:r w:rsidR="0012711C">
        <w:t>).</w:t>
      </w:r>
    </w:p>
    <w:p w14:paraId="3FFD1E83" w14:textId="77777777" w:rsidR="00DE3ACF" w:rsidRDefault="00DE3ACF">
      <w:pPr>
        <w:spacing w:before="0" w:after="0"/>
        <w:rPr>
          <w:i/>
        </w:rPr>
      </w:pPr>
      <w:r>
        <w:rPr>
          <w:i/>
        </w:rPr>
        <w:br w:type="page"/>
      </w:r>
    </w:p>
    <w:p w14:paraId="6C884E2B" w14:textId="77777777" w:rsidR="005657E4" w:rsidRPr="00B30875" w:rsidRDefault="005657E4" w:rsidP="003D1B38">
      <w:pPr>
        <w:pStyle w:val="Caption"/>
      </w:pPr>
      <w:bookmarkStart w:id="44" w:name="_Toc482213830"/>
      <w:r>
        <w:lastRenderedPageBreak/>
        <w:t xml:space="preserve">Table </w:t>
      </w:r>
      <w:r w:rsidR="00555C4C">
        <w:fldChar w:fldCharType="begin"/>
      </w:r>
      <w:r w:rsidR="00B220D3">
        <w:instrText xml:space="preserve"> SEQ Table \* ARABIC </w:instrText>
      </w:r>
      <w:r w:rsidR="00555C4C">
        <w:fldChar w:fldCharType="separate"/>
      </w:r>
      <w:r w:rsidR="00FC06F1">
        <w:rPr>
          <w:noProof/>
        </w:rPr>
        <w:t>3</w:t>
      </w:r>
      <w:r w:rsidR="00555C4C">
        <w:fldChar w:fldCharType="end"/>
      </w:r>
      <w:r w:rsidR="00B220D3">
        <w:t>:</w:t>
      </w:r>
      <w:r>
        <w:t xml:space="preserve"> </w:t>
      </w:r>
      <w:bookmarkEnd w:id="44"/>
      <w:r w:rsidR="000F1102">
        <w:t xml:space="preserve">2014/15 MBS Tissue Pathology item service /benefit data </w:t>
      </w:r>
    </w:p>
    <w:tbl>
      <w:tblPr>
        <w:tblW w:w="8828" w:type="dxa"/>
        <w:tblInd w:w="93" w:type="dxa"/>
        <w:tblLayout w:type="fixed"/>
        <w:tblLook w:val="04A0" w:firstRow="1" w:lastRow="0" w:firstColumn="1" w:lastColumn="0" w:noHBand="0" w:noVBand="1"/>
      </w:tblPr>
      <w:tblGrid>
        <w:gridCol w:w="1008"/>
        <w:gridCol w:w="1583"/>
        <w:gridCol w:w="1819"/>
        <w:gridCol w:w="1441"/>
        <w:gridCol w:w="1559"/>
        <w:gridCol w:w="1418"/>
      </w:tblGrid>
      <w:tr w:rsidR="00240205" w:rsidRPr="006839E4" w14:paraId="19DAC72D" w14:textId="77777777" w:rsidTr="00BF703F">
        <w:trPr>
          <w:trHeight w:val="737"/>
        </w:trPr>
        <w:tc>
          <w:tcPr>
            <w:tcW w:w="1008" w:type="dxa"/>
            <w:tcBorders>
              <w:top w:val="single" w:sz="8" w:space="0" w:color="auto"/>
              <w:left w:val="single" w:sz="8" w:space="0" w:color="auto"/>
              <w:bottom w:val="single" w:sz="4" w:space="0" w:color="auto"/>
              <w:right w:val="nil"/>
            </w:tcBorders>
            <w:shd w:val="clear" w:color="auto" w:fill="EEECE1" w:themeFill="background2"/>
            <w:vAlign w:val="bottom"/>
            <w:hideMark/>
          </w:tcPr>
          <w:p w14:paraId="442BCBDF"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Item</w:t>
            </w:r>
            <w:r w:rsidR="00CB69D6" w:rsidRPr="006839E4">
              <w:rPr>
                <w:rFonts w:ascii="Arial" w:hAnsi="Arial" w:cs="Arial"/>
                <w:b/>
                <w:bCs/>
                <w:sz w:val="20"/>
                <w:szCs w:val="20"/>
                <w:lang w:eastAsia="en-US"/>
              </w:rPr>
              <w:t xml:space="preserve"> number</w:t>
            </w:r>
          </w:p>
        </w:tc>
        <w:tc>
          <w:tcPr>
            <w:tcW w:w="1583" w:type="dxa"/>
            <w:tcBorders>
              <w:top w:val="single" w:sz="8" w:space="0" w:color="auto"/>
              <w:left w:val="single" w:sz="8" w:space="0" w:color="auto"/>
              <w:bottom w:val="single" w:sz="4" w:space="0" w:color="auto"/>
              <w:right w:val="single" w:sz="4" w:space="0" w:color="auto"/>
            </w:tcBorders>
            <w:shd w:val="clear" w:color="auto" w:fill="EEECE1" w:themeFill="background2"/>
            <w:vAlign w:val="bottom"/>
            <w:hideMark/>
          </w:tcPr>
          <w:p w14:paraId="5F38F46A"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 xml:space="preserve">Brief </w:t>
            </w:r>
            <w:r w:rsidR="00CB69D6" w:rsidRPr="006839E4">
              <w:rPr>
                <w:rFonts w:ascii="Arial" w:hAnsi="Arial" w:cs="Arial"/>
                <w:b/>
                <w:bCs/>
                <w:sz w:val="20"/>
                <w:szCs w:val="20"/>
                <w:lang w:eastAsia="en-US"/>
              </w:rPr>
              <w:t>description</w:t>
            </w:r>
          </w:p>
        </w:tc>
        <w:tc>
          <w:tcPr>
            <w:tcW w:w="1819" w:type="dxa"/>
            <w:tcBorders>
              <w:top w:val="single" w:sz="8" w:space="0" w:color="auto"/>
              <w:left w:val="nil"/>
              <w:bottom w:val="single" w:sz="4" w:space="0" w:color="auto"/>
              <w:right w:val="single" w:sz="4" w:space="0" w:color="auto"/>
            </w:tcBorders>
            <w:shd w:val="clear" w:color="auto" w:fill="EEECE1" w:themeFill="background2"/>
            <w:vAlign w:val="bottom"/>
            <w:hideMark/>
          </w:tcPr>
          <w:p w14:paraId="27056E83"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 xml:space="preserve">Total </w:t>
            </w:r>
            <w:r w:rsidR="00CB69D6" w:rsidRPr="006839E4">
              <w:rPr>
                <w:rFonts w:ascii="Arial" w:hAnsi="Arial" w:cs="Arial"/>
                <w:b/>
                <w:bCs/>
                <w:sz w:val="20"/>
                <w:szCs w:val="20"/>
                <w:lang w:eastAsia="en-US"/>
              </w:rPr>
              <w:t xml:space="preserve">benefits </w:t>
            </w:r>
            <w:r w:rsidRPr="006839E4">
              <w:rPr>
                <w:rFonts w:ascii="Arial" w:hAnsi="Arial" w:cs="Arial"/>
                <w:b/>
                <w:bCs/>
                <w:sz w:val="20"/>
                <w:szCs w:val="20"/>
                <w:lang w:eastAsia="en-US"/>
              </w:rPr>
              <w:t>paid 2014</w:t>
            </w:r>
            <w:r w:rsidR="00CB69D6" w:rsidRPr="006839E4">
              <w:rPr>
                <w:rFonts w:ascii="Arial" w:hAnsi="Arial" w:cs="Arial"/>
                <w:b/>
                <w:bCs/>
                <w:sz w:val="20"/>
                <w:szCs w:val="20"/>
                <w:lang w:eastAsia="en-US"/>
              </w:rPr>
              <w:t>–</w:t>
            </w:r>
            <w:r w:rsidRPr="006839E4">
              <w:rPr>
                <w:rFonts w:ascii="Arial" w:hAnsi="Arial" w:cs="Arial"/>
                <w:b/>
                <w:bCs/>
                <w:sz w:val="20"/>
                <w:szCs w:val="20"/>
                <w:lang w:eastAsia="en-US"/>
              </w:rPr>
              <w:t>15</w:t>
            </w:r>
          </w:p>
        </w:tc>
        <w:tc>
          <w:tcPr>
            <w:tcW w:w="1441" w:type="dxa"/>
            <w:tcBorders>
              <w:top w:val="single" w:sz="8" w:space="0" w:color="auto"/>
              <w:left w:val="single" w:sz="4" w:space="0" w:color="auto"/>
              <w:bottom w:val="single" w:sz="4" w:space="0" w:color="auto"/>
              <w:right w:val="single" w:sz="4" w:space="0" w:color="auto"/>
            </w:tcBorders>
            <w:shd w:val="clear" w:color="auto" w:fill="EEECE1" w:themeFill="background2"/>
            <w:vAlign w:val="bottom"/>
            <w:hideMark/>
          </w:tcPr>
          <w:p w14:paraId="166D4F90"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Number of services</w:t>
            </w:r>
            <w:r w:rsidR="00CB69D6" w:rsidRPr="006839E4">
              <w:rPr>
                <w:rFonts w:ascii="Arial" w:hAnsi="Arial" w:cs="Arial"/>
                <w:b/>
                <w:bCs/>
                <w:sz w:val="20"/>
                <w:szCs w:val="20"/>
                <w:lang w:eastAsia="en-US"/>
              </w:rPr>
              <w:br/>
            </w:r>
            <w:r w:rsidRPr="006839E4">
              <w:rPr>
                <w:rFonts w:ascii="Arial" w:hAnsi="Arial" w:cs="Arial"/>
                <w:b/>
                <w:bCs/>
                <w:sz w:val="20"/>
                <w:szCs w:val="20"/>
                <w:lang w:eastAsia="en-US"/>
              </w:rPr>
              <w:t>2014</w:t>
            </w:r>
            <w:r w:rsidR="00CB69D6" w:rsidRPr="006839E4">
              <w:rPr>
                <w:rFonts w:ascii="Arial" w:hAnsi="Arial" w:cs="Arial"/>
                <w:b/>
                <w:bCs/>
                <w:sz w:val="20"/>
                <w:szCs w:val="20"/>
                <w:lang w:eastAsia="en-US"/>
              </w:rPr>
              <w:t>–</w:t>
            </w:r>
            <w:r w:rsidRPr="006839E4">
              <w:rPr>
                <w:rFonts w:ascii="Arial" w:hAnsi="Arial" w:cs="Arial"/>
                <w:b/>
                <w:bCs/>
                <w:sz w:val="20"/>
                <w:szCs w:val="20"/>
                <w:lang w:eastAsia="en-US"/>
              </w:rPr>
              <w:t>15</w:t>
            </w:r>
          </w:p>
        </w:tc>
        <w:tc>
          <w:tcPr>
            <w:tcW w:w="1559" w:type="dxa"/>
            <w:tcBorders>
              <w:top w:val="single" w:sz="8" w:space="0" w:color="auto"/>
              <w:left w:val="nil"/>
              <w:bottom w:val="single" w:sz="4" w:space="0" w:color="auto"/>
              <w:right w:val="single" w:sz="4" w:space="0" w:color="auto"/>
            </w:tcBorders>
            <w:shd w:val="clear" w:color="auto" w:fill="EEECE1" w:themeFill="background2"/>
            <w:vAlign w:val="bottom"/>
            <w:hideMark/>
          </w:tcPr>
          <w:p w14:paraId="7A921516"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 xml:space="preserve">% of total </w:t>
            </w:r>
            <w:r w:rsidR="00CB69D6" w:rsidRPr="006839E4">
              <w:rPr>
                <w:rFonts w:ascii="Arial" w:hAnsi="Arial" w:cs="Arial"/>
                <w:b/>
                <w:bCs/>
                <w:sz w:val="20"/>
                <w:szCs w:val="20"/>
                <w:lang w:eastAsia="en-US"/>
              </w:rPr>
              <w:t xml:space="preserve">histology </w:t>
            </w:r>
            <w:r w:rsidRPr="006839E4">
              <w:rPr>
                <w:rFonts w:ascii="Arial" w:hAnsi="Arial" w:cs="Arial"/>
                <w:b/>
                <w:bCs/>
                <w:sz w:val="20"/>
                <w:szCs w:val="20"/>
                <w:lang w:eastAsia="en-US"/>
              </w:rPr>
              <w:t>items</w:t>
            </w:r>
          </w:p>
        </w:tc>
        <w:tc>
          <w:tcPr>
            <w:tcW w:w="1418" w:type="dxa"/>
            <w:tcBorders>
              <w:top w:val="single" w:sz="8" w:space="0" w:color="auto"/>
              <w:left w:val="nil"/>
              <w:bottom w:val="single" w:sz="4" w:space="0" w:color="auto"/>
              <w:right w:val="single" w:sz="4" w:space="0" w:color="auto"/>
            </w:tcBorders>
            <w:shd w:val="clear" w:color="auto" w:fill="EEECE1" w:themeFill="background2"/>
            <w:vAlign w:val="bottom"/>
            <w:hideMark/>
          </w:tcPr>
          <w:p w14:paraId="513FDBA9" w14:textId="77777777" w:rsidR="00CC44D6" w:rsidRPr="006839E4" w:rsidRDefault="00CC44D6" w:rsidP="008A35C5">
            <w:pPr>
              <w:rPr>
                <w:rFonts w:ascii="Arial" w:hAnsi="Arial" w:cs="Arial"/>
                <w:b/>
                <w:bCs/>
                <w:sz w:val="20"/>
                <w:szCs w:val="20"/>
                <w:lang w:eastAsia="en-US"/>
              </w:rPr>
            </w:pPr>
            <w:r w:rsidRPr="006839E4">
              <w:rPr>
                <w:rFonts w:ascii="Arial" w:hAnsi="Arial" w:cs="Arial"/>
                <w:b/>
                <w:bCs/>
                <w:sz w:val="20"/>
                <w:szCs w:val="20"/>
                <w:lang w:eastAsia="en-US"/>
              </w:rPr>
              <w:t>%</w:t>
            </w:r>
            <w:r w:rsidR="00CB69D6" w:rsidRPr="006839E4">
              <w:rPr>
                <w:rFonts w:ascii="Arial" w:hAnsi="Arial" w:cs="Arial"/>
                <w:b/>
                <w:bCs/>
                <w:sz w:val="20"/>
                <w:szCs w:val="20"/>
                <w:lang w:eastAsia="en-US"/>
              </w:rPr>
              <w:t xml:space="preserve"> </w:t>
            </w:r>
            <w:r w:rsidR="00240205" w:rsidRPr="006839E4">
              <w:rPr>
                <w:rFonts w:ascii="Arial" w:hAnsi="Arial" w:cs="Arial"/>
                <w:b/>
                <w:bCs/>
                <w:sz w:val="20"/>
                <w:szCs w:val="20"/>
                <w:lang w:eastAsia="en-US"/>
              </w:rPr>
              <w:t>specialist</w:t>
            </w:r>
            <w:r w:rsidR="0086549B" w:rsidRPr="006839E4">
              <w:rPr>
                <w:rFonts w:ascii="Arial" w:hAnsi="Arial" w:cs="Arial"/>
                <w:b/>
                <w:bCs/>
                <w:sz w:val="20"/>
                <w:szCs w:val="20"/>
                <w:lang w:eastAsia="en-US"/>
              </w:rPr>
              <w:t>-</w:t>
            </w:r>
            <w:r w:rsidRPr="006839E4">
              <w:rPr>
                <w:rFonts w:ascii="Arial" w:hAnsi="Arial" w:cs="Arial"/>
                <w:b/>
                <w:bCs/>
                <w:sz w:val="20"/>
                <w:szCs w:val="20"/>
                <w:lang w:eastAsia="en-US"/>
              </w:rPr>
              <w:t>ordered</w:t>
            </w:r>
          </w:p>
        </w:tc>
      </w:tr>
      <w:tr w:rsidR="00240205" w:rsidRPr="006839E4" w14:paraId="08899879"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7917C895" w14:textId="77777777" w:rsidR="00CC44D6" w:rsidRPr="006839E4" w:rsidRDefault="00CC44D6" w:rsidP="008A35C5">
            <w:pPr>
              <w:jc w:val="right"/>
              <w:rPr>
                <w:rFonts w:ascii="Arial" w:hAnsi="Arial" w:cs="Arial"/>
                <w:sz w:val="20"/>
                <w:szCs w:val="20"/>
                <w:lang w:eastAsia="en-US"/>
              </w:rPr>
            </w:pPr>
            <w:r w:rsidRPr="006839E4">
              <w:rPr>
                <w:rFonts w:ascii="Arial" w:hAnsi="Arial" w:cs="Arial"/>
                <w:sz w:val="20"/>
                <w:szCs w:val="20"/>
                <w:lang w:eastAsia="en-US"/>
              </w:rPr>
              <w:t>72813</w:t>
            </w:r>
          </w:p>
        </w:tc>
        <w:tc>
          <w:tcPr>
            <w:tcW w:w="1583" w:type="dxa"/>
            <w:tcBorders>
              <w:top w:val="nil"/>
              <w:left w:val="single" w:sz="8" w:space="0" w:color="auto"/>
              <w:bottom w:val="nil"/>
              <w:right w:val="single" w:sz="4" w:space="0" w:color="auto"/>
            </w:tcBorders>
            <w:shd w:val="clear" w:color="auto" w:fill="auto"/>
            <w:noWrap/>
            <w:vAlign w:val="bottom"/>
            <w:hideMark/>
          </w:tcPr>
          <w:p w14:paraId="20770806" w14:textId="77777777" w:rsidR="00CC44D6" w:rsidRPr="006839E4" w:rsidRDefault="00CC44D6" w:rsidP="008A35C5">
            <w:pPr>
              <w:jc w:val="right"/>
              <w:rPr>
                <w:rFonts w:ascii="Arial" w:hAnsi="Arial" w:cs="Arial"/>
                <w:sz w:val="20"/>
                <w:szCs w:val="20"/>
                <w:lang w:eastAsia="en-US"/>
              </w:rPr>
            </w:pPr>
            <w:r w:rsidRPr="006839E4">
              <w:rPr>
                <w:rFonts w:ascii="Arial" w:hAnsi="Arial" w:cs="Arial"/>
                <w:sz w:val="20"/>
                <w:szCs w:val="20"/>
                <w:lang w:eastAsia="en-US"/>
              </w:rPr>
              <w:t>L2: 1+</w:t>
            </w:r>
          </w:p>
        </w:tc>
        <w:tc>
          <w:tcPr>
            <w:tcW w:w="1819" w:type="dxa"/>
            <w:tcBorders>
              <w:top w:val="nil"/>
              <w:left w:val="nil"/>
              <w:bottom w:val="nil"/>
              <w:right w:val="single" w:sz="4" w:space="0" w:color="auto"/>
            </w:tcBorders>
            <w:shd w:val="clear" w:color="auto" w:fill="auto"/>
            <w:noWrap/>
            <w:vAlign w:val="bottom"/>
            <w:hideMark/>
          </w:tcPr>
          <w:p w14:paraId="117B8674"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690</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034.65</w:t>
            </w:r>
          </w:p>
        </w:tc>
        <w:tc>
          <w:tcPr>
            <w:tcW w:w="1441" w:type="dxa"/>
            <w:tcBorders>
              <w:top w:val="nil"/>
              <w:left w:val="single" w:sz="4" w:space="0" w:color="auto"/>
              <w:bottom w:val="nil"/>
              <w:right w:val="single" w:sz="4" w:space="0" w:color="auto"/>
            </w:tcBorders>
            <w:shd w:val="clear" w:color="auto" w:fill="auto"/>
            <w:noWrap/>
            <w:vAlign w:val="bottom"/>
            <w:hideMark/>
          </w:tcPr>
          <w:p w14:paraId="4AE1D36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12</w:t>
            </w:r>
            <w:r w:rsidR="00240205" w:rsidRPr="006839E4">
              <w:rPr>
                <w:rFonts w:ascii="Arial" w:hAnsi="Arial" w:cs="Arial"/>
                <w:sz w:val="20"/>
                <w:szCs w:val="20"/>
                <w:lang w:eastAsia="en-US"/>
              </w:rPr>
              <w:t xml:space="preserve"> </w:t>
            </w:r>
            <w:r w:rsidRPr="006839E4">
              <w:rPr>
                <w:rFonts w:ascii="Arial" w:hAnsi="Arial" w:cs="Arial"/>
                <w:sz w:val="20"/>
                <w:szCs w:val="20"/>
                <w:lang w:eastAsia="en-US"/>
              </w:rPr>
              <w:t>105</w:t>
            </w:r>
          </w:p>
        </w:tc>
        <w:tc>
          <w:tcPr>
            <w:tcW w:w="1559" w:type="dxa"/>
            <w:tcBorders>
              <w:top w:val="nil"/>
              <w:left w:val="nil"/>
              <w:bottom w:val="nil"/>
              <w:right w:val="single" w:sz="4" w:space="0" w:color="auto"/>
            </w:tcBorders>
            <w:shd w:val="clear" w:color="auto" w:fill="auto"/>
            <w:noWrap/>
            <w:vAlign w:val="bottom"/>
            <w:hideMark/>
          </w:tcPr>
          <w:p w14:paraId="5478DAC8"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0.4</w:t>
            </w:r>
          </w:p>
        </w:tc>
        <w:tc>
          <w:tcPr>
            <w:tcW w:w="1418" w:type="dxa"/>
            <w:tcBorders>
              <w:top w:val="nil"/>
              <w:left w:val="nil"/>
              <w:bottom w:val="nil"/>
              <w:right w:val="single" w:sz="4" w:space="0" w:color="auto"/>
            </w:tcBorders>
            <w:shd w:val="clear" w:color="auto" w:fill="auto"/>
            <w:noWrap/>
            <w:vAlign w:val="bottom"/>
            <w:hideMark/>
          </w:tcPr>
          <w:p w14:paraId="3B6E10DC"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61.3</w:t>
            </w:r>
          </w:p>
        </w:tc>
      </w:tr>
      <w:tr w:rsidR="00240205" w:rsidRPr="006839E4" w14:paraId="470DDCF0"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21AB178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72816</w:t>
            </w:r>
          </w:p>
        </w:tc>
        <w:tc>
          <w:tcPr>
            <w:tcW w:w="1583" w:type="dxa"/>
            <w:tcBorders>
              <w:top w:val="nil"/>
              <w:left w:val="single" w:sz="8" w:space="0" w:color="auto"/>
              <w:bottom w:val="nil"/>
              <w:right w:val="single" w:sz="4" w:space="0" w:color="auto"/>
            </w:tcBorders>
            <w:shd w:val="clear" w:color="auto" w:fill="auto"/>
            <w:noWrap/>
            <w:vAlign w:val="bottom"/>
            <w:hideMark/>
          </w:tcPr>
          <w:p w14:paraId="3BB33B8A"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L3: 1</w:t>
            </w:r>
          </w:p>
        </w:tc>
        <w:tc>
          <w:tcPr>
            <w:tcW w:w="1819" w:type="dxa"/>
            <w:tcBorders>
              <w:top w:val="nil"/>
              <w:left w:val="nil"/>
              <w:bottom w:val="nil"/>
              <w:right w:val="single" w:sz="4" w:space="0" w:color="auto"/>
            </w:tcBorders>
            <w:shd w:val="clear" w:color="auto" w:fill="auto"/>
            <w:noWrap/>
            <w:vAlign w:val="bottom"/>
            <w:hideMark/>
          </w:tcPr>
          <w:p w14:paraId="65FFE344"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99</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857</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964.89</w:t>
            </w:r>
          </w:p>
        </w:tc>
        <w:tc>
          <w:tcPr>
            <w:tcW w:w="1441" w:type="dxa"/>
            <w:tcBorders>
              <w:top w:val="nil"/>
              <w:left w:val="single" w:sz="4" w:space="0" w:color="auto"/>
              <w:bottom w:val="nil"/>
              <w:right w:val="single" w:sz="4" w:space="0" w:color="auto"/>
            </w:tcBorders>
            <w:shd w:val="clear" w:color="auto" w:fill="auto"/>
            <w:noWrap/>
            <w:vAlign w:val="bottom"/>
            <w:hideMark/>
          </w:tcPr>
          <w:p w14:paraId="24BE8225"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1364</w:t>
            </w:r>
            <w:r w:rsidR="00240205" w:rsidRPr="006839E4">
              <w:rPr>
                <w:rFonts w:ascii="Arial" w:hAnsi="Arial" w:cs="Arial"/>
                <w:sz w:val="20"/>
                <w:szCs w:val="20"/>
                <w:lang w:eastAsia="en-US"/>
              </w:rPr>
              <w:t xml:space="preserve"> </w:t>
            </w:r>
            <w:r w:rsidRPr="006839E4">
              <w:rPr>
                <w:rFonts w:ascii="Arial" w:hAnsi="Arial" w:cs="Arial"/>
                <w:sz w:val="20"/>
                <w:szCs w:val="20"/>
                <w:lang w:eastAsia="en-US"/>
              </w:rPr>
              <w:t>447</w:t>
            </w:r>
          </w:p>
        </w:tc>
        <w:tc>
          <w:tcPr>
            <w:tcW w:w="1559" w:type="dxa"/>
            <w:tcBorders>
              <w:top w:val="nil"/>
              <w:left w:val="nil"/>
              <w:bottom w:val="nil"/>
              <w:right w:val="single" w:sz="4" w:space="0" w:color="auto"/>
            </w:tcBorders>
            <w:shd w:val="clear" w:color="auto" w:fill="auto"/>
            <w:noWrap/>
            <w:vAlign w:val="bottom"/>
            <w:hideMark/>
          </w:tcPr>
          <w:p w14:paraId="3B938222"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44.3</w:t>
            </w:r>
          </w:p>
        </w:tc>
        <w:tc>
          <w:tcPr>
            <w:tcW w:w="1418" w:type="dxa"/>
            <w:tcBorders>
              <w:top w:val="nil"/>
              <w:left w:val="nil"/>
              <w:bottom w:val="nil"/>
              <w:right w:val="single" w:sz="4" w:space="0" w:color="auto"/>
            </w:tcBorders>
            <w:shd w:val="clear" w:color="auto" w:fill="auto"/>
            <w:noWrap/>
            <w:vAlign w:val="bottom"/>
            <w:hideMark/>
          </w:tcPr>
          <w:p w14:paraId="24F43123"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23.9</w:t>
            </w:r>
          </w:p>
        </w:tc>
      </w:tr>
      <w:tr w:rsidR="00240205" w:rsidRPr="006839E4" w14:paraId="2EAEA86B"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79E1B92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72817</w:t>
            </w:r>
          </w:p>
        </w:tc>
        <w:tc>
          <w:tcPr>
            <w:tcW w:w="1583" w:type="dxa"/>
            <w:tcBorders>
              <w:top w:val="nil"/>
              <w:left w:val="single" w:sz="8" w:space="0" w:color="auto"/>
              <w:bottom w:val="nil"/>
              <w:right w:val="single" w:sz="4" w:space="0" w:color="auto"/>
            </w:tcBorders>
            <w:shd w:val="clear" w:color="auto" w:fill="auto"/>
            <w:noWrap/>
            <w:vAlign w:val="bottom"/>
            <w:hideMark/>
          </w:tcPr>
          <w:p w14:paraId="63880DF0"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L3: 2</w:t>
            </w:r>
            <w:r w:rsidR="00CB69D6" w:rsidRPr="006839E4">
              <w:rPr>
                <w:rFonts w:ascii="Arial" w:hAnsi="Arial" w:cs="Arial"/>
                <w:sz w:val="20"/>
                <w:szCs w:val="20"/>
                <w:lang w:eastAsia="en-US"/>
              </w:rPr>
              <w:t>–</w:t>
            </w:r>
            <w:r w:rsidRPr="006839E4">
              <w:rPr>
                <w:rFonts w:ascii="Arial" w:hAnsi="Arial" w:cs="Arial"/>
                <w:sz w:val="20"/>
                <w:szCs w:val="20"/>
                <w:lang w:eastAsia="en-US"/>
              </w:rPr>
              <w:t>4</w:t>
            </w:r>
          </w:p>
        </w:tc>
        <w:tc>
          <w:tcPr>
            <w:tcW w:w="1819" w:type="dxa"/>
            <w:tcBorders>
              <w:top w:val="nil"/>
              <w:left w:val="nil"/>
              <w:bottom w:val="nil"/>
              <w:right w:val="single" w:sz="4" w:space="0" w:color="auto"/>
            </w:tcBorders>
            <w:shd w:val="clear" w:color="auto" w:fill="auto"/>
            <w:noWrap/>
            <w:vAlign w:val="bottom"/>
            <w:hideMark/>
          </w:tcPr>
          <w:p w14:paraId="758BA034"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29</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125</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992.8</w:t>
            </w:r>
            <w:r w:rsidR="00CB69D6" w:rsidRPr="006839E4">
              <w:rPr>
                <w:rFonts w:ascii="Arial" w:hAnsi="Arial" w:cs="Arial"/>
                <w:sz w:val="20"/>
                <w:szCs w:val="20"/>
                <w:lang w:eastAsia="en-US"/>
              </w:rPr>
              <w:t>0</w:t>
            </w:r>
          </w:p>
        </w:tc>
        <w:tc>
          <w:tcPr>
            <w:tcW w:w="1441" w:type="dxa"/>
            <w:tcBorders>
              <w:top w:val="nil"/>
              <w:left w:val="single" w:sz="4" w:space="0" w:color="auto"/>
              <w:bottom w:val="nil"/>
              <w:right w:val="single" w:sz="4" w:space="0" w:color="auto"/>
            </w:tcBorders>
            <w:shd w:val="clear" w:color="auto" w:fill="auto"/>
            <w:noWrap/>
            <w:vAlign w:val="bottom"/>
            <w:hideMark/>
          </w:tcPr>
          <w:p w14:paraId="088DD9F0"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354</w:t>
            </w:r>
            <w:r w:rsidR="00240205" w:rsidRPr="006839E4">
              <w:rPr>
                <w:rFonts w:ascii="Arial" w:hAnsi="Arial" w:cs="Arial"/>
                <w:sz w:val="20"/>
                <w:szCs w:val="20"/>
                <w:lang w:eastAsia="en-US"/>
              </w:rPr>
              <w:t xml:space="preserve"> </w:t>
            </w:r>
            <w:r w:rsidRPr="006839E4">
              <w:rPr>
                <w:rFonts w:ascii="Arial" w:hAnsi="Arial" w:cs="Arial"/>
                <w:sz w:val="20"/>
                <w:szCs w:val="20"/>
                <w:lang w:eastAsia="en-US"/>
              </w:rPr>
              <w:t>178</w:t>
            </w:r>
          </w:p>
        </w:tc>
        <w:tc>
          <w:tcPr>
            <w:tcW w:w="1559" w:type="dxa"/>
            <w:tcBorders>
              <w:top w:val="nil"/>
              <w:left w:val="nil"/>
              <w:bottom w:val="nil"/>
              <w:right w:val="single" w:sz="4" w:space="0" w:color="auto"/>
            </w:tcBorders>
            <w:shd w:val="clear" w:color="auto" w:fill="auto"/>
            <w:noWrap/>
            <w:vAlign w:val="bottom"/>
            <w:hideMark/>
          </w:tcPr>
          <w:p w14:paraId="44EE8728"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11.5</w:t>
            </w:r>
          </w:p>
        </w:tc>
        <w:tc>
          <w:tcPr>
            <w:tcW w:w="1418" w:type="dxa"/>
            <w:tcBorders>
              <w:top w:val="nil"/>
              <w:left w:val="nil"/>
              <w:bottom w:val="nil"/>
              <w:right w:val="single" w:sz="4" w:space="0" w:color="auto"/>
            </w:tcBorders>
            <w:shd w:val="clear" w:color="auto" w:fill="auto"/>
            <w:noWrap/>
            <w:vAlign w:val="bottom"/>
            <w:hideMark/>
          </w:tcPr>
          <w:p w14:paraId="0DC3E180"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30</w:t>
            </w:r>
          </w:p>
        </w:tc>
      </w:tr>
      <w:tr w:rsidR="00240205" w:rsidRPr="006839E4" w14:paraId="10AA5199"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7D7FDE32"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72818</w:t>
            </w:r>
          </w:p>
        </w:tc>
        <w:tc>
          <w:tcPr>
            <w:tcW w:w="1583" w:type="dxa"/>
            <w:tcBorders>
              <w:top w:val="nil"/>
              <w:left w:val="single" w:sz="8" w:space="0" w:color="auto"/>
              <w:bottom w:val="nil"/>
              <w:right w:val="single" w:sz="4" w:space="0" w:color="auto"/>
            </w:tcBorders>
            <w:shd w:val="clear" w:color="auto" w:fill="auto"/>
            <w:noWrap/>
            <w:vAlign w:val="bottom"/>
            <w:hideMark/>
          </w:tcPr>
          <w:p w14:paraId="2D7C0F63"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L3: 5+</w:t>
            </w:r>
          </w:p>
        </w:tc>
        <w:tc>
          <w:tcPr>
            <w:tcW w:w="1819" w:type="dxa"/>
            <w:tcBorders>
              <w:top w:val="nil"/>
              <w:left w:val="nil"/>
              <w:bottom w:val="nil"/>
              <w:right w:val="single" w:sz="4" w:space="0" w:color="auto"/>
            </w:tcBorders>
            <w:shd w:val="clear" w:color="auto" w:fill="auto"/>
            <w:noWrap/>
            <w:vAlign w:val="bottom"/>
            <w:hideMark/>
          </w:tcPr>
          <w:p w14:paraId="0B67201C"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1</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706</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094.65</w:t>
            </w:r>
          </w:p>
        </w:tc>
        <w:tc>
          <w:tcPr>
            <w:tcW w:w="1441" w:type="dxa"/>
            <w:tcBorders>
              <w:top w:val="nil"/>
              <w:left w:val="single" w:sz="4" w:space="0" w:color="auto"/>
              <w:bottom w:val="nil"/>
              <w:right w:val="single" w:sz="4" w:space="0" w:color="auto"/>
            </w:tcBorders>
            <w:shd w:val="clear" w:color="auto" w:fill="auto"/>
            <w:noWrap/>
            <w:vAlign w:val="bottom"/>
            <w:hideMark/>
          </w:tcPr>
          <w:p w14:paraId="0E478F2B"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18</w:t>
            </w:r>
            <w:r w:rsidR="00240205" w:rsidRPr="006839E4">
              <w:rPr>
                <w:rFonts w:ascii="Arial" w:hAnsi="Arial" w:cs="Arial"/>
                <w:sz w:val="20"/>
                <w:szCs w:val="20"/>
                <w:lang w:eastAsia="en-US"/>
              </w:rPr>
              <w:t xml:space="preserve"> </w:t>
            </w:r>
            <w:r w:rsidRPr="006839E4">
              <w:rPr>
                <w:rFonts w:ascii="Arial" w:hAnsi="Arial" w:cs="Arial"/>
                <w:sz w:val="20"/>
                <w:szCs w:val="20"/>
                <w:lang w:eastAsia="en-US"/>
              </w:rPr>
              <w:t>997</w:t>
            </w:r>
          </w:p>
        </w:tc>
        <w:tc>
          <w:tcPr>
            <w:tcW w:w="1559" w:type="dxa"/>
            <w:tcBorders>
              <w:top w:val="nil"/>
              <w:left w:val="nil"/>
              <w:bottom w:val="nil"/>
              <w:right w:val="single" w:sz="4" w:space="0" w:color="auto"/>
            </w:tcBorders>
            <w:shd w:val="clear" w:color="auto" w:fill="auto"/>
            <w:noWrap/>
            <w:vAlign w:val="bottom"/>
            <w:hideMark/>
          </w:tcPr>
          <w:p w14:paraId="6A4C128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0.6</w:t>
            </w:r>
          </w:p>
        </w:tc>
        <w:tc>
          <w:tcPr>
            <w:tcW w:w="1418" w:type="dxa"/>
            <w:tcBorders>
              <w:top w:val="nil"/>
              <w:left w:val="nil"/>
              <w:bottom w:val="nil"/>
              <w:right w:val="single" w:sz="4" w:space="0" w:color="auto"/>
            </w:tcBorders>
            <w:shd w:val="clear" w:color="auto" w:fill="auto"/>
            <w:noWrap/>
            <w:vAlign w:val="bottom"/>
            <w:hideMark/>
          </w:tcPr>
          <w:p w14:paraId="03709254"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45.4</w:t>
            </w:r>
          </w:p>
        </w:tc>
      </w:tr>
      <w:tr w:rsidR="00240205" w:rsidRPr="006839E4" w14:paraId="46371365"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71090D15"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72823</w:t>
            </w:r>
          </w:p>
        </w:tc>
        <w:tc>
          <w:tcPr>
            <w:tcW w:w="1583" w:type="dxa"/>
            <w:tcBorders>
              <w:top w:val="nil"/>
              <w:left w:val="single" w:sz="8" w:space="0" w:color="auto"/>
              <w:bottom w:val="nil"/>
              <w:right w:val="single" w:sz="4" w:space="0" w:color="auto"/>
            </w:tcBorders>
            <w:shd w:val="clear" w:color="auto" w:fill="auto"/>
            <w:noWrap/>
            <w:vAlign w:val="bottom"/>
            <w:hideMark/>
          </w:tcPr>
          <w:p w14:paraId="0347C8C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1</w:t>
            </w:r>
          </w:p>
        </w:tc>
        <w:tc>
          <w:tcPr>
            <w:tcW w:w="1819" w:type="dxa"/>
            <w:tcBorders>
              <w:top w:val="nil"/>
              <w:left w:val="nil"/>
              <w:bottom w:val="nil"/>
              <w:right w:val="single" w:sz="4" w:space="0" w:color="auto"/>
            </w:tcBorders>
            <w:shd w:val="clear" w:color="auto" w:fill="auto"/>
            <w:noWrap/>
            <w:vAlign w:val="bottom"/>
            <w:hideMark/>
          </w:tcPr>
          <w:p w14:paraId="73EF4925"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54</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375</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409.43</w:t>
            </w:r>
          </w:p>
        </w:tc>
        <w:tc>
          <w:tcPr>
            <w:tcW w:w="1441" w:type="dxa"/>
            <w:tcBorders>
              <w:top w:val="nil"/>
              <w:left w:val="single" w:sz="4" w:space="0" w:color="auto"/>
              <w:bottom w:val="nil"/>
              <w:right w:val="single" w:sz="4" w:space="0" w:color="auto"/>
            </w:tcBorders>
            <w:shd w:val="clear" w:color="auto" w:fill="auto"/>
            <w:noWrap/>
            <w:vAlign w:val="bottom"/>
            <w:hideMark/>
          </w:tcPr>
          <w:p w14:paraId="3DD6072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691</w:t>
            </w:r>
            <w:r w:rsidR="00240205" w:rsidRPr="006839E4">
              <w:rPr>
                <w:rFonts w:ascii="Arial" w:hAnsi="Arial" w:cs="Arial"/>
                <w:sz w:val="20"/>
                <w:szCs w:val="20"/>
                <w:lang w:eastAsia="en-US"/>
              </w:rPr>
              <w:t xml:space="preserve"> </w:t>
            </w:r>
            <w:r w:rsidRPr="006839E4">
              <w:rPr>
                <w:rFonts w:ascii="Arial" w:hAnsi="Arial" w:cs="Arial"/>
                <w:sz w:val="20"/>
                <w:szCs w:val="20"/>
                <w:lang w:eastAsia="en-US"/>
              </w:rPr>
              <w:t>687</w:t>
            </w:r>
          </w:p>
        </w:tc>
        <w:tc>
          <w:tcPr>
            <w:tcW w:w="1559" w:type="dxa"/>
            <w:tcBorders>
              <w:top w:val="nil"/>
              <w:left w:val="nil"/>
              <w:bottom w:val="nil"/>
              <w:right w:val="single" w:sz="4" w:space="0" w:color="auto"/>
            </w:tcBorders>
            <w:shd w:val="clear" w:color="auto" w:fill="auto"/>
            <w:noWrap/>
            <w:vAlign w:val="bottom"/>
            <w:hideMark/>
          </w:tcPr>
          <w:p w14:paraId="56DC631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22.5</w:t>
            </w:r>
          </w:p>
        </w:tc>
        <w:tc>
          <w:tcPr>
            <w:tcW w:w="1418" w:type="dxa"/>
            <w:tcBorders>
              <w:top w:val="nil"/>
              <w:left w:val="nil"/>
              <w:bottom w:val="nil"/>
              <w:right w:val="single" w:sz="4" w:space="0" w:color="auto"/>
            </w:tcBorders>
            <w:shd w:val="clear" w:color="auto" w:fill="auto"/>
            <w:noWrap/>
            <w:vAlign w:val="bottom"/>
            <w:hideMark/>
          </w:tcPr>
          <w:p w14:paraId="5FD33F7A"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68.8</w:t>
            </w:r>
          </w:p>
        </w:tc>
      </w:tr>
      <w:tr w:rsidR="00240205" w:rsidRPr="006839E4" w14:paraId="722D983B"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49EFEEFF"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72824</w:t>
            </w:r>
          </w:p>
        </w:tc>
        <w:tc>
          <w:tcPr>
            <w:tcW w:w="1583" w:type="dxa"/>
            <w:tcBorders>
              <w:top w:val="nil"/>
              <w:left w:val="single" w:sz="8" w:space="0" w:color="auto"/>
              <w:bottom w:val="nil"/>
              <w:right w:val="single" w:sz="4" w:space="0" w:color="auto"/>
            </w:tcBorders>
            <w:shd w:val="clear" w:color="auto" w:fill="auto"/>
            <w:noWrap/>
            <w:vAlign w:val="bottom"/>
            <w:hideMark/>
          </w:tcPr>
          <w:p w14:paraId="14B0764B"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2</w:t>
            </w:r>
            <w:r w:rsidR="00CB69D6" w:rsidRPr="006839E4">
              <w:rPr>
                <w:rFonts w:ascii="Arial" w:hAnsi="Arial" w:cs="Arial"/>
                <w:sz w:val="20"/>
                <w:szCs w:val="20"/>
                <w:lang w:eastAsia="en-US"/>
              </w:rPr>
              <w:t>–</w:t>
            </w:r>
            <w:r w:rsidRPr="006839E4">
              <w:rPr>
                <w:rFonts w:ascii="Arial" w:hAnsi="Arial" w:cs="Arial"/>
                <w:sz w:val="20"/>
                <w:szCs w:val="20"/>
                <w:lang w:eastAsia="en-US"/>
              </w:rPr>
              <w:t>4</w:t>
            </w:r>
          </w:p>
        </w:tc>
        <w:tc>
          <w:tcPr>
            <w:tcW w:w="1819" w:type="dxa"/>
            <w:tcBorders>
              <w:top w:val="nil"/>
              <w:left w:val="nil"/>
              <w:bottom w:val="nil"/>
              <w:right w:val="single" w:sz="4" w:space="0" w:color="auto"/>
            </w:tcBorders>
            <w:shd w:val="clear" w:color="auto" w:fill="auto"/>
            <w:noWrap/>
            <w:vAlign w:val="bottom"/>
            <w:hideMark/>
          </w:tcPr>
          <w:p w14:paraId="50B6E3ED"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46</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005</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706.98</w:t>
            </w:r>
          </w:p>
        </w:tc>
        <w:tc>
          <w:tcPr>
            <w:tcW w:w="1441" w:type="dxa"/>
            <w:tcBorders>
              <w:top w:val="nil"/>
              <w:left w:val="single" w:sz="4" w:space="0" w:color="auto"/>
              <w:bottom w:val="nil"/>
              <w:right w:val="single" w:sz="4" w:space="0" w:color="auto"/>
            </w:tcBorders>
            <w:shd w:val="clear" w:color="auto" w:fill="auto"/>
            <w:noWrap/>
            <w:vAlign w:val="bottom"/>
            <w:hideMark/>
          </w:tcPr>
          <w:p w14:paraId="1352DC48"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416</w:t>
            </w:r>
            <w:r w:rsidR="00240205" w:rsidRPr="006839E4">
              <w:rPr>
                <w:rFonts w:ascii="Arial" w:hAnsi="Arial" w:cs="Arial"/>
                <w:sz w:val="20"/>
                <w:szCs w:val="20"/>
                <w:lang w:eastAsia="en-US"/>
              </w:rPr>
              <w:t xml:space="preserve"> </w:t>
            </w:r>
            <w:r w:rsidRPr="006839E4">
              <w:rPr>
                <w:rFonts w:ascii="Arial" w:hAnsi="Arial" w:cs="Arial"/>
                <w:sz w:val="20"/>
                <w:szCs w:val="20"/>
                <w:lang w:eastAsia="en-US"/>
              </w:rPr>
              <w:t>644</w:t>
            </w:r>
          </w:p>
        </w:tc>
        <w:tc>
          <w:tcPr>
            <w:tcW w:w="1559" w:type="dxa"/>
            <w:tcBorders>
              <w:top w:val="nil"/>
              <w:left w:val="nil"/>
              <w:bottom w:val="nil"/>
              <w:right w:val="single" w:sz="4" w:space="0" w:color="auto"/>
            </w:tcBorders>
            <w:shd w:val="clear" w:color="auto" w:fill="auto"/>
            <w:noWrap/>
            <w:vAlign w:val="bottom"/>
            <w:hideMark/>
          </w:tcPr>
          <w:p w14:paraId="6CD9802F"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13.5</w:t>
            </w:r>
          </w:p>
        </w:tc>
        <w:tc>
          <w:tcPr>
            <w:tcW w:w="1418" w:type="dxa"/>
            <w:tcBorders>
              <w:top w:val="nil"/>
              <w:left w:val="nil"/>
              <w:bottom w:val="nil"/>
              <w:right w:val="single" w:sz="4" w:space="0" w:color="auto"/>
            </w:tcBorders>
            <w:shd w:val="clear" w:color="auto" w:fill="auto"/>
            <w:noWrap/>
            <w:vAlign w:val="bottom"/>
            <w:hideMark/>
          </w:tcPr>
          <w:p w14:paraId="6F177698"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88.7</w:t>
            </w:r>
          </w:p>
        </w:tc>
      </w:tr>
      <w:tr w:rsidR="00240205" w:rsidRPr="006839E4" w14:paraId="786F33DB"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5A3608B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72825</w:t>
            </w:r>
          </w:p>
        </w:tc>
        <w:tc>
          <w:tcPr>
            <w:tcW w:w="1583" w:type="dxa"/>
            <w:tcBorders>
              <w:top w:val="nil"/>
              <w:left w:val="single" w:sz="8" w:space="0" w:color="auto"/>
              <w:bottom w:val="nil"/>
              <w:right w:val="single" w:sz="4" w:space="0" w:color="auto"/>
            </w:tcBorders>
            <w:shd w:val="clear" w:color="auto" w:fill="auto"/>
            <w:noWrap/>
            <w:vAlign w:val="bottom"/>
            <w:hideMark/>
          </w:tcPr>
          <w:p w14:paraId="65FA3DDC"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2</w:t>
            </w:r>
            <w:r w:rsidR="00CB69D6" w:rsidRPr="006839E4">
              <w:rPr>
                <w:rFonts w:ascii="Arial" w:hAnsi="Arial" w:cs="Arial"/>
                <w:sz w:val="20"/>
                <w:szCs w:val="20"/>
                <w:lang w:eastAsia="en-US"/>
              </w:rPr>
              <w:t>–</w:t>
            </w:r>
            <w:r w:rsidRPr="006839E4">
              <w:rPr>
                <w:rFonts w:ascii="Arial" w:hAnsi="Arial" w:cs="Arial"/>
                <w:sz w:val="20"/>
                <w:szCs w:val="20"/>
                <w:lang w:eastAsia="en-US"/>
              </w:rPr>
              <w:t>7</w:t>
            </w:r>
          </w:p>
        </w:tc>
        <w:tc>
          <w:tcPr>
            <w:tcW w:w="1819" w:type="dxa"/>
            <w:tcBorders>
              <w:top w:val="nil"/>
              <w:left w:val="nil"/>
              <w:bottom w:val="nil"/>
              <w:right w:val="single" w:sz="4" w:space="0" w:color="auto"/>
            </w:tcBorders>
            <w:shd w:val="clear" w:color="auto" w:fill="auto"/>
            <w:noWrap/>
            <w:vAlign w:val="bottom"/>
            <w:hideMark/>
          </w:tcPr>
          <w:p w14:paraId="4C23FCC9"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9</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441</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084.85</w:t>
            </w:r>
          </w:p>
        </w:tc>
        <w:tc>
          <w:tcPr>
            <w:tcW w:w="1441" w:type="dxa"/>
            <w:tcBorders>
              <w:top w:val="nil"/>
              <w:left w:val="single" w:sz="4" w:space="0" w:color="auto"/>
              <w:bottom w:val="nil"/>
              <w:right w:val="single" w:sz="4" w:space="0" w:color="auto"/>
            </w:tcBorders>
            <w:shd w:val="clear" w:color="auto" w:fill="auto"/>
            <w:noWrap/>
            <w:vAlign w:val="bottom"/>
            <w:hideMark/>
          </w:tcPr>
          <w:p w14:paraId="1BA57906"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67</w:t>
            </w:r>
            <w:r w:rsidR="00240205" w:rsidRPr="006839E4">
              <w:rPr>
                <w:rFonts w:ascii="Arial" w:hAnsi="Arial" w:cs="Arial"/>
                <w:sz w:val="20"/>
                <w:szCs w:val="20"/>
                <w:lang w:eastAsia="en-US"/>
              </w:rPr>
              <w:t xml:space="preserve"> </w:t>
            </w:r>
            <w:r w:rsidRPr="006839E4">
              <w:rPr>
                <w:rFonts w:ascii="Arial" w:hAnsi="Arial" w:cs="Arial"/>
                <w:sz w:val="20"/>
                <w:szCs w:val="20"/>
                <w:lang w:eastAsia="en-US"/>
              </w:rPr>
              <w:t>847</w:t>
            </w:r>
          </w:p>
        </w:tc>
        <w:tc>
          <w:tcPr>
            <w:tcW w:w="1559" w:type="dxa"/>
            <w:tcBorders>
              <w:top w:val="nil"/>
              <w:left w:val="nil"/>
              <w:bottom w:val="nil"/>
              <w:right w:val="single" w:sz="4" w:space="0" w:color="auto"/>
            </w:tcBorders>
            <w:shd w:val="clear" w:color="auto" w:fill="auto"/>
            <w:noWrap/>
            <w:vAlign w:val="bottom"/>
            <w:hideMark/>
          </w:tcPr>
          <w:p w14:paraId="36209207"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2.2</w:t>
            </w:r>
          </w:p>
        </w:tc>
        <w:tc>
          <w:tcPr>
            <w:tcW w:w="1418" w:type="dxa"/>
            <w:tcBorders>
              <w:top w:val="nil"/>
              <w:left w:val="nil"/>
              <w:bottom w:val="nil"/>
              <w:right w:val="single" w:sz="4" w:space="0" w:color="auto"/>
            </w:tcBorders>
            <w:shd w:val="clear" w:color="auto" w:fill="auto"/>
            <w:noWrap/>
            <w:vAlign w:val="bottom"/>
            <w:hideMark/>
          </w:tcPr>
          <w:p w14:paraId="1A8EEEE3"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96.6</w:t>
            </w:r>
          </w:p>
        </w:tc>
      </w:tr>
      <w:tr w:rsidR="00240205" w:rsidRPr="006839E4" w14:paraId="0DFEB0C0"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5D255E0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72826</w:t>
            </w:r>
          </w:p>
        </w:tc>
        <w:tc>
          <w:tcPr>
            <w:tcW w:w="1583" w:type="dxa"/>
            <w:tcBorders>
              <w:top w:val="nil"/>
              <w:left w:val="single" w:sz="8" w:space="0" w:color="auto"/>
              <w:bottom w:val="nil"/>
              <w:right w:val="single" w:sz="4" w:space="0" w:color="auto"/>
            </w:tcBorders>
            <w:shd w:val="clear" w:color="auto" w:fill="auto"/>
            <w:noWrap/>
            <w:vAlign w:val="bottom"/>
            <w:hideMark/>
          </w:tcPr>
          <w:p w14:paraId="7D943988"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8</w:t>
            </w:r>
            <w:r w:rsidR="00CB69D6" w:rsidRPr="006839E4">
              <w:rPr>
                <w:rFonts w:ascii="Arial" w:hAnsi="Arial" w:cs="Arial"/>
                <w:sz w:val="20"/>
                <w:szCs w:val="20"/>
                <w:lang w:eastAsia="en-US"/>
              </w:rPr>
              <w:t>–</w:t>
            </w:r>
            <w:r w:rsidRPr="006839E4">
              <w:rPr>
                <w:rFonts w:ascii="Arial" w:hAnsi="Arial" w:cs="Arial"/>
                <w:sz w:val="20"/>
                <w:szCs w:val="20"/>
                <w:lang w:eastAsia="en-US"/>
              </w:rPr>
              <w:t>11</w:t>
            </w:r>
          </w:p>
        </w:tc>
        <w:tc>
          <w:tcPr>
            <w:tcW w:w="1819" w:type="dxa"/>
            <w:tcBorders>
              <w:top w:val="nil"/>
              <w:left w:val="nil"/>
              <w:bottom w:val="nil"/>
              <w:right w:val="single" w:sz="4" w:space="0" w:color="auto"/>
            </w:tcBorders>
            <w:shd w:val="clear" w:color="auto" w:fill="auto"/>
            <w:noWrap/>
            <w:vAlign w:val="bottom"/>
            <w:hideMark/>
          </w:tcPr>
          <w:p w14:paraId="3A700932"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2</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742</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752.45</w:t>
            </w:r>
          </w:p>
        </w:tc>
        <w:tc>
          <w:tcPr>
            <w:tcW w:w="1441" w:type="dxa"/>
            <w:tcBorders>
              <w:top w:val="nil"/>
              <w:left w:val="single" w:sz="4" w:space="0" w:color="auto"/>
              <w:bottom w:val="nil"/>
              <w:right w:val="single" w:sz="4" w:space="0" w:color="auto"/>
            </w:tcBorders>
            <w:shd w:val="clear" w:color="auto" w:fill="auto"/>
            <w:noWrap/>
            <w:vAlign w:val="bottom"/>
            <w:hideMark/>
          </w:tcPr>
          <w:p w14:paraId="771DA77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18</w:t>
            </w:r>
            <w:r w:rsidR="00240205" w:rsidRPr="006839E4">
              <w:rPr>
                <w:rFonts w:ascii="Arial" w:hAnsi="Arial" w:cs="Arial"/>
                <w:sz w:val="20"/>
                <w:szCs w:val="20"/>
                <w:lang w:eastAsia="en-US"/>
              </w:rPr>
              <w:t xml:space="preserve"> </w:t>
            </w:r>
            <w:r w:rsidRPr="006839E4">
              <w:rPr>
                <w:rFonts w:ascii="Arial" w:hAnsi="Arial" w:cs="Arial"/>
                <w:sz w:val="20"/>
                <w:szCs w:val="20"/>
                <w:lang w:eastAsia="en-US"/>
              </w:rPr>
              <w:t>338</w:t>
            </w:r>
          </w:p>
        </w:tc>
        <w:tc>
          <w:tcPr>
            <w:tcW w:w="1559" w:type="dxa"/>
            <w:tcBorders>
              <w:top w:val="nil"/>
              <w:left w:val="nil"/>
              <w:bottom w:val="nil"/>
              <w:right w:val="single" w:sz="4" w:space="0" w:color="auto"/>
            </w:tcBorders>
            <w:shd w:val="clear" w:color="auto" w:fill="auto"/>
            <w:noWrap/>
            <w:vAlign w:val="bottom"/>
            <w:hideMark/>
          </w:tcPr>
          <w:p w14:paraId="47AF6EE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0.6</w:t>
            </w:r>
          </w:p>
        </w:tc>
        <w:tc>
          <w:tcPr>
            <w:tcW w:w="1418" w:type="dxa"/>
            <w:tcBorders>
              <w:top w:val="nil"/>
              <w:left w:val="nil"/>
              <w:bottom w:val="nil"/>
              <w:right w:val="single" w:sz="4" w:space="0" w:color="auto"/>
            </w:tcBorders>
            <w:shd w:val="clear" w:color="auto" w:fill="auto"/>
            <w:noWrap/>
            <w:vAlign w:val="bottom"/>
            <w:hideMark/>
          </w:tcPr>
          <w:p w14:paraId="303F788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97.7</w:t>
            </w:r>
          </w:p>
        </w:tc>
      </w:tr>
      <w:tr w:rsidR="00240205" w:rsidRPr="006839E4" w14:paraId="67836BE7"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7ECF7EF4"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72827</w:t>
            </w:r>
          </w:p>
        </w:tc>
        <w:tc>
          <w:tcPr>
            <w:tcW w:w="1583" w:type="dxa"/>
            <w:tcBorders>
              <w:top w:val="nil"/>
              <w:left w:val="single" w:sz="8" w:space="0" w:color="auto"/>
              <w:bottom w:val="nil"/>
              <w:right w:val="single" w:sz="4" w:space="0" w:color="auto"/>
            </w:tcBorders>
            <w:shd w:val="clear" w:color="auto" w:fill="auto"/>
            <w:noWrap/>
            <w:vAlign w:val="bottom"/>
            <w:hideMark/>
          </w:tcPr>
          <w:p w14:paraId="7946423C"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12</w:t>
            </w:r>
            <w:r w:rsidR="00CB69D6" w:rsidRPr="006839E4">
              <w:rPr>
                <w:rFonts w:ascii="Arial" w:hAnsi="Arial" w:cs="Arial"/>
                <w:sz w:val="20"/>
                <w:szCs w:val="20"/>
                <w:lang w:eastAsia="en-US"/>
              </w:rPr>
              <w:t>–</w:t>
            </w:r>
            <w:r w:rsidRPr="006839E4">
              <w:rPr>
                <w:rFonts w:ascii="Arial" w:hAnsi="Arial" w:cs="Arial"/>
                <w:sz w:val="20"/>
                <w:szCs w:val="20"/>
                <w:lang w:eastAsia="en-US"/>
              </w:rPr>
              <w:t>17</w:t>
            </w:r>
          </w:p>
        </w:tc>
        <w:tc>
          <w:tcPr>
            <w:tcW w:w="1819" w:type="dxa"/>
            <w:tcBorders>
              <w:top w:val="nil"/>
              <w:left w:val="nil"/>
              <w:bottom w:val="nil"/>
              <w:right w:val="single" w:sz="4" w:space="0" w:color="auto"/>
            </w:tcBorders>
            <w:shd w:val="clear" w:color="auto" w:fill="auto"/>
            <w:noWrap/>
            <w:vAlign w:val="bottom"/>
            <w:hideMark/>
          </w:tcPr>
          <w:p w14:paraId="1767F1B5"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804</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795.45</w:t>
            </w:r>
          </w:p>
        </w:tc>
        <w:tc>
          <w:tcPr>
            <w:tcW w:w="1441" w:type="dxa"/>
            <w:tcBorders>
              <w:top w:val="nil"/>
              <w:left w:val="single" w:sz="4" w:space="0" w:color="auto"/>
              <w:bottom w:val="nil"/>
              <w:right w:val="single" w:sz="4" w:space="0" w:color="auto"/>
            </w:tcBorders>
            <w:shd w:val="clear" w:color="auto" w:fill="auto"/>
            <w:noWrap/>
            <w:vAlign w:val="bottom"/>
            <w:hideMark/>
          </w:tcPr>
          <w:p w14:paraId="09B0749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4</w:t>
            </w:r>
            <w:r w:rsidR="00240205" w:rsidRPr="006839E4">
              <w:rPr>
                <w:rFonts w:ascii="Arial" w:hAnsi="Arial" w:cs="Arial"/>
                <w:sz w:val="20"/>
                <w:szCs w:val="20"/>
                <w:lang w:eastAsia="en-US"/>
              </w:rPr>
              <w:t xml:space="preserve"> </w:t>
            </w:r>
            <w:r w:rsidRPr="006839E4">
              <w:rPr>
                <w:rFonts w:ascii="Arial" w:hAnsi="Arial" w:cs="Arial"/>
                <w:sz w:val="20"/>
                <w:szCs w:val="20"/>
                <w:lang w:eastAsia="en-US"/>
              </w:rPr>
              <w:t>988</w:t>
            </w:r>
          </w:p>
        </w:tc>
        <w:tc>
          <w:tcPr>
            <w:tcW w:w="1559" w:type="dxa"/>
            <w:tcBorders>
              <w:top w:val="nil"/>
              <w:left w:val="nil"/>
              <w:bottom w:val="nil"/>
              <w:right w:val="single" w:sz="4" w:space="0" w:color="auto"/>
            </w:tcBorders>
            <w:shd w:val="clear" w:color="auto" w:fill="auto"/>
            <w:noWrap/>
            <w:vAlign w:val="bottom"/>
            <w:hideMark/>
          </w:tcPr>
          <w:p w14:paraId="517665E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0.2</w:t>
            </w:r>
          </w:p>
        </w:tc>
        <w:tc>
          <w:tcPr>
            <w:tcW w:w="1418" w:type="dxa"/>
            <w:tcBorders>
              <w:top w:val="nil"/>
              <w:left w:val="nil"/>
              <w:bottom w:val="nil"/>
              <w:right w:val="single" w:sz="4" w:space="0" w:color="auto"/>
            </w:tcBorders>
            <w:shd w:val="clear" w:color="auto" w:fill="auto"/>
            <w:noWrap/>
            <w:vAlign w:val="bottom"/>
            <w:hideMark/>
          </w:tcPr>
          <w:p w14:paraId="46312C75"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98.3</w:t>
            </w:r>
          </w:p>
        </w:tc>
      </w:tr>
      <w:tr w:rsidR="00240205" w:rsidRPr="006839E4" w14:paraId="37E955B5"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37CF703C"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72828</w:t>
            </w:r>
          </w:p>
        </w:tc>
        <w:tc>
          <w:tcPr>
            <w:tcW w:w="1583" w:type="dxa"/>
            <w:tcBorders>
              <w:top w:val="nil"/>
              <w:left w:val="single" w:sz="8" w:space="0" w:color="auto"/>
              <w:bottom w:val="nil"/>
              <w:right w:val="single" w:sz="4" w:space="0" w:color="auto"/>
            </w:tcBorders>
            <w:shd w:val="clear" w:color="auto" w:fill="auto"/>
            <w:noWrap/>
            <w:vAlign w:val="bottom"/>
            <w:hideMark/>
          </w:tcPr>
          <w:p w14:paraId="2C11762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L4: 18+</w:t>
            </w:r>
          </w:p>
        </w:tc>
        <w:tc>
          <w:tcPr>
            <w:tcW w:w="1819" w:type="dxa"/>
            <w:tcBorders>
              <w:top w:val="nil"/>
              <w:left w:val="nil"/>
              <w:bottom w:val="nil"/>
              <w:right w:val="single" w:sz="4" w:space="0" w:color="auto"/>
            </w:tcBorders>
            <w:shd w:val="clear" w:color="auto" w:fill="auto"/>
            <w:noWrap/>
            <w:vAlign w:val="bottom"/>
            <w:hideMark/>
          </w:tcPr>
          <w:p w14:paraId="34EF8805"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414</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761.5</w:t>
            </w:r>
            <w:r w:rsidR="00CB69D6" w:rsidRPr="006839E4">
              <w:rPr>
                <w:rFonts w:ascii="Arial" w:hAnsi="Arial" w:cs="Arial"/>
                <w:sz w:val="20"/>
                <w:szCs w:val="20"/>
                <w:lang w:eastAsia="en-US"/>
              </w:rPr>
              <w:t>0</w:t>
            </w:r>
          </w:p>
        </w:tc>
        <w:tc>
          <w:tcPr>
            <w:tcW w:w="1441" w:type="dxa"/>
            <w:tcBorders>
              <w:top w:val="nil"/>
              <w:left w:val="single" w:sz="4" w:space="0" w:color="auto"/>
              <w:bottom w:val="nil"/>
              <w:right w:val="single" w:sz="4" w:space="0" w:color="auto"/>
            </w:tcBorders>
            <w:shd w:val="clear" w:color="auto" w:fill="auto"/>
            <w:noWrap/>
            <w:vAlign w:val="bottom"/>
            <w:hideMark/>
          </w:tcPr>
          <w:p w14:paraId="64420254"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2</w:t>
            </w:r>
            <w:r w:rsidR="00240205" w:rsidRPr="006839E4">
              <w:rPr>
                <w:rFonts w:ascii="Arial" w:hAnsi="Arial" w:cs="Arial"/>
                <w:sz w:val="20"/>
                <w:szCs w:val="20"/>
                <w:lang w:eastAsia="en-US"/>
              </w:rPr>
              <w:t xml:space="preserve"> </w:t>
            </w:r>
            <w:r w:rsidRPr="006839E4">
              <w:rPr>
                <w:rFonts w:ascii="Arial" w:hAnsi="Arial" w:cs="Arial"/>
                <w:sz w:val="20"/>
                <w:szCs w:val="20"/>
                <w:lang w:eastAsia="en-US"/>
              </w:rPr>
              <w:t>431</w:t>
            </w:r>
          </w:p>
        </w:tc>
        <w:tc>
          <w:tcPr>
            <w:tcW w:w="1559" w:type="dxa"/>
            <w:tcBorders>
              <w:top w:val="nil"/>
              <w:left w:val="nil"/>
              <w:bottom w:val="nil"/>
              <w:right w:val="single" w:sz="4" w:space="0" w:color="auto"/>
            </w:tcBorders>
            <w:shd w:val="clear" w:color="auto" w:fill="auto"/>
            <w:noWrap/>
            <w:vAlign w:val="bottom"/>
            <w:hideMark/>
          </w:tcPr>
          <w:p w14:paraId="53603A8A"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0.1</w:t>
            </w:r>
          </w:p>
        </w:tc>
        <w:tc>
          <w:tcPr>
            <w:tcW w:w="1418" w:type="dxa"/>
            <w:tcBorders>
              <w:top w:val="nil"/>
              <w:left w:val="nil"/>
              <w:bottom w:val="nil"/>
              <w:right w:val="single" w:sz="4" w:space="0" w:color="auto"/>
            </w:tcBorders>
            <w:shd w:val="clear" w:color="auto" w:fill="auto"/>
            <w:noWrap/>
            <w:vAlign w:val="bottom"/>
            <w:hideMark/>
          </w:tcPr>
          <w:p w14:paraId="2DB29ACC"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94.1</w:t>
            </w:r>
          </w:p>
        </w:tc>
      </w:tr>
      <w:tr w:rsidR="00240205" w:rsidRPr="006839E4" w14:paraId="1E6F3248"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0D89D32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72830</w:t>
            </w:r>
          </w:p>
        </w:tc>
        <w:tc>
          <w:tcPr>
            <w:tcW w:w="1583" w:type="dxa"/>
            <w:tcBorders>
              <w:top w:val="nil"/>
              <w:left w:val="single" w:sz="8" w:space="0" w:color="auto"/>
              <w:bottom w:val="nil"/>
              <w:right w:val="single" w:sz="4" w:space="0" w:color="auto"/>
            </w:tcBorders>
            <w:shd w:val="clear" w:color="auto" w:fill="auto"/>
            <w:noWrap/>
            <w:vAlign w:val="bottom"/>
            <w:hideMark/>
          </w:tcPr>
          <w:p w14:paraId="7B7737B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L5: 1+</w:t>
            </w:r>
          </w:p>
        </w:tc>
        <w:tc>
          <w:tcPr>
            <w:tcW w:w="1819" w:type="dxa"/>
            <w:tcBorders>
              <w:top w:val="nil"/>
              <w:left w:val="nil"/>
              <w:bottom w:val="nil"/>
              <w:right w:val="single" w:sz="4" w:space="0" w:color="auto"/>
            </w:tcBorders>
            <w:shd w:val="clear" w:color="auto" w:fill="auto"/>
            <w:noWrap/>
            <w:vAlign w:val="bottom"/>
            <w:hideMark/>
          </w:tcPr>
          <w:p w14:paraId="27A0730B" w14:textId="77777777" w:rsidR="00CC44D6" w:rsidRPr="006839E4" w:rsidRDefault="00A01061"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20</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102</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689.29</w:t>
            </w:r>
          </w:p>
        </w:tc>
        <w:tc>
          <w:tcPr>
            <w:tcW w:w="1441" w:type="dxa"/>
            <w:tcBorders>
              <w:top w:val="nil"/>
              <w:left w:val="single" w:sz="4" w:space="0" w:color="auto"/>
              <w:bottom w:val="nil"/>
              <w:right w:val="single" w:sz="4" w:space="0" w:color="auto"/>
            </w:tcBorders>
            <w:shd w:val="clear" w:color="auto" w:fill="auto"/>
            <w:noWrap/>
            <w:vAlign w:val="bottom"/>
            <w:hideMark/>
          </w:tcPr>
          <w:p w14:paraId="516A3CA5"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91</w:t>
            </w:r>
            <w:r w:rsidR="00240205" w:rsidRPr="006839E4">
              <w:rPr>
                <w:rFonts w:ascii="Arial" w:hAnsi="Arial" w:cs="Arial"/>
                <w:sz w:val="20"/>
                <w:szCs w:val="20"/>
                <w:lang w:eastAsia="en-US"/>
              </w:rPr>
              <w:t xml:space="preserve"> </w:t>
            </w:r>
            <w:r w:rsidRPr="006839E4">
              <w:rPr>
                <w:rFonts w:ascii="Arial" w:hAnsi="Arial" w:cs="Arial"/>
                <w:sz w:val="20"/>
                <w:szCs w:val="20"/>
                <w:lang w:eastAsia="en-US"/>
              </w:rPr>
              <w:t>527</w:t>
            </w:r>
          </w:p>
        </w:tc>
        <w:tc>
          <w:tcPr>
            <w:tcW w:w="1559" w:type="dxa"/>
            <w:tcBorders>
              <w:top w:val="nil"/>
              <w:left w:val="nil"/>
              <w:bottom w:val="nil"/>
              <w:right w:val="single" w:sz="4" w:space="0" w:color="auto"/>
            </w:tcBorders>
            <w:shd w:val="clear" w:color="auto" w:fill="auto"/>
            <w:noWrap/>
            <w:vAlign w:val="bottom"/>
            <w:hideMark/>
          </w:tcPr>
          <w:p w14:paraId="73A56300"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3.0</w:t>
            </w:r>
          </w:p>
        </w:tc>
        <w:tc>
          <w:tcPr>
            <w:tcW w:w="1418" w:type="dxa"/>
            <w:tcBorders>
              <w:top w:val="nil"/>
              <w:left w:val="nil"/>
              <w:bottom w:val="nil"/>
              <w:right w:val="single" w:sz="4" w:space="0" w:color="auto"/>
            </w:tcBorders>
            <w:shd w:val="clear" w:color="auto" w:fill="auto"/>
            <w:noWrap/>
            <w:vAlign w:val="bottom"/>
            <w:hideMark/>
          </w:tcPr>
          <w:p w14:paraId="2AD3E7C5"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71.6</w:t>
            </w:r>
          </w:p>
        </w:tc>
      </w:tr>
      <w:tr w:rsidR="00240205" w:rsidRPr="006839E4" w14:paraId="11964897" w14:textId="77777777" w:rsidTr="00BF703F">
        <w:trPr>
          <w:trHeight w:val="300"/>
        </w:trPr>
        <w:tc>
          <w:tcPr>
            <w:tcW w:w="1008" w:type="dxa"/>
            <w:tcBorders>
              <w:top w:val="nil"/>
              <w:left w:val="single" w:sz="8" w:space="0" w:color="auto"/>
              <w:bottom w:val="nil"/>
              <w:right w:val="nil"/>
            </w:tcBorders>
            <w:shd w:val="clear" w:color="auto" w:fill="auto"/>
            <w:noWrap/>
            <w:vAlign w:val="bottom"/>
            <w:hideMark/>
          </w:tcPr>
          <w:p w14:paraId="2AE8B319"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72836</w:t>
            </w:r>
          </w:p>
        </w:tc>
        <w:tc>
          <w:tcPr>
            <w:tcW w:w="1583" w:type="dxa"/>
            <w:tcBorders>
              <w:top w:val="nil"/>
              <w:left w:val="single" w:sz="8" w:space="0" w:color="auto"/>
              <w:bottom w:val="nil"/>
              <w:right w:val="single" w:sz="4" w:space="0" w:color="auto"/>
            </w:tcBorders>
            <w:shd w:val="clear" w:color="auto" w:fill="auto"/>
            <w:noWrap/>
            <w:vAlign w:val="bottom"/>
            <w:hideMark/>
          </w:tcPr>
          <w:p w14:paraId="3C2B8FB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L6: 1+</w:t>
            </w:r>
          </w:p>
        </w:tc>
        <w:tc>
          <w:tcPr>
            <w:tcW w:w="1819" w:type="dxa"/>
            <w:tcBorders>
              <w:top w:val="nil"/>
              <w:left w:val="nil"/>
              <w:bottom w:val="nil"/>
              <w:right w:val="single" w:sz="4" w:space="0" w:color="auto"/>
            </w:tcBorders>
            <w:shd w:val="clear" w:color="auto" w:fill="auto"/>
            <w:noWrap/>
            <w:vAlign w:val="bottom"/>
            <w:hideMark/>
          </w:tcPr>
          <w:p w14:paraId="6E360E57" w14:textId="77777777" w:rsidR="00CC44D6" w:rsidRPr="006839E4" w:rsidRDefault="0086549B"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7</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372</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039.32</w:t>
            </w:r>
          </w:p>
        </w:tc>
        <w:tc>
          <w:tcPr>
            <w:tcW w:w="1441" w:type="dxa"/>
            <w:tcBorders>
              <w:top w:val="nil"/>
              <w:left w:val="single" w:sz="4" w:space="0" w:color="auto"/>
              <w:bottom w:val="nil"/>
              <w:right w:val="single" w:sz="4" w:space="0" w:color="auto"/>
            </w:tcBorders>
            <w:shd w:val="clear" w:color="auto" w:fill="auto"/>
            <w:noWrap/>
            <w:vAlign w:val="bottom"/>
            <w:hideMark/>
          </w:tcPr>
          <w:p w14:paraId="2AD100CA"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23</w:t>
            </w:r>
            <w:r w:rsidR="00240205" w:rsidRPr="006839E4">
              <w:rPr>
                <w:rFonts w:ascii="Arial" w:hAnsi="Arial" w:cs="Arial"/>
                <w:sz w:val="20"/>
                <w:szCs w:val="20"/>
                <w:lang w:eastAsia="en-US"/>
              </w:rPr>
              <w:t xml:space="preserve"> </w:t>
            </w:r>
            <w:r w:rsidRPr="006839E4">
              <w:rPr>
                <w:rFonts w:ascii="Arial" w:hAnsi="Arial" w:cs="Arial"/>
                <w:sz w:val="20"/>
                <w:szCs w:val="20"/>
                <w:lang w:eastAsia="en-US"/>
              </w:rPr>
              <w:t>468</w:t>
            </w:r>
          </w:p>
        </w:tc>
        <w:tc>
          <w:tcPr>
            <w:tcW w:w="1559" w:type="dxa"/>
            <w:tcBorders>
              <w:top w:val="nil"/>
              <w:left w:val="nil"/>
              <w:bottom w:val="nil"/>
              <w:right w:val="single" w:sz="4" w:space="0" w:color="auto"/>
            </w:tcBorders>
            <w:shd w:val="clear" w:color="auto" w:fill="auto"/>
            <w:noWrap/>
            <w:vAlign w:val="bottom"/>
            <w:hideMark/>
          </w:tcPr>
          <w:p w14:paraId="2F180F7D"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0.8</w:t>
            </w:r>
          </w:p>
        </w:tc>
        <w:tc>
          <w:tcPr>
            <w:tcW w:w="1418" w:type="dxa"/>
            <w:tcBorders>
              <w:top w:val="nil"/>
              <w:left w:val="nil"/>
              <w:bottom w:val="nil"/>
              <w:right w:val="single" w:sz="4" w:space="0" w:color="auto"/>
            </w:tcBorders>
            <w:shd w:val="clear" w:color="auto" w:fill="auto"/>
            <w:noWrap/>
            <w:vAlign w:val="bottom"/>
            <w:hideMark/>
          </w:tcPr>
          <w:p w14:paraId="4916FA89"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98.3</w:t>
            </w:r>
          </w:p>
        </w:tc>
      </w:tr>
      <w:tr w:rsidR="00240205" w:rsidRPr="006839E4" w14:paraId="769B198F" w14:textId="77777777" w:rsidTr="00BF703F">
        <w:trPr>
          <w:trHeight w:val="300"/>
        </w:trPr>
        <w:tc>
          <w:tcPr>
            <w:tcW w:w="1008" w:type="dxa"/>
            <w:tcBorders>
              <w:top w:val="nil"/>
              <w:left w:val="single" w:sz="8" w:space="0" w:color="auto"/>
              <w:bottom w:val="single" w:sz="4" w:space="0" w:color="auto"/>
              <w:right w:val="nil"/>
            </w:tcBorders>
            <w:shd w:val="clear" w:color="auto" w:fill="auto"/>
            <w:noWrap/>
            <w:vAlign w:val="bottom"/>
            <w:hideMark/>
          </w:tcPr>
          <w:p w14:paraId="4D6B9522"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72838</w:t>
            </w:r>
          </w:p>
        </w:tc>
        <w:tc>
          <w:tcPr>
            <w:tcW w:w="1583" w:type="dxa"/>
            <w:tcBorders>
              <w:top w:val="nil"/>
              <w:left w:val="single" w:sz="8" w:space="0" w:color="auto"/>
              <w:bottom w:val="single" w:sz="4" w:space="0" w:color="auto"/>
              <w:right w:val="single" w:sz="4" w:space="0" w:color="auto"/>
            </w:tcBorders>
            <w:shd w:val="clear" w:color="auto" w:fill="auto"/>
            <w:noWrap/>
            <w:vAlign w:val="bottom"/>
            <w:hideMark/>
          </w:tcPr>
          <w:p w14:paraId="33450FBF"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L7: 1+</w:t>
            </w:r>
          </w:p>
        </w:tc>
        <w:tc>
          <w:tcPr>
            <w:tcW w:w="1819" w:type="dxa"/>
            <w:tcBorders>
              <w:top w:val="nil"/>
              <w:left w:val="nil"/>
              <w:bottom w:val="single" w:sz="4" w:space="0" w:color="auto"/>
              <w:right w:val="single" w:sz="4" w:space="0" w:color="auto"/>
            </w:tcBorders>
            <w:shd w:val="clear" w:color="auto" w:fill="auto"/>
            <w:noWrap/>
            <w:vAlign w:val="bottom"/>
            <w:hideMark/>
          </w:tcPr>
          <w:p w14:paraId="7B79D66B" w14:textId="77777777" w:rsidR="00CC44D6" w:rsidRPr="006839E4" w:rsidRDefault="0086549B" w:rsidP="00BC4EDD">
            <w:pPr>
              <w:jc w:val="right"/>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4</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870</w:t>
            </w:r>
            <w:r w:rsidR="00CB69D6" w:rsidRPr="006839E4">
              <w:rPr>
                <w:rFonts w:ascii="Arial" w:hAnsi="Arial" w:cs="Arial"/>
                <w:sz w:val="20"/>
                <w:szCs w:val="20"/>
                <w:lang w:eastAsia="en-US"/>
              </w:rPr>
              <w:t xml:space="preserve"> </w:t>
            </w:r>
            <w:r w:rsidR="00CC44D6" w:rsidRPr="006839E4">
              <w:rPr>
                <w:rFonts w:ascii="Arial" w:hAnsi="Arial" w:cs="Arial"/>
                <w:sz w:val="20"/>
                <w:szCs w:val="20"/>
                <w:lang w:eastAsia="en-US"/>
              </w:rPr>
              <w:t>472.8</w:t>
            </w:r>
            <w:r w:rsidR="00CB69D6" w:rsidRPr="006839E4">
              <w:rPr>
                <w:rFonts w:ascii="Arial" w:hAnsi="Arial" w:cs="Arial"/>
                <w:sz w:val="20"/>
                <w:szCs w:val="20"/>
                <w:lang w:eastAsia="en-US"/>
              </w:rPr>
              <w:t>0</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23C46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13</w:t>
            </w:r>
            <w:r w:rsidR="00240205" w:rsidRPr="006839E4">
              <w:rPr>
                <w:rFonts w:ascii="Arial" w:hAnsi="Arial" w:cs="Arial"/>
                <w:sz w:val="20"/>
                <w:szCs w:val="20"/>
                <w:lang w:eastAsia="en-US"/>
              </w:rPr>
              <w:t xml:space="preserve"> </w:t>
            </w:r>
            <w:r w:rsidRPr="006839E4">
              <w:rPr>
                <w:rFonts w:ascii="Arial" w:hAnsi="Arial" w:cs="Arial"/>
                <w:sz w:val="20"/>
                <w:szCs w:val="20"/>
                <w:lang w:eastAsia="en-US"/>
              </w:rPr>
              <w:t>882</w:t>
            </w:r>
          </w:p>
        </w:tc>
        <w:tc>
          <w:tcPr>
            <w:tcW w:w="1559" w:type="dxa"/>
            <w:tcBorders>
              <w:top w:val="nil"/>
              <w:left w:val="nil"/>
              <w:bottom w:val="single" w:sz="4" w:space="0" w:color="auto"/>
              <w:right w:val="single" w:sz="4" w:space="0" w:color="auto"/>
            </w:tcBorders>
            <w:shd w:val="clear" w:color="auto" w:fill="auto"/>
            <w:noWrap/>
            <w:vAlign w:val="bottom"/>
            <w:hideMark/>
          </w:tcPr>
          <w:p w14:paraId="53317A4E"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0.5</w:t>
            </w:r>
          </w:p>
        </w:tc>
        <w:tc>
          <w:tcPr>
            <w:tcW w:w="1418" w:type="dxa"/>
            <w:tcBorders>
              <w:top w:val="nil"/>
              <w:left w:val="nil"/>
              <w:bottom w:val="single" w:sz="4" w:space="0" w:color="auto"/>
              <w:right w:val="single" w:sz="4" w:space="0" w:color="auto"/>
            </w:tcBorders>
            <w:shd w:val="clear" w:color="auto" w:fill="auto"/>
            <w:noWrap/>
            <w:vAlign w:val="bottom"/>
            <w:hideMark/>
          </w:tcPr>
          <w:p w14:paraId="2C2DDD9A"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99.5</w:t>
            </w:r>
          </w:p>
        </w:tc>
      </w:tr>
      <w:tr w:rsidR="00240205" w:rsidRPr="006839E4" w14:paraId="2478ACC7" w14:textId="77777777" w:rsidTr="00BF703F">
        <w:trPr>
          <w:trHeight w:val="315"/>
        </w:trPr>
        <w:tc>
          <w:tcPr>
            <w:tcW w:w="1008" w:type="dxa"/>
            <w:tcBorders>
              <w:top w:val="nil"/>
              <w:left w:val="single" w:sz="8" w:space="0" w:color="auto"/>
              <w:bottom w:val="single" w:sz="8" w:space="0" w:color="auto"/>
              <w:right w:val="nil"/>
            </w:tcBorders>
            <w:shd w:val="clear" w:color="auto" w:fill="auto"/>
            <w:noWrap/>
            <w:vAlign w:val="bottom"/>
            <w:hideMark/>
          </w:tcPr>
          <w:p w14:paraId="37308121" w14:textId="77777777" w:rsidR="00CC44D6" w:rsidRPr="006839E4" w:rsidRDefault="00CC44D6" w:rsidP="00BC4EDD">
            <w:pPr>
              <w:jc w:val="right"/>
              <w:rPr>
                <w:rFonts w:ascii="Arial" w:hAnsi="Arial" w:cs="Arial"/>
                <w:sz w:val="20"/>
                <w:szCs w:val="20"/>
                <w:lang w:eastAsia="en-US"/>
              </w:rPr>
            </w:pPr>
          </w:p>
        </w:tc>
        <w:tc>
          <w:tcPr>
            <w:tcW w:w="1583" w:type="dxa"/>
            <w:tcBorders>
              <w:top w:val="nil"/>
              <w:left w:val="single" w:sz="8" w:space="0" w:color="auto"/>
              <w:bottom w:val="single" w:sz="8" w:space="0" w:color="auto"/>
              <w:right w:val="single" w:sz="4" w:space="0" w:color="auto"/>
            </w:tcBorders>
            <w:shd w:val="clear" w:color="auto" w:fill="auto"/>
            <w:noWrap/>
            <w:vAlign w:val="bottom"/>
            <w:hideMark/>
          </w:tcPr>
          <w:p w14:paraId="5AD6A455" w14:textId="77777777" w:rsidR="00CC44D6" w:rsidRPr="006839E4" w:rsidRDefault="00CC44D6" w:rsidP="00BC4EDD">
            <w:pPr>
              <w:jc w:val="right"/>
              <w:rPr>
                <w:rFonts w:ascii="Arial" w:hAnsi="Arial" w:cs="Arial"/>
                <w:sz w:val="20"/>
                <w:szCs w:val="20"/>
                <w:lang w:eastAsia="en-US"/>
              </w:rPr>
            </w:pPr>
          </w:p>
        </w:tc>
        <w:tc>
          <w:tcPr>
            <w:tcW w:w="1819" w:type="dxa"/>
            <w:tcBorders>
              <w:top w:val="nil"/>
              <w:left w:val="nil"/>
              <w:bottom w:val="single" w:sz="8" w:space="0" w:color="auto"/>
              <w:right w:val="single" w:sz="4" w:space="0" w:color="auto"/>
            </w:tcBorders>
            <w:shd w:val="clear" w:color="auto" w:fill="auto"/>
            <w:noWrap/>
            <w:vAlign w:val="bottom"/>
            <w:hideMark/>
          </w:tcPr>
          <w:p w14:paraId="776B2672" w14:textId="77777777" w:rsidR="00CC44D6" w:rsidRPr="006839E4" w:rsidRDefault="0086549B" w:rsidP="00BF703F">
            <w:pPr>
              <w:rPr>
                <w:rFonts w:ascii="Arial" w:hAnsi="Arial" w:cs="Arial"/>
                <w:sz w:val="20"/>
                <w:szCs w:val="20"/>
                <w:lang w:eastAsia="en-US"/>
              </w:rPr>
            </w:pPr>
            <w:r w:rsidRPr="006839E4">
              <w:rPr>
                <w:rFonts w:ascii="Arial" w:hAnsi="Arial" w:cs="Arial"/>
                <w:sz w:val="20"/>
                <w:szCs w:val="20"/>
                <w:lang w:eastAsia="en-US"/>
              </w:rPr>
              <w:t>$</w:t>
            </w:r>
            <w:r w:rsidR="00CC44D6" w:rsidRPr="006839E4">
              <w:rPr>
                <w:rFonts w:ascii="Arial" w:hAnsi="Arial" w:cs="Arial"/>
                <w:sz w:val="20"/>
                <w:szCs w:val="20"/>
                <w:lang w:eastAsia="en-US"/>
              </w:rPr>
              <w:t>277</w:t>
            </w:r>
            <w:r w:rsidRPr="006839E4">
              <w:rPr>
                <w:rFonts w:ascii="Arial" w:hAnsi="Arial" w:cs="Arial"/>
                <w:sz w:val="20"/>
                <w:szCs w:val="20"/>
                <w:lang w:eastAsia="en-US"/>
              </w:rPr>
              <w:t xml:space="preserve"> </w:t>
            </w:r>
            <w:r w:rsidR="00CC44D6" w:rsidRPr="006839E4">
              <w:rPr>
                <w:rFonts w:ascii="Arial" w:hAnsi="Arial" w:cs="Arial"/>
                <w:sz w:val="20"/>
                <w:szCs w:val="20"/>
                <w:lang w:eastAsia="en-US"/>
              </w:rPr>
              <w:t>509</w:t>
            </w:r>
            <w:r w:rsidR="00BF703F">
              <w:rPr>
                <w:rFonts w:ascii="Arial" w:hAnsi="Arial" w:cs="Arial"/>
                <w:sz w:val="20"/>
                <w:szCs w:val="20"/>
                <w:lang w:eastAsia="en-US"/>
              </w:rPr>
              <w:t xml:space="preserve"> </w:t>
            </w:r>
            <w:r w:rsidR="00CC44D6" w:rsidRPr="006839E4">
              <w:rPr>
                <w:rFonts w:ascii="Arial" w:hAnsi="Arial" w:cs="Arial"/>
                <w:sz w:val="20"/>
                <w:szCs w:val="20"/>
                <w:lang w:eastAsia="en-US"/>
              </w:rPr>
              <w:t>799.1</w:t>
            </w:r>
            <w:r w:rsidRPr="006839E4">
              <w:rPr>
                <w:rFonts w:ascii="Arial" w:hAnsi="Arial" w:cs="Arial"/>
                <w:sz w:val="20"/>
                <w:szCs w:val="20"/>
                <w:lang w:eastAsia="en-US"/>
              </w:rPr>
              <w:t>0</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14:paraId="64AECDE3"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3</w:t>
            </w:r>
            <w:r w:rsidR="00240205" w:rsidRPr="006839E4">
              <w:rPr>
                <w:rFonts w:ascii="Arial" w:hAnsi="Arial" w:cs="Arial"/>
                <w:sz w:val="20"/>
                <w:szCs w:val="20"/>
                <w:lang w:eastAsia="en-US"/>
              </w:rPr>
              <w:t xml:space="preserve"> </w:t>
            </w:r>
            <w:r w:rsidRPr="006839E4">
              <w:rPr>
                <w:rFonts w:ascii="Arial" w:hAnsi="Arial" w:cs="Arial"/>
                <w:sz w:val="20"/>
                <w:szCs w:val="20"/>
                <w:lang w:eastAsia="en-US"/>
              </w:rPr>
              <w:t>080</w:t>
            </w:r>
            <w:r w:rsidR="00240205" w:rsidRPr="006839E4">
              <w:rPr>
                <w:rFonts w:ascii="Arial" w:hAnsi="Arial" w:cs="Arial"/>
                <w:sz w:val="20"/>
                <w:szCs w:val="20"/>
                <w:lang w:eastAsia="en-US"/>
              </w:rPr>
              <w:t xml:space="preserve"> </w:t>
            </w:r>
            <w:r w:rsidRPr="006839E4">
              <w:rPr>
                <w:rFonts w:ascii="Arial" w:hAnsi="Arial" w:cs="Arial"/>
                <w:sz w:val="20"/>
                <w:szCs w:val="20"/>
                <w:lang w:eastAsia="en-US"/>
              </w:rPr>
              <w:t>539</w:t>
            </w:r>
          </w:p>
        </w:tc>
        <w:tc>
          <w:tcPr>
            <w:tcW w:w="1559" w:type="dxa"/>
            <w:tcBorders>
              <w:top w:val="nil"/>
              <w:left w:val="nil"/>
              <w:bottom w:val="single" w:sz="8" w:space="0" w:color="auto"/>
              <w:right w:val="single" w:sz="4" w:space="0" w:color="auto"/>
            </w:tcBorders>
            <w:shd w:val="clear" w:color="auto" w:fill="auto"/>
            <w:noWrap/>
            <w:vAlign w:val="bottom"/>
            <w:hideMark/>
          </w:tcPr>
          <w:p w14:paraId="211D5BA7" w14:textId="77777777" w:rsidR="00CC44D6" w:rsidRPr="006839E4" w:rsidRDefault="00CC44D6" w:rsidP="00BC4EDD">
            <w:pPr>
              <w:jc w:val="right"/>
              <w:rPr>
                <w:rFonts w:ascii="Arial" w:hAnsi="Arial" w:cs="Arial"/>
                <w:sz w:val="20"/>
                <w:szCs w:val="20"/>
                <w:lang w:eastAsia="en-US"/>
              </w:rPr>
            </w:pPr>
          </w:p>
        </w:tc>
        <w:tc>
          <w:tcPr>
            <w:tcW w:w="1418" w:type="dxa"/>
            <w:tcBorders>
              <w:top w:val="nil"/>
              <w:left w:val="nil"/>
              <w:bottom w:val="single" w:sz="8" w:space="0" w:color="auto"/>
              <w:right w:val="single" w:sz="4" w:space="0" w:color="auto"/>
            </w:tcBorders>
            <w:shd w:val="clear" w:color="auto" w:fill="auto"/>
            <w:noWrap/>
            <w:vAlign w:val="bottom"/>
            <w:hideMark/>
          </w:tcPr>
          <w:p w14:paraId="7E51D581" w14:textId="77777777" w:rsidR="00CC44D6" w:rsidRPr="006839E4" w:rsidRDefault="00CC44D6" w:rsidP="00BC4EDD">
            <w:pPr>
              <w:jc w:val="right"/>
              <w:rPr>
                <w:rFonts w:ascii="Arial" w:hAnsi="Arial" w:cs="Arial"/>
                <w:sz w:val="20"/>
                <w:szCs w:val="20"/>
                <w:lang w:eastAsia="en-US"/>
              </w:rPr>
            </w:pPr>
            <w:r w:rsidRPr="006839E4">
              <w:rPr>
                <w:rFonts w:ascii="Arial" w:hAnsi="Arial" w:cs="Arial"/>
                <w:sz w:val="20"/>
                <w:szCs w:val="20"/>
                <w:lang w:eastAsia="en-US"/>
              </w:rPr>
              <w:t>48.27</w:t>
            </w:r>
          </w:p>
        </w:tc>
      </w:tr>
    </w:tbl>
    <w:p w14:paraId="44890BF6" w14:textId="77777777" w:rsidR="00CC44D6" w:rsidRPr="0085283E" w:rsidRDefault="00CC44D6" w:rsidP="0022244D">
      <w:pPr>
        <w:rPr>
          <w:i/>
        </w:rPr>
      </w:pPr>
    </w:p>
    <w:p w14:paraId="589CA2A6" w14:textId="77777777" w:rsidR="00CC4AF5" w:rsidRPr="005C78C3" w:rsidRDefault="00253CBE" w:rsidP="003D1B38">
      <w:pPr>
        <w:pStyle w:val="Caption"/>
      </w:pPr>
      <w:bookmarkStart w:id="45" w:name="_Toc482213877"/>
      <w:r>
        <w:t xml:space="preserve">Figure </w:t>
      </w:r>
      <w:r w:rsidR="004D4B8D">
        <w:t>2</w:t>
      </w:r>
      <w:r>
        <w:t xml:space="preserve">. </w:t>
      </w:r>
      <w:r w:rsidR="000F1102">
        <w:t xml:space="preserve">2014/15 </w:t>
      </w:r>
      <w:r w:rsidR="000F1102" w:rsidRPr="000F1102">
        <w:t>MBS Tissue Pathol</w:t>
      </w:r>
      <w:r w:rsidR="000F1102">
        <w:t xml:space="preserve">ogy item service data </w:t>
      </w:r>
      <w:bookmarkEnd w:id="45"/>
    </w:p>
    <w:p w14:paraId="0C18A2AF" w14:textId="77777777" w:rsidR="00B63EE7" w:rsidRDefault="006529AB" w:rsidP="003D1B38">
      <w:pPr>
        <w:spacing w:line="276" w:lineRule="auto"/>
      </w:pPr>
      <w:r>
        <w:rPr>
          <w:noProof/>
          <w:lang w:val="en-AU"/>
        </w:rPr>
        <w:drawing>
          <wp:inline distT="0" distB="0" distL="0" distR="0" wp14:anchorId="79C83DF1" wp14:editId="3485741A">
            <wp:extent cx="4334494" cy="2695698"/>
            <wp:effectExtent l="0" t="0" r="9525" b="9525"/>
            <wp:docPr id="4" name="Chart 4" descr="This is a bar chart showing the 2014 to 2015 MBS Tissue Pathology item service dat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25C807" w14:textId="77777777" w:rsidR="003D1B38" w:rsidRDefault="003D1B38" w:rsidP="003D1B38">
      <w:pPr>
        <w:spacing w:line="276" w:lineRule="auto"/>
      </w:pPr>
    </w:p>
    <w:p w14:paraId="4C776DB6" w14:textId="77777777" w:rsidR="00576F75" w:rsidRDefault="006A3CF2" w:rsidP="00AB5985">
      <w:r>
        <w:lastRenderedPageBreak/>
        <w:t>T</w:t>
      </w:r>
      <w:r w:rsidR="0022244D">
        <w:t xml:space="preserve">o analyse the impact of </w:t>
      </w:r>
      <w:r w:rsidR="000F1102">
        <w:t xml:space="preserve">Tissue Pathology </w:t>
      </w:r>
      <w:r w:rsidR="005C78C3">
        <w:t xml:space="preserve">item </w:t>
      </w:r>
      <w:r w:rsidR="0022244D">
        <w:t>coning/</w:t>
      </w:r>
      <w:r w:rsidR="000F1102">
        <w:t xml:space="preserve"> </w:t>
      </w:r>
      <w:r w:rsidR="0022244D">
        <w:t xml:space="preserve">tiering on laboratories, and the impact of </w:t>
      </w:r>
      <w:r w:rsidR="005C78C3">
        <w:t xml:space="preserve">possible </w:t>
      </w:r>
      <w:r w:rsidR="0022244D">
        <w:t xml:space="preserve">changes to the complexity table, </w:t>
      </w:r>
      <w:r w:rsidR="0012711C">
        <w:t xml:space="preserve">coned and </w:t>
      </w:r>
      <w:proofErr w:type="spellStart"/>
      <w:r w:rsidR="0012711C">
        <w:t>unconed</w:t>
      </w:r>
      <w:proofErr w:type="spellEnd"/>
      <w:r w:rsidR="0012711C">
        <w:t xml:space="preserve"> </w:t>
      </w:r>
      <w:r w:rsidR="0022244D">
        <w:t xml:space="preserve">data </w:t>
      </w:r>
      <w:r w:rsidR="002147CC">
        <w:t xml:space="preserve">was </w:t>
      </w:r>
      <w:r w:rsidR="0022244D">
        <w:t xml:space="preserve">collected from four separate </w:t>
      </w:r>
      <w:r w:rsidR="002E75C7">
        <w:t>laboratories (A</w:t>
      </w:r>
      <w:r w:rsidR="00576F75">
        <w:t>–</w:t>
      </w:r>
      <w:r w:rsidR="002E75C7">
        <w:t>D)</w:t>
      </w:r>
      <w:r w:rsidR="0022244D">
        <w:t xml:space="preserve">, three teaching hospitals (two public and one Schedule 3) and a large </w:t>
      </w:r>
      <w:r w:rsidR="00656E19">
        <w:t>state</w:t>
      </w:r>
      <w:r w:rsidR="006529AB">
        <w:t>-</w:t>
      </w:r>
      <w:r w:rsidR="00656E19">
        <w:t xml:space="preserve">wide </w:t>
      </w:r>
      <w:r w:rsidR="0022244D">
        <w:t>private practice.</w:t>
      </w:r>
    </w:p>
    <w:p w14:paraId="1CB8CFA9" w14:textId="77777777" w:rsidR="00E86DF1" w:rsidRDefault="00576F75" w:rsidP="00AB5985">
      <w:r>
        <w:t>Th</w:t>
      </w:r>
      <w:r w:rsidR="00715C81">
        <w:t>is</w:t>
      </w:r>
      <w:r>
        <w:t xml:space="preserve"> </w:t>
      </w:r>
      <w:r w:rsidR="0022244D">
        <w:t xml:space="preserve">data </w:t>
      </w:r>
      <w:r w:rsidR="00715C81">
        <w:t>is</w:t>
      </w:r>
      <w:r>
        <w:t xml:space="preserve"> </w:t>
      </w:r>
      <w:r w:rsidR="0022244D">
        <w:t xml:space="preserve">not available via the DHS, as pre-coning takes place </w:t>
      </w:r>
      <w:r>
        <w:t xml:space="preserve">before </w:t>
      </w:r>
      <w:r w:rsidR="0022244D">
        <w:t>submission of MBS</w:t>
      </w:r>
      <w:r w:rsidR="00715C81">
        <w:t xml:space="preserve"> claims</w:t>
      </w:r>
      <w:r w:rsidR="0022244D">
        <w:t xml:space="preserve">. The data </w:t>
      </w:r>
      <w:r w:rsidR="00656E19">
        <w:t xml:space="preserve">analysis </w:t>
      </w:r>
      <w:r w:rsidR="0022244D">
        <w:t>is based on</w:t>
      </w:r>
      <w:r w:rsidR="00656E19">
        <w:t xml:space="preserve"> specimen type, diagnosis and</w:t>
      </w:r>
      <w:r w:rsidR="0022244D">
        <w:t xml:space="preserve"> nominal billings (according to MBS complexity and coning) rather than actual </w:t>
      </w:r>
      <w:r w:rsidR="00715C81">
        <w:t xml:space="preserve">claims </w:t>
      </w:r>
      <w:r w:rsidR="0022244D">
        <w:t>and</w:t>
      </w:r>
      <w:r>
        <w:t>,</w:t>
      </w:r>
      <w:r w:rsidR="0022244D">
        <w:t xml:space="preserve"> in the interests of simplicity, does not include additional items for ancillary investigations (immunohistochemistry, </w:t>
      </w:r>
      <w:r w:rsidR="005C78C3">
        <w:t>frozen sections,</w:t>
      </w:r>
      <w:r w:rsidR="00E11BC0">
        <w:t xml:space="preserve"> </w:t>
      </w:r>
      <w:r w:rsidR="0022244D">
        <w:t>genetic testing, electron microscopy</w:t>
      </w:r>
      <w:r>
        <w:t>,</w:t>
      </w:r>
      <w:r w:rsidR="0022244D">
        <w:t xml:space="preserve"> etc</w:t>
      </w:r>
      <w:r>
        <w:t>.</w:t>
      </w:r>
      <w:r w:rsidR="0022244D">
        <w:t>), autopsy-related testing a</w:t>
      </w:r>
      <w:r w:rsidR="00656E19">
        <w:t>nd requests for second opinions</w:t>
      </w:r>
      <w:r w:rsidR="0022244D">
        <w:t>.</w:t>
      </w:r>
      <w:r w:rsidR="00E11BC0">
        <w:t xml:space="preserve"> </w:t>
      </w:r>
      <w:r w:rsidR="002E75C7">
        <w:t>The parameters of the data colle</w:t>
      </w:r>
      <w:r w:rsidR="00530C46">
        <w:t xml:space="preserve">cted are shown in </w:t>
      </w:r>
      <w:r w:rsidR="00530C46" w:rsidRPr="004F4A03">
        <w:rPr>
          <w:i/>
        </w:rPr>
        <w:t xml:space="preserve">Table </w:t>
      </w:r>
      <w:r w:rsidR="004D4B8D">
        <w:rPr>
          <w:i/>
        </w:rPr>
        <w:t>4</w:t>
      </w:r>
      <w:r w:rsidR="0099086A">
        <w:t xml:space="preserve"> </w:t>
      </w:r>
      <w:r w:rsidR="00530C46">
        <w:t>below.</w:t>
      </w:r>
    </w:p>
    <w:p w14:paraId="7903597D" w14:textId="77777777" w:rsidR="0099086A" w:rsidRPr="00B30875" w:rsidRDefault="00EC1E7C" w:rsidP="00BC4EDD">
      <w:pPr>
        <w:pStyle w:val="Caption"/>
      </w:pPr>
      <w:bookmarkStart w:id="46" w:name="_Toc482213831"/>
      <w:r>
        <w:t xml:space="preserve">Table </w:t>
      </w:r>
      <w:r w:rsidR="00555C4C">
        <w:fldChar w:fldCharType="begin"/>
      </w:r>
      <w:r w:rsidR="00D84161">
        <w:instrText xml:space="preserve"> SEQ Table \* ARABIC </w:instrText>
      </w:r>
      <w:r w:rsidR="00555C4C">
        <w:fldChar w:fldCharType="separate"/>
      </w:r>
      <w:r w:rsidR="00FC06F1">
        <w:rPr>
          <w:noProof/>
        </w:rPr>
        <w:t>4</w:t>
      </w:r>
      <w:r w:rsidR="00555C4C">
        <w:rPr>
          <w:noProof/>
        </w:rPr>
        <w:fldChar w:fldCharType="end"/>
      </w:r>
      <w:r w:rsidR="00B220D3">
        <w:t>:</w:t>
      </w:r>
      <w:r>
        <w:t xml:space="preserve"> </w:t>
      </w:r>
      <w:r w:rsidRPr="004150E0">
        <w:t>Parameters of data collected from four independent laboratories</w:t>
      </w:r>
      <w:bookmarkEnd w:id="46"/>
    </w:p>
    <w:tbl>
      <w:tblPr>
        <w:tblW w:w="7953" w:type="dxa"/>
        <w:tblInd w:w="93" w:type="dxa"/>
        <w:tblLook w:val="04A0" w:firstRow="1" w:lastRow="0" w:firstColumn="1" w:lastColumn="0" w:noHBand="0" w:noVBand="1"/>
      </w:tblPr>
      <w:tblGrid>
        <w:gridCol w:w="572"/>
        <w:gridCol w:w="2909"/>
        <w:gridCol w:w="1398"/>
        <w:gridCol w:w="1658"/>
        <w:gridCol w:w="1744"/>
      </w:tblGrid>
      <w:tr w:rsidR="00F03CCB" w:rsidRPr="006839E4" w14:paraId="4538A034" w14:textId="77777777" w:rsidTr="006839E4">
        <w:trPr>
          <w:trHeight w:val="315"/>
        </w:trPr>
        <w:tc>
          <w:tcPr>
            <w:tcW w:w="51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08CFB1C" w14:textId="77777777" w:rsidR="00656E19" w:rsidRPr="006839E4" w:rsidRDefault="00656E19" w:rsidP="00BC4EDD">
            <w:pPr>
              <w:rPr>
                <w:rFonts w:ascii="Arial" w:hAnsi="Arial" w:cs="Arial"/>
                <w:b/>
                <w:bCs/>
                <w:sz w:val="20"/>
                <w:szCs w:val="20"/>
                <w:lang w:eastAsia="en-US"/>
              </w:rPr>
            </w:pPr>
            <w:r w:rsidRPr="006839E4">
              <w:rPr>
                <w:rFonts w:ascii="Arial" w:hAnsi="Arial" w:cs="Arial"/>
                <w:b/>
                <w:bCs/>
                <w:sz w:val="20"/>
                <w:szCs w:val="20"/>
                <w:lang w:eastAsia="en-US"/>
              </w:rPr>
              <w:t>Lab</w:t>
            </w:r>
          </w:p>
        </w:tc>
        <w:tc>
          <w:tcPr>
            <w:tcW w:w="2909" w:type="dxa"/>
            <w:tcBorders>
              <w:top w:val="single" w:sz="4" w:space="0" w:color="auto"/>
              <w:left w:val="nil"/>
              <w:bottom w:val="single" w:sz="4" w:space="0" w:color="auto"/>
              <w:right w:val="nil"/>
            </w:tcBorders>
            <w:shd w:val="clear" w:color="auto" w:fill="EEECE1" w:themeFill="background2"/>
            <w:noWrap/>
            <w:vAlign w:val="bottom"/>
            <w:hideMark/>
          </w:tcPr>
          <w:p w14:paraId="0B8A2DD4" w14:textId="77777777" w:rsidR="00656E19" w:rsidRPr="006839E4" w:rsidRDefault="00656E19" w:rsidP="00BC4EDD">
            <w:pPr>
              <w:rPr>
                <w:rFonts w:ascii="Arial" w:hAnsi="Arial" w:cs="Arial"/>
                <w:b/>
                <w:bCs/>
                <w:sz w:val="20"/>
                <w:szCs w:val="20"/>
                <w:lang w:eastAsia="en-US"/>
              </w:rPr>
            </w:pPr>
            <w:r w:rsidRPr="006839E4">
              <w:rPr>
                <w:rFonts w:ascii="Arial" w:hAnsi="Arial" w:cs="Arial"/>
                <w:b/>
                <w:bCs/>
                <w:sz w:val="20"/>
                <w:szCs w:val="20"/>
                <w:lang w:eastAsia="en-US"/>
              </w:rPr>
              <w:t>Status</w:t>
            </w:r>
          </w:p>
        </w:tc>
        <w:tc>
          <w:tcPr>
            <w:tcW w:w="112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4F0CCA86" w14:textId="77777777" w:rsidR="00656E19" w:rsidRPr="006839E4" w:rsidRDefault="00656E19" w:rsidP="00BC4EDD">
            <w:pPr>
              <w:rPr>
                <w:rFonts w:ascii="Arial" w:hAnsi="Arial" w:cs="Arial"/>
                <w:b/>
                <w:bCs/>
                <w:sz w:val="20"/>
                <w:szCs w:val="20"/>
                <w:lang w:eastAsia="en-US"/>
              </w:rPr>
            </w:pPr>
            <w:r w:rsidRPr="006839E4">
              <w:rPr>
                <w:rFonts w:ascii="Arial" w:hAnsi="Arial" w:cs="Arial"/>
                <w:b/>
                <w:bCs/>
                <w:sz w:val="20"/>
                <w:szCs w:val="20"/>
                <w:lang w:eastAsia="en-US"/>
              </w:rPr>
              <w:t>Accessions</w:t>
            </w:r>
            <w:r w:rsidR="00F36C9E">
              <w:rPr>
                <w:vertAlign w:val="superscript"/>
              </w:rPr>
              <w:t>#</w:t>
            </w:r>
            <w:r w:rsidR="00BF703F">
              <w:rPr>
                <w:rFonts w:ascii="Arial" w:hAnsi="Arial" w:cs="Arial"/>
                <w:b/>
                <w:bCs/>
                <w:sz w:val="20"/>
                <w:szCs w:val="20"/>
                <w:lang w:eastAsia="en-US"/>
              </w:rPr>
              <w:t xml:space="preserve"> </w:t>
            </w:r>
            <w:r w:rsidRPr="006839E4">
              <w:rPr>
                <w:rFonts w:ascii="Arial" w:hAnsi="Arial" w:cs="Arial"/>
                <w:b/>
                <w:bCs/>
                <w:sz w:val="20"/>
                <w:szCs w:val="20"/>
                <w:lang w:eastAsia="en-US"/>
              </w:rPr>
              <w:t>analysed</w:t>
            </w:r>
          </w:p>
        </w:tc>
        <w:tc>
          <w:tcPr>
            <w:tcW w:w="1658"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38C24C79" w14:textId="77777777" w:rsidR="00656E19" w:rsidRPr="006839E4" w:rsidRDefault="00656E19" w:rsidP="00BC4EDD">
            <w:pPr>
              <w:rPr>
                <w:rFonts w:ascii="Arial" w:hAnsi="Arial" w:cs="Arial"/>
                <w:b/>
                <w:bCs/>
                <w:sz w:val="20"/>
                <w:szCs w:val="20"/>
                <w:lang w:eastAsia="en-US"/>
              </w:rPr>
            </w:pPr>
            <w:r w:rsidRPr="006839E4">
              <w:rPr>
                <w:rFonts w:ascii="Arial" w:hAnsi="Arial" w:cs="Arial"/>
                <w:b/>
                <w:bCs/>
                <w:sz w:val="20"/>
                <w:szCs w:val="20"/>
                <w:lang w:eastAsia="en-US"/>
              </w:rPr>
              <w:t xml:space="preserve">Specimens </w:t>
            </w:r>
            <w:r w:rsidR="00F03CCB" w:rsidRPr="006839E4">
              <w:rPr>
                <w:rFonts w:ascii="Arial" w:hAnsi="Arial" w:cs="Arial"/>
                <w:b/>
                <w:bCs/>
                <w:sz w:val="20"/>
                <w:szCs w:val="20"/>
                <w:lang w:eastAsia="en-US"/>
              </w:rPr>
              <w:t>analysed</w:t>
            </w:r>
          </w:p>
        </w:tc>
        <w:tc>
          <w:tcPr>
            <w:tcW w:w="1744"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0FC96FA" w14:textId="77777777" w:rsidR="00656E19" w:rsidRPr="006839E4" w:rsidRDefault="00656E19" w:rsidP="00BC4EDD">
            <w:pPr>
              <w:rPr>
                <w:rFonts w:ascii="Arial" w:hAnsi="Arial" w:cs="Arial"/>
                <w:b/>
                <w:bCs/>
                <w:sz w:val="20"/>
                <w:szCs w:val="20"/>
                <w:lang w:eastAsia="en-US"/>
              </w:rPr>
            </w:pPr>
            <w:r w:rsidRPr="006839E4">
              <w:rPr>
                <w:rFonts w:ascii="Arial" w:hAnsi="Arial" w:cs="Arial"/>
                <w:b/>
                <w:bCs/>
                <w:sz w:val="20"/>
                <w:szCs w:val="20"/>
                <w:lang w:eastAsia="en-US"/>
              </w:rPr>
              <w:t>Time period</w:t>
            </w:r>
          </w:p>
        </w:tc>
      </w:tr>
      <w:tr w:rsidR="00656E19" w:rsidRPr="006839E4" w14:paraId="09D42724" w14:textId="77777777" w:rsidTr="00BC4EDD">
        <w:trPr>
          <w:trHeight w:val="783"/>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CB40"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A</w:t>
            </w:r>
          </w:p>
        </w:tc>
        <w:tc>
          <w:tcPr>
            <w:tcW w:w="2909" w:type="dxa"/>
            <w:tcBorders>
              <w:top w:val="single" w:sz="4" w:space="0" w:color="auto"/>
              <w:left w:val="nil"/>
              <w:bottom w:val="single" w:sz="4" w:space="0" w:color="auto"/>
              <w:right w:val="single" w:sz="4" w:space="0" w:color="auto"/>
            </w:tcBorders>
            <w:shd w:val="clear" w:color="auto" w:fill="auto"/>
            <w:vAlign w:val="bottom"/>
            <w:hideMark/>
          </w:tcPr>
          <w:p w14:paraId="0A90205C"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Metropolitan Schedule 3 teaching hospital</w:t>
            </w:r>
            <w:r w:rsidR="00F829B4" w:rsidRPr="006839E4">
              <w:rPr>
                <w:rFonts w:ascii="Arial" w:hAnsi="Arial" w:cs="Arial"/>
                <w:sz w:val="20"/>
                <w:szCs w:val="20"/>
                <w:lang w:eastAsia="en-US"/>
              </w:rPr>
              <w:t xml:space="preserve"> </w:t>
            </w:r>
            <w:r w:rsidRPr="006839E4">
              <w:rPr>
                <w:rFonts w:ascii="Arial" w:hAnsi="Arial" w:cs="Arial"/>
                <w:sz w:val="20"/>
                <w:szCs w:val="20"/>
                <w:lang w:eastAsia="en-US"/>
              </w:rPr>
              <w:t>with ~50% external private referrals</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56360F2F"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8</w:t>
            </w:r>
            <w:r w:rsidR="00E76921" w:rsidRPr="006839E4">
              <w:rPr>
                <w:rFonts w:ascii="Arial" w:hAnsi="Arial" w:cs="Arial"/>
                <w:sz w:val="20"/>
                <w:szCs w:val="20"/>
                <w:lang w:eastAsia="en-US"/>
              </w:rPr>
              <w:t xml:space="preserve"> </w:t>
            </w:r>
            <w:r w:rsidRPr="006839E4">
              <w:rPr>
                <w:rFonts w:ascii="Arial" w:hAnsi="Arial" w:cs="Arial"/>
                <w:sz w:val="20"/>
                <w:szCs w:val="20"/>
                <w:lang w:eastAsia="en-US"/>
              </w:rPr>
              <w:t>518</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72F16CE4"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17</w:t>
            </w:r>
            <w:r w:rsidR="00E76921" w:rsidRPr="006839E4">
              <w:rPr>
                <w:rFonts w:ascii="Arial" w:hAnsi="Arial" w:cs="Arial"/>
                <w:sz w:val="20"/>
                <w:szCs w:val="20"/>
                <w:lang w:eastAsia="en-US"/>
              </w:rPr>
              <w:t xml:space="preserve"> </w:t>
            </w:r>
            <w:r w:rsidRPr="006839E4">
              <w:rPr>
                <w:rFonts w:ascii="Arial" w:hAnsi="Arial" w:cs="Arial"/>
                <w:sz w:val="20"/>
                <w:szCs w:val="20"/>
                <w:lang w:eastAsia="en-US"/>
              </w:rPr>
              <w:t>230</w:t>
            </w:r>
          </w:p>
        </w:tc>
        <w:tc>
          <w:tcPr>
            <w:tcW w:w="1744" w:type="dxa"/>
            <w:tcBorders>
              <w:top w:val="single" w:sz="4" w:space="0" w:color="auto"/>
              <w:left w:val="nil"/>
              <w:bottom w:val="single" w:sz="4" w:space="0" w:color="auto"/>
              <w:right w:val="single" w:sz="4" w:space="0" w:color="auto"/>
            </w:tcBorders>
            <w:shd w:val="clear" w:color="auto" w:fill="auto"/>
            <w:vAlign w:val="bottom"/>
            <w:hideMark/>
          </w:tcPr>
          <w:p w14:paraId="32EB5978"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8 months</w:t>
            </w:r>
            <w:r w:rsidR="00E76921" w:rsidRPr="006839E4">
              <w:rPr>
                <w:rFonts w:ascii="Arial" w:hAnsi="Arial" w:cs="Arial"/>
                <w:sz w:val="20"/>
                <w:szCs w:val="20"/>
                <w:lang w:eastAsia="en-US"/>
              </w:rPr>
              <w:t>,</w:t>
            </w:r>
            <w:r w:rsidRPr="006839E4">
              <w:rPr>
                <w:rFonts w:ascii="Arial" w:hAnsi="Arial" w:cs="Arial"/>
                <w:sz w:val="20"/>
                <w:szCs w:val="20"/>
                <w:lang w:eastAsia="en-US"/>
              </w:rPr>
              <w:t xml:space="preserve"> 2011</w:t>
            </w:r>
          </w:p>
        </w:tc>
      </w:tr>
      <w:tr w:rsidR="00656E19" w:rsidRPr="006839E4" w14:paraId="5C1F564A" w14:textId="77777777" w:rsidTr="00BC4EDD">
        <w:trPr>
          <w:trHeight w:val="615"/>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AEE3BB0"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B</w:t>
            </w:r>
          </w:p>
        </w:tc>
        <w:tc>
          <w:tcPr>
            <w:tcW w:w="2909" w:type="dxa"/>
            <w:tcBorders>
              <w:top w:val="nil"/>
              <w:left w:val="nil"/>
              <w:bottom w:val="single" w:sz="4" w:space="0" w:color="auto"/>
              <w:right w:val="single" w:sz="4" w:space="0" w:color="auto"/>
            </w:tcBorders>
            <w:shd w:val="clear" w:color="auto" w:fill="auto"/>
            <w:vAlign w:val="bottom"/>
            <w:hideMark/>
          </w:tcPr>
          <w:p w14:paraId="10749DD7"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Metropolitan public teaching hospital</w:t>
            </w:r>
            <w:r w:rsidR="00245340" w:rsidRPr="006839E4">
              <w:rPr>
                <w:rFonts w:ascii="Arial" w:hAnsi="Arial" w:cs="Arial"/>
                <w:sz w:val="20"/>
                <w:szCs w:val="20"/>
                <w:lang w:eastAsia="en-US"/>
              </w:rPr>
              <w:t>*</w:t>
            </w:r>
          </w:p>
        </w:tc>
        <w:tc>
          <w:tcPr>
            <w:tcW w:w="1127" w:type="dxa"/>
            <w:tcBorders>
              <w:top w:val="nil"/>
              <w:left w:val="nil"/>
              <w:bottom w:val="single" w:sz="4" w:space="0" w:color="auto"/>
              <w:right w:val="single" w:sz="4" w:space="0" w:color="auto"/>
            </w:tcBorders>
            <w:shd w:val="clear" w:color="auto" w:fill="auto"/>
            <w:noWrap/>
            <w:vAlign w:val="bottom"/>
            <w:hideMark/>
          </w:tcPr>
          <w:p w14:paraId="64D7FED8" w14:textId="77777777" w:rsidR="00656E19" w:rsidRPr="006839E4" w:rsidRDefault="00DA29D8" w:rsidP="00BC4EDD">
            <w:pPr>
              <w:jc w:val="right"/>
              <w:rPr>
                <w:rFonts w:ascii="Arial" w:hAnsi="Arial" w:cs="Arial"/>
                <w:sz w:val="20"/>
                <w:szCs w:val="20"/>
                <w:lang w:eastAsia="en-US"/>
              </w:rPr>
            </w:pPr>
            <w:r w:rsidRPr="006839E4">
              <w:rPr>
                <w:rFonts w:ascii="Arial" w:hAnsi="Arial" w:cs="Arial"/>
                <w:sz w:val="20"/>
                <w:szCs w:val="20"/>
                <w:lang w:eastAsia="en-US"/>
              </w:rPr>
              <w:t>673</w:t>
            </w:r>
          </w:p>
        </w:tc>
        <w:tc>
          <w:tcPr>
            <w:tcW w:w="1658" w:type="dxa"/>
            <w:tcBorders>
              <w:top w:val="nil"/>
              <w:left w:val="nil"/>
              <w:bottom w:val="single" w:sz="4" w:space="0" w:color="auto"/>
              <w:right w:val="single" w:sz="4" w:space="0" w:color="auto"/>
            </w:tcBorders>
            <w:shd w:val="clear" w:color="auto" w:fill="auto"/>
            <w:noWrap/>
            <w:vAlign w:val="bottom"/>
            <w:hideMark/>
          </w:tcPr>
          <w:p w14:paraId="4D589815" w14:textId="77777777" w:rsidR="00656E19" w:rsidRPr="006839E4" w:rsidRDefault="00DA29D8" w:rsidP="00BC4EDD">
            <w:pPr>
              <w:jc w:val="right"/>
              <w:rPr>
                <w:rFonts w:ascii="Arial" w:hAnsi="Arial" w:cs="Arial"/>
                <w:sz w:val="20"/>
                <w:szCs w:val="20"/>
                <w:lang w:eastAsia="en-US"/>
              </w:rPr>
            </w:pPr>
            <w:r w:rsidRPr="006839E4">
              <w:rPr>
                <w:rFonts w:ascii="Arial" w:hAnsi="Arial" w:cs="Arial"/>
                <w:sz w:val="20"/>
                <w:szCs w:val="20"/>
                <w:lang w:eastAsia="en-US"/>
              </w:rPr>
              <w:t>1</w:t>
            </w:r>
            <w:r w:rsidR="00E76921" w:rsidRPr="006839E4">
              <w:rPr>
                <w:rFonts w:ascii="Arial" w:hAnsi="Arial" w:cs="Arial"/>
                <w:sz w:val="20"/>
                <w:szCs w:val="20"/>
                <w:lang w:eastAsia="en-US"/>
              </w:rPr>
              <w:t xml:space="preserve"> </w:t>
            </w:r>
            <w:r w:rsidRPr="006839E4">
              <w:rPr>
                <w:rFonts w:ascii="Arial" w:hAnsi="Arial" w:cs="Arial"/>
                <w:sz w:val="20"/>
                <w:szCs w:val="20"/>
                <w:lang w:eastAsia="en-US"/>
              </w:rPr>
              <w:t>722</w:t>
            </w:r>
          </w:p>
        </w:tc>
        <w:tc>
          <w:tcPr>
            <w:tcW w:w="1744" w:type="dxa"/>
            <w:tcBorders>
              <w:top w:val="nil"/>
              <w:left w:val="nil"/>
              <w:bottom w:val="single" w:sz="4" w:space="0" w:color="auto"/>
              <w:right w:val="single" w:sz="4" w:space="0" w:color="auto"/>
            </w:tcBorders>
            <w:shd w:val="clear" w:color="auto" w:fill="auto"/>
            <w:vAlign w:val="bottom"/>
            <w:hideMark/>
          </w:tcPr>
          <w:p w14:paraId="5ACF41E2"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2 weeks</w:t>
            </w:r>
            <w:r w:rsidR="00E76921" w:rsidRPr="006839E4">
              <w:rPr>
                <w:rFonts w:ascii="Arial" w:hAnsi="Arial" w:cs="Arial"/>
                <w:sz w:val="20"/>
                <w:szCs w:val="20"/>
                <w:lang w:eastAsia="en-US"/>
              </w:rPr>
              <w:t>,</w:t>
            </w:r>
            <w:r w:rsidRPr="006839E4">
              <w:rPr>
                <w:rFonts w:ascii="Arial" w:hAnsi="Arial" w:cs="Arial"/>
                <w:sz w:val="20"/>
                <w:szCs w:val="20"/>
                <w:lang w:eastAsia="en-US"/>
              </w:rPr>
              <w:t xml:space="preserve"> July</w:t>
            </w:r>
            <w:r w:rsidR="00E76921" w:rsidRPr="006839E4">
              <w:rPr>
                <w:rFonts w:ascii="Arial" w:hAnsi="Arial" w:cs="Arial"/>
                <w:sz w:val="20"/>
                <w:szCs w:val="20"/>
                <w:lang w:eastAsia="en-US"/>
              </w:rPr>
              <w:t xml:space="preserve"> </w:t>
            </w:r>
            <w:r w:rsidRPr="006839E4">
              <w:rPr>
                <w:rFonts w:ascii="Arial" w:hAnsi="Arial" w:cs="Arial"/>
                <w:sz w:val="20"/>
                <w:szCs w:val="20"/>
                <w:lang w:eastAsia="en-US"/>
              </w:rPr>
              <w:t>16</w:t>
            </w:r>
          </w:p>
        </w:tc>
      </w:tr>
      <w:tr w:rsidR="00656E19" w:rsidRPr="006839E4" w14:paraId="7490A68F" w14:textId="77777777" w:rsidTr="00BC4EDD">
        <w:trPr>
          <w:trHeight w:val="87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93E30E5"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C</w:t>
            </w:r>
          </w:p>
        </w:tc>
        <w:tc>
          <w:tcPr>
            <w:tcW w:w="2909" w:type="dxa"/>
            <w:tcBorders>
              <w:top w:val="nil"/>
              <w:left w:val="nil"/>
              <w:bottom w:val="single" w:sz="4" w:space="0" w:color="auto"/>
              <w:right w:val="single" w:sz="4" w:space="0" w:color="auto"/>
            </w:tcBorders>
            <w:shd w:val="clear" w:color="auto" w:fill="auto"/>
            <w:vAlign w:val="bottom"/>
            <w:hideMark/>
          </w:tcPr>
          <w:p w14:paraId="21E69D21"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Regional public teaching hospital with ~30% external private referrals</w:t>
            </w:r>
          </w:p>
        </w:tc>
        <w:tc>
          <w:tcPr>
            <w:tcW w:w="1127" w:type="dxa"/>
            <w:tcBorders>
              <w:top w:val="nil"/>
              <w:left w:val="nil"/>
              <w:bottom w:val="single" w:sz="4" w:space="0" w:color="auto"/>
              <w:right w:val="single" w:sz="4" w:space="0" w:color="auto"/>
            </w:tcBorders>
            <w:shd w:val="clear" w:color="auto" w:fill="auto"/>
            <w:noWrap/>
            <w:vAlign w:val="bottom"/>
            <w:hideMark/>
          </w:tcPr>
          <w:p w14:paraId="2726CFF5"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234</w:t>
            </w:r>
          </w:p>
        </w:tc>
        <w:tc>
          <w:tcPr>
            <w:tcW w:w="1658" w:type="dxa"/>
            <w:tcBorders>
              <w:top w:val="nil"/>
              <w:left w:val="nil"/>
              <w:bottom w:val="single" w:sz="4" w:space="0" w:color="auto"/>
              <w:right w:val="single" w:sz="4" w:space="0" w:color="auto"/>
            </w:tcBorders>
            <w:shd w:val="clear" w:color="auto" w:fill="auto"/>
            <w:noWrap/>
            <w:vAlign w:val="bottom"/>
            <w:hideMark/>
          </w:tcPr>
          <w:p w14:paraId="1704C319"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475</w:t>
            </w:r>
          </w:p>
        </w:tc>
        <w:tc>
          <w:tcPr>
            <w:tcW w:w="1744" w:type="dxa"/>
            <w:tcBorders>
              <w:top w:val="nil"/>
              <w:left w:val="nil"/>
              <w:bottom w:val="single" w:sz="4" w:space="0" w:color="auto"/>
              <w:right w:val="single" w:sz="4" w:space="0" w:color="auto"/>
            </w:tcBorders>
            <w:shd w:val="clear" w:color="auto" w:fill="auto"/>
            <w:vAlign w:val="bottom"/>
            <w:hideMark/>
          </w:tcPr>
          <w:p w14:paraId="2CBD486F"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2 days</w:t>
            </w:r>
            <w:r w:rsidR="00E76921" w:rsidRPr="006839E4">
              <w:rPr>
                <w:rFonts w:ascii="Arial" w:hAnsi="Arial" w:cs="Arial"/>
                <w:sz w:val="20"/>
                <w:szCs w:val="20"/>
                <w:lang w:eastAsia="en-US"/>
              </w:rPr>
              <w:t>,</w:t>
            </w:r>
            <w:r w:rsidRPr="006839E4">
              <w:rPr>
                <w:rFonts w:ascii="Arial" w:hAnsi="Arial" w:cs="Arial"/>
                <w:sz w:val="20"/>
                <w:szCs w:val="20"/>
                <w:lang w:eastAsia="en-US"/>
              </w:rPr>
              <w:t xml:space="preserve"> Nov</w:t>
            </w:r>
            <w:r w:rsidR="00E76921" w:rsidRPr="006839E4">
              <w:rPr>
                <w:rFonts w:ascii="Arial" w:hAnsi="Arial" w:cs="Arial"/>
                <w:sz w:val="20"/>
                <w:szCs w:val="20"/>
                <w:lang w:eastAsia="en-US"/>
              </w:rPr>
              <w:t xml:space="preserve"> </w:t>
            </w:r>
            <w:r w:rsidRPr="006839E4">
              <w:rPr>
                <w:rFonts w:ascii="Arial" w:hAnsi="Arial" w:cs="Arial"/>
                <w:sz w:val="20"/>
                <w:szCs w:val="20"/>
                <w:lang w:eastAsia="en-US"/>
              </w:rPr>
              <w:t>16</w:t>
            </w:r>
          </w:p>
        </w:tc>
      </w:tr>
      <w:tr w:rsidR="00656E19" w:rsidRPr="006839E4" w14:paraId="484D343B" w14:textId="77777777" w:rsidTr="00BC4EDD">
        <w:trPr>
          <w:trHeight w:val="825"/>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C52ACCA"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D</w:t>
            </w:r>
          </w:p>
        </w:tc>
        <w:tc>
          <w:tcPr>
            <w:tcW w:w="2909" w:type="dxa"/>
            <w:tcBorders>
              <w:top w:val="nil"/>
              <w:left w:val="nil"/>
              <w:bottom w:val="single" w:sz="4" w:space="0" w:color="auto"/>
              <w:right w:val="single" w:sz="4" w:space="0" w:color="auto"/>
            </w:tcBorders>
            <w:shd w:val="clear" w:color="auto" w:fill="auto"/>
            <w:vAlign w:val="bottom"/>
            <w:hideMark/>
          </w:tcPr>
          <w:p w14:paraId="3ABBB081" w14:textId="77777777" w:rsidR="00656E19" w:rsidRPr="006839E4" w:rsidRDefault="00656E19" w:rsidP="00BC4EDD">
            <w:pPr>
              <w:rPr>
                <w:rFonts w:ascii="Arial" w:hAnsi="Arial" w:cs="Arial"/>
                <w:sz w:val="20"/>
                <w:szCs w:val="20"/>
                <w:lang w:eastAsia="en-US"/>
              </w:rPr>
            </w:pPr>
            <w:r w:rsidRPr="006839E4">
              <w:rPr>
                <w:rFonts w:ascii="Arial" w:hAnsi="Arial" w:cs="Arial"/>
                <w:sz w:val="20"/>
                <w:szCs w:val="20"/>
                <w:lang w:eastAsia="en-US"/>
              </w:rPr>
              <w:t>Large state</w:t>
            </w:r>
            <w:r w:rsidR="006529AB" w:rsidRPr="006839E4">
              <w:rPr>
                <w:rFonts w:ascii="Arial" w:hAnsi="Arial" w:cs="Arial"/>
                <w:sz w:val="20"/>
                <w:szCs w:val="20"/>
                <w:lang w:eastAsia="en-US"/>
              </w:rPr>
              <w:t>-</w:t>
            </w:r>
            <w:r w:rsidRPr="006839E4">
              <w:rPr>
                <w:rFonts w:ascii="Arial" w:hAnsi="Arial" w:cs="Arial"/>
                <w:sz w:val="20"/>
                <w:szCs w:val="20"/>
                <w:lang w:eastAsia="en-US"/>
              </w:rPr>
              <w:t>wide</w:t>
            </w:r>
            <w:r w:rsidR="00E11BC0" w:rsidRPr="006839E4">
              <w:rPr>
                <w:rFonts w:ascii="Arial" w:hAnsi="Arial" w:cs="Arial"/>
                <w:sz w:val="20"/>
                <w:szCs w:val="20"/>
                <w:lang w:eastAsia="en-US"/>
              </w:rPr>
              <w:t xml:space="preserve"> </w:t>
            </w:r>
            <w:r w:rsidRPr="006839E4">
              <w:rPr>
                <w:rFonts w:ascii="Arial" w:hAnsi="Arial" w:cs="Arial"/>
                <w:sz w:val="20"/>
                <w:szCs w:val="20"/>
                <w:lang w:eastAsia="en-US"/>
              </w:rPr>
              <w:t>private laboratory with metropolitan, regional and rural referrals</w:t>
            </w:r>
          </w:p>
        </w:tc>
        <w:tc>
          <w:tcPr>
            <w:tcW w:w="1127" w:type="dxa"/>
            <w:tcBorders>
              <w:top w:val="nil"/>
              <w:left w:val="nil"/>
              <w:bottom w:val="single" w:sz="4" w:space="0" w:color="auto"/>
              <w:right w:val="single" w:sz="4" w:space="0" w:color="auto"/>
            </w:tcBorders>
            <w:shd w:val="clear" w:color="auto" w:fill="auto"/>
            <w:noWrap/>
            <w:vAlign w:val="bottom"/>
            <w:hideMark/>
          </w:tcPr>
          <w:p w14:paraId="4D6F06BA"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11</w:t>
            </w:r>
            <w:r w:rsidR="00E76921" w:rsidRPr="006839E4">
              <w:rPr>
                <w:rFonts w:ascii="Arial" w:hAnsi="Arial" w:cs="Arial"/>
                <w:sz w:val="20"/>
                <w:szCs w:val="20"/>
                <w:lang w:eastAsia="en-US"/>
              </w:rPr>
              <w:t xml:space="preserve"> </w:t>
            </w:r>
            <w:r w:rsidRPr="006839E4">
              <w:rPr>
                <w:rFonts w:ascii="Arial" w:hAnsi="Arial" w:cs="Arial"/>
                <w:sz w:val="20"/>
                <w:szCs w:val="20"/>
                <w:lang w:eastAsia="en-US"/>
              </w:rPr>
              <w:t>118</w:t>
            </w:r>
          </w:p>
        </w:tc>
        <w:tc>
          <w:tcPr>
            <w:tcW w:w="1658" w:type="dxa"/>
            <w:tcBorders>
              <w:top w:val="nil"/>
              <w:left w:val="nil"/>
              <w:bottom w:val="single" w:sz="4" w:space="0" w:color="auto"/>
              <w:right w:val="single" w:sz="4" w:space="0" w:color="auto"/>
            </w:tcBorders>
            <w:shd w:val="clear" w:color="auto" w:fill="auto"/>
            <w:noWrap/>
            <w:vAlign w:val="bottom"/>
            <w:hideMark/>
          </w:tcPr>
          <w:p w14:paraId="3761DA73"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16</w:t>
            </w:r>
            <w:r w:rsidR="00E76921" w:rsidRPr="006839E4">
              <w:rPr>
                <w:rFonts w:ascii="Arial" w:hAnsi="Arial" w:cs="Arial"/>
                <w:sz w:val="20"/>
                <w:szCs w:val="20"/>
                <w:lang w:eastAsia="en-US"/>
              </w:rPr>
              <w:t xml:space="preserve"> </w:t>
            </w:r>
            <w:r w:rsidRPr="006839E4">
              <w:rPr>
                <w:rFonts w:ascii="Arial" w:hAnsi="Arial" w:cs="Arial"/>
                <w:sz w:val="20"/>
                <w:szCs w:val="20"/>
                <w:lang w:eastAsia="en-US"/>
              </w:rPr>
              <w:t>971</w:t>
            </w:r>
          </w:p>
        </w:tc>
        <w:tc>
          <w:tcPr>
            <w:tcW w:w="1744" w:type="dxa"/>
            <w:tcBorders>
              <w:top w:val="nil"/>
              <w:left w:val="nil"/>
              <w:bottom w:val="single" w:sz="4" w:space="0" w:color="auto"/>
              <w:right w:val="single" w:sz="4" w:space="0" w:color="auto"/>
            </w:tcBorders>
            <w:shd w:val="clear" w:color="auto" w:fill="auto"/>
            <w:vAlign w:val="bottom"/>
            <w:hideMark/>
          </w:tcPr>
          <w:p w14:paraId="40062F31" w14:textId="77777777" w:rsidR="00656E19" w:rsidRPr="006839E4" w:rsidRDefault="00656E19" w:rsidP="00BC4EDD">
            <w:pPr>
              <w:jc w:val="right"/>
              <w:rPr>
                <w:rFonts w:ascii="Arial" w:hAnsi="Arial" w:cs="Arial"/>
                <w:sz w:val="20"/>
                <w:szCs w:val="20"/>
                <w:lang w:eastAsia="en-US"/>
              </w:rPr>
            </w:pPr>
            <w:r w:rsidRPr="006839E4">
              <w:rPr>
                <w:rFonts w:ascii="Arial" w:hAnsi="Arial" w:cs="Arial"/>
                <w:sz w:val="20"/>
                <w:szCs w:val="20"/>
                <w:lang w:eastAsia="en-US"/>
              </w:rPr>
              <w:t>1 week</w:t>
            </w:r>
            <w:r w:rsidR="00E76921" w:rsidRPr="006839E4">
              <w:rPr>
                <w:rFonts w:ascii="Arial" w:hAnsi="Arial" w:cs="Arial"/>
                <w:sz w:val="20"/>
                <w:szCs w:val="20"/>
                <w:lang w:eastAsia="en-US"/>
              </w:rPr>
              <w:t>,</w:t>
            </w:r>
            <w:r w:rsidRPr="006839E4">
              <w:rPr>
                <w:rFonts w:ascii="Arial" w:hAnsi="Arial" w:cs="Arial"/>
                <w:sz w:val="20"/>
                <w:szCs w:val="20"/>
                <w:lang w:eastAsia="en-US"/>
              </w:rPr>
              <w:t xml:space="preserve"> Jan17</w:t>
            </w:r>
          </w:p>
        </w:tc>
      </w:tr>
    </w:tbl>
    <w:p w14:paraId="54D99592" w14:textId="77777777" w:rsidR="00F36C9E" w:rsidRDefault="00245340" w:rsidP="00F36C9E">
      <w:pPr>
        <w:pStyle w:val="FootnoteText"/>
        <w:spacing w:before="0" w:after="0"/>
        <w:ind w:left="113" w:hanging="113"/>
        <w:rPr>
          <w:vertAlign w:val="superscript"/>
        </w:rPr>
      </w:pPr>
      <w:r>
        <w:t>*</w:t>
      </w:r>
      <w:r w:rsidR="00E76921">
        <w:t xml:space="preserve">Data </w:t>
      </w:r>
      <w:r>
        <w:t>from Laboratory B was presented in the form of a (prize winning) poster at</w:t>
      </w:r>
      <w:r w:rsidR="00C7565E">
        <w:t xml:space="preserve"> the</w:t>
      </w:r>
      <w:r>
        <w:t xml:space="preserve"> R</w:t>
      </w:r>
      <w:r w:rsidR="00C7565E">
        <w:t xml:space="preserve">oyal </w:t>
      </w:r>
      <w:r>
        <w:t>C</w:t>
      </w:r>
      <w:r w:rsidR="00C7565E">
        <w:t>ollege of Pathologists of Australasia (RC</w:t>
      </w:r>
      <w:r>
        <w:t>PA</w:t>
      </w:r>
      <w:r w:rsidR="00C7565E">
        <w:t>)</w:t>
      </w:r>
      <w:r>
        <w:t xml:space="preserve"> Pathology Update (</w:t>
      </w:r>
      <w:proofErr w:type="spellStart"/>
      <w:r>
        <w:t>Buzacott</w:t>
      </w:r>
      <w:proofErr w:type="spellEnd"/>
      <w:r>
        <w:t>, 2017)</w:t>
      </w:r>
      <w:r w:rsidR="001C09B5" w:rsidRPr="001C09B5">
        <w:rPr>
          <w:vertAlign w:val="superscript"/>
        </w:rPr>
        <w:t xml:space="preserve"> </w:t>
      </w:r>
      <w:r w:rsidR="00F10965">
        <w:rPr>
          <w:vertAlign w:val="superscript"/>
        </w:rPr>
        <w:t>ii</w:t>
      </w:r>
      <w:r w:rsidR="00F36C9E">
        <w:rPr>
          <w:vertAlign w:val="superscript"/>
        </w:rPr>
        <w:t xml:space="preserve"> </w:t>
      </w:r>
    </w:p>
    <w:p w14:paraId="3A4BEF96" w14:textId="77777777" w:rsidR="00F36C9E" w:rsidRPr="00F36C9E" w:rsidRDefault="00F36C9E" w:rsidP="00F36C9E">
      <w:pPr>
        <w:pStyle w:val="FootnoteText"/>
        <w:spacing w:before="0" w:after="0"/>
        <w:ind w:left="113" w:hanging="113"/>
        <w:rPr>
          <w:vertAlign w:val="superscript"/>
        </w:rPr>
      </w:pPr>
      <w:r>
        <w:rPr>
          <w:vertAlign w:val="superscript"/>
        </w:rPr>
        <w:t>#</w:t>
      </w:r>
      <w:r w:rsidRPr="00F36C9E">
        <w:t xml:space="preserve"> </w:t>
      </w:r>
      <w:r>
        <w:t>An Accession relates to all specimens received in a single patient episode (as part of a single request/referral)</w:t>
      </w:r>
    </w:p>
    <w:p w14:paraId="0E331667" w14:textId="77777777" w:rsidR="00B0793A" w:rsidRDefault="00B0793A">
      <w:pPr>
        <w:spacing w:line="276" w:lineRule="auto"/>
      </w:pPr>
    </w:p>
    <w:p w14:paraId="58EF16C7" w14:textId="77777777" w:rsidR="00D04EA5" w:rsidRDefault="002726EC">
      <w:pPr>
        <w:spacing w:line="276" w:lineRule="auto"/>
        <w:rPr>
          <w:lang w:val="en-US" w:eastAsia="en-US"/>
        </w:rPr>
      </w:pPr>
      <w:r>
        <w:t>The distribution</w:t>
      </w:r>
      <w:r w:rsidR="00D04EA5">
        <w:t xml:space="preserve"> (%)</w:t>
      </w:r>
      <w:r>
        <w:t xml:space="preserve"> of coned item codes from </w:t>
      </w:r>
      <w:r w:rsidR="00E76921">
        <w:t xml:space="preserve">three </w:t>
      </w:r>
      <w:r>
        <w:t xml:space="preserve">different laboratories compared </w:t>
      </w:r>
      <w:r w:rsidR="00E76921">
        <w:t xml:space="preserve">with </w:t>
      </w:r>
      <w:r>
        <w:t>the aggregate MBS data (201</w:t>
      </w:r>
      <w:r w:rsidR="00530C46">
        <w:t>4</w:t>
      </w:r>
      <w:r w:rsidR="00E76921">
        <w:t>–</w:t>
      </w:r>
      <w:r w:rsidR="00530C46">
        <w:t xml:space="preserve">15) is show </w:t>
      </w:r>
      <w:r w:rsidR="00530C46" w:rsidRPr="00B30875">
        <w:t xml:space="preserve">in </w:t>
      </w:r>
      <w:r w:rsidR="00530C46" w:rsidRPr="005D395D">
        <w:rPr>
          <w:i/>
        </w:rPr>
        <w:t xml:space="preserve">Figure </w:t>
      </w:r>
      <w:r w:rsidR="004D4B8D">
        <w:rPr>
          <w:i/>
        </w:rPr>
        <w:t>3</w:t>
      </w:r>
      <w:r w:rsidR="00530C46">
        <w:t xml:space="preserve"> below.</w:t>
      </w:r>
      <w:r w:rsidR="00E11BC0">
        <w:t xml:space="preserve"> </w:t>
      </w:r>
      <w:r w:rsidR="00530C46">
        <w:rPr>
          <w:lang w:val="en-US" w:eastAsia="en-US"/>
        </w:rPr>
        <w:t>Data collected over a week from the state</w:t>
      </w:r>
      <w:r w:rsidR="006529AB">
        <w:rPr>
          <w:lang w:val="en-US" w:eastAsia="en-US"/>
        </w:rPr>
        <w:t>-</w:t>
      </w:r>
      <w:r w:rsidR="00530C46">
        <w:rPr>
          <w:lang w:val="en-US" w:eastAsia="en-US"/>
        </w:rPr>
        <w:t>wide private laboratory (D) obviously most closely reflects the overall Medicare data.</w:t>
      </w:r>
    </w:p>
    <w:p w14:paraId="6749B452" w14:textId="77777777" w:rsidR="00576F75" w:rsidRPr="00BC4EDD" w:rsidRDefault="00253CBE" w:rsidP="00BC4EDD">
      <w:pPr>
        <w:pStyle w:val="Caption"/>
      </w:pPr>
      <w:bookmarkStart w:id="47" w:name="_Toc482213878"/>
      <w:r>
        <w:lastRenderedPageBreak/>
        <w:t xml:space="preserve">Figure </w:t>
      </w:r>
      <w:r w:rsidR="004D4B8D">
        <w:t>3</w:t>
      </w:r>
      <w:r>
        <w:t xml:space="preserve">. </w:t>
      </w:r>
      <w:r w:rsidRPr="005D40B3">
        <w:t>Comparison of distribution of histology billing: overall Medicare (%) compared with Labs A, C and D</w:t>
      </w:r>
      <w:r w:rsidR="003344DF">
        <w:t>.</w:t>
      </w:r>
      <w:r w:rsidR="003344DF" w:rsidRPr="003344DF">
        <w:rPr>
          <w:szCs w:val="20"/>
        </w:rPr>
        <w:t xml:space="preserve"> *</w:t>
      </w:r>
      <w:r w:rsidR="003344DF" w:rsidRPr="003344DF">
        <w:t xml:space="preserve"> </w:t>
      </w:r>
      <w:bookmarkEnd w:id="47"/>
    </w:p>
    <w:p w14:paraId="11979A70" w14:textId="77777777" w:rsidR="001E270E" w:rsidRDefault="00EA3676" w:rsidP="004F4A03">
      <w:pPr>
        <w:spacing w:line="276" w:lineRule="auto"/>
        <w:rPr>
          <w:b/>
          <w:i/>
          <w:sz w:val="24"/>
        </w:rPr>
      </w:pPr>
      <w:r>
        <w:rPr>
          <w:noProof/>
          <w:lang w:val="en-AU"/>
        </w:rPr>
        <w:drawing>
          <wp:inline distT="0" distB="0" distL="0" distR="0" wp14:anchorId="3C8A6C1F" wp14:editId="251448D2">
            <wp:extent cx="5419725" cy="4038600"/>
            <wp:effectExtent l="0" t="0" r="9525" b="19050"/>
            <wp:docPr id="1" name="Chart 1" descr="This is a bar chart showing the comparison of distribution of histology billing.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C7CB4" w14:textId="77777777" w:rsidR="003344DF" w:rsidRPr="003344DF" w:rsidRDefault="003344DF" w:rsidP="003344DF">
      <w:pPr>
        <w:spacing w:before="0"/>
        <w:rPr>
          <w:b/>
          <w:i/>
          <w:color w:val="4F6228" w:themeColor="accent3" w:themeShade="80"/>
          <w:sz w:val="20"/>
          <w:szCs w:val="20"/>
        </w:rPr>
      </w:pPr>
      <w:r w:rsidRPr="003344DF">
        <w:rPr>
          <w:sz w:val="20"/>
          <w:szCs w:val="20"/>
        </w:rPr>
        <w:t>* Incomplete data available from Lab B not included.</w:t>
      </w:r>
    </w:p>
    <w:p w14:paraId="7A18B9D6" w14:textId="77777777" w:rsidR="004F4A03" w:rsidRPr="003344DF" w:rsidRDefault="0026073A" w:rsidP="00BC4EDD">
      <w:pPr>
        <w:spacing w:before="360"/>
        <w:rPr>
          <w:b/>
          <w:i/>
          <w:color w:val="01653F"/>
          <w:sz w:val="24"/>
        </w:rPr>
      </w:pPr>
      <w:r w:rsidRPr="003344DF">
        <w:rPr>
          <w:b/>
          <w:i/>
          <w:color w:val="01653F"/>
          <w:sz w:val="24"/>
        </w:rPr>
        <w:t>Cytology Service</w:t>
      </w:r>
      <w:r w:rsidR="00BF501B" w:rsidRPr="003344DF">
        <w:rPr>
          <w:b/>
          <w:i/>
          <w:color w:val="01653F"/>
          <w:sz w:val="24"/>
        </w:rPr>
        <w:t xml:space="preserve"> Data</w:t>
      </w:r>
    </w:p>
    <w:p w14:paraId="219E4CA5" w14:textId="77777777" w:rsidR="001E270E" w:rsidRDefault="0026073A" w:rsidP="0026073A">
      <w:r>
        <w:t>Cytology</w:t>
      </w:r>
      <w:r w:rsidRPr="006529AB">
        <w:t xml:space="preserve"> item</w:t>
      </w:r>
      <w:r w:rsidR="000F1102">
        <w:t xml:space="preserve"> service</w:t>
      </w:r>
      <w:r w:rsidR="00715C81">
        <w:t xml:space="preserve"> data</w:t>
      </w:r>
      <w:r w:rsidRPr="006529AB">
        <w:t xml:space="preserve"> is shown in </w:t>
      </w:r>
      <w:r w:rsidRPr="00B30875">
        <w:rPr>
          <w:i/>
        </w:rPr>
        <w:t xml:space="preserve">Table </w:t>
      </w:r>
      <w:r w:rsidR="004D4B8D">
        <w:rPr>
          <w:i/>
        </w:rPr>
        <w:t>5</w:t>
      </w:r>
      <w:r w:rsidR="0099086A" w:rsidRPr="006529AB">
        <w:t xml:space="preserve"> </w:t>
      </w:r>
      <w:r w:rsidRPr="006529AB">
        <w:t xml:space="preserve">below and represented graphically in </w:t>
      </w:r>
      <w:r w:rsidRPr="00B30875">
        <w:rPr>
          <w:i/>
        </w:rPr>
        <w:t>Figure</w:t>
      </w:r>
      <w:r w:rsidR="004F4A03" w:rsidRPr="005D395D">
        <w:rPr>
          <w:i/>
        </w:rPr>
        <w:t xml:space="preserve"> </w:t>
      </w:r>
      <w:r w:rsidR="004D4B8D">
        <w:rPr>
          <w:i/>
        </w:rPr>
        <w:t>4</w:t>
      </w:r>
      <w:r w:rsidRPr="00BC4EDD">
        <w:rPr>
          <w:i/>
        </w:rPr>
        <w:t>.</w:t>
      </w:r>
      <w:r w:rsidR="00E11BC0">
        <w:t xml:space="preserve"> </w:t>
      </w:r>
      <w:r w:rsidR="001E270E">
        <w:t>The item numbers have been reordered to show logical relationships between items.</w:t>
      </w:r>
    </w:p>
    <w:p w14:paraId="50EF0778" w14:textId="77777777" w:rsidR="0099086A" w:rsidRPr="00D04EA5" w:rsidRDefault="00EC1E7C" w:rsidP="008E5C0F">
      <w:pPr>
        <w:pStyle w:val="Caption"/>
      </w:pPr>
      <w:bookmarkStart w:id="48" w:name="_Toc482213832"/>
      <w:r>
        <w:t xml:space="preserve">Table </w:t>
      </w:r>
      <w:r w:rsidR="00555C4C">
        <w:fldChar w:fldCharType="begin"/>
      </w:r>
      <w:r w:rsidR="00D84161">
        <w:instrText xml:space="preserve"> SEQ Table \* ARABIC </w:instrText>
      </w:r>
      <w:r w:rsidR="00555C4C">
        <w:fldChar w:fldCharType="separate"/>
      </w:r>
      <w:r w:rsidR="00FC06F1">
        <w:rPr>
          <w:noProof/>
        </w:rPr>
        <w:t>5</w:t>
      </w:r>
      <w:r w:rsidR="00555C4C">
        <w:rPr>
          <w:noProof/>
        </w:rPr>
        <w:fldChar w:fldCharType="end"/>
      </w:r>
      <w:r>
        <w:t xml:space="preserve">. </w:t>
      </w:r>
      <w:r w:rsidR="000F1102">
        <w:t xml:space="preserve">2014/15 </w:t>
      </w:r>
      <w:r w:rsidRPr="00286303">
        <w:t xml:space="preserve">MBS Cytology </w:t>
      </w:r>
      <w:bookmarkEnd w:id="48"/>
      <w:r w:rsidR="000F1102">
        <w:t>item service / benefit data</w:t>
      </w:r>
    </w:p>
    <w:tbl>
      <w:tblPr>
        <w:tblW w:w="9029" w:type="dxa"/>
        <w:tblInd w:w="93" w:type="dxa"/>
        <w:tblLook w:val="04A0" w:firstRow="1" w:lastRow="0" w:firstColumn="1" w:lastColumn="0" w:noHBand="0" w:noVBand="1"/>
      </w:tblPr>
      <w:tblGrid>
        <w:gridCol w:w="1007"/>
        <w:gridCol w:w="2836"/>
        <w:gridCol w:w="1134"/>
        <w:gridCol w:w="1559"/>
        <w:gridCol w:w="1276"/>
        <w:gridCol w:w="1217"/>
      </w:tblGrid>
      <w:tr w:rsidR="00576F75" w:rsidRPr="006839E4" w14:paraId="00FD3F8E" w14:textId="77777777" w:rsidTr="003344DF">
        <w:trPr>
          <w:trHeight w:val="735"/>
          <w:tblHeader/>
        </w:trPr>
        <w:tc>
          <w:tcPr>
            <w:tcW w:w="1007" w:type="dxa"/>
            <w:tcBorders>
              <w:top w:val="single" w:sz="8" w:space="0" w:color="auto"/>
              <w:left w:val="single" w:sz="8" w:space="0" w:color="auto"/>
              <w:bottom w:val="single" w:sz="4" w:space="0" w:color="auto"/>
              <w:right w:val="single" w:sz="4" w:space="0" w:color="auto"/>
            </w:tcBorders>
            <w:shd w:val="clear" w:color="auto" w:fill="EEECE1" w:themeFill="background2"/>
            <w:vAlign w:val="bottom"/>
            <w:hideMark/>
          </w:tcPr>
          <w:p w14:paraId="7CFE62E7"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Item</w:t>
            </w:r>
            <w:r w:rsidR="00576F75" w:rsidRPr="006839E4">
              <w:rPr>
                <w:rFonts w:ascii="Arial" w:hAnsi="Arial" w:cs="Arial"/>
                <w:b/>
                <w:bCs/>
                <w:sz w:val="20"/>
                <w:szCs w:val="20"/>
                <w:lang w:eastAsia="en-US"/>
              </w:rPr>
              <w:t xml:space="preserve"> number</w:t>
            </w:r>
          </w:p>
        </w:tc>
        <w:tc>
          <w:tcPr>
            <w:tcW w:w="2836" w:type="dxa"/>
            <w:tcBorders>
              <w:top w:val="single" w:sz="8" w:space="0" w:color="auto"/>
              <w:left w:val="nil"/>
              <w:bottom w:val="single" w:sz="4" w:space="0" w:color="auto"/>
              <w:right w:val="single" w:sz="4" w:space="0" w:color="auto"/>
            </w:tcBorders>
            <w:shd w:val="clear" w:color="auto" w:fill="EEECE1" w:themeFill="background2"/>
            <w:vAlign w:val="bottom"/>
            <w:hideMark/>
          </w:tcPr>
          <w:p w14:paraId="46252FBA"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Summary item descriptor</w:t>
            </w:r>
          </w:p>
        </w:tc>
        <w:tc>
          <w:tcPr>
            <w:tcW w:w="1134" w:type="dxa"/>
            <w:tcBorders>
              <w:top w:val="single" w:sz="8" w:space="0" w:color="auto"/>
              <w:left w:val="nil"/>
              <w:bottom w:val="single" w:sz="4" w:space="0" w:color="auto"/>
              <w:right w:val="single" w:sz="4" w:space="0" w:color="auto"/>
            </w:tcBorders>
            <w:shd w:val="clear" w:color="auto" w:fill="EEECE1" w:themeFill="background2"/>
            <w:vAlign w:val="bottom"/>
            <w:hideMark/>
          </w:tcPr>
          <w:p w14:paraId="1BA4DD7F"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MBS Fee</w:t>
            </w:r>
          </w:p>
        </w:tc>
        <w:tc>
          <w:tcPr>
            <w:tcW w:w="1559" w:type="dxa"/>
            <w:tcBorders>
              <w:top w:val="single" w:sz="8" w:space="0" w:color="auto"/>
              <w:left w:val="nil"/>
              <w:bottom w:val="single" w:sz="4" w:space="0" w:color="auto"/>
              <w:right w:val="single" w:sz="4" w:space="0" w:color="auto"/>
            </w:tcBorders>
            <w:shd w:val="clear" w:color="auto" w:fill="EEECE1" w:themeFill="background2"/>
            <w:vAlign w:val="bottom"/>
            <w:hideMark/>
          </w:tcPr>
          <w:p w14:paraId="1ED20C55"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 xml:space="preserve">Total </w:t>
            </w:r>
            <w:r w:rsidR="00576F75" w:rsidRPr="006839E4">
              <w:rPr>
                <w:rFonts w:ascii="Arial" w:hAnsi="Arial" w:cs="Arial"/>
                <w:b/>
                <w:bCs/>
                <w:sz w:val="20"/>
                <w:szCs w:val="20"/>
                <w:lang w:eastAsia="en-US"/>
              </w:rPr>
              <w:t xml:space="preserve">benefits </w:t>
            </w:r>
            <w:r w:rsidRPr="006839E4">
              <w:rPr>
                <w:rFonts w:ascii="Arial" w:hAnsi="Arial" w:cs="Arial"/>
                <w:b/>
                <w:bCs/>
                <w:sz w:val="20"/>
                <w:szCs w:val="20"/>
                <w:lang w:eastAsia="en-US"/>
              </w:rPr>
              <w:t>paid 2014</w:t>
            </w:r>
            <w:r w:rsidR="00576F75" w:rsidRPr="006839E4">
              <w:rPr>
                <w:rFonts w:ascii="Arial" w:hAnsi="Arial" w:cs="Arial"/>
                <w:b/>
                <w:bCs/>
                <w:sz w:val="20"/>
                <w:szCs w:val="20"/>
                <w:lang w:eastAsia="en-US"/>
              </w:rPr>
              <w:t>–</w:t>
            </w:r>
            <w:r w:rsidRPr="006839E4">
              <w:rPr>
                <w:rFonts w:ascii="Arial" w:hAnsi="Arial" w:cs="Arial"/>
                <w:b/>
                <w:bCs/>
                <w:sz w:val="20"/>
                <w:szCs w:val="20"/>
                <w:lang w:eastAsia="en-US"/>
              </w:rPr>
              <w:t>15</w:t>
            </w:r>
          </w:p>
        </w:tc>
        <w:tc>
          <w:tcPr>
            <w:tcW w:w="1276" w:type="dxa"/>
            <w:tcBorders>
              <w:top w:val="single" w:sz="8" w:space="0" w:color="auto"/>
              <w:left w:val="nil"/>
              <w:bottom w:val="single" w:sz="4" w:space="0" w:color="auto"/>
              <w:right w:val="single" w:sz="4" w:space="0" w:color="auto"/>
            </w:tcBorders>
            <w:shd w:val="clear" w:color="auto" w:fill="EEECE1" w:themeFill="background2"/>
            <w:vAlign w:val="bottom"/>
            <w:hideMark/>
          </w:tcPr>
          <w:p w14:paraId="7B2FDF62"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Number of services</w:t>
            </w:r>
            <w:r w:rsidR="00E11BC0" w:rsidRPr="006839E4">
              <w:rPr>
                <w:rFonts w:ascii="Arial" w:hAnsi="Arial" w:cs="Arial"/>
                <w:b/>
                <w:bCs/>
                <w:sz w:val="20"/>
                <w:szCs w:val="20"/>
                <w:lang w:eastAsia="en-US"/>
              </w:rPr>
              <w:t xml:space="preserve"> </w:t>
            </w:r>
            <w:r w:rsidRPr="006839E4">
              <w:rPr>
                <w:rFonts w:ascii="Arial" w:hAnsi="Arial" w:cs="Arial"/>
                <w:b/>
                <w:bCs/>
                <w:sz w:val="20"/>
                <w:szCs w:val="20"/>
                <w:lang w:eastAsia="en-US"/>
              </w:rPr>
              <w:t>2014</w:t>
            </w:r>
            <w:r w:rsidR="00576F75" w:rsidRPr="006839E4">
              <w:rPr>
                <w:rFonts w:ascii="Arial" w:hAnsi="Arial" w:cs="Arial"/>
                <w:b/>
                <w:bCs/>
                <w:sz w:val="20"/>
                <w:szCs w:val="20"/>
                <w:lang w:eastAsia="en-US"/>
              </w:rPr>
              <w:t>–</w:t>
            </w:r>
            <w:r w:rsidRPr="006839E4">
              <w:rPr>
                <w:rFonts w:ascii="Arial" w:hAnsi="Arial" w:cs="Arial"/>
                <w:b/>
                <w:bCs/>
                <w:sz w:val="20"/>
                <w:szCs w:val="20"/>
                <w:lang w:eastAsia="en-US"/>
              </w:rPr>
              <w:t>15</w:t>
            </w:r>
          </w:p>
        </w:tc>
        <w:tc>
          <w:tcPr>
            <w:tcW w:w="1217" w:type="dxa"/>
            <w:tcBorders>
              <w:top w:val="single" w:sz="8" w:space="0" w:color="auto"/>
              <w:left w:val="nil"/>
              <w:bottom w:val="single" w:sz="4" w:space="0" w:color="auto"/>
              <w:right w:val="single" w:sz="8" w:space="0" w:color="auto"/>
            </w:tcBorders>
            <w:shd w:val="clear" w:color="auto" w:fill="EEECE1" w:themeFill="background2"/>
            <w:vAlign w:val="bottom"/>
            <w:hideMark/>
          </w:tcPr>
          <w:p w14:paraId="7699AFE1" w14:textId="77777777" w:rsidR="0026073A" w:rsidRPr="006839E4" w:rsidRDefault="0026073A" w:rsidP="00BC4EDD">
            <w:pPr>
              <w:rPr>
                <w:rFonts w:ascii="Arial" w:hAnsi="Arial" w:cs="Arial"/>
                <w:b/>
                <w:bCs/>
                <w:sz w:val="20"/>
                <w:szCs w:val="20"/>
                <w:lang w:eastAsia="en-US"/>
              </w:rPr>
            </w:pPr>
            <w:r w:rsidRPr="006839E4">
              <w:rPr>
                <w:rFonts w:ascii="Arial" w:hAnsi="Arial" w:cs="Arial"/>
                <w:b/>
                <w:bCs/>
                <w:sz w:val="20"/>
                <w:szCs w:val="20"/>
                <w:lang w:eastAsia="en-US"/>
              </w:rPr>
              <w:t>Specialist</w:t>
            </w:r>
            <w:r w:rsidR="00576F75" w:rsidRPr="006839E4">
              <w:rPr>
                <w:rFonts w:ascii="Arial" w:hAnsi="Arial" w:cs="Arial"/>
                <w:b/>
                <w:bCs/>
                <w:sz w:val="20"/>
                <w:szCs w:val="20"/>
                <w:lang w:eastAsia="en-US"/>
              </w:rPr>
              <w:t>-r</w:t>
            </w:r>
            <w:r w:rsidRPr="006839E4">
              <w:rPr>
                <w:rFonts w:ascii="Arial" w:hAnsi="Arial" w:cs="Arial"/>
                <w:b/>
                <w:bCs/>
                <w:sz w:val="20"/>
                <w:szCs w:val="20"/>
                <w:lang w:eastAsia="en-US"/>
              </w:rPr>
              <w:t>equested</w:t>
            </w:r>
          </w:p>
        </w:tc>
      </w:tr>
      <w:tr w:rsidR="00576F75" w:rsidRPr="006839E4" w14:paraId="4F351142" w14:textId="77777777" w:rsidTr="003344DF">
        <w:trPr>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0E7BE4F5"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73053</w:t>
            </w:r>
          </w:p>
        </w:tc>
        <w:tc>
          <w:tcPr>
            <w:tcW w:w="2836" w:type="dxa"/>
            <w:tcBorders>
              <w:top w:val="nil"/>
              <w:left w:val="nil"/>
              <w:bottom w:val="nil"/>
              <w:right w:val="single" w:sz="4" w:space="0" w:color="auto"/>
            </w:tcBorders>
            <w:shd w:val="clear" w:color="auto" w:fill="auto"/>
            <w:noWrap/>
            <w:vAlign w:val="bottom"/>
            <w:hideMark/>
          </w:tcPr>
          <w:p w14:paraId="420B5196"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 xml:space="preserve">Cervical </w:t>
            </w:r>
            <w:r w:rsidR="000F2A04" w:rsidRPr="006839E4">
              <w:rPr>
                <w:rFonts w:ascii="Arial" w:hAnsi="Arial" w:cs="Arial"/>
                <w:sz w:val="20"/>
                <w:szCs w:val="20"/>
                <w:lang w:eastAsia="en-US"/>
              </w:rPr>
              <w:t>Pap</w:t>
            </w:r>
          </w:p>
        </w:tc>
        <w:tc>
          <w:tcPr>
            <w:tcW w:w="1134" w:type="dxa"/>
            <w:tcBorders>
              <w:top w:val="nil"/>
              <w:left w:val="nil"/>
              <w:bottom w:val="nil"/>
              <w:right w:val="single" w:sz="4" w:space="0" w:color="auto"/>
            </w:tcBorders>
            <w:shd w:val="clear" w:color="auto" w:fill="auto"/>
            <w:noWrap/>
            <w:vAlign w:val="bottom"/>
            <w:hideMark/>
          </w:tcPr>
          <w:p w14:paraId="4745D0E1"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19.45</w:t>
            </w:r>
          </w:p>
        </w:tc>
        <w:tc>
          <w:tcPr>
            <w:tcW w:w="1559" w:type="dxa"/>
            <w:tcBorders>
              <w:top w:val="nil"/>
              <w:left w:val="nil"/>
              <w:bottom w:val="nil"/>
              <w:right w:val="single" w:sz="4" w:space="0" w:color="auto"/>
            </w:tcBorders>
            <w:shd w:val="clear" w:color="auto" w:fill="auto"/>
            <w:noWrap/>
            <w:vAlign w:val="bottom"/>
            <w:hideMark/>
          </w:tcPr>
          <w:p w14:paraId="5C6B20C0"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$25</w:t>
            </w:r>
            <w:r w:rsidR="00576F75" w:rsidRPr="006839E4">
              <w:rPr>
                <w:rFonts w:ascii="Arial" w:hAnsi="Arial" w:cs="Arial"/>
                <w:sz w:val="20"/>
                <w:szCs w:val="20"/>
                <w:lang w:eastAsia="en-US"/>
              </w:rPr>
              <w:t xml:space="preserve"> </w:t>
            </w:r>
            <w:r w:rsidRPr="006839E4">
              <w:rPr>
                <w:rFonts w:ascii="Arial" w:hAnsi="Arial" w:cs="Arial"/>
                <w:sz w:val="20"/>
                <w:szCs w:val="20"/>
                <w:lang w:eastAsia="en-US"/>
              </w:rPr>
              <w:t>708</w:t>
            </w:r>
            <w:r w:rsidR="00576F75" w:rsidRPr="006839E4">
              <w:rPr>
                <w:rFonts w:ascii="Arial" w:hAnsi="Arial" w:cs="Arial"/>
                <w:sz w:val="20"/>
                <w:szCs w:val="20"/>
                <w:lang w:eastAsia="en-US"/>
              </w:rPr>
              <w:t xml:space="preserve"> </w:t>
            </w:r>
            <w:r w:rsidRPr="006839E4">
              <w:rPr>
                <w:rFonts w:ascii="Arial" w:hAnsi="Arial" w:cs="Arial"/>
                <w:sz w:val="20"/>
                <w:szCs w:val="20"/>
                <w:lang w:eastAsia="en-US"/>
              </w:rPr>
              <w:t>900</w:t>
            </w:r>
          </w:p>
        </w:tc>
        <w:tc>
          <w:tcPr>
            <w:tcW w:w="1276" w:type="dxa"/>
            <w:tcBorders>
              <w:top w:val="nil"/>
              <w:left w:val="nil"/>
              <w:bottom w:val="nil"/>
              <w:right w:val="single" w:sz="4" w:space="0" w:color="auto"/>
            </w:tcBorders>
            <w:shd w:val="clear" w:color="auto" w:fill="auto"/>
            <w:noWrap/>
            <w:vAlign w:val="bottom"/>
            <w:hideMark/>
          </w:tcPr>
          <w:p w14:paraId="14D45DDD"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1</w:t>
            </w:r>
            <w:r w:rsidR="00576F75" w:rsidRPr="006839E4">
              <w:rPr>
                <w:rFonts w:ascii="Arial" w:hAnsi="Arial" w:cs="Arial"/>
                <w:sz w:val="20"/>
                <w:szCs w:val="20"/>
                <w:lang w:eastAsia="en-US"/>
              </w:rPr>
              <w:t xml:space="preserve"> </w:t>
            </w:r>
            <w:r w:rsidRPr="006839E4">
              <w:rPr>
                <w:rFonts w:ascii="Arial" w:hAnsi="Arial" w:cs="Arial"/>
                <w:sz w:val="20"/>
                <w:szCs w:val="20"/>
                <w:lang w:eastAsia="en-US"/>
              </w:rPr>
              <w:t>547</w:t>
            </w:r>
            <w:r w:rsidR="00576F75" w:rsidRPr="006839E4">
              <w:rPr>
                <w:rFonts w:ascii="Arial" w:hAnsi="Arial" w:cs="Arial"/>
                <w:sz w:val="20"/>
                <w:szCs w:val="20"/>
                <w:lang w:eastAsia="en-US"/>
              </w:rPr>
              <w:t xml:space="preserve"> </w:t>
            </w:r>
            <w:r w:rsidRPr="006839E4">
              <w:rPr>
                <w:rFonts w:ascii="Arial" w:hAnsi="Arial" w:cs="Arial"/>
                <w:sz w:val="20"/>
                <w:szCs w:val="20"/>
                <w:lang w:eastAsia="en-US"/>
              </w:rPr>
              <w:t>997</w:t>
            </w:r>
          </w:p>
        </w:tc>
        <w:tc>
          <w:tcPr>
            <w:tcW w:w="1217" w:type="dxa"/>
            <w:tcBorders>
              <w:top w:val="nil"/>
              <w:left w:val="nil"/>
              <w:bottom w:val="nil"/>
              <w:right w:val="single" w:sz="8" w:space="0" w:color="auto"/>
            </w:tcBorders>
            <w:shd w:val="clear" w:color="auto" w:fill="auto"/>
            <w:noWrap/>
            <w:vAlign w:val="bottom"/>
            <w:hideMark/>
          </w:tcPr>
          <w:p w14:paraId="3221A148"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8.6%</w:t>
            </w:r>
          </w:p>
        </w:tc>
      </w:tr>
      <w:tr w:rsidR="00576F75" w:rsidRPr="006839E4" w14:paraId="021EB98D" w14:textId="77777777" w:rsidTr="003344DF">
        <w:trPr>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41E40378"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73055</w:t>
            </w:r>
          </w:p>
        </w:tc>
        <w:tc>
          <w:tcPr>
            <w:tcW w:w="2836" w:type="dxa"/>
            <w:tcBorders>
              <w:top w:val="nil"/>
              <w:left w:val="nil"/>
              <w:bottom w:val="nil"/>
              <w:right w:val="single" w:sz="4" w:space="0" w:color="auto"/>
            </w:tcBorders>
            <w:shd w:val="clear" w:color="auto" w:fill="auto"/>
            <w:noWrap/>
            <w:vAlign w:val="bottom"/>
            <w:hideMark/>
          </w:tcPr>
          <w:p w14:paraId="6365DB0C"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 xml:space="preserve">Cervical </w:t>
            </w:r>
            <w:r w:rsidR="000F2A04" w:rsidRPr="006839E4">
              <w:rPr>
                <w:rFonts w:ascii="Arial" w:hAnsi="Arial" w:cs="Arial"/>
                <w:sz w:val="20"/>
                <w:szCs w:val="20"/>
                <w:lang w:eastAsia="en-US"/>
              </w:rPr>
              <w:t>Pap</w:t>
            </w:r>
            <w:r w:rsidRPr="006839E4">
              <w:rPr>
                <w:rFonts w:ascii="Arial" w:hAnsi="Arial" w:cs="Arial"/>
                <w:sz w:val="20"/>
                <w:szCs w:val="20"/>
                <w:lang w:eastAsia="en-US"/>
              </w:rPr>
              <w:t xml:space="preserve"> </w:t>
            </w:r>
            <w:r w:rsidR="002E44A4" w:rsidRPr="006839E4">
              <w:rPr>
                <w:rFonts w:ascii="Arial" w:hAnsi="Arial" w:cs="Arial"/>
                <w:sz w:val="20"/>
                <w:szCs w:val="20"/>
                <w:lang w:eastAsia="en-US"/>
              </w:rPr>
              <w:t xml:space="preserve">- </w:t>
            </w:r>
            <w:r w:rsidR="00C7565E" w:rsidRPr="006839E4">
              <w:rPr>
                <w:rFonts w:ascii="Arial" w:hAnsi="Arial" w:cs="Arial"/>
                <w:sz w:val="20"/>
                <w:szCs w:val="20"/>
                <w:lang w:eastAsia="en-US"/>
              </w:rPr>
              <w:t>history</w:t>
            </w:r>
            <w:r w:rsidRPr="006839E4">
              <w:rPr>
                <w:rFonts w:ascii="Arial" w:hAnsi="Arial" w:cs="Arial"/>
                <w:sz w:val="20"/>
                <w:szCs w:val="20"/>
                <w:lang w:eastAsia="en-US"/>
              </w:rPr>
              <w:t xml:space="preserve"> or symptoms</w:t>
            </w:r>
          </w:p>
        </w:tc>
        <w:tc>
          <w:tcPr>
            <w:tcW w:w="1134" w:type="dxa"/>
            <w:tcBorders>
              <w:top w:val="nil"/>
              <w:left w:val="nil"/>
              <w:bottom w:val="nil"/>
              <w:right w:val="single" w:sz="4" w:space="0" w:color="auto"/>
            </w:tcBorders>
            <w:shd w:val="clear" w:color="auto" w:fill="auto"/>
            <w:noWrap/>
            <w:vAlign w:val="bottom"/>
            <w:hideMark/>
          </w:tcPr>
          <w:p w14:paraId="55914E00"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19.45</w:t>
            </w:r>
          </w:p>
        </w:tc>
        <w:tc>
          <w:tcPr>
            <w:tcW w:w="1559" w:type="dxa"/>
            <w:tcBorders>
              <w:top w:val="nil"/>
              <w:left w:val="nil"/>
              <w:bottom w:val="nil"/>
              <w:right w:val="single" w:sz="4" w:space="0" w:color="auto"/>
            </w:tcBorders>
            <w:shd w:val="clear" w:color="auto" w:fill="auto"/>
            <w:noWrap/>
            <w:vAlign w:val="bottom"/>
            <w:hideMark/>
          </w:tcPr>
          <w:p w14:paraId="426A2C6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$3</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644</w:t>
            </w:r>
            <w:r w:rsidR="00576F75" w:rsidRPr="006839E4">
              <w:rPr>
                <w:rFonts w:ascii="Arial" w:hAnsi="Arial" w:cs="Arial"/>
                <w:sz w:val="20"/>
                <w:szCs w:val="20"/>
                <w:lang w:eastAsia="en-US"/>
              </w:rPr>
              <w:t xml:space="preserve"> </w:t>
            </w:r>
            <w:r w:rsidRPr="006839E4">
              <w:rPr>
                <w:rFonts w:ascii="Arial" w:hAnsi="Arial" w:cs="Arial"/>
                <w:sz w:val="20"/>
                <w:szCs w:val="20"/>
                <w:lang w:eastAsia="en-US"/>
              </w:rPr>
              <w:t>749</w:t>
            </w:r>
          </w:p>
        </w:tc>
        <w:tc>
          <w:tcPr>
            <w:tcW w:w="1276" w:type="dxa"/>
            <w:tcBorders>
              <w:top w:val="nil"/>
              <w:left w:val="nil"/>
              <w:bottom w:val="nil"/>
              <w:right w:val="single" w:sz="4" w:space="0" w:color="auto"/>
            </w:tcBorders>
            <w:shd w:val="clear" w:color="auto" w:fill="auto"/>
            <w:noWrap/>
            <w:vAlign w:val="bottom"/>
            <w:hideMark/>
          </w:tcPr>
          <w:p w14:paraId="7E35E2B9"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219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364</w:t>
            </w:r>
          </w:p>
        </w:tc>
        <w:tc>
          <w:tcPr>
            <w:tcW w:w="1217" w:type="dxa"/>
            <w:tcBorders>
              <w:top w:val="nil"/>
              <w:left w:val="nil"/>
              <w:bottom w:val="nil"/>
              <w:right w:val="single" w:sz="8" w:space="0" w:color="auto"/>
            </w:tcBorders>
            <w:shd w:val="clear" w:color="auto" w:fill="auto"/>
            <w:noWrap/>
            <w:vAlign w:val="bottom"/>
            <w:hideMark/>
          </w:tcPr>
          <w:p w14:paraId="7447D0B6"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26.1%</w:t>
            </w:r>
          </w:p>
        </w:tc>
      </w:tr>
      <w:tr w:rsidR="00576F75" w:rsidRPr="006839E4" w14:paraId="32B26B56" w14:textId="77777777" w:rsidTr="003344DF">
        <w:trPr>
          <w:trHeight w:val="300"/>
        </w:trPr>
        <w:tc>
          <w:tcPr>
            <w:tcW w:w="1007" w:type="dxa"/>
            <w:tcBorders>
              <w:top w:val="nil"/>
              <w:left w:val="single" w:sz="8" w:space="0" w:color="auto"/>
              <w:bottom w:val="single" w:sz="4" w:space="0" w:color="auto"/>
              <w:right w:val="single" w:sz="4" w:space="0" w:color="auto"/>
            </w:tcBorders>
            <w:shd w:val="clear" w:color="auto" w:fill="auto"/>
            <w:noWrap/>
            <w:vAlign w:val="bottom"/>
            <w:hideMark/>
          </w:tcPr>
          <w:p w14:paraId="6FC10B32"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73057</w:t>
            </w:r>
          </w:p>
        </w:tc>
        <w:tc>
          <w:tcPr>
            <w:tcW w:w="2836" w:type="dxa"/>
            <w:tcBorders>
              <w:top w:val="nil"/>
              <w:left w:val="nil"/>
              <w:bottom w:val="single" w:sz="4" w:space="0" w:color="auto"/>
              <w:right w:val="single" w:sz="4" w:space="0" w:color="auto"/>
            </w:tcBorders>
            <w:shd w:val="clear" w:color="auto" w:fill="auto"/>
            <w:noWrap/>
            <w:vAlign w:val="bottom"/>
            <w:hideMark/>
          </w:tcPr>
          <w:p w14:paraId="5BD7671D"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 xml:space="preserve">Vaginal </w:t>
            </w:r>
            <w:r w:rsidR="000F2A04" w:rsidRPr="006839E4">
              <w:rPr>
                <w:rFonts w:ascii="Arial" w:hAnsi="Arial" w:cs="Arial"/>
                <w:sz w:val="20"/>
                <w:szCs w:val="20"/>
                <w:lang w:eastAsia="en-US"/>
              </w:rPr>
              <w:t>Pap</w:t>
            </w:r>
          </w:p>
        </w:tc>
        <w:tc>
          <w:tcPr>
            <w:tcW w:w="1134" w:type="dxa"/>
            <w:tcBorders>
              <w:top w:val="nil"/>
              <w:left w:val="nil"/>
              <w:bottom w:val="single" w:sz="4" w:space="0" w:color="auto"/>
              <w:right w:val="single" w:sz="4" w:space="0" w:color="auto"/>
            </w:tcBorders>
            <w:shd w:val="clear" w:color="auto" w:fill="auto"/>
            <w:noWrap/>
            <w:vAlign w:val="bottom"/>
            <w:hideMark/>
          </w:tcPr>
          <w:p w14:paraId="719BAE4E"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19.45</w:t>
            </w:r>
          </w:p>
        </w:tc>
        <w:tc>
          <w:tcPr>
            <w:tcW w:w="1559" w:type="dxa"/>
            <w:tcBorders>
              <w:top w:val="nil"/>
              <w:left w:val="nil"/>
              <w:bottom w:val="single" w:sz="4" w:space="0" w:color="auto"/>
              <w:right w:val="single" w:sz="4" w:space="0" w:color="auto"/>
            </w:tcBorders>
            <w:shd w:val="clear" w:color="auto" w:fill="auto"/>
            <w:noWrap/>
            <w:vAlign w:val="bottom"/>
            <w:hideMark/>
          </w:tcPr>
          <w:p w14:paraId="7C7AE051"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$499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321</w:t>
            </w:r>
          </w:p>
        </w:tc>
        <w:tc>
          <w:tcPr>
            <w:tcW w:w="1276" w:type="dxa"/>
            <w:tcBorders>
              <w:top w:val="nil"/>
              <w:left w:val="nil"/>
              <w:bottom w:val="single" w:sz="4" w:space="0" w:color="auto"/>
              <w:right w:val="single" w:sz="4" w:space="0" w:color="auto"/>
            </w:tcBorders>
            <w:shd w:val="clear" w:color="auto" w:fill="auto"/>
            <w:noWrap/>
            <w:vAlign w:val="bottom"/>
            <w:hideMark/>
          </w:tcPr>
          <w:p w14:paraId="10FC788B"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916</w:t>
            </w:r>
          </w:p>
        </w:tc>
        <w:tc>
          <w:tcPr>
            <w:tcW w:w="1217" w:type="dxa"/>
            <w:tcBorders>
              <w:top w:val="nil"/>
              <w:left w:val="nil"/>
              <w:bottom w:val="single" w:sz="4" w:space="0" w:color="auto"/>
              <w:right w:val="single" w:sz="8" w:space="0" w:color="auto"/>
            </w:tcBorders>
            <w:shd w:val="clear" w:color="auto" w:fill="auto"/>
            <w:noWrap/>
            <w:vAlign w:val="bottom"/>
            <w:hideMark/>
          </w:tcPr>
          <w:p w14:paraId="40A91C60"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32.2%</w:t>
            </w:r>
          </w:p>
        </w:tc>
      </w:tr>
      <w:tr w:rsidR="00576F75" w:rsidRPr="006839E4" w14:paraId="730C0FF9" w14:textId="77777777" w:rsidTr="003344DF">
        <w:trPr>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01CCA1A1"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73043</w:t>
            </w:r>
          </w:p>
        </w:tc>
        <w:tc>
          <w:tcPr>
            <w:tcW w:w="2836" w:type="dxa"/>
            <w:tcBorders>
              <w:top w:val="nil"/>
              <w:left w:val="nil"/>
              <w:bottom w:val="nil"/>
              <w:right w:val="single" w:sz="4" w:space="0" w:color="auto"/>
            </w:tcBorders>
            <w:shd w:val="clear" w:color="auto" w:fill="auto"/>
            <w:noWrap/>
            <w:vAlign w:val="bottom"/>
            <w:hideMark/>
          </w:tcPr>
          <w:p w14:paraId="226159BC"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Mucosal smears, 1+ sites</w:t>
            </w:r>
          </w:p>
        </w:tc>
        <w:tc>
          <w:tcPr>
            <w:tcW w:w="1134" w:type="dxa"/>
            <w:tcBorders>
              <w:top w:val="nil"/>
              <w:left w:val="nil"/>
              <w:bottom w:val="nil"/>
              <w:right w:val="single" w:sz="4" w:space="0" w:color="auto"/>
            </w:tcBorders>
            <w:shd w:val="clear" w:color="auto" w:fill="auto"/>
            <w:noWrap/>
            <w:vAlign w:val="bottom"/>
            <w:hideMark/>
          </w:tcPr>
          <w:p w14:paraId="0BBC3647"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22.85</w:t>
            </w:r>
          </w:p>
        </w:tc>
        <w:tc>
          <w:tcPr>
            <w:tcW w:w="1559" w:type="dxa"/>
            <w:tcBorders>
              <w:top w:val="nil"/>
              <w:left w:val="nil"/>
              <w:bottom w:val="nil"/>
              <w:right w:val="single" w:sz="4" w:space="0" w:color="auto"/>
            </w:tcBorders>
            <w:shd w:val="clear" w:color="auto" w:fill="auto"/>
            <w:noWrap/>
            <w:vAlign w:val="bottom"/>
            <w:hideMark/>
          </w:tcPr>
          <w:p w14:paraId="4E7AF60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$44</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691</w:t>
            </w:r>
          </w:p>
        </w:tc>
        <w:tc>
          <w:tcPr>
            <w:tcW w:w="1276" w:type="dxa"/>
            <w:tcBorders>
              <w:top w:val="nil"/>
              <w:left w:val="nil"/>
              <w:bottom w:val="nil"/>
              <w:right w:val="single" w:sz="4" w:space="0" w:color="auto"/>
            </w:tcBorders>
            <w:shd w:val="clear" w:color="auto" w:fill="auto"/>
            <w:noWrap/>
            <w:vAlign w:val="bottom"/>
            <w:hideMark/>
          </w:tcPr>
          <w:p w14:paraId="5E3CE872"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272</w:t>
            </w:r>
          </w:p>
        </w:tc>
        <w:tc>
          <w:tcPr>
            <w:tcW w:w="1217" w:type="dxa"/>
            <w:tcBorders>
              <w:top w:val="nil"/>
              <w:left w:val="nil"/>
              <w:bottom w:val="nil"/>
              <w:right w:val="single" w:sz="8" w:space="0" w:color="auto"/>
            </w:tcBorders>
            <w:shd w:val="clear" w:color="auto" w:fill="auto"/>
            <w:noWrap/>
            <w:vAlign w:val="bottom"/>
            <w:hideMark/>
          </w:tcPr>
          <w:p w14:paraId="61AE33F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38.3%</w:t>
            </w:r>
          </w:p>
        </w:tc>
      </w:tr>
      <w:tr w:rsidR="00576F75" w:rsidRPr="006839E4" w14:paraId="768889FE" w14:textId="77777777" w:rsidTr="003344DF">
        <w:trPr>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30CDB8B9"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73045</w:t>
            </w:r>
          </w:p>
        </w:tc>
        <w:tc>
          <w:tcPr>
            <w:tcW w:w="2836" w:type="dxa"/>
            <w:tcBorders>
              <w:top w:val="nil"/>
              <w:left w:val="nil"/>
              <w:bottom w:val="nil"/>
              <w:right w:val="single" w:sz="4" w:space="0" w:color="auto"/>
            </w:tcBorders>
            <w:shd w:val="clear" w:color="auto" w:fill="auto"/>
            <w:noWrap/>
            <w:vAlign w:val="bottom"/>
            <w:hideMark/>
          </w:tcPr>
          <w:p w14:paraId="5F344F05"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Washing, brushing or fluid, 1+ sites</w:t>
            </w:r>
          </w:p>
        </w:tc>
        <w:tc>
          <w:tcPr>
            <w:tcW w:w="1134" w:type="dxa"/>
            <w:tcBorders>
              <w:top w:val="nil"/>
              <w:left w:val="nil"/>
              <w:bottom w:val="nil"/>
              <w:right w:val="single" w:sz="4" w:space="0" w:color="auto"/>
            </w:tcBorders>
            <w:shd w:val="clear" w:color="auto" w:fill="auto"/>
            <w:noWrap/>
            <w:vAlign w:val="bottom"/>
            <w:hideMark/>
          </w:tcPr>
          <w:p w14:paraId="74C86D65"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48.60</w:t>
            </w:r>
          </w:p>
        </w:tc>
        <w:tc>
          <w:tcPr>
            <w:tcW w:w="1559" w:type="dxa"/>
            <w:tcBorders>
              <w:top w:val="nil"/>
              <w:left w:val="nil"/>
              <w:bottom w:val="nil"/>
              <w:right w:val="single" w:sz="4" w:space="0" w:color="auto"/>
            </w:tcBorders>
            <w:shd w:val="clear" w:color="auto" w:fill="auto"/>
            <w:noWrap/>
            <w:vAlign w:val="bottom"/>
            <w:hideMark/>
          </w:tcPr>
          <w:p w14:paraId="4819C230"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w:t>
            </w:r>
            <w:r w:rsidR="00576F75" w:rsidRPr="006839E4">
              <w:rPr>
                <w:rFonts w:ascii="Arial" w:hAnsi="Arial" w:cs="Arial"/>
                <w:sz w:val="20"/>
                <w:szCs w:val="20"/>
                <w:lang w:eastAsia="en-US"/>
              </w:rPr>
              <w:t xml:space="preserve"> </w:t>
            </w:r>
            <w:r w:rsidRPr="006839E4">
              <w:rPr>
                <w:rFonts w:ascii="Arial" w:hAnsi="Arial" w:cs="Arial"/>
                <w:sz w:val="20"/>
                <w:szCs w:val="20"/>
                <w:lang w:eastAsia="en-US"/>
              </w:rPr>
              <w:t>349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616</w:t>
            </w:r>
          </w:p>
        </w:tc>
        <w:tc>
          <w:tcPr>
            <w:tcW w:w="1276" w:type="dxa"/>
            <w:tcBorders>
              <w:top w:val="nil"/>
              <w:left w:val="nil"/>
              <w:bottom w:val="nil"/>
              <w:right w:val="single" w:sz="4" w:space="0" w:color="auto"/>
            </w:tcBorders>
            <w:shd w:val="clear" w:color="auto" w:fill="auto"/>
            <w:noWrap/>
            <w:vAlign w:val="bottom"/>
            <w:hideMark/>
          </w:tcPr>
          <w:p w14:paraId="1F3B871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108</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241</w:t>
            </w:r>
          </w:p>
        </w:tc>
        <w:tc>
          <w:tcPr>
            <w:tcW w:w="1217" w:type="dxa"/>
            <w:tcBorders>
              <w:top w:val="nil"/>
              <w:left w:val="nil"/>
              <w:bottom w:val="nil"/>
              <w:right w:val="single" w:sz="8" w:space="0" w:color="auto"/>
            </w:tcBorders>
            <w:shd w:val="clear" w:color="auto" w:fill="auto"/>
            <w:noWrap/>
            <w:vAlign w:val="bottom"/>
            <w:hideMark/>
          </w:tcPr>
          <w:p w14:paraId="49B9C35C"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54.8%</w:t>
            </w:r>
          </w:p>
        </w:tc>
      </w:tr>
      <w:tr w:rsidR="00576F75" w:rsidRPr="006839E4" w14:paraId="26DC72FF" w14:textId="77777777" w:rsidTr="003344DF">
        <w:trPr>
          <w:trHeight w:val="300"/>
        </w:trPr>
        <w:tc>
          <w:tcPr>
            <w:tcW w:w="1007" w:type="dxa"/>
            <w:tcBorders>
              <w:top w:val="nil"/>
              <w:left w:val="single" w:sz="8" w:space="0" w:color="auto"/>
              <w:bottom w:val="single" w:sz="4" w:space="0" w:color="auto"/>
              <w:right w:val="single" w:sz="4" w:space="0" w:color="auto"/>
            </w:tcBorders>
            <w:shd w:val="clear" w:color="auto" w:fill="auto"/>
            <w:noWrap/>
            <w:vAlign w:val="bottom"/>
            <w:hideMark/>
          </w:tcPr>
          <w:p w14:paraId="6F22D2DA"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73047</w:t>
            </w:r>
          </w:p>
        </w:tc>
        <w:tc>
          <w:tcPr>
            <w:tcW w:w="2836" w:type="dxa"/>
            <w:tcBorders>
              <w:top w:val="nil"/>
              <w:left w:val="nil"/>
              <w:bottom w:val="single" w:sz="4" w:space="0" w:color="auto"/>
              <w:right w:val="single" w:sz="4" w:space="0" w:color="auto"/>
            </w:tcBorders>
            <w:shd w:val="clear" w:color="auto" w:fill="auto"/>
            <w:noWrap/>
            <w:vAlign w:val="bottom"/>
            <w:hideMark/>
          </w:tcPr>
          <w:p w14:paraId="25FFDF85"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Series of 3 sputa or urines</w:t>
            </w:r>
          </w:p>
        </w:tc>
        <w:tc>
          <w:tcPr>
            <w:tcW w:w="1134" w:type="dxa"/>
            <w:tcBorders>
              <w:top w:val="nil"/>
              <w:left w:val="nil"/>
              <w:bottom w:val="single" w:sz="4" w:space="0" w:color="auto"/>
              <w:right w:val="single" w:sz="4" w:space="0" w:color="auto"/>
            </w:tcBorders>
            <w:shd w:val="clear" w:color="auto" w:fill="auto"/>
            <w:noWrap/>
            <w:vAlign w:val="bottom"/>
            <w:hideMark/>
          </w:tcPr>
          <w:p w14:paraId="642EC190"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94.70</w:t>
            </w:r>
          </w:p>
        </w:tc>
        <w:tc>
          <w:tcPr>
            <w:tcW w:w="1559" w:type="dxa"/>
            <w:tcBorders>
              <w:top w:val="nil"/>
              <w:left w:val="nil"/>
              <w:bottom w:val="single" w:sz="4" w:space="0" w:color="auto"/>
              <w:right w:val="single" w:sz="4" w:space="0" w:color="auto"/>
            </w:tcBorders>
            <w:shd w:val="clear" w:color="auto" w:fill="auto"/>
            <w:noWrap/>
            <w:vAlign w:val="bottom"/>
            <w:hideMark/>
          </w:tcPr>
          <w:p w14:paraId="70C49FC1"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242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812</w:t>
            </w:r>
          </w:p>
        </w:tc>
        <w:tc>
          <w:tcPr>
            <w:tcW w:w="1276" w:type="dxa"/>
            <w:tcBorders>
              <w:top w:val="nil"/>
              <w:left w:val="nil"/>
              <w:bottom w:val="single" w:sz="4" w:space="0" w:color="auto"/>
              <w:right w:val="single" w:sz="4" w:space="0" w:color="auto"/>
            </w:tcBorders>
            <w:shd w:val="clear" w:color="auto" w:fill="auto"/>
            <w:noWrap/>
            <w:vAlign w:val="bottom"/>
            <w:hideMark/>
          </w:tcPr>
          <w:p w14:paraId="4231A547"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52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240</w:t>
            </w:r>
          </w:p>
        </w:tc>
        <w:tc>
          <w:tcPr>
            <w:tcW w:w="1217" w:type="dxa"/>
            <w:tcBorders>
              <w:top w:val="nil"/>
              <w:left w:val="nil"/>
              <w:bottom w:val="single" w:sz="4" w:space="0" w:color="auto"/>
              <w:right w:val="single" w:sz="8" w:space="0" w:color="auto"/>
            </w:tcBorders>
            <w:shd w:val="clear" w:color="auto" w:fill="auto"/>
            <w:noWrap/>
            <w:vAlign w:val="bottom"/>
            <w:hideMark/>
          </w:tcPr>
          <w:p w14:paraId="059E5982"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48.6%</w:t>
            </w:r>
          </w:p>
        </w:tc>
      </w:tr>
      <w:tr w:rsidR="00576F75" w:rsidRPr="006839E4" w14:paraId="4BD547B6" w14:textId="77777777" w:rsidTr="003344DF">
        <w:trPr>
          <w:cantSplit/>
          <w:trHeight w:val="300"/>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345EE6"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73049</w:t>
            </w:r>
          </w:p>
        </w:tc>
        <w:tc>
          <w:tcPr>
            <w:tcW w:w="2836" w:type="dxa"/>
            <w:tcBorders>
              <w:top w:val="single" w:sz="4" w:space="0" w:color="auto"/>
              <w:left w:val="nil"/>
              <w:bottom w:val="single" w:sz="4" w:space="0" w:color="auto"/>
              <w:right w:val="single" w:sz="4" w:space="0" w:color="auto"/>
            </w:tcBorders>
            <w:shd w:val="clear" w:color="auto" w:fill="auto"/>
            <w:noWrap/>
            <w:vAlign w:val="bottom"/>
            <w:hideMark/>
          </w:tcPr>
          <w:p w14:paraId="5E299B95" w14:textId="77777777" w:rsidR="0026073A" w:rsidRPr="006839E4" w:rsidRDefault="00C7565E" w:rsidP="00C7565E">
            <w:pPr>
              <w:rPr>
                <w:rFonts w:ascii="Arial" w:hAnsi="Arial" w:cs="Arial"/>
                <w:sz w:val="20"/>
                <w:szCs w:val="20"/>
                <w:lang w:eastAsia="en-US"/>
              </w:rPr>
            </w:pPr>
            <w:r w:rsidRPr="006839E4">
              <w:rPr>
                <w:rFonts w:ascii="Arial" w:hAnsi="Arial" w:cs="Arial"/>
                <w:sz w:val="20"/>
                <w:szCs w:val="20"/>
                <w:lang w:eastAsia="en-US"/>
              </w:rPr>
              <w:t xml:space="preserve">Fine needle aspiration biopsy </w:t>
            </w:r>
            <w:r w:rsidR="0026073A" w:rsidRPr="006839E4">
              <w:rPr>
                <w:rFonts w:ascii="Arial" w:hAnsi="Arial" w:cs="Arial"/>
                <w:sz w:val="20"/>
                <w:szCs w:val="20"/>
                <w:lang w:eastAsia="en-US"/>
              </w:rPr>
              <w:t>- 1 site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42910C"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68.15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3651A"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$3</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632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808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A9E71"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61</w:t>
            </w:r>
            <w:r w:rsidR="00576F75" w:rsidRPr="006839E4">
              <w:rPr>
                <w:rFonts w:ascii="Arial" w:hAnsi="Arial" w:cs="Arial"/>
                <w:sz w:val="20"/>
                <w:szCs w:val="20"/>
                <w:lang w:eastAsia="en-US"/>
              </w:rPr>
              <w:t xml:space="preserve"> </w:t>
            </w:r>
            <w:r w:rsidRPr="006839E4">
              <w:rPr>
                <w:rFonts w:ascii="Arial" w:hAnsi="Arial" w:cs="Arial"/>
                <w:sz w:val="20"/>
                <w:szCs w:val="20"/>
                <w:lang w:eastAsia="en-US"/>
              </w:rPr>
              <w:t>445</w:t>
            </w:r>
          </w:p>
        </w:tc>
        <w:tc>
          <w:tcPr>
            <w:tcW w:w="1217" w:type="dxa"/>
            <w:tcBorders>
              <w:top w:val="single" w:sz="4" w:space="0" w:color="auto"/>
              <w:left w:val="nil"/>
              <w:bottom w:val="single" w:sz="4" w:space="0" w:color="auto"/>
              <w:right w:val="single" w:sz="8" w:space="0" w:color="auto"/>
            </w:tcBorders>
            <w:shd w:val="clear" w:color="auto" w:fill="auto"/>
            <w:noWrap/>
            <w:vAlign w:val="bottom"/>
            <w:hideMark/>
          </w:tcPr>
          <w:p w14:paraId="4E6D229A"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93.1%</w:t>
            </w:r>
          </w:p>
        </w:tc>
      </w:tr>
      <w:tr w:rsidR="00576F75" w:rsidRPr="006839E4" w14:paraId="2E066AF9" w14:textId="77777777" w:rsidTr="003344DF">
        <w:trPr>
          <w:cantSplit/>
          <w:trHeight w:val="300"/>
        </w:trPr>
        <w:tc>
          <w:tcPr>
            <w:tcW w:w="1007" w:type="dxa"/>
            <w:tcBorders>
              <w:top w:val="single" w:sz="4" w:space="0" w:color="auto"/>
              <w:left w:val="single" w:sz="8" w:space="0" w:color="auto"/>
              <w:bottom w:val="nil"/>
              <w:right w:val="single" w:sz="4" w:space="0" w:color="auto"/>
            </w:tcBorders>
            <w:shd w:val="clear" w:color="auto" w:fill="auto"/>
            <w:noWrap/>
            <w:vAlign w:val="bottom"/>
            <w:hideMark/>
          </w:tcPr>
          <w:p w14:paraId="502CDBD2"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lastRenderedPageBreak/>
              <w:t>73062</w:t>
            </w:r>
          </w:p>
        </w:tc>
        <w:tc>
          <w:tcPr>
            <w:tcW w:w="2836" w:type="dxa"/>
            <w:tcBorders>
              <w:top w:val="single" w:sz="4" w:space="0" w:color="auto"/>
              <w:left w:val="nil"/>
              <w:bottom w:val="nil"/>
              <w:right w:val="single" w:sz="4" w:space="0" w:color="auto"/>
            </w:tcBorders>
            <w:shd w:val="clear" w:color="auto" w:fill="auto"/>
            <w:noWrap/>
            <w:vAlign w:val="bottom"/>
            <w:hideMark/>
          </w:tcPr>
          <w:p w14:paraId="63F9E4CC"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FNAB - 2+ sites</w:t>
            </w:r>
          </w:p>
        </w:tc>
        <w:tc>
          <w:tcPr>
            <w:tcW w:w="1134" w:type="dxa"/>
            <w:tcBorders>
              <w:top w:val="single" w:sz="4" w:space="0" w:color="auto"/>
              <w:left w:val="nil"/>
              <w:bottom w:val="nil"/>
              <w:right w:val="single" w:sz="4" w:space="0" w:color="auto"/>
            </w:tcBorders>
            <w:shd w:val="clear" w:color="auto" w:fill="auto"/>
            <w:noWrap/>
            <w:vAlign w:val="bottom"/>
            <w:hideMark/>
          </w:tcPr>
          <w:p w14:paraId="04CB5A54"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89.00</w:t>
            </w:r>
          </w:p>
        </w:tc>
        <w:tc>
          <w:tcPr>
            <w:tcW w:w="1559" w:type="dxa"/>
            <w:tcBorders>
              <w:top w:val="single" w:sz="4" w:space="0" w:color="auto"/>
              <w:left w:val="nil"/>
              <w:bottom w:val="nil"/>
              <w:right w:val="single" w:sz="4" w:space="0" w:color="auto"/>
            </w:tcBorders>
            <w:shd w:val="clear" w:color="auto" w:fill="auto"/>
            <w:noWrap/>
            <w:vAlign w:val="bottom"/>
            <w:hideMark/>
          </w:tcPr>
          <w:p w14:paraId="0854F16E"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$679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280</w:t>
            </w:r>
          </w:p>
        </w:tc>
        <w:tc>
          <w:tcPr>
            <w:tcW w:w="1276" w:type="dxa"/>
            <w:tcBorders>
              <w:top w:val="single" w:sz="4" w:space="0" w:color="auto"/>
              <w:left w:val="nil"/>
              <w:bottom w:val="nil"/>
              <w:right w:val="single" w:sz="4" w:space="0" w:color="auto"/>
            </w:tcBorders>
            <w:shd w:val="clear" w:color="auto" w:fill="auto"/>
            <w:noWrap/>
            <w:vAlign w:val="bottom"/>
            <w:hideMark/>
          </w:tcPr>
          <w:p w14:paraId="3DBEC32E"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8</w:t>
            </w:r>
            <w:r w:rsidR="00576F75" w:rsidRPr="006839E4">
              <w:rPr>
                <w:rFonts w:ascii="Arial" w:hAnsi="Arial" w:cs="Arial"/>
                <w:sz w:val="20"/>
                <w:szCs w:val="20"/>
                <w:lang w:eastAsia="en-US"/>
              </w:rPr>
              <w:t xml:space="preserve"> </w:t>
            </w:r>
            <w:r w:rsidRPr="006839E4">
              <w:rPr>
                <w:rFonts w:ascii="Arial" w:hAnsi="Arial" w:cs="Arial"/>
                <w:sz w:val="20"/>
                <w:szCs w:val="20"/>
                <w:lang w:eastAsia="en-US"/>
              </w:rPr>
              <w:t>777</w:t>
            </w:r>
          </w:p>
        </w:tc>
        <w:tc>
          <w:tcPr>
            <w:tcW w:w="1217" w:type="dxa"/>
            <w:tcBorders>
              <w:top w:val="single" w:sz="4" w:space="0" w:color="auto"/>
              <w:left w:val="nil"/>
              <w:bottom w:val="nil"/>
              <w:right w:val="single" w:sz="8" w:space="0" w:color="auto"/>
            </w:tcBorders>
            <w:shd w:val="clear" w:color="auto" w:fill="auto"/>
            <w:noWrap/>
            <w:vAlign w:val="bottom"/>
            <w:hideMark/>
          </w:tcPr>
          <w:p w14:paraId="5A529AB8"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92.5%</w:t>
            </w:r>
          </w:p>
        </w:tc>
      </w:tr>
      <w:tr w:rsidR="00576F75" w:rsidRPr="006839E4" w14:paraId="0C38BA27" w14:textId="77777777" w:rsidTr="003344DF">
        <w:trPr>
          <w:cantSplit/>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47429C09"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73063</w:t>
            </w:r>
          </w:p>
        </w:tc>
        <w:tc>
          <w:tcPr>
            <w:tcW w:w="2836" w:type="dxa"/>
            <w:tcBorders>
              <w:top w:val="nil"/>
              <w:left w:val="nil"/>
              <w:bottom w:val="nil"/>
              <w:right w:val="single" w:sz="4" w:space="0" w:color="auto"/>
            </w:tcBorders>
            <w:shd w:val="clear" w:color="auto" w:fill="auto"/>
            <w:noWrap/>
            <w:vAlign w:val="bottom"/>
            <w:hideMark/>
          </w:tcPr>
          <w:p w14:paraId="6168ED58"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Attended FNAB - 1 site</w:t>
            </w:r>
          </w:p>
        </w:tc>
        <w:tc>
          <w:tcPr>
            <w:tcW w:w="1134" w:type="dxa"/>
            <w:tcBorders>
              <w:top w:val="nil"/>
              <w:left w:val="nil"/>
              <w:bottom w:val="nil"/>
              <w:right w:val="single" w:sz="4" w:space="0" w:color="auto"/>
            </w:tcBorders>
            <w:shd w:val="clear" w:color="auto" w:fill="auto"/>
            <w:noWrap/>
            <w:vAlign w:val="bottom"/>
            <w:hideMark/>
          </w:tcPr>
          <w:p w14:paraId="11662E46"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99.35</w:t>
            </w:r>
          </w:p>
        </w:tc>
        <w:tc>
          <w:tcPr>
            <w:tcW w:w="1559" w:type="dxa"/>
            <w:tcBorders>
              <w:top w:val="nil"/>
              <w:left w:val="nil"/>
              <w:bottom w:val="nil"/>
              <w:right w:val="single" w:sz="4" w:space="0" w:color="auto"/>
            </w:tcBorders>
            <w:shd w:val="clear" w:color="auto" w:fill="auto"/>
            <w:noWrap/>
            <w:vAlign w:val="bottom"/>
            <w:hideMark/>
          </w:tcPr>
          <w:p w14:paraId="1809FD16"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$1</w:t>
            </w:r>
            <w:r w:rsidR="00576F75" w:rsidRPr="006839E4">
              <w:rPr>
                <w:rFonts w:ascii="Arial" w:hAnsi="Arial" w:cs="Arial"/>
                <w:sz w:val="20"/>
                <w:szCs w:val="20"/>
                <w:lang w:eastAsia="en-US"/>
              </w:rPr>
              <w:t xml:space="preserve"> </w:t>
            </w:r>
            <w:r w:rsidRPr="006839E4">
              <w:rPr>
                <w:rFonts w:ascii="Arial" w:hAnsi="Arial" w:cs="Arial"/>
                <w:sz w:val="20"/>
                <w:szCs w:val="20"/>
                <w:lang w:eastAsia="en-US"/>
              </w:rPr>
              <w:t>446</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665</w:t>
            </w:r>
          </w:p>
        </w:tc>
        <w:tc>
          <w:tcPr>
            <w:tcW w:w="1276" w:type="dxa"/>
            <w:tcBorders>
              <w:top w:val="nil"/>
              <w:left w:val="nil"/>
              <w:bottom w:val="nil"/>
              <w:right w:val="single" w:sz="4" w:space="0" w:color="auto"/>
            </w:tcBorders>
            <w:shd w:val="clear" w:color="auto" w:fill="auto"/>
            <w:noWrap/>
            <w:vAlign w:val="bottom"/>
            <w:hideMark/>
          </w:tcPr>
          <w:p w14:paraId="523EFDAC"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17</w:t>
            </w:r>
            <w:r w:rsidR="00576F75" w:rsidRPr="006839E4">
              <w:rPr>
                <w:rFonts w:ascii="Arial" w:hAnsi="Arial" w:cs="Arial"/>
                <w:sz w:val="20"/>
                <w:szCs w:val="20"/>
                <w:lang w:eastAsia="en-US"/>
              </w:rPr>
              <w:t xml:space="preserve"> </w:t>
            </w:r>
            <w:r w:rsidRPr="006839E4">
              <w:rPr>
                <w:rFonts w:ascii="Arial" w:hAnsi="Arial" w:cs="Arial"/>
                <w:sz w:val="20"/>
                <w:szCs w:val="20"/>
                <w:lang w:eastAsia="en-US"/>
              </w:rPr>
              <w:t>044</w:t>
            </w:r>
          </w:p>
        </w:tc>
        <w:tc>
          <w:tcPr>
            <w:tcW w:w="1217" w:type="dxa"/>
            <w:tcBorders>
              <w:top w:val="nil"/>
              <w:left w:val="nil"/>
              <w:bottom w:val="nil"/>
              <w:right w:val="single" w:sz="8" w:space="0" w:color="auto"/>
            </w:tcBorders>
            <w:shd w:val="clear" w:color="auto" w:fill="auto"/>
            <w:noWrap/>
            <w:vAlign w:val="bottom"/>
            <w:hideMark/>
          </w:tcPr>
          <w:p w14:paraId="559690AA"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94.3%</w:t>
            </w:r>
          </w:p>
        </w:tc>
      </w:tr>
      <w:tr w:rsidR="00576F75" w:rsidRPr="006839E4" w14:paraId="748E20C0" w14:textId="77777777" w:rsidTr="003344DF">
        <w:trPr>
          <w:cantSplit/>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774A2F53"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73067</w:t>
            </w:r>
          </w:p>
        </w:tc>
        <w:tc>
          <w:tcPr>
            <w:tcW w:w="2836" w:type="dxa"/>
            <w:tcBorders>
              <w:top w:val="nil"/>
              <w:left w:val="nil"/>
              <w:bottom w:val="nil"/>
              <w:right w:val="single" w:sz="4" w:space="0" w:color="auto"/>
            </w:tcBorders>
            <w:shd w:val="clear" w:color="auto" w:fill="auto"/>
            <w:noWrap/>
            <w:vAlign w:val="bottom"/>
            <w:hideMark/>
          </w:tcPr>
          <w:p w14:paraId="74067617"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Attended FNAB - 2+ sites</w:t>
            </w:r>
          </w:p>
        </w:tc>
        <w:tc>
          <w:tcPr>
            <w:tcW w:w="1134" w:type="dxa"/>
            <w:tcBorders>
              <w:top w:val="nil"/>
              <w:left w:val="nil"/>
              <w:bottom w:val="nil"/>
              <w:right w:val="single" w:sz="4" w:space="0" w:color="auto"/>
            </w:tcBorders>
            <w:shd w:val="clear" w:color="auto" w:fill="auto"/>
            <w:noWrap/>
            <w:vAlign w:val="bottom"/>
            <w:hideMark/>
          </w:tcPr>
          <w:p w14:paraId="36ED42C6"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129.15</w:t>
            </w:r>
          </w:p>
        </w:tc>
        <w:tc>
          <w:tcPr>
            <w:tcW w:w="1559" w:type="dxa"/>
            <w:tcBorders>
              <w:top w:val="nil"/>
              <w:left w:val="nil"/>
              <w:bottom w:val="nil"/>
              <w:right w:val="single" w:sz="4" w:space="0" w:color="auto"/>
            </w:tcBorders>
            <w:shd w:val="clear" w:color="auto" w:fill="auto"/>
            <w:noWrap/>
            <w:vAlign w:val="bottom"/>
            <w:hideMark/>
          </w:tcPr>
          <w:p w14:paraId="4727677E"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$331</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261</w:t>
            </w:r>
          </w:p>
        </w:tc>
        <w:tc>
          <w:tcPr>
            <w:tcW w:w="1276" w:type="dxa"/>
            <w:tcBorders>
              <w:top w:val="nil"/>
              <w:left w:val="nil"/>
              <w:bottom w:val="nil"/>
              <w:right w:val="single" w:sz="4" w:space="0" w:color="auto"/>
            </w:tcBorders>
            <w:shd w:val="clear" w:color="auto" w:fill="auto"/>
            <w:noWrap/>
            <w:vAlign w:val="bottom"/>
            <w:hideMark/>
          </w:tcPr>
          <w:p w14:paraId="4DBA242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976</w:t>
            </w:r>
          </w:p>
        </w:tc>
        <w:tc>
          <w:tcPr>
            <w:tcW w:w="1217" w:type="dxa"/>
            <w:tcBorders>
              <w:top w:val="nil"/>
              <w:left w:val="nil"/>
              <w:bottom w:val="nil"/>
              <w:right w:val="single" w:sz="8" w:space="0" w:color="auto"/>
            </w:tcBorders>
            <w:shd w:val="clear" w:color="auto" w:fill="auto"/>
            <w:noWrap/>
            <w:vAlign w:val="bottom"/>
            <w:hideMark/>
          </w:tcPr>
          <w:p w14:paraId="79094AF9"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93.3%</w:t>
            </w:r>
          </w:p>
        </w:tc>
      </w:tr>
      <w:tr w:rsidR="00576F75" w:rsidRPr="006839E4" w14:paraId="6C18EF08" w14:textId="77777777" w:rsidTr="003344DF">
        <w:trPr>
          <w:cantSplit/>
          <w:trHeight w:val="300"/>
        </w:trPr>
        <w:tc>
          <w:tcPr>
            <w:tcW w:w="1007" w:type="dxa"/>
            <w:tcBorders>
              <w:top w:val="nil"/>
              <w:left w:val="single" w:sz="8" w:space="0" w:color="auto"/>
              <w:bottom w:val="nil"/>
              <w:right w:val="single" w:sz="4" w:space="0" w:color="auto"/>
            </w:tcBorders>
            <w:shd w:val="clear" w:color="auto" w:fill="auto"/>
            <w:noWrap/>
            <w:vAlign w:val="bottom"/>
            <w:hideMark/>
          </w:tcPr>
          <w:p w14:paraId="0B8B4DFB"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73051</w:t>
            </w:r>
          </w:p>
        </w:tc>
        <w:tc>
          <w:tcPr>
            <w:tcW w:w="2836" w:type="dxa"/>
            <w:tcBorders>
              <w:top w:val="nil"/>
              <w:left w:val="nil"/>
              <w:bottom w:val="nil"/>
              <w:right w:val="single" w:sz="4" w:space="0" w:color="auto"/>
            </w:tcBorders>
            <w:shd w:val="clear" w:color="auto" w:fill="auto"/>
            <w:noWrap/>
            <w:vAlign w:val="bottom"/>
            <w:hideMark/>
          </w:tcPr>
          <w:p w14:paraId="7A3B3CC5"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Pathologist attended FNAB - 1 site</w:t>
            </w:r>
          </w:p>
        </w:tc>
        <w:tc>
          <w:tcPr>
            <w:tcW w:w="1134" w:type="dxa"/>
            <w:tcBorders>
              <w:top w:val="nil"/>
              <w:left w:val="nil"/>
              <w:bottom w:val="nil"/>
              <w:right w:val="single" w:sz="4" w:space="0" w:color="auto"/>
            </w:tcBorders>
            <w:shd w:val="clear" w:color="auto" w:fill="auto"/>
            <w:noWrap/>
            <w:vAlign w:val="bottom"/>
            <w:hideMark/>
          </w:tcPr>
          <w:p w14:paraId="4D97404F"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170.35</w:t>
            </w:r>
          </w:p>
        </w:tc>
        <w:tc>
          <w:tcPr>
            <w:tcW w:w="1559" w:type="dxa"/>
            <w:tcBorders>
              <w:top w:val="nil"/>
              <w:left w:val="nil"/>
              <w:bottom w:val="nil"/>
              <w:right w:val="single" w:sz="4" w:space="0" w:color="auto"/>
            </w:tcBorders>
            <w:shd w:val="clear" w:color="auto" w:fill="auto"/>
            <w:noWrap/>
            <w:vAlign w:val="bottom"/>
            <w:hideMark/>
          </w:tcPr>
          <w:p w14:paraId="3E8B0285"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$1</w:t>
            </w:r>
            <w:r w:rsidR="00576F75" w:rsidRPr="006839E4">
              <w:rPr>
                <w:rFonts w:ascii="Arial" w:hAnsi="Arial" w:cs="Arial"/>
                <w:sz w:val="20"/>
                <w:szCs w:val="20"/>
                <w:lang w:eastAsia="en-US"/>
              </w:rPr>
              <w:t xml:space="preserve"> </w:t>
            </w:r>
            <w:r w:rsidRPr="006839E4">
              <w:rPr>
                <w:rFonts w:ascii="Arial" w:hAnsi="Arial" w:cs="Arial"/>
                <w:sz w:val="20"/>
                <w:szCs w:val="20"/>
                <w:lang w:eastAsia="en-US"/>
              </w:rPr>
              <w:t>269</w:t>
            </w:r>
            <w:r w:rsidR="00576F75" w:rsidRPr="006839E4">
              <w:rPr>
                <w:rFonts w:ascii="Arial" w:hAnsi="Arial" w:cs="Arial"/>
                <w:sz w:val="20"/>
                <w:szCs w:val="20"/>
                <w:lang w:eastAsia="en-US"/>
              </w:rPr>
              <w:t xml:space="preserve"> </w:t>
            </w:r>
            <w:r w:rsidRPr="006839E4">
              <w:rPr>
                <w:rFonts w:ascii="Arial" w:hAnsi="Arial" w:cs="Arial"/>
                <w:sz w:val="20"/>
                <w:szCs w:val="20"/>
                <w:lang w:eastAsia="en-US"/>
              </w:rPr>
              <w:t>004</w:t>
            </w:r>
          </w:p>
        </w:tc>
        <w:tc>
          <w:tcPr>
            <w:tcW w:w="1276" w:type="dxa"/>
            <w:tcBorders>
              <w:top w:val="nil"/>
              <w:left w:val="nil"/>
              <w:bottom w:val="nil"/>
              <w:right w:val="single" w:sz="4" w:space="0" w:color="auto"/>
            </w:tcBorders>
            <w:shd w:val="clear" w:color="auto" w:fill="auto"/>
            <w:noWrap/>
            <w:vAlign w:val="bottom"/>
            <w:hideMark/>
          </w:tcPr>
          <w:p w14:paraId="75EC90C3"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8</w:t>
            </w:r>
            <w:r w:rsidR="00576F75" w:rsidRPr="006839E4">
              <w:rPr>
                <w:rFonts w:ascii="Arial" w:hAnsi="Arial" w:cs="Arial"/>
                <w:sz w:val="20"/>
                <w:szCs w:val="20"/>
                <w:lang w:eastAsia="en-US"/>
              </w:rPr>
              <w:t xml:space="preserve"> </w:t>
            </w:r>
            <w:r w:rsidRPr="006839E4">
              <w:rPr>
                <w:rFonts w:ascii="Arial" w:hAnsi="Arial" w:cs="Arial"/>
                <w:sz w:val="20"/>
                <w:szCs w:val="20"/>
                <w:lang w:eastAsia="en-US"/>
              </w:rPr>
              <w:t>617</w:t>
            </w:r>
          </w:p>
        </w:tc>
        <w:tc>
          <w:tcPr>
            <w:tcW w:w="1217" w:type="dxa"/>
            <w:tcBorders>
              <w:top w:val="nil"/>
              <w:left w:val="nil"/>
              <w:bottom w:val="nil"/>
              <w:right w:val="single" w:sz="8" w:space="0" w:color="auto"/>
            </w:tcBorders>
            <w:shd w:val="clear" w:color="auto" w:fill="auto"/>
            <w:noWrap/>
            <w:vAlign w:val="bottom"/>
            <w:hideMark/>
          </w:tcPr>
          <w:p w14:paraId="0F7A90FD"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76.8%</w:t>
            </w:r>
          </w:p>
        </w:tc>
      </w:tr>
      <w:tr w:rsidR="00576F75" w:rsidRPr="006839E4" w14:paraId="6ACF4C18" w14:textId="77777777" w:rsidTr="003344DF">
        <w:trPr>
          <w:cantSplit/>
          <w:trHeight w:val="315"/>
        </w:trPr>
        <w:tc>
          <w:tcPr>
            <w:tcW w:w="1007" w:type="dxa"/>
            <w:tcBorders>
              <w:top w:val="nil"/>
              <w:left w:val="single" w:sz="8" w:space="0" w:color="auto"/>
              <w:bottom w:val="single" w:sz="8" w:space="0" w:color="auto"/>
              <w:right w:val="single" w:sz="4" w:space="0" w:color="auto"/>
            </w:tcBorders>
            <w:shd w:val="clear" w:color="auto" w:fill="auto"/>
            <w:noWrap/>
            <w:hideMark/>
          </w:tcPr>
          <w:p w14:paraId="1396FDCB"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73066</w:t>
            </w:r>
          </w:p>
        </w:tc>
        <w:tc>
          <w:tcPr>
            <w:tcW w:w="2836" w:type="dxa"/>
            <w:tcBorders>
              <w:top w:val="nil"/>
              <w:left w:val="nil"/>
              <w:bottom w:val="single" w:sz="8" w:space="0" w:color="auto"/>
              <w:right w:val="single" w:sz="4" w:space="0" w:color="auto"/>
            </w:tcBorders>
            <w:shd w:val="clear" w:color="auto" w:fill="auto"/>
            <w:noWrap/>
            <w:hideMark/>
          </w:tcPr>
          <w:p w14:paraId="22932033" w14:textId="77777777" w:rsidR="0026073A" w:rsidRPr="006839E4" w:rsidRDefault="0026073A" w:rsidP="008E5C0F">
            <w:pPr>
              <w:rPr>
                <w:rFonts w:ascii="Arial" w:hAnsi="Arial" w:cs="Arial"/>
                <w:sz w:val="20"/>
                <w:szCs w:val="20"/>
                <w:lang w:eastAsia="en-US"/>
              </w:rPr>
            </w:pPr>
            <w:r w:rsidRPr="006839E4">
              <w:rPr>
                <w:rFonts w:ascii="Arial" w:hAnsi="Arial" w:cs="Arial"/>
                <w:sz w:val="20"/>
                <w:szCs w:val="20"/>
                <w:lang w:eastAsia="en-US"/>
              </w:rPr>
              <w:t>Pathologist attended FNAB - 2+ sites</w:t>
            </w:r>
          </w:p>
        </w:tc>
        <w:tc>
          <w:tcPr>
            <w:tcW w:w="1134" w:type="dxa"/>
            <w:tcBorders>
              <w:top w:val="nil"/>
              <w:left w:val="nil"/>
              <w:bottom w:val="single" w:sz="8" w:space="0" w:color="auto"/>
              <w:right w:val="single" w:sz="4" w:space="0" w:color="auto"/>
            </w:tcBorders>
            <w:shd w:val="clear" w:color="auto" w:fill="auto"/>
            <w:noWrap/>
            <w:hideMark/>
          </w:tcPr>
          <w:p w14:paraId="01471B00" w14:textId="77777777" w:rsidR="0026073A" w:rsidRPr="006839E4" w:rsidRDefault="00576F75" w:rsidP="008E5C0F">
            <w:pPr>
              <w:jc w:val="right"/>
              <w:rPr>
                <w:rFonts w:ascii="Arial" w:hAnsi="Arial" w:cs="Arial"/>
                <w:sz w:val="20"/>
                <w:szCs w:val="20"/>
                <w:lang w:eastAsia="en-US"/>
              </w:rPr>
            </w:pPr>
            <w:r w:rsidRPr="006839E4">
              <w:rPr>
                <w:rFonts w:ascii="Arial" w:hAnsi="Arial" w:cs="Arial"/>
                <w:sz w:val="20"/>
                <w:szCs w:val="20"/>
                <w:lang w:eastAsia="en-US"/>
              </w:rPr>
              <w:t>$</w:t>
            </w:r>
            <w:r w:rsidR="0026073A" w:rsidRPr="006839E4">
              <w:rPr>
                <w:rFonts w:ascii="Arial" w:hAnsi="Arial" w:cs="Arial"/>
                <w:sz w:val="20"/>
                <w:szCs w:val="20"/>
                <w:lang w:eastAsia="en-US"/>
              </w:rPr>
              <w:t>221.45</w:t>
            </w:r>
          </w:p>
        </w:tc>
        <w:tc>
          <w:tcPr>
            <w:tcW w:w="1559" w:type="dxa"/>
            <w:tcBorders>
              <w:top w:val="nil"/>
              <w:left w:val="nil"/>
              <w:bottom w:val="single" w:sz="8" w:space="0" w:color="auto"/>
              <w:right w:val="single" w:sz="4" w:space="0" w:color="auto"/>
            </w:tcBorders>
            <w:shd w:val="clear" w:color="auto" w:fill="auto"/>
            <w:noWrap/>
            <w:hideMark/>
          </w:tcPr>
          <w:p w14:paraId="1FE373A4"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$483</w:t>
            </w:r>
            <w:r w:rsidR="00576F75" w:rsidRPr="006839E4">
              <w:rPr>
                <w:rFonts w:ascii="Arial" w:hAnsi="Arial" w:cs="Arial"/>
                <w:sz w:val="20"/>
                <w:szCs w:val="20"/>
                <w:lang w:eastAsia="en-US"/>
              </w:rPr>
              <w:t xml:space="preserve"> </w:t>
            </w:r>
            <w:r w:rsidRPr="006839E4">
              <w:rPr>
                <w:rFonts w:ascii="Arial" w:hAnsi="Arial" w:cs="Arial"/>
                <w:sz w:val="20"/>
                <w:szCs w:val="20"/>
                <w:lang w:eastAsia="en-US"/>
              </w:rPr>
              <w:t>367</w:t>
            </w:r>
          </w:p>
        </w:tc>
        <w:tc>
          <w:tcPr>
            <w:tcW w:w="1276" w:type="dxa"/>
            <w:tcBorders>
              <w:top w:val="nil"/>
              <w:left w:val="nil"/>
              <w:bottom w:val="single" w:sz="8" w:space="0" w:color="auto"/>
              <w:right w:val="single" w:sz="4" w:space="0" w:color="auto"/>
            </w:tcBorders>
            <w:shd w:val="clear" w:color="auto" w:fill="auto"/>
            <w:noWrap/>
            <w:hideMark/>
          </w:tcPr>
          <w:p w14:paraId="73D82D99"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2</w:t>
            </w:r>
            <w:r w:rsidR="00576F75" w:rsidRPr="006839E4">
              <w:rPr>
                <w:rFonts w:ascii="Arial" w:hAnsi="Arial" w:cs="Arial"/>
                <w:sz w:val="20"/>
                <w:szCs w:val="20"/>
                <w:lang w:eastAsia="en-US"/>
              </w:rPr>
              <w:t xml:space="preserve"> </w:t>
            </w:r>
            <w:r w:rsidRPr="006839E4">
              <w:rPr>
                <w:rFonts w:ascii="Arial" w:hAnsi="Arial" w:cs="Arial"/>
                <w:sz w:val="20"/>
                <w:szCs w:val="20"/>
                <w:lang w:eastAsia="en-US"/>
              </w:rPr>
              <w:t>520</w:t>
            </w:r>
          </w:p>
        </w:tc>
        <w:tc>
          <w:tcPr>
            <w:tcW w:w="1217" w:type="dxa"/>
            <w:tcBorders>
              <w:top w:val="nil"/>
              <w:left w:val="nil"/>
              <w:bottom w:val="single" w:sz="8" w:space="0" w:color="auto"/>
              <w:right w:val="single" w:sz="8" w:space="0" w:color="auto"/>
            </w:tcBorders>
            <w:shd w:val="clear" w:color="auto" w:fill="auto"/>
            <w:noWrap/>
            <w:hideMark/>
          </w:tcPr>
          <w:p w14:paraId="475A35D0" w14:textId="77777777" w:rsidR="0026073A" w:rsidRPr="006839E4" w:rsidRDefault="0026073A" w:rsidP="008E5C0F">
            <w:pPr>
              <w:jc w:val="right"/>
              <w:rPr>
                <w:rFonts w:ascii="Arial" w:hAnsi="Arial" w:cs="Arial"/>
                <w:sz w:val="20"/>
                <w:szCs w:val="20"/>
                <w:lang w:eastAsia="en-US"/>
              </w:rPr>
            </w:pPr>
            <w:r w:rsidRPr="006839E4">
              <w:rPr>
                <w:rFonts w:ascii="Arial" w:hAnsi="Arial" w:cs="Arial"/>
                <w:sz w:val="20"/>
                <w:szCs w:val="20"/>
                <w:lang w:eastAsia="en-US"/>
              </w:rPr>
              <w:t>83.4%</w:t>
            </w:r>
          </w:p>
        </w:tc>
      </w:tr>
    </w:tbl>
    <w:p w14:paraId="2DA72543" w14:textId="77777777" w:rsidR="00B0793A" w:rsidRDefault="00B0793A" w:rsidP="008E5C0F">
      <w:pPr>
        <w:pStyle w:val="Caption"/>
      </w:pPr>
      <w:bookmarkStart w:id="49" w:name="_Toc482213879"/>
    </w:p>
    <w:p w14:paraId="004D4E97" w14:textId="77777777" w:rsidR="001E270E" w:rsidRPr="004F4A03" w:rsidRDefault="00253CBE" w:rsidP="008E5C0F">
      <w:pPr>
        <w:pStyle w:val="Caption"/>
        <w:rPr>
          <w:lang w:val="en-US"/>
        </w:rPr>
      </w:pPr>
      <w:r>
        <w:t xml:space="preserve">Figure </w:t>
      </w:r>
      <w:r w:rsidR="004D4B8D">
        <w:t>4</w:t>
      </w:r>
      <w:r>
        <w:t xml:space="preserve">. </w:t>
      </w:r>
      <w:r w:rsidR="000F1102">
        <w:t>2014/15 MBS Cytology item service data</w:t>
      </w:r>
      <w:bookmarkEnd w:id="49"/>
    </w:p>
    <w:p w14:paraId="30CCA2C4" w14:textId="77777777" w:rsidR="004F4A03" w:rsidRDefault="001E270E" w:rsidP="001E270E">
      <w:r>
        <w:rPr>
          <w:noProof/>
          <w:lang w:val="en-AU"/>
        </w:rPr>
        <w:drawing>
          <wp:inline distT="0" distB="0" distL="0" distR="0" wp14:anchorId="54272EDB" wp14:editId="19A441BC">
            <wp:extent cx="4467600" cy="2649600"/>
            <wp:effectExtent l="0" t="0" r="9525" b="17780"/>
            <wp:docPr id="10" name="Chart 10" descr="This is a bar chart showing the 2014 to 2015 MBS Cytology item service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CFD9D" w14:textId="77777777" w:rsidR="00B0793A" w:rsidRDefault="00B0793A" w:rsidP="008E5C0F"/>
    <w:p w14:paraId="7CEA520A" w14:textId="77777777" w:rsidR="00FD7696" w:rsidRDefault="001E270E" w:rsidP="008E5C0F">
      <w:pPr>
        <w:rPr>
          <w:i/>
          <w:lang w:val="en-US" w:eastAsia="en-US"/>
        </w:rPr>
      </w:pPr>
      <w:proofErr w:type="gramStart"/>
      <w:r>
        <w:t>The majority of</w:t>
      </w:r>
      <w:proofErr w:type="gramEnd"/>
      <w:r>
        <w:t xml:space="preserve"> rebated specimens are </w:t>
      </w:r>
      <w:r w:rsidR="004F4A03">
        <w:t xml:space="preserve">cervical </w:t>
      </w:r>
      <w:r w:rsidR="000F2A04">
        <w:t>Pap</w:t>
      </w:r>
      <w:r>
        <w:t xml:space="preserve"> smears</w:t>
      </w:r>
      <w:r w:rsidR="004F4A03">
        <w:t xml:space="preserve"> (73053, 73055)</w:t>
      </w:r>
      <w:r>
        <w:t>.</w:t>
      </w:r>
      <w:r w:rsidR="008C5974">
        <w:t xml:space="preserve"> </w:t>
      </w:r>
      <w:r w:rsidR="008C5974" w:rsidRPr="00950429">
        <w:t>Based on new evidence and better technology, the National Cervical Screening Program will change from 1 December 2017</w:t>
      </w:r>
      <w:r w:rsidR="008C5974">
        <w:t xml:space="preserve">. The </w:t>
      </w:r>
      <w:proofErr w:type="gramStart"/>
      <w:r w:rsidR="008C5974">
        <w:t>two yearly</w:t>
      </w:r>
      <w:proofErr w:type="gramEnd"/>
      <w:r w:rsidR="008C5974">
        <w:t xml:space="preserve"> Pap test will be replaced by a five yearly cervical sample human papillomavirus (HPV) test.</w:t>
      </w:r>
      <w:r>
        <w:t xml:space="preserve"> Given the changes underway in the </w:t>
      </w:r>
      <w:r w:rsidR="002E44A4">
        <w:t xml:space="preserve">National </w:t>
      </w:r>
      <w:r>
        <w:t>Cervical Screening Program, gynaecological cytology</w:t>
      </w:r>
      <w:r w:rsidR="00BF501B">
        <w:t xml:space="preserve"> items (73053, 73055 and 73057)</w:t>
      </w:r>
      <w:r>
        <w:t xml:space="preserve"> will not be further considered in this analysis or recommendations</w:t>
      </w:r>
      <w:r w:rsidR="00B47970">
        <w:t>, as new items are being proposed an</w:t>
      </w:r>
      <w:r w:rsidR="00D04EA5">
        <w:t>d</w:t>
      </w:r>
      <w:r w:rsidR="00B47970">
        <w:t xml:space="preserve"> usage</w:t>
      </w:r>
      <w:r w:rsidR="002E44A4">
        <w:t xml:space="preserve"> is</w:t>
      </w:r>
      <w:r w:rsidR="00B47970">
        <w:t xml:space="preserve"> uncertain</w:t>
      </w:r>
      <w:r>
        <w:t>.</w:t>
      </w:r>
      <w:r w:rsidR="00E11BC0">
        <w:t xml:space="preserve"> </w:t>
      </w:r>
      <w:r w:rsidR="00B51F7A">
        <w:rPr>
          <w:noProof/>
        </w:rPr>
        <w:t xml:space="preserve">The usage of non-gynaecological cytology items is shown in </w:t>
      </w:r>
      <w:r w:rsidR="00B51F7A" w:rsidRPr="00B51F7A">
        <w:rPr>
          <w:i/>
          <w:noProof/>
        </w:rPr>
        <w:t xml:space="preserve">Figure </w:t>
      </w:r>
      <w:r w:rsidR="004D4B8D">
        <w:rPr>
          <w:i/>
          <w:noProof/>
        </w:rPr>
        <w:t>5</w:t>
      </w:r>
      <w:r w:rsidR="00B51F7A" w:rsidRPr="00B51F7A">
        <w:rPr>
          <w:i/>
          <w:noProof/>
        </w:rPr>
        <w:t>.</w:t>
      </w:r>
    </w:p>
    <w:p w14:paraId="445A39F3" w14:textId="77777777" w:rsidR="00B51F7A" w:rsidRPr="008E5C0F" w:rsidRDefault="00D4143D" w:rsidP="008E5C0F">
      <w:pPr>
        <w:pStyle w:val="Caption"/>
        <w:rPr>
          <w:i/>
        </w:rPr>
      </w:pPr>
      <w:bookmarkStart w:id="50" w:name="_Toc482213880"/>
      <w:r>
        <w:lastRenderedPageBreak/>
        <w:t xml:space="preserve">Figure </w:t>
      </w:r>
      <w:r w:rsidR="004D4B8D">
        <w:t>5</w:t>
      </w:r>
      <w:r>
        <w:t xml:space="preserve">. </w:t>
      </w:r>
      <w:bookmarkEnd w:id="50"/>
      <w:r w:rsidR="000F1102">
        <w:t xml:space="preserve">2014/15 MBS Cytology item service data - excluding gynaecological </w:t>
      </w:r>
      <w:r w:rsidR="00BF501B">
        <w:t>items</w:t>
      </w:r>
    </w:p>
    <w:p w14:paraId="546E03E8" w14:textId="77777777" w:rsidR="00FA1083" w:rsidRPr="006529AB" w:rsidRDefault="00B51F7A" w:rsidP="001E270E">
      <w:r>
        <w:rPr>
          <w:noProof/>
          <w:lang w:val="en-AU"/>
        </w:rPr>
        <w:drawing>
          <wp:inline distT="0" distB="0" distL="0" distR="0" wp14:anchorId="12CE833D" wp14:editId="408FB13F">
            <wp:extent cx="4505325" cy="2847975"/>
            <wp:effectExtent l="0" t="0" r="0" b="0"/>
            <wp:docPr id="6" name="Chart 6" descr="This is a bar chart showing the 2014 to 2015 MBS Cytology item service data, excluding gynaecological ite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98B2F3" w14:textId="77777777" w:rsidR="00E321B4" w:rsidRPr="00AB5985" w:rsidRDefault="00E321B4" w:rsidP="00E321B4">
      <w:pPr>
        <w:rPr>
          <w:szCs w:val="22"/>
          <w:lang w:val="en-US" w:eastAsia="en-US"/>
        </w:rPr>
      </w:pPr>
      <w:r w:rsidRPr="00B63EE7">
        <w:rPr>
          <w:szCs w:val="22"/>
          <w:lang w:val="en-US" w:eastAsia="en-US"/>
        </w:rPr>
        <w:t>Non-</w:t>
      </w:r>
      <w:proofErr w:type="spellStart"/>
      <w:r w:rsidRPr="00B63EE7">
        <w:rPr>
          <w:szCs w:val="22"/>
          <w:lang w:val="en-US" w:eastAsia="en-US"/>
        </w:rPr>
        <w:t>gynaecological</w:t>
      </w:r>
      <w:proofErr w:type="spellEnd"/>
      <w:r w:rsidRPr="00B63EE7">
        <w:rPr>
          <w:szCs w:val="22"/>
          <w:lang w:val="en-US" w:eastAsia="en-US"/>
        </w:rPr>
        <w:t xml:space="preserve"> cytology services are dominated by examination of fluids (73045/73047) and </w:t>
      </w:r>
      <w:r>
        <w:rPr>
          <w:szCs w:val="22"/>
          <w:lang w:val="en-US" w:eastAsia="en-US"/>
        </w:rPr>
        <w:t>fine-needle aspiration</w:t>
      </w:r>
      <w:r w:rsidRPr="00B63EE7">
        <w:rPr>
          <w:szCs w:val="22"/>
          <w:lang w:val="en-US" w:eastAsia="en-US"/>
        </w:rPr>
        <w:t xml:space="preserve"> biopsies (73049/73062) with relatively low numbers of the more expensive</w:t>
      </w:r>
      <w:r>
        <w:rPr>
          <w:szCs w:val="22"/>
          <w:lang w:val="en-US" w:eastAsia="en-US"/>
        </w:rPr>
        <w:t xml:space="preserve"> </w:t>
      </w:r>
      <w:r w:rsidR="00B0793A">
        <w:rPr>
          <w:szCs w:val="22"/>
          <w:lang w:val="en-US" w:eastAsia="en-US"/>
        </w:rPr>
        <w:t xml:space="preserve">cytologist </w:t>
      </w:r>
      <w:r>
        <w:rPr>
          <w:szCs w:val="22"/>
          <w:lang w:val="en-US" w:eastAsia="en-US"/>
        </w:rPr>
        <w:t xml:space="preserve">attended (73063/73067) </w:t>
      </w:r>
      <w:r w:rsidR="00B0793A">
        <w:rPr>
          <w:szCs w:val="22"/>
          <w:lang w:val="en-US" w:eastAsia="en-US"/>
        </w:rPr>
        <w:t>and pathologist-attended (73051/</w:t>
      </w:r>
      <w:r>
        <w:rPr>
          <w:szCs w:val="22"/>
          <w:lang w:val="en-US" w:eastAsia="en-US"/>
        </w:rPr>
        <w:t>73066</w:t>
      </w:r>
      <w:r w:rsidRPr="00B63EE7">
        <w:rPr>
          <w:szCs w:val="22"/>
          <w:lang w:val="en-US" w:eastAsia="en-US"/>
        </w:rPr>
        <w:t xml:space="preserve">) </w:t>
      </w:r>
      <w:r>
        <w:rPr>
          <w:szCs w:val="22"/>
          <w:lang w:val="en-US" w:eastAsia="en-US"/>
        </w:rPr>
        <w:t>fine-needle aspiration</w:t>
      </w:r>
      <w:r w:rsidRPr="00B63EE7">
        <w:rPr>
          <w:szCs w:val="22"/>
          <w:lang w:val="en-US" w:eastAsia="en-US"/>
        </w:rPr>
        <w:t xml:space="preserve"> biopsies.</w:t>
      </w:r>
      <w:r>
        <w:rPr>
          <w:szCs w:val="22"/>
          <w:lang w:val="en-US" w:eastAsia="en-US"/>
        </w:rPr>
        <w:t xml:space="preserve"> </w:t>
      </w:r>
      <w:r w:rsidRPr="00B63EE7">
        <w:rPr>
          <w:szCs w:val="22"/>
          <w:lang w:val="en-US" w:eastAsia="en-US"/>
        </w:rPr>
        <w:t xml:space="preserve">The vast majority of the higher complexity </w:t>
      </w:r>
      <w:r>
        <w:rPr>
          <w:szCs w:val="22"/>
          <w:lang w:val="en-US" w:eastAsia="en-US"/>
        </w:rPr>
        <w:t xml:space="preserve">cytology </w:t>
      </w:r>
      <w:r w:rsidRPr="00B63EE7">
        <w:rPr>
          <w:szCs w:val="22"/>
          <w:lang w:val="en-US" w:eastAsia="en-US"/>
        </w:rPr>
        <w:t>items are specialist-reque</w:t>
      </w:r>
      <w:r w:rsidRPr="00AB5985">
        <w:rPr>
          <w:szCs w:val="22"/>
          <w:lang w:val="en-US" w:eastAsia="en-US"/>
        </w:rPr>
        <w:t xml:space="preserve">sted. </w:t>
      </w:r>
    </w:p>
    <w:p w14:paraId="4C15DBAF" w14:textId="77777777" w:rsidR="004F4A03" w:rsidRPr="00AB5985" w:rsidRDefault="002E44A4" w:rsidP="00E321B4">
      <w:pPr>
        <w:pStyle w:val="NormalBulleted"/>
        <w:numPr>
          <w:ilvl w:val="0"/>
          <w:numId w:val="0"/>
        </w:numPr>
        <w:rPr>
          <w:lang w:val="en-US" w:eastAsia="en-US"/>
        </w:rPr>
      </w:pPr>
      <w:r>
        <w:rPr>
          <w:lang w:val="en-US" w:eastAsia="en-US"/>
        </w:rPr>
        <w:t xml:space="preserve">As </w:t>
      </w:r>
      <w:r w:rsidR="00921072">
        <w:rPr>
          <w:lang w:val="en-US" w:eastAsia="en-US"/>
        </w:rPr>
        <w:t>with Tissue Pathology items</w:t>
      </w:r>
      <w:r w:rsidR="004F4A03" w:rsidRPr="00AB5985">
        <w:rPr>
          <w:lang w:val="en-US" w:eastAsia="en-US"/>
        </w:rPr>
        <w:t>, non-</w:t>
      </w:r>
      <w:proofErr w:type="spellStart"/>
      <w:r w:rsidR="004F4A03" w:rsidRPr="00AB5985">
        <w:rPr>
          <w:lang w:val="en-US" w:eastAsia="en-US"/>
        </w:rPr>
        <w:t>gynaecological</w:t>
      </w:r>
      <w:proofErr w:type="spellEnd"/>
      <w:r w:rsidR="004F4A03" w:rsidRPr="00AB5985">
        <w:rPr>
          <w:lang w:val="en-US" w:eastAsia="en-US"/>
        </w:rPr>
        <w:t xml:space="preserve"> cytology </w:t>
      </w:r>
      <w:r w:rsidR="00921072">
        <w:rPr>
          <w:lang w:val="en-US" w:eastAsia="en-US"/>
        </w:rPr>
        <w:t xml:space="preserve">items </w:t>
      </w:r>
      <w:r w:rsidR="004F4A03" w:rsidRPr="00AB5985">
        <w:rPr>
          <w:lang w:val="en-US" w:eastAsia="en-US"/>
        </w:rPr>
        <w:t xml:space="preserve">can be viewed as </w:t>
      </w:r>
      <w:r w:rsidR="00B0793A">
        <w:rPr>
          <w:lang w:val="en-US" w:eastAsia="en-US"/>
        </w:rPr>
        <w:t>covering</w:t>
      </w:r>
      <w:r w:rsidR="00E321B4">
        <w:rPr>
          <w:lang w:val="en-US" w:eastAsia="en-US"/>
        </w:rPr>
        <w:t xml:space="preserve"> </w:t>
      </w:r>
      <w:proofErr w:type="gramStart"/>
      <w:r w:rsidR="00E321B4">
        <w:rPr>
          <w:lang w:val="en-US" w:eastAsia="en-US"/>
        </w:rPr>
        <w:t>a</w:t>
      </w:r>
      <w:r w:rsidR="004F4A03" w:rsidRPr="00AB5985">
        <w:rPr>
          <w:lang w:val="en-US" w:eastAsia="en-US"/>
        </w:rPr>
        <w:t xml:space="preserve"> number of</w:t>
      </w:r>
      <w:proofErr w:type="gramEnd"/>
      <w:r w:rsidR="004F4A03" w:rsidRPr="00AB5985">
        <w:rPr>
          <w:lang w:val="en-US" w:eastAsia="en-US"/>
        </w:rPr>
        <w:t xml:space="preserve"> different </w:t>
      </w:r>
      <w:r>
        <w:rPr>
          <w:lang w:val="en-US" w:eastAsia="en-US"/>
        </w:rPr>
        <w:t>‘</w:t>
      </w:r>
      <w:r w:rsidR="004F4A03" w:rsidRPr="00AB5985">
        <w:rPr>
          <w:lang w:val="en-US" w:eastAsia="en-US"/>
        </w:rPr>
        <w:t>complexity</w:t>
      </w:r>
      <w:r>
        <w:rPr>
          <w:lang w:val="en-US" w:eastAsia="en-US"/>
        </w:rPr>
        <w:t xml:space="preserve">’ </w:t>
      </w:r>
      <w:r w:rsidR="00B21D4A">
        <w:rPr>
          <w:lang w:val="en-US" w:eastAsia="en-US"/>
        </w:rPr>
        <w:t>level</w:t>
      </w:r>
      <w:r w:rsidR="004F4A03" w:rsidRPr="00AB5985">
        <w:rPr>
          <w:lang w:val="en-US" w:eastAsia="en-US"/>
        </w:rPr>
        <w:t xml:space="preserve">s, with multipliers in place for </w:t>
      </w:r>
      <w:r>
        <w:rPr>
          <w:lang w:val="en-US" w:eastAsia="en-US"/>
        </w:rPr>
        <w:t>more than one</w:t>
      </w:r>
      <w:r w:rsidRPr="00AB5985">
        <w:rPr>
          <w:lang w:val="en-US" w:eastAsia="en-US"/>
        </w:rPr>
        <w:t xml:space="preserve"> </w:t>
      </w:r>
      <w:r w:rsidR="00A55CA5" w:rsidRPr="00AB5985">
        <w:rPr>
          <w:lang w:val="en-US" w:eastAsia="en-US"/>
        </w:rPr>
        <w:t xml:space="preserve">specimen at </w:t>
      </w:r>
      <w:r w:rsidR="004F4A03" w:rsidRPr="00AB5985">
        <w:rPr>
          <w:lang w:val="en-US" w:eastAsia="en-US"/>
        </w:rPr>
        <w:t xml:space="preserve">some of these </w:t>
      </w:r>
      <w:r w:rsidR="00B21D4A">
        <w:rPr>
          <w:lang w:val="en-US" w:eastAsia="en-US"/>
        </w:rPr>
        <w:t>level</w:t>
      </w:r>
      <w:r w:rsidR="004F4A03" w:rsidRPr="00AB5985">
        <w:rPr>
          <w:lang w:val="en-US" w:eastAsia="en-US"/>
        </w:rPr>
        <w:t>s.</w:t>
      </w:r>
      <w:r w:rsidR="00E321B4">
        <w:rPr>
          <w:lang w:val="en-US" w:eastAsia="en-US"/>
        </w:rPr>
        <w:t xml:space="preserve">  If ranked from lowest to highest complexity, the non-</w:t>
      </w:r>
      <w:proofErr w:type="spellStart"/>
      <w:r w:rsidR="00E321B4">
        <w:rPr>
          <w:lang w:val="en-US" w:eastAsia="en-US"/>
        </w:rPr>
        <w:t>gynaecological</w:t>
      </w:r>
      <w:proofErr w:type="spellEnd"/>
      <w:r w:rsidR="00E321B4">
        <w:rPr>
          <w:lang w:val="en-US" w:eastAsia="en-US"/>
        </w:rPr>
        <w:t xml:space="preserve"> items may be </w:t>
      </w:r>
      <w:proofErr w:type="spellStart"/>
      <w:r w:rsidR="00921072">
        <w:rPr>
          <w:lang w:val="en-US" w:eastAsia="en-US"/>
        </w:rPr>
        <w:t>summarised</w:t>
      </w:r>
      <w:proofErr w:type="spellEnd"/>
      <w:r w:rsidR="00E321B4">
        <w:rPr>
          <w:lang w:val="en-US" w:eastAsia="en-US"/>
        </w:rPr>
        <w:t xml:space="preserve"> as follows:</w:t>
      </w:r>
    </w:p>
    <w:p w14:paraId="7D99A662" w14:textId="77777777" w:rsidR="00E321B4" w:rsidRPr="00AB5985" w:rsidRDefault="00E321B4" w:rsidP="00774742">
      <w:pPr>
        <w:pStyle w:val="NormalBulleted"/>
        <w:numPr>
          <w:ilvl w:val="0"/>
          <w:numId w:val="0"/>
        </w:numPr>
        <w:rPr>
          <w:lang w:val="en-US" w:eastAsia="en-US"/>
        </w:rPr>
      </w:pPr>
    </w:p>
    <w:p w14:paraId="0A90E754" w14:textId="77777777" w:rsidR="004F4A03" w:rsidRPr="00AB5985" w:rsidRDefault="004F4A03" w:rsidP="00E321B4">
      <w:pPr>
        <w:pStyle w:val="NormalBulleted"/>
        <w:numPr>
          <w:ilvl w:val="0"/>
          <w:numId w:val="0"/>
        </w:numPr>
        <w:ind w:left="720" w:hanging="720"/>
        <w:rPr>
          <w:lang w:val="en-US" w:eastAsia="en-US"/>
        </w:rPr>
      </w:pPr>
      <w:r w:rsidRPr="00B63EE7">
        <w:rPr>
          <w:lang w:val="en-US" w:eastAsia="en-US"/>
        </w:rPr>
        <w:t>73043:</w:t>
      </w:r>
      <w:r w:rsidR="00E321B4">
        <w:rPr>
          <w:lang w:val="en-US" w:eastAsia="en-US"/>
        </w:rPr>
        <w:tab/>
      </w:r>
      <w:r w:rsidRPr="00B63EE7">
        <w:rPr>
          <w:lang w:val="en-US" w:eastAsia="en-US"/>
        </w:rPr>
        <w:t>A squamous mucosal</w:t>
      </w:r>
      <w:r w:rsidRPr="00AB5985">
        <w:rPr>
          <w:lang w:val="en-US" w:eastAsia="en-US"/>
        </w:rPr>
        <w:t>/nippl</w:t>
      </w:r>
      <w:r w:rsidR="00E321B4">
        <w:rPr>
          <w:lang w:val="en-US" w:eastAsia="en-US"/>
        </w:rPr>
        <w:t xml:space="preserve">e smear, generally </w:t>
      </w:r>
      <w:r w:rsidR="00B0793A">
        <w:rPr>
          <w:lang w:val="en-US" w:eastAsia="en-US"/>
        </w:rPr>
        <w:t xml:space="preserve">involving </w:t>
      </w:r>
      <w:r w:rsidR="00E321B4">
        <w:rPr>
          <w:lang w:val="en-US" w:eastAsia="en-US"/>
        </w:rPr>
        <w:t>direct slide</w:t>
      </w:r>
      <w:r w:rsidRPr="00AB5985">
        <w:rPr>
          <w:lang w:val="en-US" w:eastAsia="en-US"/>
        </w:rPr>
        <w:t xml:space="preserve"> preparation with limited numbers of slides (although </w:t>
      </w:r>
      <w:r w:rsidR="002E44A4">
        <w:rPr>
          <w:lang w:val="en-US" w:eastAsia="en-US"/>
        </w:rPr>
        <w:t>liquid-b</w:t>
      </w:r>
      <w:r w:rsidR="002E44A4" w:rsidRPr="00AB5985">
        <w:rPr>
          <w:lang w:val="en-US" w:eastAsia="en-US"/>
        </w:rPr>
        <w:t xml:space="preserve">ased </w:t>
      </w:r>
      <w:r w:rsidR="002E44A4">
        <w:rPr>
          <w:lang w:val="en-US" w:eastAsia="en-US"/>
        </w:rPr>
        <w:t>c</w:t>
      </w:r>
      <w:r w:rsidR="002E44A4" w:rsidRPr="00AB5985">
        <w:rPr>
          <w:lang w:val="en-US" w:eastAsia="en-US"/>
        </w:rPr>
        <w:t xml:space="preserve">ytology </w:t>
      </w:r>
      <w:r w:rsidRPr="00AB5985">
        <w:rPr>
          <w:lang w:val="en-US" w:eastAsia="en-US"/>
        </w:rPr>
        <w:t>is required for anal smears)</w:t>
      </w:r>
      <w:r w:rsidR="002E44A4">
        <w:rPr>
          <w:lang w:val="en-US" w:eastAsia="en-US"/>
        </w:rPr>
        <w:t>.</w:t>
      </w:r>
    </w:p>
    <w:p w14:paraId="74074061" w14:textId="77777777" w:rsidR="00E321B4" w:rsidRDefault="004F4A03" w:rsidP="00E321B4">
      <w:pPr>
        <w:pStyle w:val="NormalBulleted"/>
        <w:numPr>
          <w:ilvl w:val="0"/>
          <w:numId w:val="0"/>
        </w:numPr>
        <w:ind w:left="709" w:hanging="709"/>
        <w:rPr>
          <w:lang w:val="en-US" w:eastAsia="en-US"/>
        </w:rPr>
      </w:pPr>
      <w:r w:rsidRPr="00AB5985">
        <w:rPr>
          <w:lang w:val="en-US" w:eastAsia="en-US"/>
        </w:rPr>
        <w:t xml:space="preserve">73045: </w:t>
      </w:r>
      <w:r w:rsidR="00E321B4">
        <w:rPr>
          <w:lang w:val="en-US" w:eastAsia="en-US"/>
        </w:rPr>
        <w:tab/>
      </w:r>
      <w:r w:rsidRPr="00AB5985">
        <w:rPr>
          <w:lang w:val="en-US" w:eastAsia="en-US"/>
        </w:rPr>
        <w:t>Washing/brushing or fluid examination, often requiring a spin</w:t>
      </w:r>
      <w:r w:rsidR="002E44A4">
        <w:rPr>
          <w:lang w:val="en-US" w:eastAsia="en-US"/>
        </w:rPr>
        <w:t>-</w:t>
      </w:r>
      <w:r w:rsidRPr="00AB5985">
        <w:rPr>
          <w:lang w:val="en-US" w:eastAsia="en-US"/>
        </w:rPr>
        <w:t>down of fluid to prepare multiple slides, and possibly a cell block preparation</w:t>
      </w:r>
      <w:r w:rsidR="00B0793A">
        <w:rPr>
          <w:lang w:val="en-US" w:eastAsia="en-US"/>
        </w:rPr>
        <w:t>.</w:t>
      </w:r>
    </w:p>
    <w:p w14:paraId="553DB249" w14:textId="77777777" w:rsidR="004F4A03" w:rsidRPr="00AB5985" w:rsidRDefault="004F4A03" w:rsidP="00E321B4">
      <w:pPr>
        <w:pStyle w:val="NormalBulleted"/>
        <w:numPr>
          <w:ilvl w:val="0"/>
          <w:numId w:val="0"/>
        </w:numPr>
        <w:ind w:left="709"/>
        <w:rPr>
          <w:lang w:val="en-US" w:eastAsia="en-US"/>
        </w:rPr>
      </w:pPr>
      <w:r w:rsidRPr="00AB5985">
        <w:rPr>
          <w:lang w:val="en-US" w:eastAsia="en-US"/>
        </w:rPr>
        <w:t xml:space="preserve"> (73047</w:t>
      </w:r>
      <w:r w:rsidR="002E44A4">
        <w:rPr>
          <w:lang w:val="en-US" w:eastAsia="en-US"/>
        </w:rPr>
        <w:t>:</w:t>
      </w:r>
      <w:r w:rsidRPr="00AB5985">
        <w:rPr>
          <w:lang w:val="en-US" w:eastAsia="en-US"/>
        </w:rPr>
        <w:t xml:space="preserve"> </w:t>
      </w:r>
      <w:r w:rsidR="002E44A4">
        <w:rPr>
          <w:lang w:val="en-US" w:eastAsia="en-US"/>
        </w:rPr>
        <w:t>‘</w:t>
      </w:r>
      <w:r w:rsidRPr="00AB5985">
        <w:rPr>
          <w:lang w:val="en-US" w:eastAsia="en-US"/>
        </w:rPr>
        <w:t>series of 3 urines or sputa</w:t>
      </w:r>
      <w:r w:rsidR="002E44A4">
        <w:rPr>
          <w:lang w:val="en-US" w:eastAsia="en-US"/>
        </w:rPr>
        <w:t>’</w:t>
      </w:r>
      <w:r w:rsidRPr="00AB5985">
        <w:rPr>
          <w:lang w:val="en-US" w:eastAsia="en-US"/>
        </w:rPr>
        <w:t>)</w:t>
      </w:r>
    </w:p>
    <w:p w14:paraId="3AED8DD6" w14:textId="77777777" w:rsidR="00E321B4" w:rsidRDefault="004F4A03" w:rsidP="00E321B4">
      <w:pPr>
        <w:pStyle w:val="NormalBulleted"/>
        <w:numPr>
          <w:ilvl w:val="0"/>
          <w:numId w:val="0"/>
        </w:numPr>
        <w:ind w:left="709" w:hanging="709"/>
        <w:rPr>
          <w:lang w:val="en-US" w:eastAsia="en-US"/>
        </w:rPr>
      </w:pPr>
      <w:r w:rsidRPr="00AB5985">
        <w:rPr>
          <w:lang w:val="en-US" w:eastAsia="en-US"/>
        </w:rPr>
        <w:t xml:space="preserve">73049: </w:t>
      </w:r>
      <w:r w:rsidR="00E321B4">
        <w:rPr>
          <w:lang w:val="en-US" w:eastAsia="en-US"/>
        </w:rPr>
        <w:tab/>
      </w:r>
      <w:r w:rsidRPr="00AB5985">
        <w:rPr>
          <w:lang w:val="en-US" w:eastAsia="en-US"/>
        </w:rPr>
        <w:t xml:space="preserve">A </w:t>
      </w:r>
      <w:r w:rsidR="002E44A4">
        <w:rPr>
          <w:lang w:val="en-US" w:eastAsia="en-US"/>
        </w:rPr>
        <w:t>fine-needle aspiration</w:t>
      </w:r>
      <w:r w:rsidRPr="00AB5985">
        <w:rPr>
          <w:lang w:val="en-US" w:eastAsia="en-US"/>
        </w:rPr>
        <w:t xml:space="preserve"> biopsy (possibly with multiple passes, and usually involving preparation of a paraffin cell block)</w:t>
      </w:r>
      <w:r w:rsidR="00B0793A">
        <w:rPr>
          <w:lang w:val="en-US" w:eastAsia="en-US"/>
        </w:rPr>
        <w:t>.</w:t>
      </w:r>
    </w:p>
    <w:p w14:paraId="4667131F" w14:textId="77777777" w:rsidR="004F4A03" w:rsidRPr="00AB5985" w:rsidRDefault="004F4A03" w:rsidP="00E321B4">
      <w:pPr>
        <w:pStyle w:val="NormalBulleted"/>
        <w:numPr>
          <w:ilvl w:val="0"/>
          <w:numId w:val="0"/>
        </w:numPr>
        <w:ind w:left="709"/>
        <w:rPr>
          <w:lang w:val="en-US" w:eastAsia="en-US"/>
        </w:rPr>
      </w:pPr>
      <w:r w:rsidRPr="00AB5985">
        <w:rPr>
          <w:lang w:val="en-US" w:eastAsia="en-US"/>
        </w:rPr>
        <w:t xml:space="preserve"> (73062</w:t>
      </w:r>
      <w:r w:rsidR="002E44A4">
        <w:rPr>
          <w:lang w:val="en-US" w:eastAsia="en-US"/>
        </w:rPr>
        <w:t>:</w:t>
      </w:r>
      <w:r w:rsidRPr="00AB5985">
        <w:rPr>
          <w:lang w:val="en-US" w:eastAsia="en-US"/>
        </w:rPr>
        <w:t xml:space="preserve"> </w:t>
      </w:r>
      <w:r w:rsidR="002E44A4">
        <w:rPr>
          <w:lang w:val="en-US" w:eastAsia="en-US"/>
        </w:rPr>
        <w:t>‘</w:t>
      </w:r>
      <w:r w:rsidR="00921072">
        <w:rPr>
          <w:lang w:val="en-US" w:eastAsia="en-US"/>
        </w:rPr>
        <w:t xml:space="preserve">FNAB at </w:t>
      </w:r>
      <w:r w:rsidRPr="00AB5985">
        <w:rPr>
          <w:lang w:val="en-US" w:eastAsia="en-US"/>
        </w:rPr>
        <w:t>2+ sites</w:t>
      </w:r>
      <w:r w:rsidR="002E44A4">
        <w:rPr>
          <w:lang w:val="en-US" w:eastAsia="en-US"/>
        </w:rPr>
        <w:t>’</w:t>
      </w:r>
      <w:r w:rsidRPr="00AB5985">
        <w:rPr>
          <w:lang w:val="en-US" w:eastAsia="en-US"/>
        </w:rPr>
        <w:t>)</w:t>
      </w:r>
    </w:p>
    <w:p w14:paraId="7B5577EE" w14:textId="77777777" w:rsidR="00921072" w:rsidRDefault="004F4A03" w:rsidP="00921072">
      <w:pPr>
        <w:pStyle w:val="NormalBulleted"/>
        <w:numPr>
          <w:ilvl w:val="0"/>
          <w:numId w:val="0"/>
        </w:numPr>
        <w:ind w:left="709" w:hanging="709"/>
        <w:rPr>
          <w:lang w:val="en-US" w:eastAsia="en-US"/>
        </w:rPr>
      </w:pPr>
      <w:r w:rsidRPr="00AB5985">
        <w:rPr>
          <w:lang w:val="en-US" w:eastAsia="en-US"/>
        </w:rPr>
        <w:t xml:space="preserve">73063: </w:t>
      </w:r>
      <w:r w:rsidR="00921072">
        <w:rPr>
          <w:lang w:val="en-US" w:eastAsia="en-US"/>
        </w:rPr>
        <w:tab/>
      </w:r>
      <w:r w:rsidRPr="00AB5985">
        <w:rPr>
          <w:lang w:val="en-US" w:eastAsia="en-US"/>
        </w:rPr>
        <w:t xml:space="preserve">A </w:t>
      </w:r>
      <w:r w:rsidR="002E44A4">
        <w:rPr>
          <w:lang w:val="en-US" w:eastAsia="en-US"/>
        </w:rPr>
        <w:t>fine-needle aspiration</w:t>
      </w:r>
      <w:r w:rsidRPr="00AB5985">
        <w:rPr>
          <w:lang w:val="en-US" w:eastAsia="en-US"/>
        </w:rPr>
        <w:t xml:space="preserve"> biopsy, attended by a cytologist (possibly off site) to assess adequacy of the sample and triage for other tests (such as flow cytometry) where required</w:t>
      </w:r>
      <w:r w:rsidR="00B0793A">
        <w:rPr>
          <w:lang w:val="en-US" w:eastAsia="en-US"/>
        </w:rPr>
        <w:t>.</w:t>
      </w:r>
      <w:r w:rsidRPr="00AB5985">
        <w:rPr>
          <w:lang w:val="en-US" w:eastAsia="en-US"/>
        </w:rPr>
        <w:t xml:space="preserve"> </w:t>
      </w:r>
    </w:p>
    <w:p w14:paraId="18E6E657" w14:textId="77777777" w:rsidR="004F4A03" w:rsidRPr="00AB5985" w:rsidRDefault="004F4A03" w:rsidP="00921072">
      <w:pPr>
        <w:pStyle w:val="NormalBulleted"/>
        <w:numPr>
          <w:ilvl w:val="0"/>
          <w:numId w:val="0"/>
        </w:numPr>
        <w:ind w:left="709"/>
        <w:rPr>
          <w:lang w:val="en-US" w:eastAsia="en-US"/>
        </w:rPr>
      </w:pPr>
      <w:r w:rsidRPr="00AB5985">
        <w:rPr>
          <w:lang w:val="en-US" w:eastAsia="en-US"/>
        </w:rPr>
        <w:t>(73067</w:t>
      </w:r>
      <w:r w:rsidR="00F41A10">
        <w:rPr>
          <w:lang w:val="en-US" w:eastAsia="en-US"/>
        </w:rPr>
        <w:t>:</w:t>
      </w:r>
      <w:r w:rsidRPr="00AB5985">
        <w:rPr>
          <w:lang w:val="en-US" w:eastAsia="en-US"/>
        </w:rPr>
        <w:t xml:space="preserve"> </w:t>
      </w:r>
      <w:r w:rsidR="00F41A10">
        <w:rPr>
          <w:lang w:val="en-US" w:eastAsia="en-US"/>
        </w:rPr>
        <w:t>‘</w:t>
      </w:r>
      <w:r w:rsidR="00921072">
        <w:rPr>
          <w:lang w:val="en-US" w:eastAsia="en-US"/>
        </w:rPr>
        <w:t xml:space="preserve">Attended FNAB at </w:t>
      </w:r>
      <w:r w:rsidRPr="00AB5985">
        <w:rPr>
          <w:lang w:val="en-US" w:eastAsia="en-US"/>
        </w:rPr>
        <w:t>2+ sites</w:t>
      </w:r>
      <w:r w:rsidR="00F41A10">
        <w:rPr>
          <w:lang w:val="en-US" w:eastAsia="en-US"/>
        </w:rPr>
        <w:t>’</w:t>
      </w:r>
      <w:r w:rsidRPr="00AB5985">
        <w:rPr>
          <w:lang w:val="en-US" w:eastAsia="en-US"/>
        </w:rPr>
        <w:t>)</w:t>
      </w:r>
      <w:r w:rsidR="00F41A10">
        <w:rPr>
          <w:lang w:val="en-US" w:eastAsia="en-US"/>
        </w:rPr>
        <w:t>.</w:t>
      </w:r>
    </w:p>
    <w:p w14:paraId="6D1F5B43" w14:textId="77777777" w:rsidR="00921072" w:rsidRDefault="004F4A03" w:rsidP="00921072">
      <w:pPr>
        <w:pStyle w:val="NormalBulleted"/>
        <w:numPr>
          <w:ilvl w:val="0"/>
          <w:numId w:val="0"/>
        </w:numPr>
        <w:ind w:left="709" w:hanging="709"/>
        <w:rPr>
          <w:lang w:val="en-US" w:eastAsia="en-US"/>
        </w:rPr>
      </w:pPr>
      <w:r w:rsidRPr="00AB5985">
        <w:rPr>
          <w:lang w:val="en-US" w:eastAsia="en-US"/>
        </w:rPr>
        <w:t xml:space="preserve">73051: </w:t>
      </w:r>
      <w:r w:rsidR="00921072">
        <w:rPr>
          <w:lang w:val="en-US" w:eastAsia="en-US"/>
        </w:rPr>
        <w:tab/>
      </w:r>
      <w:r w:rsidRPr="00AB5985">
        <w:rPr>
          <w:lang w:val="en-US" w:eastAsia="en-US"/>
        </w:rPr>
        <w:t xml:space="preserve">A </w:t>
      </w:r>
      <w:r w:rsidR="002E44A4">
        <w:rPr>
          <w:lang w:val="en-US" w:eastAsia="en-US"/>
        </w:rPr>
        <w:t>fine-needle aspiration</w:t>
      </w:r>
      <w:r w:rsidRPr="00AB5985">
        <w:rPr>
          <w:lang w:val="en-US" w:eastAsia="en-US"/>
        </w:rPr>
        <w:t xml:space="preserve"> biopsy, attended by a pathologist to give rapid on-site diagnosis </w:t>
      </w:r>
      <w:r w:rsidR="00B0793A">
        <w:rPr>
          <w:lang w:val="en-US" w:eastAsia="en-US"/>
        </w:rPr>
        <w:t>(</w:t>
      </w:r>
      <w:proofErr w:type="gramStart"/>
      <w:r w:rsidR="00B0793A">
        <w:rPr>
          <w:lang w:val="en-US" w:eastAsia="en-US"/>
        </w:rPr>
        <w:t>similar to</w:t>
      </w:r>
      <w:proofErr w:type="gramEnd"/>
      <w:r w:rsidR="00B0793A">
        <w:rPr>
          <w:lang w:val="en-US" w:eastAsia="en-US"/>
        </w:rPr>
        <w:t xml:space="preserve"> a frozen section).</w:t>
      </w:r>
    </w:p>
    <w:p w14:paraId="66FD1A5D" w14:textId="77777777" w:rsidR="00B51F7A" w:rsidRPr="00AB5985" w:rsidRDefault="004F4A03" w:rsidP="00921072">
      <w:pPr>
        <w:pStyle w:val="NormalBulleted"/>
        <w:numPr>
          <w:ilvl w:val="0"/>
          <w:numId w:val="0"/>
        </w:numPr>
        <w:ind w:left="709"/>
        <w:rPr>
          <w:lang w:val="en-US" w:eastAsia="en-US"/>
        </w:rPr>
      </w:pPr>
      <w:r w:rsidRPr="00AB5985">
        <w:rPr>
          <w:lang w:val="en-US" w:eastAsia="en-US"/>
        </w:rPr>
        <w:t>(73066</w:t>
      </w:r>
      <w:r w:rsidR="00F41A10">
        <w:rPr>
          <w:lang w:val="en-US" w:eastAsia="en-US"/>
        </w:rPr>
        <w:t>:</w:t>
      </w:r>
      <w:r w:rsidRPr="00AB5985">
        <w:rPr>
          <w:lang w:val="en-US" w:eastAsia="en-US"/>
        </w:rPr>
        <w:t xml:space="preserve"> </w:t>
      </w:r>
      <w:r w:rsidR="00F41A10">
        <w:rPr>
          <w:lang w:val="en-US" w:eastAsia="en-US"/>
        </w:rPr>
        <w:t>‘</w:t>
      </w:r>
      <w:r w:rsidR="00921072">
        <w:rPr>
          <w:lang w:val="en-US" w:eastAsia="en-US"/>
        </w:rPr>
        <w:t xml:space="preserve">Pathologist-attended FNAB at </w:t>
      </w:r>
      <w:r w:rsidRPr="00AB5985">
        <w:rPr>
          <w:lang w:val="en-US" w:eastAsia="en-US"/>
        </w:rPr>
        <w:t>2+ sites</w:t>
      </w:r>
      <w:r w:rsidR="00F41A10">
        <w:rPr>
          <w:lang w:val="en-US" w:eastAsia="en-US"/>
        </w:rPr>
        <w:t>’</w:t>
      </w:r>
      <w:r w:rsidRPr="00AB5985">
        <w:rPr>
          <w:lang w:val="en-US" w:eastAsia="en-US"/>
        </w:rPr>
        <w:t>)</w:t>
      </w:r>
      <w:r w:rsidR="00F41A10">
        <w:rPr>
          <w:lang w:val="en-US" w:eastAsia="en-US"/>
        </w:rPr>
        <w:t>.</w:t>
      </w:r>
    </w:p>
    <w:p w14:paraId="16E959E6" w14:textId="77777777" w:rsidR="00921072" w:rsidRDefault="00921072" w:rsidP="00774742">
      <w:pPr>
        <w:pStyle w:val="NormalBulleted"/>
        <w:numPr>
          <w:ilvl w:val="0"/>
          <w:numId w:val="0"/>
        </w:numPr>
      </w:pPr>
    </w:p>
    <w:p w14:paraId="112A868D" w14:textId="77777777" w:rsidR="00B51F7A" w:rsidRPr="00AB5985" w:rsidRDefault="00B51F7A" w:rsidP="00774742">
      <w:pPr>
        <w:pStyle w:val="NormalBulleted"/>
        <w:numPr>
          <w:ilvl w:val="0"/>
          <w:numId w:val="0"/>
        </w:numPr>
      </w:pPr>
      <w:r w:rsidRPr="00AB5985">
        <w:t xml:space="preserve">There is no rebate for the preparation of a cytology cell block (a </w:t>
      </w:r>
      <w:r w:rsidR="00B647D8">
        <w:t>‘</w:t>
      </w:r>
      <w:r w:rsidRPr="00AB5985">
        <w:t>clot</w:t>
      </w:r>
      <w:r w:rsidR="00B647D8">
        <w:t>’</w:t>
      </w:r>
      <w:r w:rsidRPr="00AB5985">
        <w:t xml:space="preserve"> of cells embedded in paraffin) unless it is utilised for immunocytochemical stains. Issues relating to cytology </w:t>
      </w:r>
      <w:r w:rsidR="00FC1D24" w:rsidRPr="00AB5985">
        <w:t xml:space="preserve">immunocytochemistry </w:t>
      </w:r>
      <w:r w:rsidRPr="00AB5985">
        <w:t>items are considered further below in Section 4.4.</w:t>
      </w:r>
      <w:r w:rsidR="00E11BC0">
        <w:rPr>
          <w:noProof/>
        </w:rPr>
        <w:t xml:space="preserve"> </w:t>
      </w:r>
    </w:p>
    <w:p w14:paraId="27789954" w14:textId="77777777" w:rsidR="00E21631" w:rsidRDefault="00E21631" w:rsidP="00774742">
      <w:pPr>
        <w:pStyle w:val="NormalBulleted"/>
        <w:numPr>
          <w:ilvl w:val="0"/>
          <w:numId w:val="0"/>
        </w:numPr>
        <w:ind w:left="431"/>
        <w:rPr>
          <w:lang w:val="en-US" w:eastAsia="en-US"/>
        </w:rPr>
      </w:pPr>
      <w:r>
        <w:rPr>
          <w:lang w:val="en-US" w:eastAsia="en-US"/>
        </w:rPr>
        <w:br w:type="page"/>
      </w:r>
    </w:p>
    <w:p w14:paraId="589EF7A4" w14:textId="77777777" w:rsidR="0022244D" w:rsidRPr="002E2665" w:rsidRDefault="0022244D" w:rsidP="00772F53">
      <w:pPr>
        <w:pStyle w:val="Heading2"/>
      </w:pPr>
      <w:bookmarkStart w:id="51" w:name="_Toc482203580"/>
      <w:bookmarkStart w:id="52" w:name="_Toc514243831"/>
      <w:r w:rsidRPr="002E2665">
        <w:lastRenderedPageBreak/>
        <w:t xml:space="preserve">Proposed changes to the </w:t>
      </w:r>
      <w:r w:rsidR="0012711C" w:rsidRPr="002E2665">
        <w:t>Histo</w:t>
      </w:r>
      <w:r w:rsidR="0081767E">
        <w:t>pathology</w:t>
      </w:r>
      <w:r w:rsidR="0012711C" w:rsidRPr="002E2665">
        <w:t xml:space="preserve"> </w:t>
      </w:r>
      <w:r w:rsidR="0081767E">
        <w:t>C</w:t>
      </w:r>
      <w:r w:rsidRPr="002E2665">
        <w:t xml:space="preserve">omplexity </w:t>
      </w:r>
      <w:proofErr w:type="gramStart"/>
      <w:r w:rsidR="0081767E">
        <w:t>Levels</w:t>
      </w:r>
      <w:proofErr w:type="gramEnd"/>
      <w:r w:rsidR="0081767E">
        <w:t xml:space="preserve"> </w:t>
      </w:r>
      <w:r w:rsidRPr="002E2665">
        <w:t>table</w:t>
      </w:r>
      <w:bookmarkEnd w:id="51"/>
      <w:bookmarkEnd w:id="52"/>
    </w:p>
    <w:p w14:paraId="658F3D65" w14:textId="77777777" w:rsidR="00053705" w:rsidRPr="00921072" w:rsidRDefault="00CD7324" w:rsidP="007337CF">
      <w:pPr>
        <w:spacing w:beforeLines="60" w:before="144" w:afterLines="60" w:after="144" w:line="276" w:lineRule="auto"/>
        <w:rPr>
          <w:b/>
          <w:i/>
          <w:color w:val="01653F"/>
          <w:sz w:val="24"/>
          <w:lang w:val="en-US" w:eastAsia="en-US"/>
        </w:rPr>
      </w:pPr>
      <w:r w:rsidRPr="00921072">
        <w:rPr>
          <w:b/>
          <w:i/>
          <w:color w:val="01653F"/>
          <w:sz w:val="24"/>
          <w:lang w:val="en-US" w:eastAsia="en-US"/>
        </w:rPr>
        <w:t>Introduction</w:t>
      </w:r>
    </w:p>
    <w:p w14:paraId="43333E55" w14:textId="77777777" w:rsidR="00CD7324" w:rsidRDefault="00E86DF1" w:rsidP="00AB5985">
      <w:pPr>
        <w:rPr>
          <w:szCs w:val="22"/>
          <w:lang w:val="en-US" w:eastAsia="en-US"/>
        </w:rPr>
      </w:pPr>
      <w:r w:rsidRPr="00AB5985">
        <w:rPr>
          <w:szCs w:val="22"/>
          <w:lang w:val="en-US" w:eastAsia="en-US"/>
        </w:rPr>
        <w:t>Tissue Pathology</w:t>
      </w:r>
      <w:r w:rsidR="00CD7324">
        <w:rPr>
          <w:szCs w:val="22"/>
          <w:lang w:val="en-US" w:eastAsia="en-US"/>
        </w:rPr>
        <w:t xml:space="preserve"> (Histology)</w:t>
      </w:r>
      <w:r w:rsidR="00CC4AF5" w:rsidRPr="00AB5985">
        <w:rPr>
          <w:szCs w:val="22"/>
          <w:lang w:val="en-US" w:eastAsia="en-US"/>
        </w:rPr>
        <w:t xml:space="preserve"> specimens are classified (and rebated) according </w:t>
      </w:r>
      <w:r w:rsidR="00B647D8">
        <w:rPr>
          <w:szCs w:val="22"/>
          <w:lang w:val="en-US" w:eastAsia="en-US"/>
        </w:rPr>
        <w:t xml:space="preserve">to </w:t>
      </w:r>
      <w:r w:rsidR="00CC4AF5" w:rsidRPr="00AB5985">
        <w:rPr>
          <w:szCs w:val="22"/>
          <w:lang w:val="en-US" w:eastAsia="en-US"/>
        </w:rPr>
        <w:t xml:space="preserve">complexity as currently defined in the </w:t>
      </w:r>
      <w:r w:rsidR="00092B5F">
        <w:rPr>
          <w:szCs w:val="22"/>
          <w:lang w:val="en-US" w:eastAsia="en-US"/>
        </w:rPr>
        <w:t xml:space="preserve">Histopathology </w:t>
      </w:r>
      <w:r w:rsidR="00CC4AF5" w:rsidRPr="00AB5985">
        <w:rPr>
          <w:szCs w:val="22"/>
          <w:lang w:val="en-US" w:eastAsia="en-US"/>
        </w:rPr>
        <w:t xml:space="preserve">Complexity </w:t>
      </w:r>
      <w:r w:rsidR="00092B5F">
        <w:rPr>
          <w:szCs w:val="22"/>
          <w:lang w:val="en-US" w:eastAsia="en-US"/>
        </w:rPr>
        <w:t xml:space="preserve">Levels </w:t>
      </w:r>
      <w:r w:rsidR="00CC4AF5" w:rsidRPr="00AB5985">
        <w:rPr>
          <w:szCs w:val="22"/>
          <w:lang w:val="en-US" w:eastAsia="en-US"/>
        </w:rPr>
        <w:t>Table published at the end of the Pathology Services (Category 6</w:t>
      </w:r>
      <w:proofErr w:type="gramStart"/>
      <w:r w:rsidR="00CC4AF5" w:rsidRPr="00AB5985">
        <w:rPr>
          <w:szCs w:val="22"/>
          <w:lang w:val="en-US" w:eastAsia="en-US"/>
        </w:rPr>
        <w:t>)  of</w:t>
      </w:r>
      <w:proofErr w:type="gramEnd"/>
      <w:r w:rsidR="00CC4AF5" w:rsidRPr="00AB5985">
        <w:rPr>
          <w:szCs w:val="22"/>
          <w:lang w:val="en-US" w:eastAsia="en-US"/>
        </w:rPr>
        <w:t xml:space="preserve"> the MBS.</w:t>
      </w:r>
      <w:r w:rsidR="00B647D8">
        <w:rPr>
          <w:szCs w:val="22"/>
          <w:lang w:val="en-US" w:eastAsia="en-US"/>
        </w:rPr>
        <w:t xml:space="preserve"> </w:t>
      </w:r>
    </w:p>
    <w:p w14:paraId="1FEB1946" w14:textId="77777777" w:rsidR="00AD1437" w:rsidRPr="00AB5985" w:rsidRDefault="00AD1437" w:rsidP="00AD1437">
      <w:pPr>
        <w:rPr>
          <w:szCs w:val="22"/>
          <w:lang w:val="en-US" w:eastAsia="en-US"/>
        </w:rPr>
      </w:pPr>
      <w:r w:rsidRPr="00AB5985">
        <w:rPr>
          <w:szCs w:val="22"/>
        </w:rPr>
        <w:t>The Committee notes that these specimen complexity categories not only relate to MBS billing but are also used by an increasing number of laboratories for allocation of workload and workforce planning, thus appropriate classification of specimens is required for a variety of reasons, not limited to the reimbursement of MBS pathology services.</w:t>
      </w:r>
    </w:p>
    <w:p w14:paraId="19355678" w14:textId="77777777" w:rsidR="00AD1437" w:rsidRDefault="00AD1437" w:rsidP="00AD1437">
      <w:r w:rsidRPr="00AB5985">
        <w:rPr>
          <w:szCs w:val="22"/>
          <w:lang w:val="en-US" w:eastAsia="en-US"/>
        </w:rPr>
        <w:t xml:space="preserve">The recommendations below aim to </w:t>
      </w:r>
      <w:r w:rsidRPr="00AB5985">
        <w:rPr>
          <w:szCs w:val="22"/>
        </w:rPr>
        <w:t>provide equity between different organ systems for similar work, and for work of similar difficulty (laboratory and diagnostic) across systems. The necessity for additional special stains in specimens of a certain type has been highlighted, along with the suggested requirement for use of a Structured Report in complex malignancies.</w:t>
      </w:r>
      <w:r>
        <w:rPr>
          <w:szCs w:val="22"/>
        </w:rPr>
        <w:t xml:space="preserve"> </w:t>
      </w:r>
    </w:p>
    <w:p w14:paraId="2E42EA60" w14:textId="77777777" w:rsidR="0022244D" w:rsidRPr="00AB5985" w:rsidRDefault="0022244D" w:rsidP="00AD1437">
      <w:pPr>
        <w:pStyle w:val="Rec"/>
        <w:ind w:left="0" w:firstLine="0"/>
      </w:pPr>
      <w:bookmarkStart w:id="53" w:name="_Toc482203581"/>
      <w:r w:rsidRPr="00907BED">
        <w:t>Recommendation</w:t>
      </w:r>
      <w:r w:rsidR="00E60294" w:rsidRPr="00907BED">
        <w:t>s</w:t>
      </w:r>
      <w:bookmarkEnd w:id="53"/>
    </w:p>
    <w:p w14:paraId="582621DE" w14:textId="77777777" w:rsidR="00CD7324" w:rsidRDefault="0022244D" w:rsidP="007337CF">
      <w:pPr>
        <w:spacing w:beforeLines="60" w:before="144" w:afterLines="60" w:after="144" w:line="276" w:lineRule="auto"/>
        <w:rPr>
          <w:lang w:val="en-US" w:eastAsia="en-US"/>
        </w:rPr>
      </w:pPr>
      <w:r w:rsidRPr="00AB5DEE">
        <w:rPr>
          <w:lang w:val="en-US" w:eastAsia="en-US"/>
        </w:rPr>
        <w:t>The Committee proposes the following</w:t>
      </w:r>
      <w:r w:rsidR="00CD7324">
        <w:rPr>
          <w:lang w:val="en-US" w:eastAsia="en-US"/>
        </w:rPr>
        <w:t>:</w:t>
      </w:r>
    </w:p>
    <w:p w14:paraId="49EE15F1" w14:textId="77777777" w:rsidR="00CD7324" w:rsidRPr="00B371E5" w:rsidRDefault="00CD7324" w:rsidP="00774742">
      <w:pPr>
        <w:pStyle w:val="NormalBulleted"/>
        <w:rPr>
          <w:lang w:val="en-US"/>
        </w:rPr>
      </w:pPr>
      <w:r w:rsidRPr="00B371E5">
        <w:rPr>
          <w:lang w:val="en-US"/>
        </w:rPr>
        <w:t xml:space="preserve">78 changes to the Complexity Table </w:t>
      </w:r>
      <w:r>
        <w:rPr>
          <w:lang w:val="en-US"/>
        </w:rPr>
        <w:t>t</w:t>
      </w:r>
      <w:r w:rsidRPr="00B371E5">
        <w:rPr>
          <w:lang w:val="en-US"/>
        </w:rPr>
        <w:t>o provide equity of classification of comparable work.</w:t>
      </w:r>
    </w:p>
    <w:p w14:paraId="4DCCA5A7" w14:textId="77777777" w:rsidR="00CD7324" w:rsidRPr="00B371E5" w:rsidRDefault="00CD7324" w:rsidP="00774742">
      <w:pPr>
        <w:pStyle w:val="NormalBulleted"/>
        <w:rPr>
          <w:lang w:val="en-US"/>
        </w:rPr>
      </w:pPr>
      <w:r w:rsidRPr="00B371E5">
        <w:rPr>
          <w:lang w:val="en-US"/>
        </w:rPr>
        <w:t>The mandatory use of Structured Reports for complexity 6 and 7 cancer cases</w:t>
      </w:r>
      <w:r>
        <w:rPr>
          <w:lang w:val="en-US"/>
        </w:rPr>
        <w:t>.</w:t>
      </w:r>
    </w:p>
    <w:p w14:paraId="3EFBCF1C" w14:textId="77777777" w:rsidR="00CD7324" w:rsidRPr="00B371E5" w:rsidRDefault="00CD7324" w:rsidP="00774742">
      <w:pPr>
        <w:pStyle w:val="NormalBulleted"/>
        <w:rPr>
          <w:lang w:val="en-US"/>
        </w:rPr>
      </w:pPr>
      <w:r w:rsidRPr="00B371E5">
        <w:rPr>
          <w:lang w:val="en-US"/>
        </w:rPr>
        <w:t>The inclusion of special stains as part of the specimen description is recommended whe</w:t>
      </w:r>
      <w:r>
        <w:rPr>
          <w:lang w:val="en-US"/>
        </w:rPr>
        <w:t>n</w:t>
      </w:r>
      <w:r w:rsidRPr="00B371E5">
        <w:rPr>
          <w:lang w:val="en-US"/>
        </w:rPr>
        <w:t xml:space="preserve"> the use of such stains is expected practice</w:t>
      </w:r>
      <w:r>
        <w:rPr>
          <w:lang w:val="en-US"/>
        </w:rPr>
        <w:t>.</w:t>
      </w:r>
    </w:p>
    <w:p w14:paraId="5D453E09" w14:textId="77777777" w:rsidR="00654A41" w:rsidRPr="0036616D" w:rsidRDefault="00CC4AF5" w:rsidP="007337CF">
      <w:pPr>
        <w:spacing w:beforeLines="60" w:before="144" w:afterLines="60" w:after="144" w:line="276" w:lineRule="auto"/>
        <w:rPr>
          <w:b/>
        </w:rPr>
      </w:pPr>
      <w:r w:rsidRPr="00AB5DEE">
        <w:rPr>
          <w:lang w:val="en-US" w:eastAsia="en-US"/>
        </w:rPr>
        <w:t xml:space="preserve">The </w:t>
      </w:r>
      <w:r w:rsidR="0081767E">
        <w:rPr>
          <w:lang w:val="en-US" w:eastAsia="en-US"/>
        </w:rPr>
        <w:t>rationale</w:t>
      </w:r>
      <w:r w:rsidR="00907BED">
        <w:rPr>
          <w:lang w:val="en-US" w:eastAsia="en-US"/>
        </w:rPr>
        <w:t xml:space="preserve"> </w:t>
      </w:r>
      <w:r w:rsidRPr="00AB5DEE">
        <w:rPr>
          <w:lang w:val="en-US" w:eastAsia="en-US"/>
        </w:rPr>
        <w:t xml:space="preserve">for each change is </w:t>
      </w:r>
      <w:proofErr w:type="spellStart"/>
      <w:r w:rsidRPr="00AB5DEE">
        <w:rPr>
          <w:lang w:val="en-US" w:eastAsia="en-US"/>
        </w:rPr>
        <w:t>summari</w:t>
      </w:r>
      <w:r w:rsidR="00B51F7A" w:rsidRPr="00AB5DEE">
        <w:rPr>
          <w:lang w:val="en-US" w:eastAsia="en-US"/>
        </w:rPr>
        <w:t>s</w:t>
      </w:r>
      <w:r w:rsidRPr="00AB5DEE">
        <w:rPr>
          <w:lang w:val="en-US" w:eastAsia="en-US"/>
        </w:rPr>
        <w:t>ed</w:t>
      </w:r>
      <w:proofErr w:type="spellEnd"/>
      <w:r w:rsidRPr="00AB5DEE">
        <w:rPr>
          <w:lang w:val="en-US" w:eastAsia="en-US"/>
        </w:rPr>
        <w:t xml:space="preserve"> in the right</w:t>
      </w:r>
      <w:r w:rsidR="00690BF3">
        <w:rPr>
          <w:lang w:val="en-US" w:eastAsia="en-US"/>
        </w:rPr>
        <w:t>most</w:t>
      </w:r>
      <w:r w:rsidRPr="00AB5DEE">
        <w:rPr>
          <w:lang w:val="en-US" w:eastAsia="en-US"/>
        </w:rPr>
        <w:t xml:space="preserve"> column</w:t>
      </w:r>
      <w:r w:rsidR="00CE4FF8">
        <w:rPr>
          <w:lang w:val="en-US" w:eastAsia="en-US"/>
        </w:rPr>
        <w:t xml:space="preserve"> of </w:t>
      </w:r>
      <w:r w:rsidR="00CE4FF8" w:rsidRPr="00AB5DEE">
        <w:rPr>
          <w:i/>
          <w:lang w:val="en-US" w:eastAsia="en-US"/>
        </w:rPr>
        <w:t xml:space="preserve">Table </w:t>
      </w:r>
      <w:r w:rsidR="00FC06F1">
        <w:rPr>
          <w:i/>
          <w:lang w:val="en-US" w:eastAsia="en-US"/>
        </w:rPr>
        <w:t>6</w:t>
      </w:r>
      <w:r w:rsidRPr="00AB5DEE">
        <w:rPr>
          <w:i/>
          <w:lang w:val="en-US" w:eastAsia="en-US"/>
        </w:rPr>
        <w:t>.</w:t>
      </w:r>
      <w:r w:rsidR="00E11BC0" w:rsidRPr="00AB5DEE">
        <w:rPr>
          <w:lang w:val="en-US" w:eastAsia="en-US"/>
        </w:rPr>
        <w:t xml:space="preserve"> </w:t>
      </w:r>
      <w:r w:rsidRPr="00AB5DEE">
        <w:rPr>
          <w:lang w:val="en-US" w:eastAsia="en-US"/>
        </w:rPr>
        <w:t>Specimens for</w:t>
      </w:r>
      <w:r w:rsidR="008A236F" w:rsidRPr="00AB5DEE">
        <w:rPr>
          <w:lang w:val="en-US" w:eastAsia="en-US"/>
        </w:rPr>
        <w:t xml:space="preserve"> </w:t>
      </w:r>
      <w:r w:rsidRPr="00AB5DEE">
        <w:rPr>
          <w:lang w:val="en-US" w:eastAsia="en-US"/>
        </w:rPr>
        <w:t xml:space="preserve">which no change is recommended have not been included in the </w:t>
      </w:r>
      <w:r w:rsidR="00CE4FF8">
        <w:rPr>
          <w:lang w:val="en-US" w:eastAsia="en-US"/>
        </w:rPr>
        <w:t>t</w:t>
      </w:r>
      <w:r w:rsidR="00CE4FF8" w:rsidRPr="00AB5DEE">
        <w:rPr>
          <w:lang w:val="en-US" w:eastAsia="en-US"/>
        </w:rPr>
        <w:t>able</w:t>
      </w:r>
      <w:r w:rsidRPr="00AB5DEE">
        <w:rPr>
          <w:lang w:val="en-US" w:eastAsia="en-US"/>
        </w:rPr>
        <w:t xml:space="preserve">. </w:t>
      </w:r>
    </w:p>
    <w:p w14:paraId="4469C971" w14:textId="77777777" w:rsidR="0099086A" w:rsidRPr="005413F6" w:rsidRDefault="00253CBE" w:rsidP="00AB5DEE">
      <w:pPr>
        <w:pStyle w:val="Caption"/>
      </w:pPr>
      <w:bookmarkStart w:id="54" w:name="_Toc482213833"/>
      <w:r>
        <w:t xml:space="preserve">Table </w:t>
      </w:r>
      <w:r w:rsidR="00FC06F1">
        <w:t>6</w:t>
      </w:r>
      <w:r>
        <w:t xml:space="preserve">. </w:t>
      </w:r>
      <w:r w:rsidRPr="00B37E3B">
        <w:t>Proposed changes to the Complexity Table</w:t>
      </w:r>
      <w:bookmarkEnd w:id="54"/>
    </w:p>
    <w:tbl>
      <w:tblPr>
        <w:tblW w:w="4821"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55"/>
        <w:gridCol w:w="1206"/>
        <w:gridCol w:w="2410"/>
        <w:gridCol w:w="2807"/>
      </w:tblGrid>
      <w:tr w:rsidR="0022244D" w:rsidRPr="0060121E" w14:paraId="6B49DD9A" w14:textId="77777777" w:rsidTr="00907BED">
        <w:trPr>
          <w:trHeight w:val="303"/>
          <w:tblHeader/>
          <w:jc w:val="center"/>
        </w:trPr>
        <w:tc>
          <w:tcPr>
            <w:tcW w:w="1256" w:type="pct"/>
            <w:tcBorders>
              <w:top w:val="single" w:sz="4" w:space="0" w:color="808080"/>
              <w:left w:val="single" w:sz="4" w:space="0" w:color="808080"/>
              <w:bottom w:val="single" w:sz="4" w:space="0" w:color="808080"/>
              <w:right w:val="single" w:sz="4" w:space="0" w:color="808080"/>
            </w:tcBorders>
            <w:shd w:val="clear" w:color="auto" w:fill="EEECE1" w:themeFill="background2"/>
            <w:noWrap/>
            <w:vAlign w:val="bottom"/>
            <w:hideMark/>
          </w:tcPr>
          <w:p w14:paraId="2961DCA7" w14:textId="77777777" w:rsidR="0022244D" w:rsidRPr="00EE04E5" w:rsidRDefault="0022244D" w:rsidP="007337CF">
            <w:pPr>
              <w:spacing w:beforeLines="40" w:before="96" w:afterLines="40" w:after="96"/>
              <w:rPr>
                <w:b/>
                <w:bCs/>
                <w:sz w:val="20"/>
                <w:szCs w:val="20"/>
                <w:lang w:eastAsia="en-US"/>
              </w:rPr>
            </w:pPr>
            <w:r w:rsidRPr="00EE04E5">
              <w:rPr>
                <w:b/>
                <w:bCs/>
                <w:sz w:val="20"/>
                <w:szCs w:val="20"/>
                <w:lang w:eastAsia="en-US"/>
              </w:rPr>
              <w:t xml:space="preserve">Specimen </w:t>
            </w:r>
            <w:r w:rsidR="00253CBE">
              <w:rPr>
                <w:b/>
                <w:bCs/>
                <w:sz w:val="20"/>
                <w:szCs w:val="20"/>
                <w:lang w:eastAsia="en-US"/>
              </w:rPr>
              <w:t>t</w:t>
            </w:r>
            <w:r w:rsidR="00253CBE" w:rsidRPr="00EE04E5">
              <w:rPr>
                <w:b/>
                <w:bCs/>
                <w:sz w:val="20"/>
                <w:szCs w:val="20"/>
                <w:lang w:eastAsia="en-US"/>
              </w:rPr>
              <w:t>ype</w:t>
            </w:r>
          </w:p>
        </w:tc>
        <w:tc>
          <w:tcPr>
            <w:tcW w:w="703" w:type="pct"/>
            <w:tcBorders>
              <w:top w:val="single" w:sz="4" w:space="0" w:color="808080"/>
              <w:left w:val="single" w:sz="4" w:space="0" w:color="808080"/>
              <w:bottom w:val="single" w:sz="4" w:space="0" w:color="808080"/>
              <w:right w:val="single" w:sz="4" w:space="0" w:color="808080"/>
            </w:tcBorders>
            <w:shd w:val="clear" w:color="auto" w:fill="EEECE1" w:themeFill="background2"/>
            <w:noWrap/>
            <w:vAlign w:val="bottom"/>
            <w:hideMark/>
          </w:tcPr>
          <w:p w14:paraId="2A5ABC06" w14:textId="77777777" w:rsidR="0022244D" w:rsidRPr="00EE04E5" w:rsidRDefault="0022244D" w:rsidP="007337CF">
            <w:pPr>
              <w:spacing w:beforeLines="40" w:before="96" w:afterLines="40" w:after="96"/>
              <w:rPr>
                <w:b/>
                <w:bCs/>
                <w:sz w:val="20"/>
                <w:szCs w:val="20"/>
                <w:lang w:eastAsia="en-US"/>
              </w:rPr>
            </w:pPr>
            <w:r w:rsidRPr="00EE04E5">
              <w:rPr>
                <w:b/>
                <w:bCs/>
                <w:sz w:val="20"/>
                <w:szCs w:val="20"/>
                <w:lang w:eastAsia="en-US"/>
              </w:rPr>
              <w:t xml:space="preserve">Complexity </w:t>
            </w:r>
            <w:r w:rsidR="00B21D4A">
              <w:rPr>
                <w:b/>
                <w:bCs/>
                <w:sz w:val="20"/>
                <w:szCs w:val="20"/>
                <w:lang w:eastAsia="en-US"/>
              </w:rPr>
              <w:t>level</w:t>
            </w:r>
          </w:p>
        </w:tc>
        <w:tc>
          <w:tcPr>
            <w:tcW w:w="1405" w:type="pct"/>
            <w:tcBorders>
              <w:top w:val="single" w:sz="4" w:space="0" w:color="808080"/>
              <w:left w:val="single" w:sz="4" w:space="0" w:color="808080"/>
              <w:bottom w:val="single" w:sz="4" w:space="0" w:color="808080"/>
              <w:right w:val="single" w:sz="4" w:space="0" w:color="808080"/>
            </w:tcBorders>
            <w:shd w:val="clear" w:color="auto" w:fill="EEECE1" w:themeFill="background2"/>
            <w:vAlign w:val="bottom"/>
          </w:tcPr>
          <w:p w14:paraId="75EC0559" w14:textId="77777777" w:rsidR="0022244D" w:rsidRPr="00EE04E5" w:rsidRDefault="0022244D" w:rsidP="007337CF">
            <w:pPr>
              <w:spacing w:beforeLines="40" w:before="96" w:afterLines="40" w:after="96"/>
              <w:rPr>
                <w:b/>
                <w:bCs/>
                <w:sz w:val="20"/>
                <w:szCs w:val="20"/>
                <w:lang w:eastAsia="en-US"/>
              </w:rPr>
            </w:pPr>
            <w:r w:rsidRPr="00EE04E5">
              <w:rPr>
                <w:b/>
                <w:bCs/>
                <w:sz w:val="20"/>
                <w:szCs w:val="20"/>
                <w:lang w:eastAsia="en-US"/>
              </w:rPr>
              <w:t xml:space="preserve">Proposed change </w:t>
            </w:r>
          </w:p>
        </w:tc>
        <w:tc>
          <w:tcPr>
            <w:tcW w:w="1636" w:type="pct"/>
            <w:tcBorders>
              <w:top w:val="single" w:sz="4" w:space="0" w:color="808080"/>
              <w:left w:val="single" w:sz="4" w:space="0" w:color="808080"/>
              <w:bottom w:val="single" w:sz="4" w:space="0" w:color="808080"/>
              <w:right w:val="single" w:sz="4" w:space="0" w:color="808080"/>
            </w:tcBorders>
            <w:shd w:val="clear" w:color="auto" w:fill="EEECE1" w:themeFill="background2"/>
            <w:vAlign w:val="bottom"/>
          </w:tcPr>
          <w:p w14:paraId="7A9618FF" w14:textId="77777777" w:rsidR="0022244D" w:rsidRPr="00EE04E5" w:rsidRDefault="0022244D" w:rsidP="007337CF">
            <w:pPr>
              <w:spacing w:beforeLines="40" w:before="96" w:afterLines="40" w:after="96"/>
              <w:rPr>
                <w:b/>
                <w:bCs/>
                <w:sz w:val="20"/>
                <w:szCs w:val="20"/>
                <w:lang w:eastAsia="en-US"/>
              </w:rPr>
            </w:pPr>
            <w:r w:rsidRPr="00EE04E5">
              <w:rPr>
                <w:b/>
                <w:bCs/>
                <w:sz w:val="20"/>
                <w:szCs w:val="20"/>
                <w:lang w:eastAsia="en-US"/>
              </w:rPr>
              <w:t>Rationale</w:t>
            </w:r>
          </w:p>
        </w:tc>
      </w:tr>
      <w:tr w:rsidR="007D3E60" w:rsidRPr="0036616D" w14:paraId="67630123"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BC75D9A" w14:textId="77777777" w:rsidR="007D3E60" w:rsidRPr="00791082" w:rsidRDefault="007D3E60" w:rsidP="007337CF">
            <w:pPr>
              <w:spacing w:beforeLines="40" w:before="96" w:afterLines="40" w:after="96"/>
              <w:rPr>
                <w:sz w:val="20"/>
                <w:szCs w:val="20"/>
                <w:lang w:eastAsia="en-US"/>
              </w:rPr>
            </w:pPr>
            <w:r w:rsidRPr="00791082">
              <w:rPr>
                <w:sz w:val="20"/>
                <w:szCs w:val="20"/>
                <w:lang w:eastAsia="en-US"/>
              </w:rPr>
              <w:t xml:space="preserve">Adrenal resection, neoplasm </w:t>
            </w:r>
          </w:p>
        </w:tc>
        <w:tc>
          <w:tcPr>
            <w:tcW w:w="703" w:type="pct"/>
            <w:tcBorders>
              <w:top w:val="single" w:sz="4" w:space="0" w:color="808080"/>
              <w:left w:val="single" w:sz="4" w:space="0" w:color="808080"/>
              <w:bottom w:val="single" w:sz="4" w:space="0" w:color="808080"/>
              <w:right w:val="single" w:sz="4" w:space="0" w:color="808080"/>
            </w:tcBorders>
            <w:noWrap/>
            <w:hideMark/>
          </w:tcPr>
          <w:p w14:paraId="7A5E8BC6" w14:textId="77777777" w:rsidR="007D3E60" w:rsidRPr="0036616D" w:rsidRDefault="007D3E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182518ED" w14:textId="77777777" w:rsidR="007D3E60" w:rsidRPr="00791082" w:rsidRDefault="007D3E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623A0873" w14:textId="77777777" w:rsidR="007D3E60" w:rsidRPr="0036616D" w:rsidRDefault="007D3E60" w:rsidP="007337CF">
            <w:pPr>
              <w:spacing w:beforeLines="40" w:before="96" w:afterLines="40" w:after="96"/>
              <w:rPr>
                <w:sz w:val="20"/>
                <w:szCs w:val="20"/>
                <w:lang w:eastAsia="en-US"/>
              </w:rPr>
            </w:pPr>
            <w:r w:rsidRPr="0036616D">
              <w:rPr>
                <w:sz w:val="20"/>
                <w:szCs w:val="20"/>
                <w:lang w:eastAsia="en-US"/>
              </w:rPr>
              <w:t xml:space="preserve">Alignment. </w:t>
            </w:r>
            <w:r w:rsidR="00014860" w:rsidRPr="0036616D">
              <w:rPr>
                <w:sz w:val="20"/>
                <w:szCs w:val="20"/>
                <w:lang w:eastAsia="en-US"/>
              </w:rPr>
              <w:t>Drive best practice</w:t>
            </w:r>
          </w:p>
        </w:tc>
      </w:tr>
      <w:tr w:rsidR="00014860" w:rsidRPr="0036616D" w14:paraId="106B10E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C2F81FE"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Anus, all specimens not otherwise specified </w:t>
            </w:r>
          </w:p>
        </w:tc>
        <w:tc>
          <w:tcPr>
            <w:tcW w:w="703" w:type="pct"/>
            <w:tcBorders>
              <w:top w:val="single" w:sz="4" w:space="0" w:color="808080"/>
              <w:left w:val="single" w:sz="4" w:space="0" w:color="808080"/>
              <w:bottom w:val="single" w:sz="4" w:space="0" w:color="808080"/>
              <w:right w:val="single" w:sz="4" w:space="0" w:color="808080"/>
            </w:tcBorders>
            <w:noWrap/>
            <w:hideMark/>
          </w:tcPr>
          <w:p w14:paraId="259AC4C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3D7C5937"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00014860" w:rsidRPr="0036616D">
              <w:rPr>
                <w:sz w:val="20"/>
                <w:szCs w:val="20"/>
                <w:lang w:eastAsia="en-US"/>
              </w:rPr>
              <w:t xml:space="preserve">omplexity </w:t>
            </w:r>
            <w:r w:rsidR="00B21D4A">
              <w:rPr>
                <w:sz w:val="20"/>
                <w:szCs w:val="20"/>
                <w:lang w:eastAsia="en-US"/>
              </w:rPr>
              <w:t>level</w:t>
            </w:r>
            <w:r w:rsidR="00014860" w:rsidRPr="0036616D">
              <w:rPr>
                <w:sz w:val="20"/>
                <w:szCs w:val="20"/>
                <w:lang w:eastAsia="en-US"/>
              </w:rPr>
              <w:t xml:space="preserve"> to 4</w:t>
            </w:r>
          </w:p>
        </w:tc>
        <w:tc>
          <w:tcPr>
            <w:tcW w:w="1636" w:type="pct"/>
            <w:tcBorders>
              <w:top w:val="single" w:sz="4" w:space="0" w:color="808080"/>
              <w:left w:val="single" w:sz="4" w:space="0" w:color="808080"/>
              <w:bottom w:val="single" w:sz="4" w:space="0" w:color="808080"/>
              <w:right w:val="single" w:sz="4" w:space="0" w:color="808080"/>
            </w:tcBorders>
          </w:tcPr>
          <w:p w14:paraId="6677790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Distinction from rectal biopsy (L4) inconsistent. Many biopsies straddle </w:t>
            </w:r>
            <w:proofErr w:type="gramStart"/>
            <w:r w:rsidRPr="0036616D">
              <w:rPr>
                <w:sz w:val="20"/>
                <w:szCs w:val="20"/>
                <w:lang w:eastAsia="en-US"/>
              </w:rPr>
              <w:t>junction;</w:t>
            </w:r>
            <w:proofErr w:type="gramEnd"/>
            <w:r w:rsidRPr="0036616D">
              <w:rPr>
                <w:sz w:val="20"/>
                <w:szCs w:val="20"/>
                <w:lang w:eastAsia="en-US"/>
              </w:rPr>
              <w:t xml:space="preserve"> often significant issue re</w:t>
            </w:r>
            <w:r w:rsidR="00253CBE">
              <w:rPr>
                <w:sz w:val="20"/>
                <w:szCs w:val="20"/>
                <w:lang w:eastAsia="en-US"/>
              </w:rPr>
              <w:t>garding</w:t>
            </w:r>
            <w:r w:rsidRPr="0036616D">
              <w:rPr>
                <w:sz w:val="20"/>
                <w:szCs w:val="20"/>
                <w:lang w:eastAsia="en-US"/>
              </w:rPr>
              <w:t xml:space="preserve"> dysplasia/ koilocytosis to resolve</w:t>
            </w:r>
          </w:p>
        </w:tc>
      </w:tr>
      <w:tr w:rsidR="0022244D" w:rsidRPr="0036616D" w14:paraId="7598534C"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67373EF"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Anus, </w:t>
            </w:r>
            <w:r w:rsidR="00014860" w:rsidRPr="0036616D">
              <w:rPr>
                <w:sz w:val="20"/>
                <w:szCs w:val="20"/>
                <w:lang w:eastAsia="en-US"/>
              </w:rPr>
              <w:t>neoplasm, radical resection</w:t>
            </w:r>
          </w:p>
        </w:tc>
        <w:tc>
          <w:tcPr>
            <w:tcW w:w="703" w:type="pct"/>
            <w:tcBorders>
              <w:top w:val="single" w:sz="4" w:space="0" w:color="808080"/>
              <w:left w:val="single" w:sz="4" w:space="0" w:color="808080"/>
              <w:bottom w:val="single" w:sz="4" w:space="0" w:color="808080"/>
              <w:right w:val="single" w:sz="4" w:space="0" w:color="808080"/>
            </w:tcBorders>
            <w:noWrap/>
            <w:hideMark/>
          </w:tcPr>
          <w:p w14:paraId="46337CC1" w14:textId="77777777" w:rsidR="0022244D"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045C55D" w14:textId="77777777" w:rsidR="0093235E" w:rsidRPr="00791082" w:rsidRDefault="00014860"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4FB1650A" w14:textId="77777777" w:rsidR="0093235E" w:rsidRPr="00791082" w:rsidRDefault="00477567" w:rsidP="007337CF">
            <w:pPr>
              <w:spacing w:beforeLines="40" w:before="96" w:afterLines="40" w:after="96"/>
              <w:rPr>
                <w:i/>
                <w:sz w:val="20"/>
                <w:szCs w:val="20"/>
                <w:lang w:eastAsia="en-US"/>
              </w:rPr>
            </w:pPr>
            <w:r w:rsidRPr="0036616D">
              <w:rPr>
                <w:i/>
                <w:color w:val="0070C0"/>
                <w:sz w:val="20"/>
                <w:szCs w:val="20"/>
                <w:lang w:eastAsia="en-US"/>
              </w:rPr>
              <w:t>[</w:t>
            </w:r>
            <w:r w:rsidR="00C241B1" w:rsidRPr="0036616D">
              <w:rPr>
                <w:i/>
                <w:color w:val="0070C0"/>
                <w:sz w:val="20"/>
                <w:szCs w:val="20"/>
                <w:lang w:eastAsia="en-US"/>
              </w:rPr>
              <w:t xml:space="preserve">not yet </w:t>
            </w:r>
            <w:r w:rsidRPr="0036616D">
              <w:rPr>
                <w:i/>
                <w:color w:val="0070C0"/>
                <w:sz w:val="20"/>
                <w:szCs w:val="20"/>
                <w:lang w:eastAsia="en-US"/>
              </w:rPr>
              <w:t>in development]</w:t>
            </w:r>
          </w:p>
        </w:tc>
        <w:tc>
          <w:tcPr>
            <w:tcW w:w="1636" w:type="pct"/>
            <w:tcBorders>
              <w:top w:val="single" w:sz="4" w:space="0" w:color="808080"/>
              <w:left w:val="single" w:sz="4" w:space="0" w:color="808080"/>
              <w:bottom w:val="single" w:sz="4" w:space="0" w:color="808080"/>
              <w:right w:val="single" w:sz="4" w:space="0" w:color="808080"/>
            </w:tcBorders>
          </w:tcPr>
          <w:p w14:paraId="637E0BD2" w14:textId="77777777" w:rsidR="0022244D" w:rsidRPr="00791082" w:rsidRDefault="00014860" w:rsidP="007337CF">
            <w:pPr>
              <w:spacing w:beforeLines="40" w:before="96" w:afterLines="40" w:after="96"/>
              <w:rPr>
                <w:sz w:val="20"/>
                <w:szCs w:val="20"/>
                <w:lang w:eastAsia="en-US"/>
              </w:rPr>
            </w:pPr>
            <w:r w:rsidRPr="00791082">
              <w:rPr>
                <w:sz w:val="20"/>
                <w:szCs w:val="20"/>
                <w:lang w:eastAsia="en-US"/>
              </w:rPr>
              <w:t>Alignment. Drive best practice</w:t>
            </w:r>
          </w:p>
        </w:tc>
      </w:tr>
      <w:tr w:rsidR="0022244D" w:rsidRPr="0036616D" w14:paraId="41899B1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FC08CE8"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Appendix </w:t>
            </w:r>
          </w:p>
        </w:tc>
        <w:tc>
          <w:tcPr>
            <w:tcW w:w="703" w:type="pct"/>
            <w:tcBorders>
              <w:top w:val="single" w:sz="4" w:space="0" w:color="808080"/>
              <w:left w:val="single" w:sz="4" w:space="0" w:color="808080"/>
              <w:bottom w:val="single" w:sz="4" w:space="0" w:color="808080"/>
              <w:right w:val="single" w:sz="4" w:space="0" w:color="808080"/>
            </w:tcBorders>
            <w:noWrap/>
            <w:hideMark/>
          </w:tcPr>
          <w:p w14:paraId="48EA9BB0"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6B638F11"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Split into </w:t>
            </w:r>
            <w:r w:rsidRPr="0036616D">
              <w:rPr>
                <w:i/>
                <w:sz w:val="20"/>
                <w:szCs w:val="20"/>
                <w:lang w:eastAsia="en-US"/>
              </w:rPr>
              <w:t>appendix, neoplasm</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 and </w:t>
            </w:r>
            <w:r w:rsidRPr="0036616D">
              <w:rPr>
                <w:i/>
                <w:sz w:val="20"/>
                <w:szCs w:val="20"/>
                <w:lang w:eastAsia="en-US"/>
              </w:rPr>
              <w:t>appendix, NOS</w:t>
            </w:r>
            <w:r w:rsidRPr="0036616D">
              <w:rPr>
                <w:sz w:val="20"/>
                <w:szCs w:val="20"/>
                <w:lang w:eastAsia="en-US"/>
              </w:rPr>
              <w:t xml:space="preserve"> (</w:t>
            </w:r>
            <w:r w:rsidR="00BD01A1">
              <w:rPr>
                <w:sz w:val="20"/>
                <w:szCs w:val="20"/>
                <w:lang w:eastAsia="en-US"/>
              </w:rPr>
              <w:t xml:space="preserve">remain </w:t>
            </w:r>
            <w:r w:rsidR="00B21D4A">
              <w:rPr>
                <w:sz w:val="20"/>
                <w:szCs w:val="20"/>
                <w:lang w:eastAsia="en-US"/>
              </w:rPr>
              <w:t>level</w:t>
            </w:r>
            <w:r w:rsidRPr="0036616D">
              <w:rPr>
                <w:sz w:val="20"/>
                <w:szCs w:val="20"/>
                <w:lang w:eastAsia="en-US"/>
              </w:rPr>
              <w:t xml:space="preserve"> 3)</w:t>
            </w:r>
          </w:p>
        </w:tc>
        <w:tc>
          <w:tcPr>
            <w:tcW w:w="1636" w:type="pct"/>
            <w:tcBorders>
              <w:top w:val="single" w:sz="4" w:space="0" w:color="808080"/>
              <w:left w:val="single" w:sz="4" w:space="0" w:color="808080"/>
              <w:bottom w:val="single" w:sz="4" w:space="0" w:color="808080"/>
              <w:right w:val="single" w:sz="4" w:space="0" w:color="808080"/>
            </w:tcBorders>
          </w:tcPr>
          <w:p w14:paraId="65748119"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Alignment. Appendiceal tumour (</w:t>
            </w:r>
            <w:proofErr w:type="spellStart"/>
            <w:r w:rsidRPr="0036616D">
              <w:rPr>
                <w:sz w:val="20"/>
                <w:szCs w:val="20"/>
                <w:lang w:eastAsia="en-US"/>
              </w:rPr>
              <w:t>eg</w:t>
            </w:r>
            <w:proofErr w:type="spellEnd"/>
            <w:r w:rsidR="00A2303A">
              <w:rPr>
                <w:sz w:val="20"/>
                <w:szCs w:val="20"/>
                <w:lang w:eastAsia="en-US"/>
              </w:rPr>
              <w:t>,</w:t>
            </w:r>
            <w:r w:rsidRPr="0036616D">
              <w:rPr>
                <w:sz w:val="20"/>
                <w:szCs w:val="20"/>
                <w:lang w:eastAsia="en-US"/>
              </w:rPr>
              <w:t xml:space="preserve"> carcinoid)</w:t>
            </w:r>
            <w:r w:rsidR="005D0017" w:rsidRPr="0036616D">
              <w:rPr>
                <w:sz w:val="20"/>
                <w:szCs w:val="20"/>
                <w:lang w:eastAsia="en-US"/>
              </w:rPr>
              <w:t xml:space="preserve"> will require additional blocks and</w:t>
            </w:r>
            <w:r w:rsidR="00E11BC0">
              <w:rPr>
                <w:sz w:val="20"/>
                <w:szCs w:val="20"/>
                <w:lang w:eastAsia="en-US"/>
              </w:rPr>
              <w:t xml:space="preserve"> </w:t>
            </w:r>
            <w:r w:rsidRPr="0036616D">
              <w:rPr>
                <w:sz w:val="20"/>
                <w:szCs w:val="20"/>
                <w:lang w:eastAsia="en-US"/>
              </w:rPr>
              <w:t>asse</w:t>
            </w:r>
            <w:r w:rsidR="00317CD3">
              <w:rPr>
                <w:sz w:val="20"/>
                <w:szCs w:val="20"/>
                <w:lang w:eastAsia="en-US"/>
              </w:rPr>
              <w:t>ssment of margins, as per other gastrointestinal tract</w:t>
            </w:r>
            <w:r w:rsidRPr="0036616D">
              <w:rPr>
                <w:sz w:val="20"/>
                <w:szCs w:val="20"/>
                <w:lang w:eastAsia="en-US"/>
              </w:rPr>
              <w:t xml:space="preserve"> tumour</w:t>
            </w:r>
            <w:r w:rsidR="00317CD3">
              <w:rPr>
                <w:sz w:val="20"/>
                <w:szCs w:val="20"/>
                <w:lang w:eastAsia="en-US"/>
              </w:rPr>
              <w:t>s</w:t>
            </w:r>
          </w:p>
        </w:tc>
      </w:tr>
      <w:tr w:rsidR="0022244D" w:rsidRPr="0036616D" w14:paraId="54C11215"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70F7042"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Artery, biopsy</w:t>
            </w:r>
          </w:p>
        </w:tc>
        <w:tc>
          <w:tcPr>
            <w:tcW w:w="703" w:type="pct"/>
            <w:tcBorders>
              <w:top w:val="single" w:sz="4" w:space="0" w:color="808080"/>
              <w:left w:val="single" w:sz="4" w:space="0" w:color="808080"/>
              <w:bottom w:val="single" w:sz="4" w:space="0" w:color="808080"/>
              <w:right w:val="single" w:sz="4" w:space="0" w:color="808080"/>
            </w:tcBorders>
            <w:noWrap/>
            <w:hideMark/>
          </w:tcPr>
          <w:p w14:paraId="065288F2"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275C4DC9"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Split into </w:t>
            </w:r>
            <w:r w:rsidRPr="0036616D">
              <w:rPr>
                <w:i/>
                <w:sz w:val="20"/>
                <w:szCs w:val="20"/>
                <w:lang w:eastAsia="en-US"/>
              </w:rPr>
              <w:t>artery, assessment for arteritis</w:t>
            </w:r>
            <w:r w:rsidR="007C310B" w:rsidRPr="0036616D">
              <w:rPr>
                <w:i/>
                <w:sz w:val="20"/>
                <w:szCs w:val="20"/>
                <w:lang w:eastAsia="en-US"/>
              </w:rPr>
              <w:t xml:space="preserve"> </w:t>
            </w:r>
            <w:r w:rsidR="00477567" w:rsidRPr="0036616D">
              <w:rPr>
                <w:i/>
                <w:sz w:val="20"/>
                <w:szCs w:val="20"/>
                <w:lang w:eastAsia="en-US"/>
              </w:rPr>
              <w:t>with special stains</w:t>
            </w:r>
            <w:r w:rsidRPr="00791082">
              <w:rPr>
                <w:sz w:val="20"/>
                <w:szCs w:val="20"/>
                <w:lang w:eastAsia="en-US"/>
              </w:rPr>
              <w:t xml:space="preserve"> (</w:t>
            </w:r>
            <w:r w:rsidR="00B21D4A">
              <w:rPr>
                <w:sz w:val="20"/>
                <w:szCs w:val="20"/>
                <w:lang w:eastAsia="en-US"/>
              </w:rPr>
              <w:t>level</w:t>
            </w:r>
            <w:r w:rsidRPr="00791082">
              <w:rPr>
                <w:sz w:val="20"/>
                <w:szCs w:val="20"/>
                <w:lang w:eastAsia="en-US"/>
              </w:rPr>
              <w:t xml:space="preserve"> 5) </w:t>
            </w:r>
            <w:r w:rsidRPr="00791082">
              <w:rPr>
                <w:sz w:val="20"/>
                <w:szCs w:val="20"/>
                <w:lang w:eastAsia="en-US"/>
              </w:rPr>
              <w:lastRenderedPageBreak/>
              <w:t xml:space="preserve">and </w:t>
            </w:r>
            <w:r w:rsidRPr="0036616D">
              <w:rPr>
                <w:i/>
                <w:sz w:val="20"/>
                <w:szCs w:val="20"/>
                <w:lang w:eastAsia="en-US"/>
              </w:rPr>
              <w:t>artery, biopsy NOS</w:t>
            </w:r>
            <w:r w:rsidRPr="0036616D">
              <w:rPr>
                <w:sz w:val="20"/>
                <w:szCs w:val="20"/>
                <w:lang w:eastAsia="en-US"/>
              </w:rPr>
              <w:t xml:space="preserve"> (</w:t>
            </w:r>
            <w:r w:rsidR="00BD01A1">
              <w:rPr>
                <w:sz w:val="20"/>
                <w:szCs w:val="20"/>
                <w:lang w:eastAsia="en-US"/>
              </w:rPr>
              <w:t xml:space="preserve">remain </w:t>
            </w:r>
            <w:r w:rsidR="00B21D4A">
              <w:rPr>
                <w:sz w:val="20"/>
                <w:szCs w:val="20"/>
                <w:lang w:eastAsia="en-US"/>
              </w:rPr>
              <w:t>level</w:t>
            </w:r>
            <w:r w:rsidRPr="0036616D">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1B20CF65"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lastRenderedPageBreak/>
              <w:t xml:space="preserve">Alignment. Assessment for temporal arteritis involves sections at multiple </w:t>
            </w:r>
            <w:r w:rsidR="00B21D4A">
              <w:rPr>
                <w:sz w:val="20"/>
                <w:szCs w:val="20"/>
                <w:lang w:eastAsia="en-US"/>
              </w:rPr>
              <w:t>level</w:t>
            </w:r>
            <w:r w:rsidRPr="0036616D">
              <w:rPr>
                <w:sz w:val="20"/>
                <w:szCs w:val="20"/>
                <w:lang w:eastAsia="en-US"/>
              </w:rPr>
              <w:t xml:space="preserve">s as </w:t>
            </w:r>
            <w:r w:rsidRPr="0036616D">
              <w:rPr>
                <w:sz w:val="20"/>
                <w:szCs w:val="20"/>
                <w:lang w:eastAsia="en-US"/>
              </w:rPr>
              <w:lastRenderedPageBreak/>
              <w:t xml:space="preserve">well as </w:t>
            </w:r>
            <w:r w:rsidRPr="0036616D">
              <w:rPr>
                <w:color w:val="000000" w:themeColor="text1"/>
                <w:sz w:val="20"/>
                <w:szCs w:val="20"/>
                <w:lang w:eastAsia="en-US"/>
              </w:rPr>
              <w:t>special stains f</w:t>
            </w:r>
            <w:r w:rsidRPr="0036616D">
              <w:rPr>
                <w:sz w:val="20"/>
                <w:szCs w:val="20"/>
                <w:lang w:eastAsia="en-US"/>
              </w:rPr>
              <w:t>or elastin; urgent and time consuming</w:t>
            </w:r>
          </w:p>
        </w:tc>
      </w:tr>
      <w:tr w:rsidR="00014860" w:rsidRPr="0060121E" w14:paraId="64901FAE"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DDF98E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lastRenderedPageBreak/>
              <w:t xml:space="preserve">Bile duct, resection, all types </w:t>
            </w:r>
          </w:p>
        </w:tc>
        <w:tc>
          <w:tcPr>
            <w:tcW w:w="703" w:type="pct"/>
            <w:tcBorders>
              <w:top w:val="single" w:sz="4" w:space="0" w:color="808080"/>
              <w:left w:val="single" w:sz="4" w:space="0" w:color="808080"/>
              <w:bottom w:val="single" w:sz="4" w:space="0" w:color="808080"/>
              <w:right w:val="single" w:sz="4" w:space="0" w:color="808080"/>
            </w:tcBorders>
            <w:noWrap/>
            <w:hideMark/>
          </w:tcPr>
          <w:p w14:paraId="55F9B7A0"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68064991" w14:textId="77777777" w:rsidR="0093235E" w:rsidRPr="003D1B38" w:rsidRDefault="00014860"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544134B6" w14:textId="77777777" w:rsidR="00014860" w:rsidRPr="00EE04E5" w:rsidRDefault="00014860" w:rsidP="007337CF">
            <w:pPr>
              <w:spacing w:beforeLines="40" w:before="96" w:afterLines="40" w:after="96"/>
              <w:rPr>
                <w:sz w:val="20"/>
                <w:szCs w:val="20"/>
                <w:lang w:eastAsia="en-US"/>
              </w:rPr>
            </w:pPr>
            <w:r w:rsidRPr="0036616D">
              <w:rPr>
                <w:sz w:val="20"/>
                <w:szCs w:val="20"/>
                <w:lang w:eastAsia="en-US"/>
              </w:rPr>
              <w:t>Alignment. Drive best practice</w:t>
            </w:r>
          </w:p>
        </w:tc>
      </w:tr>
      <w:tr w:rsidR="00AA0AA2" w:rsidRPr="0060121E" w14:paraId="2F61345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81C2FD4" w14:textId="77777777" w:rsidR="00AA0AA2" w:rsidRPr="00EE04E5" w:rsidRDefault="00AA0AA2" w:rsidP="007337CF">
            <w:pPr>
              <w:spacing w:beforeLines="40" w:before="96" w:afterLines="40" w:after="96"/>
              <w:rPr>
                <w:sz w:val="20"/>
                <w:szCs w:val="20"/>
                <w:lang w:eastAsia="en-US"/>
              </w:rPr>
            </w:pPr>
            <w:r w:rsidRPr="00EE04E5">
              <w:rPr>
                <w:sz w:val="20"/>
                <w:szCs w:val="20"/>
                <w:lang w:eastAsia="en-US"/>
              </w:rPr>
              <w:t xml:space="preserve">Bone, biopsy, </w:t>
            </w:r>
            <w:proofErr w:type="spellStart"/>
            <w:r w:rsidRPr="00EE04E5">
              <w:rPr>
                <w:sz w:val="20"/>
                <w:szCs w:val="20"/>
                <w:lang w:eastAsia="en-US"/>
              </w:rPr>
              <w:t>curettings</w:t>
            </w:r>
            <w:proofErr w:type="spellEnd"/>
            <w:r w:rsidRPr="00EE04E5">
              <w:rPr>
                <w:sz w:val="20"/>
                <w:szCs w:val="20"/>
                <w:lang w:eastAsia="en-US"/>
              </w:rPr>
              <w:t xml:space="preserve"> or fragments - lesion </w:t>
            </w:r>
          </w:p>
        </w:tc>
        <w:tc>
          <w:tcPr>
            <w:tcW w:w="703" w:type="pct"/>
            <w:tcBorders>
              <w:top w:val="single" w:sz="4" w:space="0" w:color="808080"/>
              <w:left w:val="single" w:sz="4" w:space="0" w:color="808080"/>
              <w:bottom w:val="single" w:sz="4" w:space="0" w:color="808080"/>
              <w:right w:val="single" w:sz="4" w:space="0" w:color="808080"/>
            </w:tcBorders>
            <w:noWrap/>
            <w:hideMark/>
          </w:tcPr>
          <w:p w14:paraId="3C6394C8" w14:textId="77777777" w:rsidR="00AA0AA2" w:rsidRPr="00EE04E5" w:rsidRDefault="00AA0AA2" w:rsidP="007337CF">
            <w:pPr>
              <w:spacing w:beforeLines="40" w:before="96" w:afterLines="40" w:after="96"/>
              <w:rPr>
                <w:sz w:val="20"/>
                <w:szCs w:val="20"/>
                <w:lang w:eastAsia="en-US"/>
              </w:rPr>
            </w:pPr>
            <w:r w:rsidRPr="00EE04E5">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534FA268" w14:textId="77777777" w:rsidR="00AA0AA2" w:rsidRPr="00EE04E5" w:rsidRDefault="00AA0AA2" w:rsidP="007337CF">
            <w:pPr>
              <w:spacing w:beforeLines="40" w:before="96" w:afterLines="40" w:after="96"/>
              <w:rPr>
                <w:sz w:val="20"/>
                <w:szCs w:val="20"/>
                <w:lang w:eastAsia="en-US"/>
              </w:rPr>
            </w:pPr>
            <w:r w:rsidRPr="00EE04E5">
              <w:rPr>
                <w:sz w:val="20"/>
                <w:szCs w:val="20"/>
                <w:lang w:eastAsia="en-US"/>
              </w:rPr>
              <w:t>Add ‘</w:t>
            </w:r>
            <w:r w:rsidRPr="00EE04E5">
              <w:rPr>
                <w:i/>
                <w:sz w:val="20"/>
                <w:szCs w:val="20"/>
                <w:lang w:eastAsia="en-US"/>
              </w:rPr>
              <w:t>or neoplasm</w:t>
            </w:r>
            <w:r w:rsidRPr="00EE04E5">
              <w:rPr>
                <w:sz w:val="20"/>
                <w:szCs w:val="20"/>
                <w:lang w:eastAsia="en-US"/>
              </w:rPr>
              <w:t>’ to wording</w:t>
            </w:r>
          </w:p>
          <w:p w14:paraId="3116633F" w14:textId="77777777" w:rsidR="00AA0AA2" w:rsidRPr="00EE04E5" w:rsidRDefault="00AA0AA2" w:rsidP="007337CF">
            <w:pPr>
              <w:spacing w:beforeLines="40" w:before="96" w:afterLines="40" w:after="96"/>
              <w:rPr>
                <w:sz w:val="20"/>
                <w:szCs w:val="20"/>
                <w:lang w:eastAsia="en-US"/>
              </w:rPr>
            </w:pPr>
          </w:p>
        </w:tc>
        <w:tc>
          <w:tcPr>
            <w:tcW w:w="1636" w:type="pct"/>
            <w:tcBorders>
              <w:top w:val="single" w:sz="4" w:space="0" w:color="808080"/>
              <w:left w:val="single" w:sz="4" w:space="0" w:color="808080"/>
              <w:bottom w:val="single" w:sz="4" w:space="0" w:color="808080"/>
              <w:right w:val="single" w:sz="4" w:space="0" w:color="808080"/>
            </w:tcBorders>
          </w:tcPr>
          <w:p w14:paraId="42EA3E34" w14:textId="77777777" w:rsidR="00AA0AA2" w:rsidRPr="00EE04E5" w:rsidRDefault="00AA0AA2" w:rsidP="007337CF">
            <w:pPr>
              <w:spacing w:beforeLines="40" w:before="96" w:afterLines="40" w:after="96"/>
              <w:rPr>
                <w:sz w:val="20"/>
                <w:szCs w:val="20"/>
                <w:lang w:eastAsia="en-US"/>
              </w:rPr>
            </w:pPr>
            <w:r w:rsidRPr="00EE04E5">
              <w:rPr>
                <w:sz w:val="20"/>
                <w:szCs w:val="20"/>
                <w:lang w:eastAsia="en-US"/>
              </w:rPr>
              <w:t>Clarification</w:t>
            </w:r>
          </w:p>
        </w:tc>
      </w:tr>
      <w:tr w:rsidR="0022244D" w:rsidRPr="0060121E" w14:paraId="008F386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F21090D"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Bone, </w:t>
            </w:r>
            <w:r w:rsidR="00AA0AA2" w:rsidRPr="00EE04E5">
              <w:rPr>
                <w:sz w:val="20"/>
                <w:szCs w:val="20"/>
                <w:lang w:eastAsia="en-US"/>
              </w:rPr>
              <w:t xml:space="preserve">resection, neoplasm </w:t>
            </w:r>
            <w:r w:rsidR="00465659">
              <w:rPr>
                <w:sz w:val="20"/>
                <w:szCs w:val="20"/>
                <w:lang w:eastAsia="en-US"/>
              </w:rPr>
              <w:t>-</w:t>
            </w:r>
            <w:r w:rsidR="00465659" w:rsidRPr="00EE04E5">
              <w:rPr>
                <w:sz w:val="20"/>
                <w:szCs w:val="20"/>
                <w:lang w:eastAsia="en-US"/>
              </w:rPr>
              <w:t xml:space="preserve"> </w:t>
            </w:r>
            <w:r w:rsidR="00AA0AA2" w:rsidRPr="00EE04E5">
              <w:rPr>
                <w:sz w:val="20"/>
                <w:szCs w:val="20"/>
                <w:lang w:eastAsia="en-US"/>
              </w:rPr>
              <w:t>all sites and types</w:t>
            </w:r>
            <w:r w:rsidRPr="00EE04E5">
              <w:rPr>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71651AB3" w14:textId="77777777" w:rsidR="0022244D" w:rsidRPr="00EE04E5" w:rsidRDefault="00AA0AA2" w:rsidP="007337CF">
            <w:pPr>
              <w:spacing w:beforeLines="40" w:before="96" w:afterLines="40" w:after="96"/>
              <w:rPr>
                <w:sz w:val="20"/>
                <w:szCs w:val="20"/>
                <w:lang w:eastAsia="en-US"/>
              </w:rPr>
            </w:pPr>
            <w:r w:rsidRPr="00EE04E5">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EBE4335" w14:textId="77777777" w:rsidR="00AA0AA2" w:rsidRPr="00EE04E5" w:rsidRDefault="00AA0AA2"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74251D98" w14:textId="77777777" w:rsidR="0022244D" w:rsidRPr="00EE04E5" w:rsidRDefault="00791082" w:rsidP="007337CF">
            <w:pPr>
              <w:spacing w:beforeLines="40" w:before="96" w:afterLines="40" w:after="96"/>
              <w:rPr>
                <w:sz w:val="20"/>
                <w:szCs w:val="20"/>
                <w:lang w:eastAsia="en-US"/>
              </w:rPr>
            </w:pPr>
            <w:r w:rsidRPr="004F476E">
              <w:rPr>
                <w:i/>
                <w:color w:val="0070C0"/>
                <w:sz w:val="20"/>
                <w:szCs w:val="20"/>
                <w:lang w:eastAsia="en-US"/>
              </w:rPr>
              <w:t>[not yet in development]</w:t>
            </w:r>
          </w:p>
        </w:tc>
        <w:tc>
          <w:tcPr>
            <w:tcW w:w="1636" w:type="pct"/>
            <w:tcBorders>
              <w:top w:val="single" w:sz="4" w:space="0" w:color="808080"/>
              <w:left w:val="single" w:sz="4" w:space="0" w:color="808080"/>
              <w:bottom w:val="single" w:sz="4" w:space="0" w:color="808080"/>
              <w:right w:val="single" w:sz="4" w:space="0" w:color="808080"/>
            </w:tcBorders>
          </w:tcPr>
          <w:p w14:paraId="4EED4C26" w14:textId="77777777" w:rsidR="0022244D" w:rsidRPr="00EE04E5" w:rsidRDefault="00AA0AA2" w:rsidP="007337CF">
            <w:pPr>
              <w:spacing w:beforeLines="40" w:before="96" w:afterLines="40" w:after="96"/>
              <w:rPr>
                <w:sz w:val="20"/>
                <w:szCs w:val="20"/>
                <w:lang w:eastAsia="en-US"/>
              </w:rPr>
            </w:pPr>
            <w:r w:rsidRPr="00EE04E5">
              <w:rPr>
                <w:sz w:val="20"/>
                <w:szCs w:val="20"/>
                <w:lang w:eastAsia="en-US"/>
              </w:rPr>
              <w:t>Alignment. Drive best practice</w:t>
            </w:r>
          </w:p>
        </w:tc>
      </w:tr>
      <w:tr w:rsidR="0022244D" w:rsidRPr="0060121E" w14:paraId="52D86E3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17499A6"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Bone marrow,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413725EF"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7BB722BE"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Split into </w:t>
            </w:r>
            <w:r w:rsidRPr="00EE04E5">
              <w:rPr>
                <w:i/>
                <w:sz w:val="20"/>
                <w:szCs w:val="20"/>
                <w:lang w:eastAsia="en-US"/>
              </w:rPr>
              <w:t>bone marrow biopsy for haemopoietic malignancy</w:t>
            </w:r>
            <w:r w:rsidRPr="00EE04E5">
              <w:rPr>
                <w:sz w:val="20"/>
                <w:szCs w:val="20"/>
                <w:lang w:eastAsia="en-US"/>
              </w:rPr>
              <w:t xml:space="preserve"> (</w:t>
            </w:r>
            <w:r w:rsidR="00B21D4A">
              <w:rPr>
                <w:sz w:val="20"/>
                <w:szCs w:val="20"/>
                <w:lang w:eastAsia="en-US"/>
              </w:rPr>
              <w:t>level</w:t>
            </w:r>
            <w:r w:rsidRPr="00EE04E5">
              <w:rPr>
                <w:sz w:val="20"/>
                <w:szCs w:val="20"/>
                <w:lang w:eastAsia="en-US"/>
              </w:rPr>
              <w:t xml:space="preserve"> 5) </w:t>
            </w:r>
            <w:r w:rsidRPr="00EE04E5">
              <w:rPr>
                <w:i/>
                <w:sz w:val="20"/>
                <w:szCs w:val="20"/>
                <w:lang w:eastAsia="en-US"/>
              </w:rPr>
              <w:t>and bone marrow biopsy, NOS</w:t>
            </w:r>
            <w:r w:rsidRPr="00EE04E5">
              <w:rPr>
                <w:sz w:val="20"/>
                <w:szCs w:val="20"/>
                <w:lang w:eastAsia="en-US"/>
              </w:rPr>
              <w:t xml:space="preserve"> (</w:t>
            </w:r>
            <w:r w:rsidR="00BD01A1">
              <w:rPr>
                <w:sz w:val="20"/>
                <w:szCs w:val="20"/>
                <w:lang w:eastAsia="en-US"/>
              </w:rPr>
              <w:t xml:space="preserve">remain </w:t>
            </w:r>
            <w:r w:rsidR="00B21D4A">
              <w:rPr>
                <w:sz w:val="20"/>
                <w:szCs w:val="20"/>
                <w:lang w:eastAsia="en-US"/>
              </w:rPr>
              <w:t>level</w:t>
            </w:r>
            <w:r w:rsidRPr="00EE04E5">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3BBCBE2C"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Alignment. Other haematopoietic malignancy biopsies are L5; bone biopsy for lesion is also L5</w:t>
            </w:r>
          </w:p>
        </w:tc>
      </w:tr>
      <w:tr w:rsidR="0022244D" w:rsidRPr="0060121E" w14:paraId="590A635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409BBE1"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Brain neoplasm, resection - </w:t>
            </w:r>
            <w:proofErr w:type="spellStart"/>
            <w:r w:rsidRPr="00EE04E5">
              <w:rPr>
                <w:sz w:val="20"/>
                <w:szCs w:val="20"/>
                <w:lang w:eastAsia="en-US"/>
              </w:rPr>
              <w:t>cerebello</w:t>
            </w:r>
            <w:proofErr w:type="spellEnd"/>
            <w:r w:rsidRPr="00EE04E5">
              <w:rPr>
                <w:sz w:val="20"/>
                <w:szCs w:val="20"/>
                <w:lang w:eastAsia="en-US"/>
              </w:rPr>
              <w:t xml:space="preserve">-pontine angle </w:t>
            </w:r>
          </w:p>
        </w:tc>
        <w:tc>
          <w:tcPr>
            <w:tcW w:w="703" w:type="pct"/>
            <w:tcBorders>
              <w:top w:val="single" w:sz="4" w:space="0" w:color="808080"/>
              <w:left w:val="single" w:sz="4" w:space="0" w:color="808080"/>
              <w:bottom w:val="single" w:sz="4" w:space="0" w:color="808080"/>
              <w:right w:val="single" w:sz="4" w:space="0" w:color="808080"/>
            </w:tcBorders>
            <w:noWrap/>
            <w:hideMark/>
          </w:tcPr>
          <w:p w14:paraId="1479768A"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12C550C5"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Delete (include under Brain or meninges, resection – neoplasm)</w:t>
            </w:r>
          </w:p>
        </w:tc>
        <w:tc>
          <w:tcPr>
            <w:tcW w:w="1636" w:type="pct"/>
            <w:tcBorders>
              <w:top w:val="single" w:sz="4" w:space="0" w:color="808080"/>
              <w:left w:val="single" w:sz="4" w:space="0" w:color="808080"/>
              <w:bottom w:val="single" w:sz="4" w:space="0" w:color="808080"/>
              <w:right w:val="single" w:sz="4" w:space="0" w:color="808080"/>
            </w:tcBorders>
          </w:tcPr>
          <w:p w14:paraId="36B857BB"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Alignment. Currently CPA biopsy is L5 but resection L4. Illogical to separate from other tumours of meninges </w:t>
            </w:r>
            <w:r w:rsidR="00465659">
              <w:rPr>
                <w:sz w:val="20"/>
                <w:szCs w:val="20"/>
                <w:lang w:eastAsia="en-US"/>
              </w:rPr>
              <w:t>and</w:t>
            </w:r>
            <w:r w:rsidRPr="00EE04E5">
              <w:rPr>
                <w:sz w:val="20"/>
                <w:szCs w:val="20"/>
                <w:lang w:eastAsia="en-US"/>
              </w:rPr>
              <w:t xml:space="preserve"> brain</w:t>
            </w:r>
          </w:p>
        </w:tc>
      </w:tr>
      <w:tr w:rsidR="0022244D" w:rsidRPr="0060121E" w14:paraId="31C53898"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E911814"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Brain or meninges, not neoplasm - temporal lobe </w:t>
            </w:r>
          </w:p>
        </w:tc>
        <w:tc>
          <w:tcPr>
            <w:tcW w:w="703" w:type="pct"/>
            <w:tcBorders>
              <w:top w:val="single" w:sz="4" w:space="0" w:color="808080"/>
              <w:left w:val="single" w:sz="4" w:space="0" w:color="808080"/>
              <w:bottom w:val="single" w:sz="4" w:space="0" w:color="808080"/>
              <w:right w:val="single" w:sz="4" w:space="0" w:color="808080"/>
            </w:tcBorders>
            <w:noWrap/>
            <w:hideMark/>
          </w:tcPr>
          <w:p w14:paraId="1F55A88F"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4304201" w14:textId="77777777" w:rsidR="0022244D" w:rsidRPr="00EE04E5" w:rsidRDefault="0022244D" w:rsidP="007337CF">
            <w:pPr>
              <w:spacing w:beforeLines="40" w:before="96" w:afterLines="40" w:after="96"/>
              <w:rPr>
                <w:i/>
                <w:sz w:val="20"/>
                <w:szCs w:val="20"/>
                <w:lang w:eastAsia="en-US"/>
              </w:rPr>
            </w:pPr>
            <w:r w:rsidRPr="00EE04E5">
              <w:rPr>
                <w:sz w:val="20"/>
                <w:szCs w:val="20"/>
                <w:lang w:eastAsia="en-US"/>
              </w:rPr>
              <w:t xml:space="preserve">Delete </w:t>
            </w:r>
            <w:r w:rsidRPr="00EE04E5">
              <w:rPr>
                <w:i/>
                <w:sz w:val="20"/>
                <w:szCs w:val="20"/>
                <w:lang w:eastAsia="en-US"/>
              </w:rPr>
              <w:t>not neoplasm</w:t>
            </w:r>
            <w:r w:rsidRPr="00EE04E5">
              <w:rPr>
                <w:sz w:val="20"/>
                <w:szCs w:val="20"/>
                <w:lang w:eastAsia="en-US"/>
              </w:rPr>
              <w:t xml:space="preserve"> and add ‘</w:t>
            </w:r>
            <w:r w:rsidRPr="00EE04E5">
              <w:rPr>
                <w:i/>
                <w:sz w:val="20"/>
                <w:szCs w:val="20"/>
                <w:lang w:eastAsia="en-US"/>
              </w:rPr>
              <w:t>for epilepsy’</w:t>
            </w:r>
          </w:p>
        </w:tc>
        <w:tc>
          <w:tcPr>
            <w:tcW w:w="1636" w:type="pct"/>
            <w:tcBorders>
              <w:top w:val="single" w:sz="4" w:space="0" w:color="808080"/>
              <w:left w:val="single" w:sz="4" w:space="0" w:color="808080"/>
              <w:bottom w:val="single" w:sz="4" w:space="0" w:color="808080"/>
              <w:right w:val="single" w:sz="4" w:space="0" w:color="808080"/>
            </w:tcBorders>
          </w:tcPr>
          <w:p w14:paraId="3A60E1DA" w14:textId="77777777" w:rsidR="0022244D" w:rsidRPr="00EE04E5" w:rsidRDefault="0022244D" w:rsidP="007337CF">
            <w:pPr>
              <w:spacing w:beforeLines="40" w:before="96" w:afterLines="40" w:after="96"/>
              <w:rPr>
                <w:sz w:val="20"/>
                <w:szCs w:val="20"/>
                <w:lang w:eastAsia="en-US"/>
              </w:rPr>
            </w:pPr>
            <w:r w:rsidRPr="00EE04E5">
              <w:rPr>
                <w:sz w:val="20"/>
                <w:szCs w:val="20"/>
                <w:lang w:eastAsia="en-US"/>
              </w:rPr>
              <w:t xml:space="preserve">Clarification. Detailed assessment </w:t>
            </w:r>
            <w:r w:rsidR="005D0017" w:rsidRPr="00EE04E5">
              <w:rPr>
                <w:sz w:val="20"/>
                <w:szCs w:val="20"/>
                <w:lang w:eastAsia="en-US"/>
              </w:rPr>
              <w:t xml:space="preserve">is </w:t>
            </w:r>
            <w:r w:rsidRPr="00EE04E5">
              <w:rPr>
                <w:sz w:val="20"/>
                <w:szCs w:val="20"/>
                <w:lang w:eastAsia="en-US"/>
              </w:rPr>
              <w:t>required for epilepsy</w:t>
            </w:r>
          </w:p>
        </w:tc>
      </w:tr>
      <w:tr w:rsidR="0022244D" w:rsidRPr="0036616D" w14:paraId="378087F1"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618F53C" w14:textId="77777777" w:rsidR="0022244D" w:rsidRPr="00791082" w:rsidRDefault="0022244D" w:rsidP="007337CF">
            <w:pPr>
              <w:spacing w:beforeLines="40" w:before="96" w:afterLines="40" w:after="96"/>
              <w:rPr>
                <w:sz w:val="20"/>
                <w:szCs w:val="20"/>
                <w:lang w:eastAsia="en-US"/>
              </w:rPr>
            </w:pPr>
            <w:r w:rsidRPr="00791082">
              <w:rPr>
                <w:sz w:val="20"/>
                <w:szCs w:val="20"/>
                <w:lang w:eastAsia="en-US"/>
              </w:rPr>
              <w:t xml:space="preserve">Brain or meninges, resection - neoplasm (intracranial) </w:t>
            </w:r>
          </w:p>
        </w:tc>
        <w:tc>
          <w:tcPr>
            <w:tcW w:w="703" w:type="pct"/>
            <w:tcBorders>
              <w:top w:val="single" w:sz="4" w:space="0" w:color="808080"/>
              <w:left w:val="single" w:sz="4" w:space="0" w:color="808080"/>
              <w:bottom w:val="single" w:sz="4" w:space="0" w:color="808080"/>
              <w:right w:val="single" w:sz="4" w:space="0" w:color="808080"/>
            </w:tcBorders>
            <w:noWrap/>
            <w:hideMark/>
          </w:tcPr>
          <w:p w14:paraId="3684ECB8"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247A144E" w14:textId="77777777" w:rsidR="0022244D"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22244D" w:rsidRPr="0036616D">
              <w:rPr>
                <w:sz w:val="20"/>
                <w:szCs w:val="20"/>
                <w:lang w:eastAsia="en-US"/>
              </w:rPr>
              <w:t xml:space="preserve"> </w:t>
            </w:r>
            <w:r w:rsidR="00B21D4A">
              <w:rPr>
                <w:sz w:val="20"/>
                <w:szCs w:val="20"/>
                <w:lang w:eastAsia="en-US"/>
              </w:rPr>
              <w:t>level</w:t>
            </w:r>
            <w:r w:rsidR="0022244D" w:rsidRPr="0036616D">
              <w:rPr>
                <w:sz w:val="20"/>
                <w:szCs w:val="20"/>
                <w:lang w:eastAsia="en-US"/>
              </w:rPr>
              <w:t xml:space="preserve"> to 6</w:t>
            </w:r>
            <w:r w:rsidR="005D0017" w:rsidRPr="0036616D">
              <w:rPr>
                <w:sz w:val="20"/>
                <w:szCs w:val="20"/>
                <w:lang w:eastAsia="en-US"/>
              </w:rPr>
              <w:t>.</w:t>
            </w:r>
          </w:p>
          <w:p w14:paraId="7A69B66B" w14:textId="77777777" w:rsidR="005D0017" w:rsidRPr="00791082" w:rsidRDefault="00477567"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44882F04"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Alignment. Brain tumours require detailed assessment with structured report and tiered diagnosis including con</w:t>
            </w:r>
            <w:r w:rsidR="00BD01A1">
              <w:rPr>
                <w:sz w:val="20"/>
                <w:szCs w:val="20"/>
                <w:lang w:eastAsia="en-US"/>
              </w:rPr>
              <w:t>sideration of molecular profile</w:t>
            </w:r>
          </w:p>
        </w:tc>
      </w:tr>
      <w:tr w:rsidR="00014860" w:rsidRPr="0036616D" w14:paraId="2CC0DC1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8EBFA1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Breast </w:t>
            </w:r>
            <w:r w:rsidR="00465659">
              <w:rPr>
                <w:sz w:val="20"/>
                <w:szCs w:val="20"/>
                <w:lang w:eastAsia="en-US"/>
              </w:rPr>
              <w:t>-</w:t>
            </w:r>
            <w:r w:rsidR="00465659" w:rsidRPr="0036616D">
              <w:rPr>
                <w:sz w:val="20"/>
                <w:szCs w:val="20"/>
                <w:lang w:eastAsia="en-US"/>
              </w:rPr>
              <w:t xml:space="preserve"> </w:t>
            </w:r>
            <w:r w:rsidRPr="0036616D">
              <w:rPr>
                <w:sz w:val="20"/>
                <w:szCs w:val="20"/>
                <w:lang w:eastAsia="en-US"/>
              </w:rPr>
              <w:t>excision biopsy, guidewire locali</w:t>
            </w:r>
            <w:r w:rsidR="00465659">
              <w:rPr>
                <w:sz w:val="20"/>
                <w:szCs w:val="20"/>
                <w:lang w:eastAsia="en-US"/>
              </w:rPr>
              <w:t>s</w:t>
            </w:r>
            <w:r w:rsidRPr="0036616D">
              <w:rPr>
                <w:sz w:val="20"/>
                <w:szCs w:val="20"/>
                <w:lang w:eastAsia="en-US"/>
              </w:rPr>
              <w:t xml:space="preserve">ation </w:t>
            </w:r>
            <w:r w:rsidR="00465659">
              <w:rPr>
                <w:sz w:val="20"/>
                <w:szCs w:val="20"/>
                <w:lang w:eastAsia="en-US"/>
              </w:rPr>
              <w:t>-</w:t>
            </w:r>
            <w:r w:rsidR="00465659" w:rsidRPr="0036616D">
              <w:rPr>
                <w:sz w:val="20"/>
                <w:szCs w:val="20"/>
                <w:lang w:eastAsia="en-US"/>
              </w:rPr>
              <w:t xml:space="preserve"> </w:t>
            </w:r>
            <w:r w:rsidRPr="0036616D">
              <w:rPr>
                <w:sz w:val="20"/>
                <w:szCs w:val="20"/>
                <w:lang w:eastAsia="en-US"/>
              </w:rPr>
              <w:t>non-palpable lesion</w:t>
            </w:r>
          </w:p>
        </w:tc>
        <w:tc>
          <w:tcPr>
            <w:tcW w:w="703" w:type="pct"/>
            <w:tcBorders>
              <w:top w:val="single" w:sz="4" w:space="0" w:color="808080"/>
              <w:left w:val="single" w:sz="4" w:space="0" w:color="808080"/>
              <w:bottom w:val="single" w:sz="4" w:space="0" w:color="808080"/>
              <w:right w:val="single" w:sz="4" w:space="0" w:color="808080"/>
            </w:tcBorders>
            <w:noWrap/>
            <w:hideMark/>
          </w:tcPr>
          <w:p w14:paraId="6FE5765A"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50FA5786"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2EFCA133"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59F0F417" w14:textId="77777777" w:rsidTr="00907BED">
        <w:trPr>
          <w:trHeight w:val="605"/>
          <w:jc w:val="center"/>
        </w:trPr>
        <w:tc>
          <w:tcPr>
            <w:tcW w:w="1256" w:type="pct"/>
            <w:tcBorders>
              <w:top w:val="single" w:sz="4" w:space="0" w:color="808080"/>
              <w:left w:val="single" w:sz="4" w:space="0" w:color="808080"/>
              <w:bottom w:val="single" w:sz="4" w:space="0" w:color="808080"/>
              <w:right w:val="single" w:sz="4" w:space="0" w:color="808080"/>
            </w:tcBorders>
            <w:hideMark/>
          </w:tcPr>
          <w:p w14:paraId="7DC96CB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Breast, excision biopsy, or radical resection, malignant neoplasm or atypical proliferative disease - all specimen types</w:t>
            </w:r>
          </w:p>
        </w:tc>
        <w:tc>
          <w:tcPr>
            <w:tcW w:w="703" w:type="pct"/>
            <w:tcBorders>
              <w:top w:val="single" w:sz="4" w:space="0" w:color="808080"/>
              <w:left w:val="single" w:sz="4" w:space="0" w:color="808080"/>
              <w:bottom w:val="single" w:sz="4" w:space="0" w:color="808080"/>
              <w:right w:val="single" w:sz="4" w:space="0" w:color="808080"/>
            </w:tcBorders>
            <w:noWrap/>
            <w:hideMark/>
          </w:tcPr>
          <w:p w14:paraId="335DD346"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17EEFE2"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7</w:t>
            </w:r>
          </w:p>
          <w:p w14:paraId="6DC58791"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4DEEB70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Number of blocks, assessment of margins &amp; amount of diagnostic work in mastectomy is equivalent to wide local excision; often multifocal disease</w:t>
            </w:r>
          </w:p>
        </w:tc>
      </w:tr>
      <w:tr w:rsidR="0022244D" w:rsidRPr="0036616D" w14:paraId="792F8F5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BD1010F"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Breast – </w:t>
            </w:r>
            <w:proofErr w:type="spellStart"/>
            <w:r w:rsidRPr="0036616D">
              <w:rPr>
                <w:sz w:val="20"/>
                <w:szCs w:val="20"/>
                <w:lang w:eastAsia="en-US"/>
              </w:rPr>
              <w:t>microdochectomy</w:t>
            </w:r>
            <w:proofErr w:type="spellEnd"/>
            <w:r w:rsidRPr="0036616D">
              <w:rPr>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6C2242BC"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79671F87"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Reduce complexity </w:t>
            </w:r>
            <w:r w:rsidR="00B21D4A">
              <w:rPr>
                <w:sz w:val="20"/>
                <w:szCs w:val="20"/>
                <w:lang w:eastAsia="en-US"/>
              </w:rPr>
              <w:t>level</w:t>
            </w:r>
            <w:r w:rsidRPr="0036616D">
              <w:rPr>
                <w:sz w:val="20"/>
                <w:szCs w:val="20"/>
                <w:lang w:eastAsia="en-US"/>
              </w:rPr>
              <w:t xml:space="preserve"> to 5</w:t>
            </w:r>
          </w:p>
        </w:tc>
        <w:tc>
          <w:tcPr>
            <w:tcW w:w="1636" w:type="pct"/>
            <w:tcBorders>
              <w:top w:val="single" w:sz="4" w:space="0" w:color="808080"/>
              <w:left w:val="single" w:sz="4" w:space="0" w:color="808080"/>
              <w:bottom w:val="single" w:sz="4" w:space="0" w:color="808080"/>
              <w:right w:val="single" w:sz="4" w:space="0" w:color="808080"/>
            </w:tcBorders>
          </w:tcPr>
          <w:p w14:paraId="04317A5A"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Downgrade. </w:t>
            </w:r>
            <w:r w:rsidR="00AA0AA2" w:rsidRPr="0036616D">
              <w:rPr>
                <w:sz w:val="20"/>
                <w:szCs w:val="20"/>
                <w:lang w:eastAsia="en-US"/>
              </w:rPr>
              <w:t>Involved w</w:t>
            </w:r>
            <w:r w:rsidRPr="0036616D">
              <w:rPr>
                <w:sz w:val="20"/>
                <w:szCs w:val="20"/>
                <w:lang w:eastAsia="en-US"/>
              </w:rPr>
              <w:t xml:space="preserve">ork not commensurate with </w:t>
            </w:r>
            <w:r w:rsidR="00B21D4A">
              <w:rPr>
                <w:sz w:val="20"/>
                <w:szCs w:val="20"/>
                <w:lang w:eastAsia="en-US"/>
              </w:rPr>
              <w:t>level</w:t>
            </w:r>
            <w:r w:rsidR="006E6270" w:rsidRPr="0036616D">
              <w:rPr>
                <w:sz w:val="20"/>
                <w:szCs w:val="20"/>
                <w:lang w:eastAsia="en-US"/>
              </w:rPr>
              <w:t xml:space="preserve"> 6</w:t>
            </w:r>
          </w:p>
        </w:tc>
      </w:tr>
      <w:tr w:rsidR="00014860" w:rsidRPr="0036616D" w14:paraId="64BE67C0" w14:textId="77777777" w:rsidTr="00907BED">
        <w:trPr>
          <w:trHeight w:val="605"/>
          <w:jc w:val="center"/>
        </w:trPr>
        <w:tc>
          <w:tcPr>
            <w:tcW w:w="1256" w:type="pct"/>
            <w:tcBorders>
              <w:top w:val="single" w:sz="4" w:space="0" w:color="808080"/>
              <w:left w:val="single" w:sz="4" w:space="0" w:color="808080"/>
              <w:bottom w:val="single" w:sz="4" w:space="0" w:color="808080"/>
              <w:right w:val="single" w:sz="4" w:space="0" w:color="808080"/>
            </w:tcBorders>
            <w:hideMark/>
          </w:tcPr>
          <w:p w14:paraId="309B8CE5"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Breast, orientated wide local excision for carcinoma, with margin assessment</w:t>
            </w:r>
          </w:p>
        </w:tc>
        <w:tc>
          <w:tcPr>
            <w:tcW w:w="703" w:type="pct"/>
            <w:tcBorders>
              <w:top w:val="single" w:sz="4" w:space="0" w:color="808080"/>
              <w:left w:val="single" w:sz="4" w:space="0" w:color="808080"/>
              <w:bottom w:val="single" w:sz="4" w:space="0" w:color="808080"/>
              <w:right w:val="single" w:sz="4" w:space="0" w:color="808080"/>
            </w:tcBorders>
            <w:noWrap/>
            <w:hideMark/>
          </w:tcPr>
          <w:p w14:paraId="5A790A53"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7</w:t>
            </w:r>
          </w:p>
        </w:tc>
        <w:tc>
          <w:tcPr>
            <w:tcW w:w="1405" w:type="pct"/>
            <w:tcBorders>
              <w:top w:val="single" w:sz="4" w:space="0" w:color="808080"/>
              <w:left w:val="single" w:sz="4" w:space="0" w:color="808080"/>
              <w:bottom w:val="single" w:sz="4" w:space="0" w:color="808080"/>
              <w:right w:val="single" w:sz="4" w:space="0" w:color="808080"/>
            </w:tcBorders>
          </w:tcPr>
          <w:p w14:paraId="708E09E3"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141E2D59"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Drive best practice</w:t>
            </w:r>
          </w:p>
        </w:tc>
      </w:tr>
      <w:tr w:rsidR="0022244D" w:rsidRPr="0036616D" w14:paraId="42831C5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79F2855"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Eye, conjunctiva - biopsy or pterygium </w:t>
            </w:r>
          </w:p>
        </w:tc>
        <w:tc>
          <w:tcPr>
            <w:tcW w:w="703" w:type="pct"/>
            <w:tcBorders>
              <w:top w:val="single" w:sz="4" w:space="0" w:color="808080"/>
              <w:left w:val="single" w:sz="4" w:space="0" w:color="808080"/>
              <w:bottom w:val="single" w:sz="4" w:space="0" w:color="808080"/>
              <w:right w:val="single" w:sz="4" w:space="0" w:color="808080"/>
            </w:tcBorders>
            <w:noWrap/>
            <w:hideMark/>
          </w:tcPr>
          <w:p w14:paraId="2FDB4130"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09608F1B"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r w:rsidRPr="0036616D">
              <w:rPr>
                <w:i/>
                <w:sz w:val="20"/>
                <w:szCs w:val="20"/>
                <w:lang w:eastAsia="en-US"/>
              </w:rPr>
              <w:t>:</w:t>
            </w:r>
            <w:proofErr w:type="gramEnd"/>
            <w:r w:rsidRPr="0036616D">
              <w:rPr>
                <w:i/>
                <w:sz w:val="20"/>
                <w:szCs w:val="20"/>
                <w:lang w:eastAsia="en-US"/>
              </w:rPr>
              <w:t xml:space="preserve"> eye, conjunctiva -pterygium</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3) and </w:t>
            </w:r>
            <w:r w:rsidRPr="0036616D">
              <w:rPr>
                <w:i/>
                <w:sz w:val="20"/>
                <w:szCs w:val="20"/>
                <w:lang w:eastAsia="en-US"/>
              </w:rPr>
              <w:lastRenderedPageBreak/>
              <w:t xml:space="preserve">eye, conjunctiva </w:t>
            </w:r>
            <w:r w:rsidR="004C710D">
              <w:rPr>
                <w:i/>
                <w:sz w:val="20"/>
                <w:szCs w:val="20"/>
                <w:lang w:eastAsia="en-US"/>
              </w:rPr>
              <w:t>-</w:t>
            </w:r>
            <w:r w:rsidR="004C710D" w:rsidRPr="0036616D">
              <w:rPr>
                <w:i/>
                <w:sz w:val="20"/>
                <w:szCs w:val="20"/>
                <w:lang w:eastAsia="en-US"/>
              </w:rPr>
              <w:t xml:space="preserve"> </w:t>
            </w:r>
            <w:r w:rsidRPr="0036616D">
              <w:rPr>
                <w:i/>
                <w:sz w:val="20"/>
                <w:szCs w:val="20"/>
                <w:lang w:eastAsia="en-US"/>
              </w:rPr>
              <w:t xml:space="preserve">biopsy NOS </w:t>
            </w:r>
            <w:r w:rsidR="00FA3F9A" w:rsidRPr="0036616D">
              <w:rPr>
                <w:sz w:val="20"/>
                <w:szCs w:val="20"/>
                <w:lang w:eastAsia="en-US"/>
              </w:rPr>
              <w:t>(</w:t>
            </w:r>
            <w:r w:rsidR="00B21D4A">
              <w:rPr>
                <w:sz w:val="20"/>
                <w:szCs w:val="20"/>
                <w:lang w:eastAsia="en-US"/>
              </w:rPr>
              <w:t>level</w:t>
            </w:r>
            <w:r w:rsidR="00FA3F9A" w:rsidRPr="0036616D">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585EA8EB"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lastRenderedPageBreak/>
              <w:t xml:space="preserve">Alignment. Conjunctival biopsies other than pterygia </w:t>
            </w:r>
            <w:r w:rsidRPr="0036616D">
              <w:rPr>
                <w:sz w:val="20"/>
                <w:szCs w:val="20"/>
                <w:lang w:eastAsia="en-US"/>
              </w:rPr>
              <w:lastRenderedPageBreak/>
              <w:t>are complex; often melanocytic lesions or at</w:t>
            </w:r>
            <w:r w:rsidR="00FA3F9A" w:rsidRPr="0036616D">
              <w:rPr>
                <w:sz w:val="20"/>
                <w:szCs w:val="20"/>
                <w:lang w:eastAsia="en-US"/>
              </w:rPr>
              <w:t>ypical lymphocytic infiltrates</w:t>
            </w:r>
          </w:p>
        </w:tc>
      </w:tr>
      <w:tr w:rsidR="0022244D" w:rsidRPr="0036616D" w14:paraId="70B8EE11" w14:textId="77777777" w:rsidTr="003D1B38">
        <w:trPr>
          <w:cantSplit/>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AE3B8DC"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lastRenderedPageBreak/>
              <w:t>F</w:t>
            </w:r>
            <w:r w:rsidR="004C710D">
              <w:rPr>
                <w:sz w:val="20"/>
                <w:szCs w:val="20"/>
                <w:lang w:eastAsia="en-US"/>
              </w:rPr>
              <w:t>o</w:t>
            </w:r>
            <w:r w:rsidRPr="0036616D">
              <w:rPr>
                <w:sz w:val="20"/>
                <w:szCs w:val="20"/>
                <w:lang w:eastAsia="en-US"/>
              </w:rPr>
              <w:t xml:space="preserve">etus with dissection </w:t>
            </w:r>
          </w:p>
        </w:tc>
        <w:tc>
          <w:tcPr>
            <w:tcW w:w="703" w:type="pct"/>
            <w:tcBorders>
              <w:top w:val="single" w:sz="4" w:space="0" w:color="808080"/>
              <w:left w:val="single" w:sz="4" w:space="0" w:color="808080"/>
              <w:bottom w:val="single" w:sz="4" w:space="0" w:color="808080"/>
              <w:right w:val="single" w:sz="4" w:space="0" w:color="808080"/>
            </w:tcBorders>
            <w:noWrap/>
            <w:hideMark/>
          </w:tcPr>
          <w:p w14:paraId="4D3795AE"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6876122B" w14:textId="77777777" w:rsidR="0022244D"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22244D" w:rsidRPr="0036616D">
              <w:rPr>
                <w:sz w:val="20"/>
                <w:szCs w:val="20"/>
                <w:lang w:eastAsia="en-US"/>
              </w:rPr>
              <w:t xml:space="preserve"> </w:t>
            </w:r>
            <w:r w:rsidR="00B21D4A">
              <w:rPr>
                <w:sz w:val="20"/>
                <w:szCs w:val="20"/>
                <w:lang w:eastAsia="en-US"/>
              </w:rPr>
              <w:t>level</w:t>
            </w:r>
            <w:r w:rsidR="0022244D" w:rsidRPr="0036616D">
              <w:rPr>
                <w:sz w:val="20"/>
                <w:szCs w:val="20"/>
                <w:lang w:eastAsia="en-US"/>
              </w:rPr>
              <w:t xml:space="preserve"> to 7 </w:t>
            </w:r>
          </w:p>
        </w:tc>
        <w:tc>
          <w:tcPr>
            <w:tcW w:w="1636" w:type="pct"/>
            <w:tcBorders>
              <w:top w:val="single" w:sz="4" w:space="0" w:color="808080"/>
              <w:left w:val="single" w:sz="4" w:space="0" w:color="808080"/>
              <w:bottom w:val="single" w:sz="4" w:space="0" w:color="808080"/>
              <w:right w:val="single" w:sz="4" w:space="0" w:color="808080"/>
            </w:tcBorders>
          </w:tcPr>
          <w:p w14:paraId="14A3F349"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Alignment. Highly complex cases requiring additional investigations (</w:t>
            </w:r>
            <w:r w:rsidR="004C710D" w:rsidRPr="0036616D">
              <w:rPr>
                <w:sz w:val="20"/>
                <w:szCs w:val="20"/>
                <w:lang w:eastAsia="en-US"/>
              </w:rPr>
              <w:t>X</w:t>
            </w:r>
            <w:r w:rsidR="004C710D">
              <w:rPr>
                <w:sz w:val="20"/>
                <w:szCs w:val="20"/>
                <w:lang w:eastAsia="en-US"/>
              </w:rPr>
              <w:t>-r</w:t>
            </w:r>
            <w:r w:rsidR="004C710D" w:rsidRPr="0036616D">
              <w:rPr>
                <w:sz w:val="20"/>
                <w:szCs w:val="20"/>
                <w:lang w:eastAsia="en-US"/>
              </w:rPr>
              <w:t>ay</w:t>
            </w:r>
            <w:r w:rsidRPr="0036616D">
              <w:rPr>
                <w:sz w:val="20"/>
                <w:szCs w:val="20"/>
                <w:lang w:eastAsia="en-US"/>
              </w:rPr>
              <w:t xml:space="preserve">, photography) as well as detailed measurements, dissection, histology, correlation with </w:t>
            </w:r>
            <w:r w:rsidR="00EA3676">
              <w:rPr>
                <w:sz w:val="20"/>
                <w:szCs w:val="20"/>
                <w:lang w:eastAsia="en-US"/>
              </w:rPr>
              <w:t>m</w:t>
            </w:r>
            <w:r w:rsidRPr="0036616D">
              <w:rPr>
                <w:sz w:val="20"/>
                <w:szCs w:val="20"/>
                <w:lang w:eastAsia="en-US"/>
              </w:rPr>
              <w:t xml:space="preserve">icrobiology and </w:t>
            </w:r>
            <w:r w:rsidR="00EA3676">
              <w:rPr>
                <w:sz w:val="20"/>
                <w:szCs w:val="20"/>
                <w:lang w:eastAsia="en-US"/>
              </w:rPr>
              <w:t>g</w:t>
            </w:r>
            <w:r w:rsidRPr="0036616D">
              <w:rPr>
                <w:sz w:val="20"/>
                <w:szCs w:val="20"/>
                <w:lang w:eastAsia="en-US"/>
              </w:rPr>
              <w:t>enetics</w:t>
            </w:r>
          </w:p>
        </w:tc>
      </w:tr>
      <w:tr w:rsidR="0022244D" w:rsidRPr="0036616D" w14:paraId="1AD79AA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191E503"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Foreskin - </w:t>
            </w:r>
            <w:proofErr w:type="gramStart"/>
            <w:r w:rsidRPr="0036616D">
              <w:rPr>
                <w:sz w:val="20"/>
                <w:szCs w:val="20"/>
                <w:lang w:eastAsia="en-US"/>
              </w:rPr>
              <w:t>new born</w:t>
            </w:r>
            <w:proofErr w:type="gramEnd"/>
            <w:r w:rsidRPr="0036616D">
              <w:rPr>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550B47AE"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2</w:t>
            </w:r>
          </w:p>
        </w:tc>
        <w:tc>
          <w:tcPr>
            <w:tcW w:w="1405" w:type="pct"/>
            <w:tcBorders>
              <w:top w:val="single" w:sz="4" w:space="0" w:color="808080"/>
              <w:left w:val="single" w:sz="4" w:space="0" w:color="808080"/>
              <w:bottom w:val="single" w:sz="4" w:space="0" w:color="808080"/>
              <w:right w:val="single" w:sz="4" w:space="0" w:color="808080"/>
            </w:tcBorders>
          </w:tcPr>
          <w:p w14:paraId="2CC9C2C4"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5341B55D" w14:textId="77777777" w:rsidR="0022244D" w:rsidRPr="0036616D" w:rsidRDefault="0093235E" w:rsidP="007337CF">
            <w:pPr>
              <w:spacing w:beforeLines="40" w:before="96" w:afterLines="40" w:after="96"/>
              <w:rPr>
                <w:sz w:val="20"/>
                <w:szCs w:val="20"/>
                <w:lang w:eastAsia="en-US"/>
              </w:rPr>
            </w:pPr>
            <w:r w:rsidRPr="0036616D">
              <w:rPr>
                <w:sz w:val="20"/>
                <w:szCs w:val="20"/>
                <w:lang w:eastAsia="en-US"/>
              </w:rPr>
              <w:t xml:space="preserve">Replaced. </w:t>
            </w:r>
            <w:r w:rsidR="0022244D" w:rsidRPr="0036616D">
              <w:rPr>
                <w:sz w:val="20"/>
                <w:szCs w:val="20"/>
                <w:lang w:eastAsia="en-US"/>
              </w:rPr>
              <w:t>See below</w:t>
            </w:r>
          </w:p>
        </w:tc>
      </w:tr>
      <w:tr w:rsidR="0022244D" w:rsidRPr="0036616D" w14:paraId="5EF0B91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C55121F"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Foreskin - not </w:t>
            </w:r>
            <w:proofErr w:type="gramStart"/>
            <w:r w:rsidRPr="0036616D">
              <w:rPr>
                <w:sz w:val="20"/>
                <w:szCs w:val="20"/>
                <w:lang w:eastAsia="en-US"/>
              </w:rPr>
              <w:t>new born</w:t>
            </w:r>
            <w:proofErr w:type="gramEnd"/>
            <w:r w:rsidRPr="0036616D">
              <w:rPr>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46A5091A"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445AFC1E"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 xml:space="preserve">Delete </w:t>
            </w:r>
            <w:r w:rsidRPr="0036616D">
              <w:rPr>
                <w:i/>
                <w:sz w:val="20"/>
                <w:szCs w:val="20"/>
                <w:lang w:eastAsia="en-US"/>
              </w:rPr>
              <w:t>not new born</w:t>
            </w:r>
            <w:r w:rsidRPr="0036616D">
              <w:rPr>
                <w:sz w:val="20"/>
                <w:szCs w:val="20"/>
                <w:lang w:eastAsia="en-US"/>
              </w:rPr>
              <w:t xml:space="preserve"> and split into: </w:t>
            </w:r>
            <w:r w:rsidRPr="0036616D">
              <w:rPr>
                <w:i/>
                <w:sz w:val="20"/>
                <w:szCs w:val="20"/>
                <w:lang w:eastAsia="en-US"/>
              </w:rPr>
              <w:t>foreskin,</w:t>
            </w:r>
            <w:r w:rsidRPr="0036616D">
              <w:rPr>
                <w:sz w:val="20"/>
                <w:szCs w:val="20"/>
                <w:lang w:eastAsia="en-US"/>
              </w:rPr>
              <w:t xml:space="preserve"> </w:t>
            </w:r>
            <w:r w:rsidRPr="0036616D">
              <w:rPr>
                <w:i/>
                <w:sz w:val="20"/>
                <w:szCs w:val="20"/>
                <w:lang w:eastAsia="en-US"/>
              </w:rPr>
              <w:t>inflammatory dermatosis</w:t>
            </w:r>
            <w:r w:rsidR="00FA3F9A" w:rsidRPr="0036616D">
              <w:rPr>
                <w:i/>
                <w:sz w:val="20"/>
                <w:szCs w:val="20"/>
                <w:lang w:eastAsia="en-US"/>
              </w:rPr>
              <w:t xml:space="preserve"> </w:t>
            </w:r>
            <w:r w:rsidR="00477567" w:rsidRPr="0036616D">
              <w:rPr>
                <w:i/>
                <w:sz w:val="20"/>
                <w:szCs w:val="20"/>
                <w:lang w:eastAsia="en-US"/>
              </w:rPr>
              <w:t>with special stains</w:t>
            </w:r>
            <w:r w:rsidRPr="00791082">
              <w:rPr>
                <w:sz w:val="20"/>
                <w:szCs w:val="20"/>
                <w:lang w:eastAsia="en-US"/>
              </w:rPr>
              <w:t xml:space="preserve"> (</w:t>
            </w:r>
            <w:r w:rsidR="00B21D4A">
              <w:rPr>
                <w:sz w:val="20"/>
                <w:szCs w:val="20"/>
                <w:lang w:eastAsia="en-US"/>
              </w:rPr>
              <w:t>level</w:t>
            </w:r>
            <w:r w:rsidRPr="00791082">
              <w:rPr>
                <w:sz w:val="20"/>
                <w:szCs w:val="20"/>
                <w:lang w:eastAsia="en-US"/>
              </w:rPr>
              <w:t xml:space="preserve"> </w:t>
            </w:r>
            <w:r w:rsidR="00FA3F9A" w:rsidRPr="00791082">
              <w:rPr>
                <w:sz w:val="20"/>
                <w:szCs w:val="20"/>
                <w:lang w:eastAsia="en-US"/>
              </w:rPr>
              <w:t>5</w:t>
            </w:r>
            <w:r w:rsidRPr="00791082">
              <w:rPr>
                <w:sz w:val="20"/>
                <w:szCs w:val="20"/>
                <w:lang w:eastAsia="en-US"/>
              </w:rPr>
              <w:t xml:space="preserve">) and </w:t>
            </w:r>
            <w:r w:rsidRPr="0036616D">
              <w:rPr>
                <w:i/>
                <w:sz w:val="20"/>
                <w:szCs w:val="20"/>
                <w:lang w:eastAsia="en-US"/>
              </w:rPr>
              <w:t xml:space="preserve">foreskin, NOS </w:t>
            </w:r>
            <w:proofErr w:type="gramStart"/>
            <w:r w:rsidR="0093235E" w:rsidRPr="0036616D">
              <w:rPr>
                <w:sz w:val="20"/>
                <w:szCs w:val="20"/>
                <w:lang w:eastAsia="en-US"/>
              </w:rPr>
              <w:t xml:space="preserve">( </w:t>
            </w:r>
            <w:r w:rsidR="00B21D4A">
              <w:rPr>
                <w:sz w:val="20"/>
                <w:szCs w:val="20"/>
                <w:lang w:eastAsia="en-US"/>
              </w:rPr>
              <w:t>level</w:t>
            </w:r>
            <w:proofErr w:type="gramEnd"/>
            <w:r w:rsidR="0093235E" w:rsidRPr="0036616D">
              <w:rPr>
                <w:sz w:val="20"/>
                <w:szCs w:val="20"/>
                <w:lang w:eastAsia="en-US"/>
              </w:rPr>
              <w:t xml:space="preserve"> 3)</w:t>
            </w:r>
          </w:p>
        </w:tc>
        <w:tc>
          <w:tcPr>
            <w:tcW w:w="1636" w:type="pct"/>
            <w:tcBorders>
              <w:top w:val="single" w:sz="4" w:space="0" w:color="808080"/>
              <w:left w:val="single" w:sz="4" w:space="0" w:color="808080"/>
              <w:bottom w:val="single" w:sz="4" w:space="0" w:color="808080"/>
              <w:right w:val="single" w:sz="4" w:space="0" w:color="808080"/>
            </w:tcBorders>
          </w:tcPr>
          <w:p w14:paraId="7186E449" w14:textId="77777777" w:rsidR="0022244D" w:rsidRPr="0036616D" w:rsidRDefault="0022244D" w:rsidP="007337CF">
            <w:pPr>
              <w:spacing w:beforeLines="40" w:before="96" w:afterLines="40" w:after="96"/>
              <w:rPr>
                <w:sz w:val="20"/>
                <w:szCs w:val="20"/>
                <w:lang w:eastAsia="en-US"/>
              </w:rPr>
            </w:pPr>
            <w:r w:rsidRPr="0036616D">
              <w:rPr>
                <w:sz w:val="20"/>
                <w:szCs w:val="20"/>
                <w:lang w:eastAsia="en-US"/>
              </w:rPr>
              <w:t>Clarification. Issue is not age of patient but presence of inflammatory condition requiring detailed examination</w:t>
            </w:r>
          </w:p>
        </w:tc>
      </w:tr>
      <w:tr w:rsidR="00014860" w:rsidRPr="0036616D" w14:paraId="6B8D6DC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3FA32E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Gallbladder </w:t>
            </w:r>
          </w:p>
        </w:tc>
        <w:tc>
          <w:tcPr>
            <w:tcW w:w="703" w:type="pct"/>
            <w:tcBorders>
              <w:top w:val="single" w:sz="4" w:space="0" w:color="808080"/>
              <w:left w:val="single" w:sz="4" w:space="0" w:color="808080"/>
              <w:bottom w:val="single" w:sz="4" w:space="0" w:color="808080"/>
              <w:right w:val="single" w:sz="4" w:space="0" w:color="808080"/>
            </w:tcBorders>
            <w:noWrap/>
            <w:hideMark/>
          </w:tcPr>
          <w:p w14:paraId="40807A13"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1BD80BCA"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proofErr w:type="gramEnd"/>
            <w:r w:rsidRPr="0036616D">
              <w:rPr>
                <w:sz w:val="20"/>
                <w:szCs w:val="20"/>
                <w:lang w:eastAsia="en-US"/>
              </w:rPr>
              <w:t xml:space="preserve"> </w:t>
            </w:r>
            <w:r w:rsidRPr="0036616D">
              <w:rPr>
                <w:i/>
                <w:sz w:val="20"/>
                <w:szCs w:val="20"/>
                <w:lang w:eastAsia="en-US"/>
              </w:rPr>
              <w:t>gallbladder,</w:t>
            </w:r>
            <w:r w:rsidRPr="0036616D">
              <w:rPr>
                <w:sz w:val="20"/>
                <w:szCs w:val="20"/>
                <w:lang w:eastAsia="en-US"/>
              </w:rPr>
              <w:t xml:space="preserve"> </w:t>
            </w:r>
            <w:r w:rsidRPr="0036616D">
              <w:rPr>
                <w:i/>
                <w:sz w:val="20"/>
                <w:szCs w:val="20"/>
                <w:lang w:eastAsia="en-US"/>
              </w:rPr>
              <w:t xml:space="preserve">neoplasm </w:t>
            </w:r>
            <w:r w:rsidRPr="0036616D">
              <w:rPr>
                <w:sz w:val="20"/>
                <w:szCs w:val="20"/>
                <w:lang w:eastAsia="en-US"/>
              </w:rPr>
              <w:t>(</w:t>
            </w:r>
            <w:r w:rsidR="00B21D4A">
              <w:rPr>
                <w:sz w:val="20"/>
                <w:szCs w:val="20"/>
                <w:lang w:eastAsia="en-US"/>
              </w:rPr>
              <w:t>level</w:t>
            </w:r>
            <w:r w:rsidRPr="0036616D">
              <w:rPr>
                <w:sz w:val="20"/>
                <w:szCs w:val="20"/>
                <w:lang w:eastAsia="en-US"/>
              </w:rPr>
              <w:t xml:space="preserve"> 5) and </w:t>
            </w:r>
            <w:r w:rsidRPr="0036616D">
              <w:rPr>
                <w:i/>
                <w:sz w:val="20"/>
                <w:szCs w:val="20"/>
                <w:lang w:eastAsia="en-US"/>
              </w:rPr>
              <w:t xml:space="preserve">gallbladder, NOS </w:t>
            </w:r>
            <w:r w:rsidRPr="0036616D">
              <w:rPr>
                <w:sz w:val="20"/>
                <w:szCs w:val="20"/>
                <w:lang w:eastAsia="en-US"/>
              </w:rPr>
              <w:t>(</w:t>
            </w:r>
            <w:r w:rsidR="00B21D4A">
              <w:rPr>
                <w:sz w:val="20"/>
                <w:szCs w:val="20"/>
                <w:lang w:eastAsia="en-US"/>
              </w:rPr>
              <w:t>level</w:t>
            </w:r>
            <w:r w:rsidRPr="0036616D">
              <w:rPr>
                <w:sz w:val="20"/>
                <w:szCs w:val="20"/>
                <w:lang w:eastAsia="en-US"/>
              </w:rPr>
              <w:t xml:space="preserve"> 3)</w:t>
            </w:r>
          </w:p>
        </w:tc>
        <w:tc>
          <w:tcPr>
            <w:tcW w:w="1636" w:type="pct"/>
            <w:tcBorders>
              <w:top w:val="single" w:sz="4" w:space="0" w:color="808080"/>
              <w:left w:val="single" w:sz="4" w:space="0" w:color="808080"/>
              <w:bottom w:val="single" w:sz="4" w:space="0" w:color="808080"/>
              <w:right w:val="single" w:sz="4" w:space="0" w:color="808080"/>
            </w:tcBorders>
          </w:tcPr>
          <w:p w14:paraId="4A48F28A"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Equate with other GIT malignancies requiring detailed examination </w:t>
            </w:r>
            <w:r w:rsidR="004C710D">
              <w:rPr>
                <w:sz w:val="20"/>
                <w:szCs w:val="20"/>
                <w:lang w:eastAsia="en-US"/>
              </w:rPr>
              <w:t>and</w:t>
            </w:r>
            <w:r w:rsidR="004C710D" w:rsidRPr="0036616D">
              <w:rPr>
                <w:sz w:val="20"/>
                <w:szCs w:val="20"/>
                <w:lang w:eastAsia="en-US"/>
              </w:rPr>
              <w:t xml:space="preserve"> </w:t>
            </w:r>
            <w:r w:rsidRPr="0036616D">
              <w:rPr>
                <w:sz w:val="20"/>
                <w:szCs w:val="20"/>
                <w:lang w:eastAsia="en-US"/>
              </w:rPr>
              <w:t>margins</w:t>
            </w:r>
          </w:p>
        </w:tc>
      </w:tr>
      <w:tr w:rsidR="00AA0AA2" w:rsidRPr="0060121E" w14:paraId="2F7F11E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BB9365F" w14:textId="77777777" w:rsidR="00AA0AA2" w:rsidRPr="0036616D" w:rsidRDefault="00AA0AA2" w:rsidP="007337CF">
            <w:pPr>
              <w:spacing w:beforeLines="40" w:before="96" w:afterLines="40" w:after="96"/>
              <w:rPr>
                <w:sz w:val="20"/>
                <w:szCs w:val="20"/>
                <w:lang w:eastAsia="en-US"/>
              </w:rPr>
            </w:pPr>
            <w:r w:rsidRPr="0036616D">
              <w:rPr>
                <w:sz w:val="20"/>
                <w:szCs w:val="20"/>
                <w:lang w:eastAsia="en-US"/>
              </w:rPr>
              <w:t>Gallbladder and porta</w:t>
            </w:r>
            <w:r w:rsidR="004C710D">
              <w:rPr>
                <w:sz w:val="20"/>
                <w:szCs w:val="20"/>
                <w:lang w:eastAsia="en-US"/>
              </w:rPr>
              <w:t>l</w:t>
            </w:r>
            <w:r w:rsidRPr="0036616D">
              <w:rPr>
                <w:sz w:val="20"/>
                <w:szCs w:val="20"/>
                <w:lang w:eastAsia="en-US"/>
              </w:rPr>
              <w:t xml:space="preserve"> hepa</w:t>
            </w:r>
            <w:r w:rsidR="00974380">
              <w:rPr>
                <w:sz w:val="20"/>
                <w:szCs w:val="20"/>
                <w:lang w:eastAsia="en-US"/>
              </w:rPr>
              <w:t>ti</w:t>
            </w:r>
            <w:r w:rsidRPr="0036616D">
              <w:rPr>
                <w:sz w:val="20"/>
                <w:szCs w:val="20"/>
                <w:lang w:eastAsia="en-US"/>
              </w:rPr>
              <w:t xml:space="preserve">s </w:t>
            </w:r>
            <w:r w:rsidR="004C710D">
              <w:rPr>
                <w:sz w:val="20"/>
                <w:szCs w:val="20"/>
                <w:lang w:eastAsia="en-US"/>
              </w:rPr>
              <w:t>-</w:t>
            </w:r>
            <w:r w:rsidR="004C710D" w:rsidRPr="0036616D">
              <w:rPr>
                <w:sz w:val="20"/>
                <w:szCs w:val="20"/>
                <w:lang w:eastAsia="en-US"/>
              </w:rPr>
              <w:t xml:space="preserve"> </w:t>
            </w:r>
            <w:r w:rsidRPr="0036616D">
              <w:rPr>
                <w:sz w:val="20"/>
                <w:szCs w:val="20"/>
                <w:lang w:eastAsia="en-US"/>
              </w:rPr>
              <w:t>radical resection</w:t>
            </w:r>
          </w:p>
        </w:tc>
        <w:tc>
          <w:tcPr>
            <w:tcW w:w="703" w:type="pct"/>
            <w:tcBorders>
              <w:top w:val="single" w:sz="4" w:space="0" w:color="808080"/>
              <w:left w:val="single" w:sz="4" w:space="0" w:color="808080"/>
              <w:bottom w:val="single" w:sz="4" w:space="0" w:color="808080"/>
              <w:right w:val="single" w:sz="4" w:space="0" w:color="808080"/>
            </w:tcBorders>
            <w:noWrap/>
            <w:hideMark/>
          </w:tcPr>
          <w:p w14:paraId="7B67B4A6" w14:textId="77777777" w:rsidR="00AA0AA2" w:rsidRPr="0036616D" w:rsidRDefault="00AA0AA2"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548A31D9" w14:textId="77777777" w:rsidR="00AA0AA2" w:rsidRPr="00791082" w:rsidRDefault="00AA0AA2"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54A74140" w14:textId="77777777" w:rsidR="00AA0AA2" w:rsidRPr="00EE04E5" w:rsidRDefault="00AA0AA2"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7B56388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8DEF36F" w14:textId="77777777" w:rsidR="00014860" w:rsidRPr="0036616D" w:rsidRDefault="00AA0AA2" w:rsidP="007337CF">
            <w:pPr>
              <w:spacing w:beforeLines="40" w:before="96" w:afterLines="40" w:after="96"/>
              <w:rPr>
                <w:sz w:val="20"/>
                <w:szCs w:val="20"/>
                <w:lang w:eastAsia="en-US"/>
              </w:rPr>
            </w:pPr>
            <w:r w:rsidRPr="00791082">
              <w:rPr>
                <w:sz w:val="20"/>
                <w:szCs w:val="20"/>
                <w:lang w:eastAsia="en-US"/>
              </w:rPr>
              <w:t xml:space="preserve">Heart </w:t>
            </w:r>
            <w:r w:rsidR="004C710D">
              <w:rPr>
                <w:sz w:val="20"/>
                <w:szCs w:val="20"/>
                <w:lang w:eastAsia="en-US"/>
              </w:rPr>
              <w:t>-</w:t>
            </w:r>
            <w:r w:rsidR="004C710D" w:rsidRPr="00791082">
              <w:rPr>
                <w:sz w:val="20"/>
                <w:szCs w:val="20"/>
                <w:lang w:eastAsia="en-US"/>
              </w:rPr>
              <w:t xml:space="preserve"> </w:t>
            </w:r>
            <w:r w:rsidRPr="00791082">
              <w:rPr>
                <w:sz w:val="20"/>
                <w:szCs w:val="20"/>
                <w:lang w:eastAsia="en-US"/>
              </w:rPr>
              <w:t>not otherwise specified</w:t>
            </w:r>
          </w:p>
        </w:tc>
        <w:tc>
          <w:tcPr>
            <w:tcW w:w="703" w:type="pct"/>
            <w:tcBorders>
              <w:top w:val="single" w:sz="4" w:space="0" w:color="808080"/>
              <w:left w:val="single" w:sz="4" w:space="0" w:color="808080"/>
              <w:bottom w:val="single" w:sz="4" w:space="0" w:color="808080"/>
              <w:right w:val="single" w:sz="4" w:space="0" w:color="808080"/>
            </w:tcBorders>
            <w:noWrap/>
            <w:hideMark/>
          </w:tcPr>
          <w:p w14:paraId="5C2DB05B" w14:textId="77777777" w:rsidR="00014860" w:rsidRPr="0036616D" w:rsidRDefault="00AA0AA2"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5FD37464" w14:textId="77777777" w:rsidR="0093235E" w:rsidRPr="00791082" w:rsidRDefault="00477567" w:rsidP="007337CF">
            <w:pPr>
              <w:spacing w:beforeLines="40" w:before="96" w:afterLines="40" w:after="96"/>
              <w:rPr>
                <w:i/>
                <w:sz w:val="20"/>
                <w:szCs w:val="20"/>
                <w:lang w:eastAsia="en-US"/>
              </w:rPr>
            </w:pPr>
            <w:r w:rsidRPr="0036616D">
              <w:rPr>
                <w:sz w:val="20"/>
                <w:szCs w:val="20"/>
                <w:lang w:eastAsia="en-US"/>
              </w:rPr>
              <w:t xml:space="preserve">Split </w:t>
            </w:r>
            <w:proofErr w:type="gramStart"/>
            <w:r w:rsidRPr="0036616D">
              <w:rPr>
                <w:sz w:val="20"/>
                <w:szCs w:val="20"/>
                <w:lang w:eastAsia="en-US"/>
              </w:rPr>
              <w:t>into</w:t>
            </w:r>
            <w:r w:rsidRPr="0036616D">
              <w:rPr>
                <w:i/>
                <w:sz w:val="20"/>
                <w:szCs w:val="20"/>
                <w:lang w:eastAsia="en-US"/>
              </w:rPr>
              <w:t>:</w:t>
            </w:r>
            <w:proofErr w:type="gramEnd"/>
            <w:r w:rsidRPr="0036616D">
              <w:rPr>
                <w:i/>
                <w:sz w:val="20"/>
                <w:szCs w:val="20"/>
                <w:lang w:eastAsia="en-US"/>
              </w:rPr>
              <w:t xml:space="preserve"> heart, biopsy including transplant with special stains </w:t>
            </w:r>
            <w:r w:rsidRPr="00791082">
              <w:rPr>
                <w:sz w:val="20"/>
                <w:szCs w:val="20"/>
                <w:lang w:eastAsia="en-US"/>
              </w:rPr>
              <w:t>(</w:t>
            </w:r>
            <w:r w:rsidR="00B21D4A">
              <w:rPr>
                <w:sz w:val="20"/>
                <w:szCs w:val="20"/>
                <w:lang w:eastAsia="en-US"/>
              </w:rPr>
              <w:t>level</w:t>
            </w:r>
            <w:r w:rsidRPr="00791082">
              <w:rPr>
                <w:sz w:val="20"/>
                <w:szCs w:val="20"/>
                <w:lang w:eastAsia="en-US"/>
              </w:rPr>
              <w:t xml:space="preserve"> 5) and </w:t>
            </w:r>
            <w:r w:rsidRPr="0036616D">
              <w:rPr>
                <w:i/>
                <w:sz w:val="20"/>
                <w:szCs w:val="20"/>
                <w:lang w:eastAsia="en-US"/>
              </w:rPr>
              <w:t>heart</w:t>
            </w:r>
            <w:r w:rsidR="00E11BC0">
              <w:rPr>
                <w:i/>
                <w:sz w:val="20"/>
                <w:szCs w:val="20"/>
                <w:lang w:eastAsia="en-US"/>
              </w:rPr>
              <w:t xml:space="preserve"> </w:t>
            </w:r>
            <w:r w:rsidRPr="0036616D">
              <w:rPr>
                <w:i/>
                <w:sz w:val="20"/>
                <w:szCs w:val="20"/>
                <w:lang w:eastAsia="en-US"/>
              </w:rPr>
              <w:t>- neoplasm</w:t>
            </w:r>
            <w:r w:rsidRPr="00791082">
              <w:rPr>
                <w:i/>
                <w:sz w:val="20"/>
                <w:szCs w:val="20"/>
                <w:lang w:eastAsia="en-US"/>
              </w:rPr>
              <w:t xml:space="preserve"> </w:t>
            </w:r>
            <w:r w:rsidRPr="0036616D">
              <w:rPr>
                <w:i/>
                <w:sz w:val="20"/>
                <w:szCs w:val="20"/>
                <w:lang w:eastAsia="en-US"/>
              </w:rPr>
              <w:t xml:space="preserve">with </w:t>
            </w:r>
            <w:r w:rsidR="00014860" w:rsidRPr="0036616D">
              <w:rPr>
                <w:i/>
                <w:sz w:val="20"/>
                <w:szCs w:val="20"/>
                <w:lang w:eastAsia="en-US"/>
              </w:rPr>
              <w:t>Structured Report</w:t>
            </w:r>
            <w:r w:rsidR="00DD3254" w:rsidRPr="0036616D">
              <w:rPr>
                <w:i/>
                <w:sz w:val="20"/>
                <w:szCs w:val="20"/>
                <w:lang w:eastAsia="en-US"/>
              </w:rPr>
              <w:t xml:space="preserve"> </w:t>
            </w:r>
            <w:r w:rsidR="00DD3254" w:rsidRPr="00791082">
              <w:rPr>
                <w:i/>
                <w:sz w:val="20"/>
                <w:szCs w:val="20"/>
                <w:lang w:eastAsia="en-US"/>
              </w:rPr>
              <w:t>(</w:t>
            </w:r>
            <w:r w:rsidR="00B21D4A">
              <w:rPr>
                <w:i/>
                <w:sz w:val="20"/>
                <w:szCs w:val="20"/>
                <w:lang w:eastAsia="en-US"/>
              </w:rPr>
              <w:t>level</w:t>
            </w:r>
            <w:r w:rsidR="00DD3254" w:rsidRPr="00791082">
              <w:rPr>
                <w:i/>
                <w:sz w:val="20"/>
                <w:szCs w:val="20"/>
                <w:lang w:eastAsia="en-US"/>
              </w:rPr>
              <w:t xml:space="preserve"> 6)</w:t>
            </w:r>
          </w:p>
        </w:tc>
        <w:tc>
          <w:tcPr>
            <w:tcW w:w="1636" w:type="pct"/>
            <w:tcBorders>
              <w:top w:val="single" w:sz="4" w:space="0" w:color="808080"/>
              <w:left w:val="single" w:sz="4" w:space="0" w:color="808080"/>
              <w:bottom w:val="single" w:sz="4" w:space="0" w:color="808080"/>
              <w:right w:val="single" w:sz="4" w:space="0" w:color="808080"/>
            </w:tcBorders>
          </w:tcPr>
          <w:p w14:paraId="4E24F84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w:t>
            </w:r>
            <w:r w:rsidR="00DD3254" w:rsidRPr="0036616D">
              <w:rPr>
                <w:sz w:val="20"/>
                <w:szCs w:val="20"/>
                <w:lang w:eastAsia="en-US"/>
              </w:rPr>
              <w:t xml:space="preserve">Differentiate neoplasm from medical biopsy. </w:t>
            </w:r>
            <w:r w:rsidRPr="0036616D">
              <w:rPr>
                <w:sz w:val="20"/>
                <w:szCs w:val="20"/>
                <w:lang w:eastAsia="en-US"/>
              </w:rPr>
              <w:t>Drive best practice</w:t>
            </w:r>
          </w:p>
        </w:tc>
      </w:tr>
      <w:tr w:rsidR="00014860" w:rsidRPr="0036616D" w14:paraId="1002A29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5C3605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Kidney, biopsy including transplant </w:t>
            </w:r>
          </w:p>
        </w:tc>
        <w:tc>
          <w:tcPr>
            <w:tcW w:w="703" w:type="pct"/>
            <w:tcBorders>
              <w:top w:val="single" w:sz="4" w:space="0" w:color="808080"/>
              <w:left w:val="single" w:sz="4" w:space="0" w:color="808080"/>
              <w:bottom w:val="single" w:sz="4" w:space="0" w:color="808080"/>
              <w:right w:val="single" w:sz="4" w:space="0" w:color="808080"/>
            </w:tcBorders>
            <w:noWrap/>
            <w:hideMark/>
          </w:tcPr>
          <w:p w14:paraId="2354E15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0A56D095"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proofErr w:type="gramEnd"/>
            <w:r w:rsidRPr="0036616D">
              <w:rPr>
                <w:sz w:val="20"/>
                <w:szCs w:val="20"/>
                <w:lang w:eastAsia="en-US"/>
              </w:rPr>
              <w:t xml:space="preserve"> </w:t>
            </w:r>
            <w:r w:rsidRPr="0036616D">
              <w:rPr>
                <w:i/>
                <w:sz w:val="20"/>
                <w:szCs w:val="20"/>
                <w:lang w:eastAsia="en-US"/>
              </w:rPr>
              <w:t>kidney</w:t>
            </w:r>
            <w:r w:rsidRPr="0036616D">
              <w:rPr>
                <w:sz w:val="20"/>
                <w:szCs w:val="20"/>
                <w:lang w:eastAsia="en-US"/>
              </w:rPr>
              <w:t xml:space="preserve">, </w:t>
            </w:r>
            <w:r w:rsidRPr="0036616D">
              <w:rPr>
                <w:i/>
                <w:sz w:val="20"/>
                <w:szCs w:val="20"/>
                <w:lang w:eastAsia="en-US"/>
              </w:rPr>
              <w:t>medical biopsy including transplant</w:t>
            </w:r>
            <w:r w:rsidRPr="0036616D">
              <w:rPr>
                <w:sz w:val="20"/>
                <w:szCs w:val="20"/>
                <w:lang w:eastAsia="en-US"/>
              </w:rPr>
              <w:t xml:space="preserve">, </w:t>
            </w:r>
            <w:r w:rsidRPr="0036616D">
              <w:rPr>
                <w:i/>
                <w:sz w:val="20"/>
                <w:szCs w:val="20"/>
                <w:lang w:eastAsia="en-US"/>
              </w:rPr>
              <w:t>with special stains</w:t>
            </w:r>
            <w:r w:rsidRPr="00791082">
              <w:rPr>
                <w:sz w:val="20"/>
                <w:szCs w:val="20"/>
                <w:lang w:eastAsia="en-US"/>
              </w:rPr>
              <w:t xml:space="preserve"> (</w:t>
            </w:r>
            <w:r w:rsidR="00B21D4A">
              <w:rPr>
                <w:sz w:val="20"/>
                <w:szCs w:val="20"/>
                <w:lang w:eastAsia="en-US"/>
              </w:rPr>
              <w:t>level</w:t>
            </w:r>
            <w:r w:rsidRPr="00791082">
              <w:rPr>
                <w:sz w:val="20"/>
                <w:szCs w:val="20"/>
                <w:lang w:eastAsia="en-US"/>
              </w:rPr>
              <w:t xml:space="preserve"> 6) and </w:t>
            </w:r>
            <w:r w:rsidRPr="0036616D">
              <w:rPr>
                <w:i/>
                <w:sz w:val="20"/>
                <w:szCs w:val="20"/>
                <w:lang w:eastAsia="en-US"/>
              </w:rPr>
              <w:t>kidney,</w:t>
            </w:r>
            <w:r w:rsidRPr="0036616D">
              <w:rPr>
                <w:sz w:val="20"/>
                <w:szCs w:val="20"/>
                <w:lang w:eastAsia="en-US"/>
              </w:rPr>
              <w:t xml:space="preserve"> </w:t>
            </w:r>
            <w:r w:rsidRPr="0036616D">
              <w:rPr>
                <w:i/>
                <w:sz w:val="20"/>
                <w:szCs w:val="20"/>
                <w:lang w:eastAsia="en-US"/>
              </w:rPr>
              <w:t>biopsy, neoplasm</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3F8C9A27"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Medical renal biopsy is highly complex and very time consuming with multiple special stains, </w:t>
            </w:r>
            <w:r w:rsidR="00EA3676">
              <w:rPr>
                <w:sz w:val="20"/>
                <w:szCs w:val="20"/>
                <w:lang w:eastAsia="en-US"/>
              </w:rPr>
              <w:t>immunofl</w:t>
            </w:r>
            <w:r w:rsidR="006E224A">
              <w:rPr>
                <w:sz w:val="20"/>
                <w:szCs w:val="20"/>
                <w:lang w:eastAsia="en-US"/>
              </w:rPr>
              <w:t>uorescence stains, electron micr</w:t>
            </w:r>
            <w:r w:rsidR="00EA3676">
              <w:rPr>
                <w:sz w:val="20"/>
                <w:szCs w:val="20"/>
                <w:lang w:eastAsia="en-US"/>
              </w:rPr>
              <w:t>oscopy</w:t>
            </w:r>
            <w:r w:rsidRPr="0036616D">
              <w:rPr>
                <w:sz w:val="20"/>
                <w:szCs w:val="20"/>
                <w:lang w:eastAsia="en-US"/>
              </w:rPr>
              <w:t xml:space="preserve"> and clinical correlation; often urgent.</w:t>
            </w:r>
          </w:p>
        </w:tc>
      </w:tr>
      <w:tr w:rsidR="00014860" w:rsidRPr="0036616D" w14:paraId="3C044BA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02414D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Kidney, partial or total nephrectomy or nephroureterectomy - neoplasm</w:t>
            </w:r>
          </w:p>
        </w:tc>
        <w:tc>
          <w:tcPr>
            <w:tcW w:w="703" w:type="pct"/>
            <w:tcBorders>
              <w:top w:val="single" w:sz="4" w:space="0" w:color="808080"/>
              <w:left w:val="single" w:sz="4" w:space="0" w:color="808080"/>
              <w:bottom w:val="single" w:sz="4" w:space="0" w:color="808080"/>
              <w:right w:val="single" w:sz="4" w:space="0" w:color="808080"/>
            </w:tcBorders>
            <w:noWrap/>
            <w:hideMark/>
          </w:tcPr>
          <w:p w14:paraId="1340F086"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D580BCA"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75C90651"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5C67B1E8"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BD66996"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Large bowel, colostomy - stoma </w:t>
            </w:r>
          </w:p>
        </w:tc>
        <w:tc>
          <w:tcPr>
            <w:tcW w:w="703" w:type="pct"/>
            <w:tcBorders>
              <w:top w:val="single" w:sz="4" w:space="0" w:color="808080"/>
              <w:left w:val="single" w:sz="4" w:space="0" w:color="808080"/>
              <w:bottom w:val="single" w:sz="4" w:space="0" w:color="808080"/>
              <w:right w:val="single" w:sz="4" w:space="0" w:color="808080"/>
            </w:tcBorders>
            <w:noWrap/>
            <w:hideMark/>
          </w:tcPr>
          <w:p w14:paraId="3B9D49E7"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1C28F56B"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4</w:t>
            </w:r>
          </w:p>
        </w:tc>
        <w:tc>
          <w:tcPr>
            <w:tcW w:w="1636" w:type="pct"/>
            <w:tcBorders>
              <w:top w:val="single" w:sz="4" w:space="0" w:color="808080"/>
              <w:left w:val="single" w:sz="4" w:space="0" w:color="808080"/>
              <w:bottom w:val="single" w:sz="4" w:space="0" w:color="808080"/>
              <w:right w:val="single" w:sz="4" w:space="0" w:color="808080"/>
            </w:tcBorders>
          </w:tcPr>
          <w:p w14:paraId="6A5BBCD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Equate with other GIT biopsies; examination for residual / inflammatory disease required</w:t>
            </w:r>
          </w:p>
        </w:tc>
      </w:tr>
      <w:tr w:rsidR="00014860" w:rsidRPr="0036616D" w14:paraId="42F7723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1210785"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Large bowel (including rectum), biopsy, for confirmation or </w:t>
            </w:r>
            <w:r w:rsidRPr="0036616D">
              <w:rPr>
                <w:sz w:val="20"/>
                <w:szCs w:val="20"/>
                <w:lang w:eastAsia="en-US"/>
              </w:rPr>
              <w:lastRenderedPageBreak/>
              <w:t xml:space="preserve">exclusion of Hirschsprung’s </w:t>
            </w:r>
            <w:r w:rsidR="004C710D">
              <w:rPr>
                <w:sz w:val="20"/>
                <w:szCs w:val="20"/>
                <w:lang w:eastAsia="en-US"/>
              </w:rPr>
              <w:t>d</w:t>
            </w:r>
            <w:r w:rsidRPr="0036616D">
              <w:rPr>
                <w:sz w:val="20"/>
                <w:szCs w:val="20"/>
                <w:lang w:eastAsia="en-US"/>
              </w:rPr>
              <w:t xml:space="preserve">isease </w:t>
            </w:r>
          </w:p>
        </w:tc>
        <w:tc>
          <w:tcPr>
            <w:tcW w:w="703" w:type="pct"/>
            <w:tcBorders>
              <w:top w:val="single" w:sz="4" w:space="0" w:color="808080"/>
              <w:left w:val="single" w:sz="4" w:space="0" w:color="808080"/>
              <w:bottom w:val="single" w:sz="4" w:space="0" w:color="808080"/>
              <w:right w:val="single" w:sz="4" w:space="0" w:color="808080"/>
            </w:tcBorders>
            <w:noWrap/>
            <w:hideMark/>
          </w:tcPr>
          <w:p w14:paraId="3B2A44E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lastRenderedPageBreak/>
              <w:t>5</w:t>
            </w:r>
          </w:p>
        </w:tc>
        <w:tc>
          <w:tcPr>
            <w:tcW w:w="1405" w:type="pct"/>
            <w:tcBorders>
              <w:top w:val="single" w:sz="4" w:space="0" w:color="808080"/>
              <w:left w:val="single" w:sz="4" w:space="0" w:color="808080"/>
              <w:bottom w:val="single" w:sz="4" w:space="0" w:color="808080"/>
              <w:right w:val="single" w:sz="4" w:space="0" w:color="808080"/>
            </w:tcBorders>
          </w:tcPr>
          <w:p w14:paraId="5FA2CFC6" w14:textId="77777777" w:rsidR="00B30875"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6</w:t>
            </w:r>
          </w:p>
          <w:p w14:paraId="0409C80F" w14:textId="77777777" w:rsidR="00014860" w:rsidRPr="00791082" w:rsidRDefault="00477567"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special stains’</w:t>
            </w:r>
          </w:p>
        </w:tc>
        <w:tc>
          <w:tcPr>
            <w:tcW w:w="1636" w:type="pct"/>
            <w:tcBorders>
              <w:top w:val="single" w:sz="4" w:space="0" w:color="808080"/>
              <w:left w:val="single" w:sz="4" w:space="0" w:color="808080"/>
              <w:bottom w:val="single" w:sz="4" w:space="0" w:color="808080"/>
              <w:right w:val="single" w:sz="4" w:space="0" w:color="808080"/>
            </w:tcBorders>
          </w:tcPr>
          <w:p w14:paraId="064C94D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Includes up to </w:t>
            </w:r>
            <w:r w:rsidR="00B30875" w:rsidRPr="0036616D">
              <w:rPr>
                <w:sz w:val="20"/>
                <w:szCs w:val="20"/>
                <w:lang w:eastAsia="en-US"/>
              </w:rPr>
              <w:t>60</w:t>
            </w:r>
            <w:r w:rsidR="00B30875">
              <w:rPr>
                <w:sz w:val="20"/>
                <w:szCs w:val="20"/>
                <w:lang w:eastAsia="en-US"/>
              </w:rPr>
              <w:t> </w:t>
            </w:r>
            <w:r w:rsidR="00B21D4A">
              <w:rPr>
                <w:sz w:val="20"/>
                <w:szCs w:val="20"/>
                <w:lang w:eastAsia="en-US"/>
              </w:rPr>
              <w:t>level</w:t>
            </w:r>
            <w:r w:rsidRPr="0036616D">
              <w:rPr>
                <w:sz w:val="20"/>
                <w:szCs w:val="20"/>
                <w:lang w:eastAsia="en-US"/>
              </w:rPr>
              <w:t>s with enzyme stains; very time consuming to analyse</w:t>
            </w:r>
          </w:p>
        </w:tc>
      </w:tr>
      <w:tr w:rsidR="00014860" w:rsidRPr="0036616D" w14:paraId="6EBEECE0"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9E6A8D0"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Large bowel (including rectum), segmental resection - neoplasm </w:t>
            </w:r>
          </w:p>
        </w:tc>
        <w:tc>
          <w:tcPr>
            <w:tcW w:w="703" w:type="pct"/>
            <w:tcBorders>
              <w:top w:val="single" w:sz="4" w:space="0" w:color="808080"/>
              <w:left w:val="single" w:sz="4" w:space="0" w:color="808080"/>
              <w:bottom w:val="single" w:sz="4" w:space="0" w:color="808080"/>
              <w:right w:val="single" w:sz="4" w:space="0" w:color="808080"/>
            </w:tcBorders>
            <w:noWrap/>
            <w:hideMark/>
          </w:tcPr>
          <w:p w14:paraId="10E709C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0A70004D"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05C842F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220E21B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D924F14"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Larynx, partial or total resection </w:t>
            </w:r>
          </w:p>
        </w:tc>
        <w:tc>
          <w:tcPr>
            <w:tcW w:w="703" w:type="pct"/>
            <w:tcBorders>
              <w:top w:val="single" w:sz="4" w:space="0" w:color="808080"/>
              <w:left w:val="single" w:sz="4" w:space="0" w:color="808080"/>
              <w:bottom w:val="single" w:sz="4" w:space="0" w:color="808080"/>
              <w:right w:val="single" w:sz="4" w:space="0" w:color="808080"/>
            </w:tcBorders>
            <w:noWrap/>
            <w:hideMark/>
          </w:tcPr>
          <w:p w14:paraId="60F075ED"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03E8DFC4"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6</w:t>
            </w:r>
          </w:p>
          <w:p w14:paraId="17DD0D71" w14:textId="77777777" w:rsidR="00014860" w:rsidRPr="00791082" w:rsidRDefault="00014860"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1659541D" w14:textId="77777777" w:rsidR="0093235E" w:rsidRPr="00791082" w:rsidRDefault="00791082" w:rsidP="007337CF">
            <w:pPr>
              <w:spacing w:beforeLines="40" w:before="96" w:afterLines="40" w:after="96"/>
              <w:rPr>
                <w:sz w:val="20"/>
                <w:szCs w:val="20"/>
                <w:lang w:eastAsia="en-US"/>
              </w:rPr>
            </w:pPr>
            <w:r w:rsidRPr="00791082">
              <w:rPr>
                <w:i/>
                <w:color w:val="0070C0"/>
                <w:sz w:val="20"/>
                <w:szCs w:val="20"/>
                <w:lang w:eastAsia="en-US"/>
              </w:rPr>
              <w:t>[in development]</w:t>
            </w:r>
          </w:p>
        </w:tc>
        <w:tc>
          <w:tcPr>
            <w:tcW w:w="1636" w:type="pct"/>
            <w:tcBorders>
              <w:top w:val="single" w:sz="4" w:space="0" w:color="808080"/>
              <w:left w:val="single" w:sz="4" w:space="0" w:color="808080"/>
              <w:bottom w:val="single" w:sz="4" w:space="0" w:color="808080"/>
              <w:right w:val="single" w:sz="4" w:space="0" w:color="808080"/>
            </w:tcBorders>
          </w:tcPr>
          <w:p w14:paraId="7BFC8884" w14:textId="77777777" w:rsidR="00014860" w:rsidRPr="0036616D" w:rsidRDefault="00014860" w:rsidP="007337CF">
            <w:pPr>
              <w:spacing w:beforeLines="40" w:before="96" w:afterLines="40" w:after="96"/>
              <w:rPr>
                <w:sz w:val="20"/>
                <w:szCs w:val="20"/>
                <w:lang w:eastAsia="en-US"/>
              </w:rPr>
            </w:pPr>
            <w:r w:rsidRPr="00791082">
              <w:rPr>
                <w:sz w:val="20"/>
                <w:szCs w:val="20"/>
                <w:lang w:eastAsia="en-US"/>
              </w:rPr>
              <w:t>Alignment. Inconsistent that complex laryngeal resection for malignancy with margin assessment</w:t>
            </w:r>
            <w:r w:rsidRPr="0036616D">
              <w:rPr>
                <w:sz w:val="20"/>
                <w:szCs w:val="20"/>
                <w:lang w:eastAsia="en-US"/>
              </w:rPr>
              <w:t xml:space="preserve"> only L5</w:t>
            </w:r>
          </w:p>
        </w:tc>
      </w:tr>
      <w:tr w:rsidR="00014860" w:rsidRPr="0036616D" w14:paraId="614E9AD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32F7951"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Larynx, resection with nodes or pharynx or both </w:t>
            </w:r>
          </w:p>
        </w:tc>
        <w:tc>
          <w:tcPr>
            <w:tcW w:w="703" w:type="pct"/>
            <w:tcBorders>
              <w:top w:val="single" w:sz="4" w:space="0" w:color="808080"/>
              <w:left w:val="single" w:sz="4" w:space="0" w:color="808080"/>
              <w:bottom w:val="single" w:sz="4" w:space="0" w:color="808080"/>
              <w:right w:val="single" w:sz="4" w:space="0" w:color="808080"/>
            </w:tcBorders>
            <w:noWrap/>
            <w:hideMark/>
          </w:tcPr>
          <w:p w14:paraId="1F4DCF20"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070FC908"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7</w:t>
            </w:r>
          </w:p>
          <w:p w14:paraId="039FF98C" w14:textId="77777777" w:rsidR="00014860" w:rsidRPr="00791082" w:rsidRDefault="00014860"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2B3527D5" w14:textId="77777777" w:rsidR="0093235E" w:rsidRPr="00791082" w:rsidRDefault="00791082" w:rsidP="007337CF">
            <w:pPr>
              <w:spacing w:beforeLines="40" w:before="96" w:afterLines="40" w:after="96"/>
              <w:rPr>
                <w:sz w:val="20"/>
                <w:szCs w:val="20"/>
                <w:lang w:eastAsia="en-US"/>
              </w:rPr>
            </w:pPr>
            <w:r w:rsidRPr="00791082">
              <w:rPr>
                <w:i/>
                <w:color w:val="0070C0"/>
                <w:sz w:val="20"/>
                <w:szCs w:val="20"/>
                <w:lang w:eastAsia="en-US"/>
              </w:rPr>
              <w:t>[</w:t>
            </w:r>
            <w:r w:rsidRPr="004F476E">
              <w:rPr>
                <w:i/>
                <w:color w:val="0070C0"/>
                <w:sz w:val="20"/>
                <w:szCs w:val="20"/>
                <w:lang w:eastAsia="en-US"/>
              </w:rPr>
              <w:t>in development]</w:t>
            </w:r>
          </w:p>
        </w:tc>
        <w:tc>
          <w:tcPr>
            <w:tcW w:w="1636" w:type="pct"/>
            <w:tcBorders>
              <w:top w:val="single" w:sz="4" w:space="0" w:color="808080"/>
              <w:left w:val="single" w:sz="4" w:space="0" w:color="808080"/>
              <w:bottom w:val="single" w:sz="4" w:space="0" w:color="808080"/>
              <w:right w:val="single" w:sz="4" w:space="0" w:color="808080"/>
            </w:tcBorders>
          </w:tcPr>
          <w:p w14:paraId="3145E42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Highly complex dissection with margins, particularly if pharynx </w:t>
            </w:r>
            <w:r w:rsidR="00B30875">
              <w:rPr>
                <w:sz w:val="20"/>
                <w:szCs w:val="20"/>
                <w:lang w:eastAsia="en-US"/>
              </w:rPr>
              <w:t>and</w:t>
            </w:r>
            <w:r w:rsidR="00B30875" w:rsidRPr="0036616D">
              <w:rPr>
                <w:sz w:val="20"/>
                <w:szCs w:val="20"/>
                <w:lang w:eastAsia="en-US"/>
              </w:rPr>
              <w:t xml:space="preserve"> </w:t>
            </w:r>
            <w:r w:rsidRPr="0036616D">
              <w:rPr>
                <w:sz w:val="20"/>
                <w:szCs w:val="20"/>
                <w:lang w:eastAsia="en-US"/>
              </w:rPr>
              <w:t xml:space="preserve">nodes involved, at least equivalent to </w:t>
            </w:r>
            <w:r w:rsidR="00EA3676">
              <w:rPr>
                <w:sz w:val="20"/>
                <w:szCs w:val="20"/>
                <w:lang w:eastAsia="en-US"/>
              </w:rPr>
              <w:t>wide local excision of</w:t>
            </w:r>
            <w:r w:rsidRPr="0036616D">
              <w:rPr>
                <w:sz w:val="20"/>
                <w:szCs w:val="20"/>
                <w:lang w:eastAsia="en-US"/>
              </w:rPr>
              <w:t xml:space="preserve"> breast</w:t>
            </w:r>
          </w:p>
        </w:tc>
      </w:tr>
      <w:tr w:rsidR="00A95152" w:rsidRPr="0036616D" w14:paraId="357F3D2A"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F96E873"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 xml:space="preserve">Liver </w:t>
            </w:r>
            <w:r w:rsidR="00B30875">
              <w:rPr>
                <w:sz w:val="20"/>
                <w:szCs w:val="20"/>
                <w:lang w:eastAsia="en-US"/>
              </w:rPr>
              <w:t>-</w:t>
            </w:r>
            <w:r w:rsidR="00B30875" w:rsidRPr="0036616D">
              <w:rPr>
                <w:sz w:val="20"/>
                <w:szCs w:val="20"/>
                <w:lang w:eastAsia="en-US"/>
              </w:rPr>
              <w:t xml:space="preserve"> </w:t>
            </w:r>
            <w:r w:rsidRPr="0036616D">
              <w:rPr>
                <w:sz w:val="20"/>
                <w:szCs w:val="20"/>
                <w:lang w:eastAsia="en-US"/>
              </w:rPr>
              <w:t xml:space="preserve">total or subtotal hepatectomy - neoplasm </w:t>
            </w:r>
          </w:p>
        </w:tc>
        <w:tc>
          <w:tcPr>
            <w:tcW w:w="703" w:type="pct"/>
            <w:tcBorders>
              <w:top w:val="single" w:sz="4" w:space="0" w:color="808080"/>
              <w:left w:val="single" w:sz="4" w:space="0" w:color="808080"/>
              <w:bottom w:val="single" w:sz="4" w:space="0" w:color="808080"/>
              <w:right w:val="single" w:sz="4" w:space="0" w:color="808080"/>
            </w:tcBorders>
            <w:noWrap/>
            <w:hideMark/>
          </w:tcPr>
          <w:p w14:paraId="7B603C0C"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5EC8202" w14:textId="77777777" w:rsidR="00A95152" w:rsidRPr="00791082" w:rsidRDefault="00A95152"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4D446510" w14:textId="77777777" w:rsidR="0093235E" w:rsidRPr="00791082" w:rsidRDefault="00791082" w:rsidP="007337CF">
            <w:pPr>
              <w:spacing w:beforeLines="40" w:before="96" w:afterLines="40" w:after="96"/>
              <w:rPr>
                <w:sz w:val="20"/>
                <w:szCs w:val="20"/>
                <w:lang w:eastAsia="en-US"/>
              </w:rPr>
            </w:pPr>
            <w:r w:rsidRPr="00791082">
              <w:rPr>
                <w:i/>
                <w:color w:val="0070C0"/>
                <w:sz w:val="20"/>
                <w:szCs w:val="20"/>
                <w:lang w:eastAsia="en-US"/>
              </w:rPr>
              <w:t>[</w:t>
            </w:r>
            <w:r w:rsidRPr="004F476E">
              <w:rPr>
                <w:i/>
                <w:color w:val="0070C0"/>
                <w:sz w:val="20"/>
                <w:szCs w:val="20"/>
                <w:lang w:eastAsia="en-US"/>
              </w:rPr>
              <w:t>in development]</w:t>
            </w:r>
            <w:r w:rsidR="0093235E" w:rsidRPr="0036616D">
              <w:rPr>
                <w:i/>
                <w:sz w:val="20"/>
                <w:szCs w:val="20"/>
                <w:lang w:eastAsia="en-US"/>
              </w:rPr>
              <w:t>]</w:t>
            </w:r>
          </w:p>
        </w:tc>
        <w:tc>
          <w:tcPr>
            <w:tcW w:w="1636" w:type="pct"/>
            <w:tcBorders>
              <w:top w:val="single" w:sz="4" w:space="0" w:color="808080"/>
              <w:left w:val="single" w:sz="4" w:space="0" w:color="808080"/>
              <w:bottom w:val="single" w:sz="4" w:space="0" w:color="808080"/>
              <w:right w:val="single" w:sz="4" w:space="0" w:color="808080"/>
            </w:tcBorders>
          </w:tcPr>
          <w:p w14:paraId="53E5E496"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51CBC994"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D5A3299"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Liver </w:t>
            </w:r>
            <w:r w:rsidR="00B30875">
              <w:rPr>
                <w:sz w:val="20"/>
                <w:szCs w:val="20"/>
                <w:lang w:eastAsia="en-US"/>
              </w:rPr>
              <w:t>-</w:t>
            </w:r>
            <w:r w:rsidR="00B30875" w:rsidRPr="0036616D">
              <w:rPr>
                <w:sz w:val="20"/>
                <w:szCs w:val="20"/>
                <w:lang w:eastAsia="en-US"/>
              </w:rPr>
              <w:t xml:space="preserve"> </w:t>
            </w:r>
            <w:r w:rsidRPr="0036616D">
              <w:rPr>
                <w:sz w:val="20"/>
                <w:szCs w:val="20"/>
                <w:lang w:eastAsia="en-US"/>
              </w:rPr>
              <w:t xml:space="preserve">all specimens not otherwise specified </w:t>
            </w:r>
          </w:p>
        </w:tc>
        <w:tc>
          <w:tcPr>
            <w:tcW w:w="703" w:type="pct"/>
            <w:tcBorders>
              <w:top w:val="single" w:sz="4" w:space="0" w:color="808080"/>
              <w:left w:val="single" w:sz="4" w:space="0" w:color="808080"/>
              <w:bottom w:val="single" w:sz="4" w:space="0" w:color="808080"/>
              <w:right w:val="single" w:sz="4" w:space="0" w:color="808080"/>
            </w:tcBorders>
            <w:noWrap/>
            <w:hideMark/>
          </w:tcPr>
          <w:p w14:paraId="3853F63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081985B5"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Split into: </w:t>
            </w:r>
            <w:r w:rsidRPr="0036616D">
              <w:rPr>
                <w:i/>
                <w:sz w:val="20"/>
                <w:szCs w:val="20"/>
                <w:lang w:eastAsia="en-US"/>
              </w:rPr>
              <w:t>liver, biopsy for inflammatory disease</w:t>
            </w:r>
            <w:r w:rsidRPr="0036616D">
              <w:rPr>
                <w:sz w:val="20"/>
                <w:szCs w:val="20"/>
                <w:lang w:eastAsia="en-US"/>
              </w:rPr>
              <w:t xml:space="preserve"> </w:t>
            </w:r>
            <w:r w:rsidR="00477567" w:rsidRPr="0036616D">
              <w:rPr>
                <w:i/>
                <w:sz w:val="20"/>
                <w:szCs w:val="20"/>
                <w:lang w:eastAsia="en-US"/>
              </w:rPr>
              <w:t xml:space="preserve">with special </w:t>
            </w:r>
            <w:proofErr w:type="gramStart"/>
            <w:r w:rsidR="00477567" w:rsidRPr="0036616D">
              <w:rPr>
                <w:i/>
                <w:sz w:val="20"/>
                <w:szCs w:val="20"/>
                <w:lang w:eastAsia="en-US"/>
              </w:rPr>
              <w:t>stains</w:t>
            </w:r>
            <w:r w:rsidRPr="00791082">
              <w:rPr>
                <w:sz w:val="20"/>
                <w:szCs w:val="20"/>
                <w:lang w:eastAsia="en-US"/>
              </w:rPr>
              <w:t>(</w:t>
            </w:r>
            <w:proofErr w:type="gramEnd"/>
            <w:r w:rsidR="00B21D4A">
              <w:rPr>
                <w:sz w:val="20"/>
                <w:szCs w:val="20"/>
                <w:lang w:eastAsia="en-US"/>
              </w:rPr>
              <w:t>level</w:t>
            </w:r>
            <w:r w:rsidRPr="00791082">
              <w:rPr>
                <w:sz w:val="20"/>
                <w:szCs w:val="20"/>
                <w:lang w:eastAsia="en-US"/>
              </w:rPr>
              <w:t xml:space="preserve"> 5) and </w:t>
            </w:r>
            <w:r w:rsidRPr="0036616D">
              <w:rPr>
                <w:i/>
                <w:sz w:val="20"/>
                <w:szCs w:val="20"/>
                <w:lang w:eastAsia="en-US"/>
              </w:rPr>
              <w:t>liver, biopsy for neoplasia</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 , and </w:t>
            </w:r>
            <w:r w:rsidRPr="0036616D">
              <w:rPr>
                <w:i/>
                <w:sz w:val="20"/>
                <w:szCs w:val="20"/>
                <w:lang w:eastAsia="en-US"/>
              </w:rPr>
              <w:t>liver, NOS</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562B2F8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Clarification. Currently all indications lumped together; in other organs neoplasia is separated, even if complexity is </w:t>
            </w:r>
            <w:r w:rsidRPr="0036616D">
              <w:rPr>
                <w:color w:val="000000" w:themeColor="text1"/>
                <w:sz w:val="20"/>
                <w:szCs w:val="20"/>
                <w:lang w:eastAsia="en-US"/>
              </w:rPr>
              <w:t>similar</w:t>
            </w:r>
          </w:p>
        </w:tc>
      </w:tr>
      <w:tr w:rsidR="00A95152" w:rsidRPr="0036616D" w14:paraId="126A3A8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20103B1"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 xml:space="preserve">Lung, needle or transbronchial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4BF7575F"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6ADFA895"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r w:rsidRPr="0036616D">
              <w:rPr>
                <w:i/>
                <w:sz w:val="20"/>
                <w:szCs w:val="20"/>
                <w:lang w:eastAsia="en-US"/>
              </w:rPr>
              <w:t>:</w:t>
            </w:r>
            <w:proofErr w:type="gramEnd"/>
            <w:r w:rsidRPr="0036616D">
              <w:rPr>
                <w:i/>
                <w:sz w:val="20"/>
                <w:szCs w:val="20"/>
                <w:lang w:eastAsia="en-US"/>
              </w:rPr>
              <w:t xml:space="preserve"> lung, needle or transbronchial biopsy,</w:t>
            </w:r>
            <w:r w:rsidRPr="0036616D">
              <w:rPr>
                <w:sz w:val="20"/>
                <w:szCs w:val="20"/>
                <w:lang w:eastAsia="en-US"/>
              </w:rPr>
              <w:t xml:space="preserve"> </w:t>
            </w:r>
            <w:r w:rsidRPr="0036616D">
              <w:rPr>
                <w:i/>
                <w:sz w:val="20"/>
                <w:szCs w:val="20"/>
                <w:lang w:eastAsia="en-US"/>
              </w:rPr>
              <w:t xml:space="preserve">assessment of transplant rejection or inflammatory disease </w:t>
            </w:r>
            <w:r w:rsidRPr="0036616D">
              <w:rPr>
                <w:sz w:val="20"/>
                <w:szCs w:val="20"/>
                <w:lang w:eastAsia="en-US"/>
              </w:rPr>
              <w:t>(</w:t>
            </w:r>
            <w:r w:rsidR="00B21D4A">
              <w:rPr>
                <w:sz w:val="20"/>
                <w:szCs w:val="20"/>
                <w:lang w:eastAsia="en-US"/>
              </w:rPr>
              <w:t>level</w:t>
            </w:r>
            <w:r w:rsidRPr="0036616D">
              <w:rPr>
                <w:sz w:val="20"/>
                <w:szCs w:val="20"/>
                <w:lang w:eastAsia="en-US"/>
              </w:rPr>
              <w:t xml:space="preserve"> 5)</w:t>
            </w:r>
            <w:r w:rsidRPr="0036616D">
              <w:rPr>
                <w:i/>
                <w:sz w:val="20"/>
                <w:szCs w:val="20"/>
                <w:lang w:eastAsia="en-US"/>
              </w:rPr>
              <w:t xml:space="preserve"> and lung, needle or transbronchial biopsy,</w:t>
            </w:r>
            <w:r w:rsidRPr="0036616D">
              <w:rPr>
                <w:sz w:val="20"/>
                <w:szCs w:val="20"/>
                <w:lang w:eastAsia="en-US"/>
              </w:rPr>
              <w:t xml:space="preserve"> </w:t>
            </w:r>
            <w:r w:rsidRPr="0036616D">
              <w:rPr>
                <w:i/>
                <w:sz w:val="20"/>
                <w:szCs w:val="20"/>
                <w:lang w:eastAsia="en-US"/>
              </w:rPr>
              <w:t>neoplasm</w:t>
            </w:r>
            <w:r w:rsidR="00E11BC0">
              <w:rPr>
                <w:i/>
                <w:sz w:val="20"/>
                <w:szCs w:val="20"/>
                <w:lang w:eastAsia="en-US"/>
              </w:rPr>
              <w:t xml:space="preserve"> </w:t>
            </w:r>
            <w:r w:rsidRPr="0036616D">
              <w:rPr>
                <w:sz w:val="20"/>
                <w:szCs w:val="20"/>
                <w:lang w:eastAsia="en-US"/>
              </w:rPr>
              <w:t>(</w:t>
            </w:r>
            <w:r w:rsidR="00B21D4A">
              <w:rPr>
                <w:sz w:val="20"/>
                <w:szCs w:val="20"/>
                <w:lang w:eastAsia="en-US"/>
              </w:rPr>
              <w:t>level</w:t>
            </w:r>
            <w:r w:rsidRPr="0036616D">
              <w:rPr>
                <w:sz w:val="20"/>
                <w:szCs w:val="20"/>
                <w:lang w:eastAsia="en-US"/>
              </w:rPr>
              <w:t xml:space="preserve"> 5)</w:t>
            </w:r>
          </w:p>
          <w:p w14:paraId="21534A80" w14:textId="77777777" w:rsidR="00A95152" w:rsidRPr="0036616D" w:rsidRDefault="00A95152" w:rsidP="007337CF">
            <w:pPr>
              <w:spacing w:beforeLines="40" w:before="96" w:afterLines="40" w:after="96"/>
              <w:rPr>
                <w:sz w:val="20"/>
                <w:szCs w:val="20"/>
                <w:lang w:eastAsia="en-US"/>
              </w:rPr>
            </w:pPr>
          </w:p>
        </w:tc>
        <w:tc>
          <w:tcPr>
            <w:tcW w:w="1636" w:type="pct"/>
            <w:tcBorders>
              <w:top w:val="single" w:sz="4" w:space="0" w:color="808080"/>
              <w:left w:val="single" w:sz="4" w:space="0" w:color="808080"/>
              <w:bottom w:val="single" w:sz="4" w:space="0" w:color="808080"/>
              <w:right w:val="single" w:sz="4" w:space="0" w:color="808080"/>
            </w:tcBorders>
          </w:tcPr>
          <w:p w14:paraId="135DD969"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 xml:space="preserve">Alignment. Currently inconsistent that heart transplant biopsy is </w:t>
            </w:r>
            <w:proofErr w:type="gramStart"/>
            <w:r w:rsidRPr="0036616D">
              <w:rPr>
                <w:sz w:val="20"/>
                <w:szCs w:val="20"/>
                <w:lang w:eastAsia="en-US"/>
              </w:rPr>
              <w:t>L5</w:t>
            </w:r>
            <w:proofErr w:type="gramEnd"/>
            <w:r w:rsidRPr="0036616D">
              <w:rPr>
                <w:sz w:val="20"/>
                <w:szCs w:val="20"/>
                <w:lang w:eastAsia="en-US"/>
              </w:rPr>
              <w:t xml:space="preserve"> but lung transplant is L4 (equal or greater work). Currently inconsistent that lung biopsy for neoplasm is L4 but liver biopsy (including for neoplasm) is L5; requires tumour classification and detailed molecular work-up for biomarkers</w:t>
            </w:r>
          </w:p>
        </w:tc>
      </w:tr>
      <w:tr w:rsidR="00A95152" w:rsidRPr="0036616D" w14:paraId="4946F7D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0534AE5"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Lung, resection - neoplasm</w:t>
            </w:r>
          </w:p>
        </w:tc>
        <w:tc>
          <w:tcPr>
            <w:tcW w:w="703" w:type="pct"/>
            <w:tcBorders>
              <w:top w:val="single" w:sz="4" w:space="0" w:color="808080"/>
              <w:left w:val="single" w:sz="4" w:space="0" w:color="808080"/>
              <w:bottom w:val="single" w:sz="4" w:space="0" w:color="808080"/>
              <w:right w:val="single" w:sz="4" w:space="0" w:color="808080"/>
            </w:tcBorders>
            <w:noWrap/>
            <w:hideMark/>
          </w:tcPr>
          <w:p w14:paraId="666CF979"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7DAB7F54" w14:textId="77777777" w:rsidR="00A95152" w:rsidRPr="00791082" w:rsidRDefault="00A95152"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3740BAB1"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Alignment. Drive best practice</w:t>
            </w:r>
          </w:p>
        </w:tc>
      </w:tr>
      <w:tr w:rsidR="00DD3254" w:rsidRPr="0036616D" w14:paraId="04B06D4D"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429E96EC"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 xml:space="preserve">Lymph node, biopsy - all sites </w:t>
            </w:r>
          </w:p>
        </w:tc>
        <w:tc>
          <w:tcPr>
            <w:tcW w:w="703" w:type="pct"/>
            <w:tcBorders>
              <w:top w:val="single" w:sz="4" w:space="0" w:color="808080"/>
              <w:left w:val="single" w:sz="4" w:space="0" w:color="808080"/>
              <w:bottom w:val="single" w:sz="4" w:space="0" w:color="808080"/>
              <w:right w:val="single" w:sz="4" w:space="0" w:color="808080"/>
            </w:tcBorders>
            <w:noWrap/>
            <w:hideMark/>
          </w:tcPr>
          <w:p w14:paraId="5910AED4"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700FE5B6"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r w:rsidRPr="0036616D">
              <w:rPr>
                <w:i/>
                <w:sz w:val="20"/>
                <w:szCs w:val="20"/>
                <w:lang w:eastAsia="en-US"/>
              </w:rPr>
              <w:t>:</w:t>
            </w:r>
            <w:proofErr w:type="gramEnd"/>
            <w:r w:rsidRPr="0036616D">
              <w:rPr>
                <w:i/>
                <w:sz w:val="20"/>
                <w:szCs w:val="20"/>
                <w:lang w:eastAsia="en-US"/>
              </w:rPr>
              <w:t xml:space="preserve"> lymph node, biopsy or sampling</w:t>
            </w:r>
            <w:r w:rsidRPr="00791082">
              <w:rPr>
                <w:i/>
                <w:sz w:val="20"/>
                <w:szCs w:val="20"/>
                <w:lang w:eastAsia="en-US"/>
              </w:rPr>
              <w:t xml:space="preserve"> NOS</w:t>
            </w:r>
            <w:r w:rsidRPr="00791082">
              <w:rPr>
                <w:sz w:val="20"/>
                <w:szCs w:val="20"/>
                <w:lang w:eastAsia="en-US"/>
              </w:rPr>
              <w:t xml:space="preserve"> (</w:t>
            </w:r>
            <w:r w:rsidR="00B21D4A">
              <w:rPr>
                <w:sz w:val="20"/>
                <w:szCs w:val="20"/>
                <w:lang w:eastAsia="en-US"/>
              </w:rPr>
              <w:t>level</w:t>
            </w:r>
            <w:r w:rsidRPr="00791082">
              <w:rPr>
                <w:sz w:val="20"/>
                <w:szCs w:val="20"/>
                <w:lang w:eastAsia="en-US"/>
              </w:rPr>
              <w:t xml:space="preserve"> 4) and </w:t>
            </w:r>
            <w:r w:rsidRPr="0036616D">
              <w:rPr>
                <w:i/>
                <w:sz w:val="20"/>
                <w:szCs w:val="20"/>
                <w:lang w:eastAsia="en-US"/>
              </w:rPr>
              <w:t>lymph node biopsy, sentinel node biopsy</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2CEC6A22"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 xml:space="preserve">Alignment. Sentinel node biopsy requires multiple </w:t>
            </w:r>
            <w:r w:rsidR="00B21D4A">
              <w:rPr>
                <w:sz w:val="20"/>
                <w:szCs w:val="20"/>
                <w:lang w:eastAsia="en-US"/>
              </w:rPr>
              <w:t>level</w:t>
            </w:r>
            <w:r w:rsidRPr="0036616D">
              <w:rPr>
                <w:sz w:val="20"/>
                <w:szCs w:val="20"/>
                <w:lang w:eastAsia="en-US"/>
              </w:rPr>
              <w:t xml:space="preserve">s, detailed examination, correlation with </w:t>
            </w:r>
            <w:proofErr w:type="spellStart"/>
            <w:r w:rsidRPr="0036616D">
              <w:rPr>
                <w:sz w:val="20"/>
                <w:szCs w:val="20"/>
                <w:lang w:eastAsia="en-US"/>
              </w:rPr>
              <w:t>immunostains</w:t>
            </w:r>
            <w:proofErr w:type="spellEnd"/>
          </w:p>
        </w:tc>
      </w:tr>
      <w:tr w:rsidR="00014860" w:rsidRPr="0036616D" w14:paraId="30C2730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F5DD95E"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Lymph node, biopsy – for lymphoma or lymphoproliferative disorder </w:t>
            </w:r>
          </w:p>
        </w:tc>
        <w:tc>
          <w:tcPr>
            <w:tcW w:w="703" w:type="pct"/>
            <w:tcBorders>
              <w:top w:val="single" w:sz="4" w:space="0" w:color="808080"/>
              <w:left w:val="single" w:sz="4" w:space="0" w:color="808080"/>
              <w:bottom w:val="single" w:sz="4" w:space="0" w:color="808080"/>
              <w:right w:val="single" w:sz="4" w:space="0" w:color="808080"/>
            </w:tcBorders>
            <w:noWrap/>
            <w:hideMark/>
          </w:tcPr>
          <w:p w14:paraId="4E68E66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295BF5FB"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6</w:t>
            </w:r>
          </w:p>
          <w:p w14:paraId="47F85BA0"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1DDFE0DE"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Alignment. Lymphoma diagnosis and classification </w:t>
            </w:r>
            <w:r w:rsidR="00EF0660" w:rsidRPr="0036616D">
              <w:rPr>
                <w:sz w:val="20"/>
                <w:szCs w:val="20"/>
                <w:lang w:eastAsia="en-US"/>
              </w:rPr>
              <w:t xml:space="preserve">is </w:t>
            </w:r>
            <w:r w:rsidRPr="0036616D">
              <w:rPr>
                <w:sz w:val="20"/>
                <w:szCs w:val="20"/>
                <w:lang w:eastAsia="en-US"/>
              </w:rPr>
              <w:t xml:space="preserve">highly complex with necessity to correlate with numerous </w:t>
            </w:r>
            <w:proofErr w:type="spellStart"/>
            <w:r w:rsidRPr="0036616D">
              <w:rPr>
                <w:sz w:val="20"/>
                <w:szCs w:val="20"/>
                <w:lang w:eastAsia="en-US"/>
              </w:rPr>
              <w:t>immunostains</w:t>
            </w:r>
            <w:proofErr w:type="spellEnd"/>
            <w:r w:rsidRPr="0036616D">
              <w:rPr>
                <w:sz w:val="20"/>
                <w:szCs w:val="20"/>
                <w:lang w:eastAsia="en-US"/>
              </w:rPr>
              <w:t xml:space="preserve">, flow/genetics </w:t>
            </w:r>
            <w:r w:rsidRPr="0036616D">
              <w:rPr>
                <w:sz w:val="20"/>
                <w:szCs w:val="20"/>
                <w:lang w:eastAsia="en-US"/>
              </w:rPr>
              <w:lastRenderedPageBreak/>
              <w:t>results and creation of structured report</w:t>
            </w:r>
          </w:p>
        </w:tc>
      </w:tr>
      <w:tr w:rsidR="00DD3254" w:rsidRPr="0036616D" w14:paraId="4726DE0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EC386DF"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lastRenderedPageBreak/>
              <w:t xml:space="preserve">Lymph node, regional resection - all sites </w:t>
            </w:r>
          </w:p>
        </w:tc>
        <w:tc>
          <w:tcPr>
            <w:tcW w:w="703" w:type="pct"/>
            <w:tcBorders>
              <w:top w:val="single" w:sz="4" w:space="0" w:color="808080"/>
              <w:left w:val="single" w:sz="4" w:space="0" w:color="808080"/>
              <w:bottom w:val="single" w:sz="4" w:space="0" w:color="808080"/>
              <w:right w:val="single" w:sz="4" w:space="0" w:color="808080"/>
            </w:tcBorders>
            <w:noWrap/>
            <w:hideMark/>
          </w:tcPr>
          <w:p w14:paraId="1E19DCC0"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61366D04"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 xml:space="preserve">Change </w:t>
            </w:r>
            <w:proofErr w:type="gramStart"/>
            <w:r w:rsidRPr="0036616D">
              <w:rPr>
                <w:sz w:val="20"/>
                <w:szCs w:val="20"/>
                <w:lang w:eastAsia="en-US"/>
              </w:rPr>
              <w:t>to</w:t>
            </w:r>
            <w:r w:rsidRPr="0036616D">
              <w:rPr>
                <w:i/>
                <w:sz w:val="20"/>
                <w:szCs w:val="20"/>
                <w:lang w:eastAsia="en-US"/>
              </w:rPr>
              <w:t>:</w:t>
            </w:r>
            <w:proofErr w:type="gramEnd"/>
            <w:r w:rsidRPr="0036616D">
              <w:rPr>
                <w:i/>
                <w:sz w:val="20"/>
                <w:szCs w:val="20"/>
                <w:lang w:eastAsia="en-US"/>
              </w:rPr>
              <w:t xml:space="preserve"> lymph node, regional </w:t>
            </w:r>
            <w:r w:rsidR="00477567" w:rsidRPr="0036616D">
              <w:rPr>
                <w:i/>
                <w:sz w:val="20"/>
                <w:szCs w:val="20"/>
                <w:lang w:eastAsia="en-US"/>
              </w:rPr>
              <w:t>dissection</w:t>
            </w:r>
            <w:r w:rsidRPr="00791082">
              <w:rPr>
                <w:i/>
                <w:sz w:val="20"/>
                <w:szCs w:val="20"/>
                <w:lang w:eastAsia="en-US"/>
              </w:rPr>
              <w:t xml:space="preserve"> –</w:t>
            </w:r>
            <w:r w:rsidR="00EF0660" w:rsidRPr="00791082">
              <w:rPr>
                <w:i/>
                <w:sz w:val="20"/>
                <w:szCs w:val="20"/>
                <w:lang w:eastAsia="en-US"/>
              </w:rPr>
              <w:t xml:space="preserve"> </w:t>
            </w:r>
            <w:r w:rsidRPr="00791082">
              <w:rPr>
                <w:i/>
                <w:sz w:val="20"/>
                <w:szCs w:val="20"/>
                <w:lang w:eastAsia="en-US"/>
              </w:rPr>
              <w:t>all sites</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0001264C" w14:textId="77777777" w:rsidR="00DD3254" w:rsidRPr="0036616D" w:rsidRDefault="00DD3254" w:rsidP="007337CF">
            <w:pPr>
              <w:spacing w:beforeLines="40" w:before="96" w:afterLines="40" w:after="96"/>
              <w:rPr>
                <w:sz w:val="20"/>
                <w:szCs w:val="20"/>
                <w:lang w:eastAsia="en-US"/>
              </w:rPr>
            </w:pPr>
            <w:r w:rsidRPr="0036616D">
              <w:rPr>
                <w:sz w:val="20"/>
                <w:szCs w:val="20"/>
                <w:lang w:eastAsia="en-US"/>
              </w:rPr>
              <w:t>Clarification. Lymph node regional dissection has more specific meaning than resection</w:t>
            </w:r>
          </w:p>
        </w:tc>
      </w:tr>
      <w:tr w:rsidR="00A95152" w:rsidRPr="0036616D" w14:paraId="642796AD"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9211AD3"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 xml:space="preserve">Oesophagus, partial or total resection </w:t>
            </w:r>
          </w:p>
        </w:tc>
        <w:tc>
          <w:tcPr>
            <w:tcW w:w="703" w:type="pct"/>
            <w:tcBorders>
              <w:top w:val="single" w:sz="4" w:space="0" w:color="808080"/>
              <w:left w:val="single" w:sz="4" w:space="0" w:color="808080"/>
              <w:bottom w:val="single" w:sz="4" w:space="0" w:color="808080"/>
              <w:right w:val="single" w:sz="4" w:space="0" w:color="808080"/>
            </w:tcBorders>
            <w:noWrap/>
            <w:hideMark/>
          </w:tcPr>
          <w:p w14:paraId="460ED549"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2193A0B" w14:textId="77777777" w:rsidR="00A95152" w:rsidRPr="00791082" w:rsidRDefault="0093235E"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5CD4A0BF"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60121E" w14:paraId="1A9099A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DCC5C23"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Pancreas, subtotal or total with or without splenectomy </w:t>
            </w:r>
          </w:p>
        </w:tc>
        <w:tc>
          <w:tcPr>
            <w:tcW w:w="703" w:type="pct"/>
            <w:tcBorders>
              <w:top w:val="single" w:sz="4" w:space="0" w:color="808080"/>
              <w:left w:val="single" w:sz="4" w:space="0" w:color="808080"/>
              <w:bottom w:val="single" w:sz="4" w:space="0" w:color="808080"/>
              <w:right w:val="single" w:sz="4" w:space="0" w:color="808080"/>
            </w:tcBorders>
            <w:noWrap/>
            <w:hideMark/>
          </w:tcPr>
          <w:p w14:paraId="03F79D2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D53E2D7"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7</w:t>
            </w:r>
          </w:p>
          <w:p w14:paraId="26322281"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6C6284E1" w14:textId="77777777" w:rsidR="00014860" w:rsidRPr="00EE04E5" w:rsidRDefault="00014860" w:rsidP="007337CF">
            <w:pPr>
              <w:spacing w:beforeLines="40" w:before="96" w:afterLines="40" w:after="96"/>
              <w:rPr>
                <w:sz w:val="20"/>
                <w:szCs w:val="20"/>
                <w:lang w:eastAsia="en-US"/>
              </w:rPr>
            </w:pPr>
            <w:r w:rsidRPr="0036616D">
              <w:rPr>
                <w:sz w:val="20"/>
                <w:szCs w:val="20"/>
                <w:lang w:eastAsia="en-US"/>
              </w:rPr>
              <w:t>Alignment. Highly complex dissection with margins, at least equivalent to WLE breast</w:t>
            </w:r>
          </w:p>
        </w:tc>
      </w:tr>
      <w:tr w:rsidR="00014860" w:rsidRPr="0060121E" w14:paraId="47873151"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863ADDB" w14:textId="77777777" w:rsidR="00014860" w:rsidRPr="00EE04E5" w:rsidRDefault="00014860" w:rsidP="007337CF">
            <w:pPr>
              <w:spacing w:beforeLines="40" w:before="96" w:afterLines="40" w:after="96"/>
              <w:rPr>
                <w:sz w:val="20"/>
                <w:szCs w:val="20"/>
                <w:lang w:eastAsia="en-US"/>
              </w:rPr>
            </w:pPr>
            <w:proofErr w:type="spellStart"/>
            <w:r w:rsidRPr="00EE04E5">
              <w:rPr>
                <w:sz w:val="20"/>
                <w:szCs w:val="20"/>
                <w:lang w:eastAsia="en-US"/>
              </w:rPr>
              <w:t>Penisectomy</w:t>
            </w:r>
            <w:proofErr w:type="spellEnd"/>
            <w:r w:rsidRPr="00EE04E5">
              <w:rPr>
                <w:sz w:val="20"/>
                <w:szCs w:val="20"/>
                <w:lang w:eastAsia="en-US"/>
              </w:rPr>
              <w:t xml:space="preserve"> with node dissection</w:t>
            </w:r>
          </w:p>
        </w:tc>
        <w:tc>
          <w:tcPr>
            <w:tcW w:w="703" w:type="pct"/>
            <w:tcBorders>
              <w:top w:val="single" w:sz="4" w:space="0" w:color="808080"/>
              <w:left w:val="single" w:sz="4" w:space="0" w:color="808080"/>
              <w:bottom w:val="single" w:sz="4" w:space="0" w:color="808080"/>
              <w:right w:val="single" w:sz="4" w:space="0" w:color="808080"/>
            </w:tcBorders>
            <w:noWrap/>
            <w:hideMark/>
          </w:tcPr>
          <w:p w14:paraId="63116CA5"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2E81D7B9" w14:textId="77777777" w:rsidR="00014860" w:rsidRPr="00EE04E5"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EE04E5">
              <w:rPr>
                <w:sz w:val="20"/>
                <w:szCs w:val="20"/>
                <w:lang w:eastAsia="en-US"/>
              </w:rPr>
              <w:t xml:space="preserve"> </w:t>
            </w:r>
            <w:r w:rsidR="00B21D4A">
              <w:rPr>
                <w:sz w:val="20"/>
                <w:szCs w:val="20"/>
                <w:lang w:eastAsia="en-US"/>
              </w:rPr>
              <w:t>level</w:t>
            </w:r>
            <w:r w:rsidR="00014860" w:rsidRPr="00EE04E5">
              <w:rPr>
                <w:sz w:val="20"/>
                <w:szCs w:val="20"/>
                <w:lang w:eastAsia="en-US"/>
              </w:rPr>
              <w:t xml:space="preserve"> to 6</w:t>
            </w:r>
          </w:p>
        </w:tc>
        <w:tc>
          <w:tcPr>
            <w:tcW w:w="1636" w:type="pct"/>
            <w:tcBorders>
              <w:top w:val="single" w:sz="4" w:space="0" w:color="808080"/>
              <w:left w:val="single" w:sz="4" w:space="0" w:color="808080"/>
              <w:bottom w:val="single" w:sz="4" w:space="0" w:color="808080"/>
              <w:right w:val="single" w:sz="4" w:space="0" w:color="808080"/>
            </w:tcBorders>
          </w:tcPr>
          <w:p w14:paraId="463DAF9F"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Alignment. Additional node dissection should be remunerated appropriately</w:t>
            </w:r>
          </w:p>
        </w:tc>
      </w:tr>
      <w:tr w:rsidR="00014860" w:rsidRPr="0060121E" w14:paraId="3A328AA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87BC000" w14:textId="77777777" w:rsidR="00014860" w:rsidRPr="00EE04E5" w:rsidRDefault="00014860" w:rsidP="007337CF">
            <w:pPr>
              <w:spacing w:beforeLines="40" w:before="96" w:afterLines="40" w:after="96"/>
              <w:rPr>
                <w:sz w:val="20"/>
                <w:szCs w:val="20"/>
                <w:lang w:eastAsia="en-US"/>
              </w:rPr>
            </w:pPr>
            <w:proofErr w:type="spellStart"/>
            <w:r w:rsidRPr="00EE04E5">
              <w:rPr>
                <w:sz w:val="20"/>
                <w:szCs w:val="20"/>
                <w:lang w:eastAsia="en-US"/>
              </w:rPr>
              <w:t>Penisectomy</w:t>
            </w:r>
            <w:proofErr w:type="spellEnd"/>
            <w:r w:rsidRPr="00EE04E5">
              <w:rPr>
                <w:sz w:val="20"/>
                <w:szCs w:val="20"/>
                <w:lang w:eastAsia="en-US"/>
              </w:rPr>
              <w:t xml:space="preserve"> - simple </w:t>
            </w:r>
          </w:p>
        </w:tc>
        <w:tc>
          <w:tcPr>
            <w:tcW w:w="703" w:type="pct"/>
            <w:tcBorders>
              <w:top w:val="single" w:sz="4" w:space="0" w:color="808080"/>
              <w:left w:val="single" w:sz="4" w:space="0" w:color="808080"/>
              <w:bottom w:val="single" w:sz="4" w:space="0" w:color="808080"/>
              <w:right w:val="single" w:sz="4" w:space="0" w:color="808080"/>
            </w:tcBorders>
            <w:noWrap/>
            <w:hideMark/>
          </w:tcPr>
          <w:p w14:paraId="2E819618"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3C67E53F"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Split into: </w:t>
            </w:r>
            <w:proofErr w:type="spellStart"/>
            <w:r w:rsidRPr="00EE04E5">
              <w:rPr>
                <w:i/>
                <w:sz w:val="20"/>
                <w:szCs w:val="20"/>
                <w:lang w:eastAsia="en-US"/>
              </w:rPr>
              <w:t>penisectomy</w:t>
            </w:r>
            <w:proofErr w:type="spellEnd"/>
            <w:r w:rsidRPr="00EE04E5">
              <w:rPr>
                <w:i/>
                <w:sz w:val="20"/>
                <w:szCs w:val="20"/>
                <w:lang w:eastAsia="en-US"/>
              </w:rPr>
              <w:t>,</w:t>
            </w:r>
            <w:r w:rsidRPr="00EE04E5">
              <w:rPr>
                <w:sz w:val="20"/>
                <w:szCs w:val="20"/>
                <w:lang w:eastAsia="en-US"/>
              </w:rPr>
              <w:t xml:space="preserve"> </w:t>
            </w:r>
            <w:r w:rsidRPr="00EE04E5">
              <w:rPr>
                <w:i/>
                <w:sz w:val="20"/>
                <w:szCs w:val="20"/>
                <w:lang w:eastAsia="en-US"/>
              </w:rPr>
              <w:t>neoplasm</w:t>
            </w:r>
            <w:r w:rsidRPr="00EE04E5">
              <w:rPr>
                <w:sz w:val="20"/>
                <w:szCs w:val="20"/>
                <w:lang w:eastAsia="en-US"/>
              </w:rPr>
              <w:t xml:space="preserve"> (</w:t>
            </w:r>
            <w:r w:rsidR="00B21D4A">
              <w:rPr>
                <w:sz w:val="20"/>
                <w:szCs w:val="20"/>
                <w:lang w:eastAsia="en-US"/>
              </w:rPr>
              <w:t>level</w:t>
            </w:r>
            <w:r w:rsidRPr="00EE04E5">
              <w:rPr>
                <w:sz w:val="20"/>
                <w:szCs w:val="20"/>
                <w:lang w:eastAsia="en-US"/>
              </w:rPr>
              <w:t xml:space="preserve"> 5) and </w:t>
            </w:r>
            <w:proofErr w:type="spellStart"/>
            <w:r w:rsidRPr="00EE04E5">
              <w:rPr>
                <w:i/>
                <w:sz w:val="20"/>
                <w:szCs w:val="20"/>
                <w:lang w:eastAsia="en-US"/>
              </w:rPr>
              <w:t>penisectomy</w:t>
            </w:r>
            <w:proofErr w:type="spellEnd"/>
            <w:r w:rsidRPr="00EE04E5">
              <w:rPr>
                <w:sz w:val="20"/>
                <w:szCs w:val="20"/>
                <w:lang w:eastAsia="en-US"/>
              </w:rPr>
              <w:t xml:space="preserve">, </w:t>
            </w:r>
            <w:r w:rsidRPr="00EE04E5">
              <w:rPr>
                <w:i/>
                <w:sz w:val="20"/>
                <w:szCs w:val="20"/>
                <w:lang w:eastAsia="en-US"/>
              </w:rPr>
              <w:t>other</w:t>
            </w:r>
            <w:r w:rsidRPr="00EE04E5">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78D26325"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Alignment. If neoplastic, detailed examination with margins required</w:t>
            </w:r>
          </w:p>
        </w:tc>
      </w:tr>
      <w:tr w:rsidR="00014860" w:rsidRPr="0060121E" w14:paraId="4319B0B3"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FFE57E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[new listing] </w:t>
            </w:r>
          </w:p>
          <w:p w14:paraId="1B7FF378"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Pharynx,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16AC0A4E" w14:textId="77777777" w:rsidR="00014860" w:rsidRPr="00EE04E5" w:rsidRDefault="005D395D" w:rsidP="007337CF">
            <w:pPr>
              <w:spacing w:beforeLines="40" w:before="96" w:afterLines="40" w:after="96"/>
              <w:rPr>
                <w:sz w:val="20"/>
                <w:szCs w:val="20"/>
                <w:lang w:eastAsia="en-US"/>
              </w:rPr>
            </w:pPr>
            <w:r>
              <w:rPr>
                <w:sz w:val="20"/>
                <w:szCs w:val="20"/>
                <w:lang w:eastAsia="en-US"/>
              </w:rPr>
              <w:t>—</w:t>
            </w:r>
          </w:p>
        </w:tc>
        <w:tc>
          <w:tcPr>
            <w:tcW w:w="1405" w:type="pct"/>
            <w:tcBorders>
              <w:top w:val="single" w:sz="4" w:space="0" w:color="808080"/>
              <w:left w:val="single" w:sz="4" w:space="0" w:color="808080"/>
              <w:bottom w:val="single" w:sz="4" w:space="0" w:color="808080"/>
              <w:right w:val="single" w:sz="4" w:space="0" w:color="808080"/>
            </w:tcBorders>
          </w:tcPr>
          <w:p w14:paraId="6113FF4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Complexity </w:t>
            </w:r>
            <w:r w:rsidR="00B21D4A">
              <w:rPr>
                <w:sz w:val="20"/>
                <w:szCs w:val="20"/>
                <w:lang w:eastAsia="en-US"/>
              </w:rPr>
              <w:t>level</w:t>
            </w:r>
            <w:r w:rsidRPr="00EE04E5">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5735B97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Clarification/alignment. No current listing for pharynx; make comparable with other head and neck biopsies</w:t>
            </w:r>
          </w:p>
        </w:tc>
      </w:tr>
      <w:tr w:rsidR="00014860" w:rsidRPr="0060121E" w14:paraId="4E47D3D3"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4B9C9706"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[new listing] </w:t>
            </w:r>
          </w:p>
          <w:p w14:paraId="515A8C68"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Pharynx, resection without node dissection</w:t>
            </w:r>
          </w:p>
        </w:tc>
        <w:tc>
          <w:tcPr>
            <w:tcW w:w="703" w:type="pct"/>
            <w:tcBorders>
              <w:top w:val="single" w:sz="4" w:space="0" w:color="808080"/>
              <w:left w:val="single" w:sz="4" w:space="0" w:color="808080"/>
              <w:bottom w:val="single" w:sz="4" w:space="0" w:color="808080"/>
              <w:right w:val="single" w:sz="4" w:space="0" w:color="808080"/>
            </w:tcBorders>
            <w:noWrap/>
            <w:hideMark/>
          </w:tcPr>
          <w:p w14:paraId="19C959B6" w14:textId="77777777" w:rsidR="00014860" w:rsidRPr="00EE04E5" w:rsidRDefault="005D395D" w:rsidP="007337CF">
            <w:pPr>
              <w:spacing w:beforeLines="40" w:before="96" w:afterLines="40" w:after="96"/>
              <w:rPr>
                <w:sz w:val="20"/>
                <w:szCs w:val="20"/>
                <w:lang w:eastAsia="en-US"/>
              </w:rPr>
            </w:pPr>
            <w:r>
              <w:rPr>
                <w:sz w:val="20"/>
                <w:szCs w:val="20"/>
                <w:lang w:eastAsia="en-US"/>
              </w:rPr>
              <w:t>—</w:t>
            </w:r>
          </w:p>
        </w:tc>
        <w:tc>
          <w:tcPr>
            <w:tcW w:w="1405" w:type="pct"/>
            <w:tcBorders>
              <w:top w:val="single" w:sz="4" w:space="0" w:color="808080"/>
              <w:left w:val="single" w:sz="4" w:space="0" w:color="808080"/>
              <w:bottom w:val="single" w:sz="4" w:space="0" w:color="808080"/>
              <w:right w:val="single" w:sz="4" w:space="0" w:color="808080"/>
            </w:tcBorders>
          </w:tcPr>
          <w:p w14:paraId="5C834C1E"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Complexity </w:t>
            </w:r>
            <w:r w:rsidR="00B21D4A">
              <w:rPr>
                <w:sz w:val="20"/>
                <w:szCs w:val="20"/>
                <w:lang w:eastAsia="en-US"/>
              </w:rPr>
              <w:t>level</w:t>
            </w:r>
            <w:r w:rsidRPr="00EE04E5">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340C1329"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Clarification/ alignment. No current listing for </w:t>
            </w:r>
            <w:proofErr w:type="spellStart"/>
            <w:r w:rsidRPr="00EE04E5">
              <w:rPr>
                <w:sz w:val="20"/>
                <w:szCs w:val="20"/>
                <w:lang w:eastAsia="en-US"/>
              </w:rPr>
              <w:t>pharyngectomy</w:t>
            </w:r>
            <w:proofErr w:type="spellEnd"/>
            <w:r w:rsidRPr="00EE04E5">
              <w:rPr>
                <w:sz w:val="20"/>
                <w:szCs w:val="20"/>
                <w:lang w:eastAsia="en-US"/>
              </w:rPr>
              <w:t>; complex dissection with margins, equivalence to other sites</w:t>
            </w:r>
          </w:p>
        </w:tc>
      </w:tr>
      <w:tr w:rsidR="00014860" w:rsidRPr="0060121E" w14:paraId="7B55674D"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4962DE1" w14:textId="77777777" w:rsidR="00014860" w:rsidRPr="00791082" w:rsidRDefault="00014860" w:rsidP="007337CF">
            <w:pPr>
              <w:spacing w:beforeLines="40" w:before="96" w:afterLines="40" w:after="96"/>
              <w:rPr>
                <w:sz w:val="20"/>
                <w:szCs w:val="20"/>
                <w:lang w:eastAsia="en-US"/>
              </w:rPr>
            </w:pPr>
            <w:r w:rsidRPr="00791082">
              <w:rPr>
                <w:sz w:val="20"/>
                <w:szCs w:val="20"/>
                <w:lang w:eastAsia="en-US"/>
              </w:rPr>
              <w:t xml:space="preserve">[new listing] </w:t>
            </w:r>
          </w:p>
          <w:p w14:paraId="006ADD9E" w14:textId="77777777" w:rsidR="00014860" w:rsidRPr="00791082" w:rsidRDefault="00014860" w:rsidP="007337CF">
            <w:pPr>
              <w:spacing w:beforeLines="40" w:before="96" w:afterLines="40" w:after="96"/>
              <w:rPr>
                <w:sz w:val="20"/>
                <w:szCs w:val="20"/>
                <w:lang w:eastAsia="en-US"/>
              </w:rPr>
            </w:pPr>
            <w:r w:rsidRPr="0036616D">
              <w:rPr>
                <w:sz w:val="20"/>
                <w:szCs w:val="20"/>
                <w:lang w:eastAsia="en-US"/>
              </w:rPr>
              <w:t>Pharynx, resection with node dissection</w:t>
            </w:r>
            <w:r w:rsidR="00EF0660" w:rsidRPr="0036616D">
              <w:rPr>
                <w:sz w:val="20"/>
                <w:szCs w:val="20"/>
                <w:lang w:eastAsia="en-US"/>
              </w:rPr>
              <w:t xml:space="preserve"> </w:t>
            </w:r>
            <w:r w:rsidR="00477567" w:rsidRPr="0036616D">
              <w:rPr>
                <w:color w:val="0070C0"/>
                <w:sz w:val="20"/>
                <w:szCs w:val="20"/>
                <w:lang w:eastAsia="en-US"/>
              </w:rPr>
              <w:t>with Structured Report</w:t>
            </w:r>
            <w:r w:rsidRPr="0036616D">
              <w:rPr>
                <w:color w:val="0070C0"/>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1EC4B7D0" w14:textId="77777777" w:rsidR="00014860" w:rsidRPr="00EE04E5" w:rsidRDefault="005D395D" w:rsidP="007337CF">
            <w:pPr>
              <w:spacing w:beforeLines="40" w:before="96" w:afterLines="40" w:after="96"/>
              <w:rPr>
                <w:sz w:val="20"/>
                <w:szCs w:val="20"/>
                <w:lang w:eastAsia="en-US"/>
              </w:rPr>
            </w:pPr>
            <w:r>
              <w:rPr>
                <w:sz w:val="20"/>
                <w:szCs w:val="20"/>
                <w:lang w:eastAsia="en-US"/>
              </w:rPr>
              <w:t>—</w:t>
            </w:r>
          </w:p>
        </w:tc>
        <w:tc>
          <w:tcPr>
            <w:tcW w:w="1405" w:type="pct"/>
            <w:tcBorders>
              <w:top w:val="single" w:sz="4" w:space="0" w:color="808080"/>
              <w:left w:val="single" w:sz="4" w:space="0" w:color="808080"/>
              <w:bottom w:val="single" w:sz="4" w:space="0" w:color="808080"/>
              <w:right w:val="single" w:sz="4" w:space="0" w:color="808080"/>
            </w:tcBorders>
          </w:tcPr>
          <w:p w14:paraId="7BCC6FF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Complexity </w:t>
            </w:r>
            <w:r w:rsidR="00B21D4A">
              <w:rPr>
                <w:sz w:val="20"/>
                <w:szCs w:val="20"/>
                <w:lang w:eastAsia="en-US"/>
              </w:rPr>
              <w:t>level</w:t>
            </w:r>
            <w:r w:rsidRPr="00EE04E5">
              <w:rPr>
                <w:sz w:val="20"/>
                <w:szCs w:val="20"/>
                <w:lang w:eastAsia="en-US"/>
              </w:rPr>
              <w:t xml:space="preserve"> 6</w:t>
            </w:r>
          </w:p>
          <w:p w14:paraId="6CF148E9" w14:textId="77777777" w:rsidR="00B504AD" w:rsidRPr="00EE04E5" w:rsidRDefault="00791082" w:rsidP="007337CF">
            <w:pPr>
              <w:spacing w:beforeLines="40" w:before="96" w:afterLines="40" w:after="96"/>
              <w:rPr>
                <w:sz w:val="20"/>
                <w:szCs w:val="20"/>
                <w:lang w:eastAsia="en-US"/>
              </w:rPr>
            </w:pPr>
            <w:r w:rsidRPr="00791082">
              <w:rPr>
                <w:i/>
                <w:color w:val="0070C0"/>
                <w:sz w:val="20"/>
                <w:szCs w:val="20"/>
                <w:lang w:eastAsia="en-US"/>
              </w:rPr>
              <w:t>[</w:t>
            </w:r>
            <w:r w:rsidRPr="004F476E">
              <w:rPr>
                <w:i/>
                <w:color w:val="0070C0"/>
                <w:sz w:val="20"/>
                <w:szCs w:val="20"/>
                <w:lang w:eastAsia="en-US"/>
              </w:rPr>
              <w:t>in development]</w:t>
            </w:r>
          </w:p>
        </w:tc>
        <w:tc>
          <w:tcPr>
            <w:tcW w:w="1636" w:type="pct"/>
            <w:tcBorders>
              <w:top w:val="single" w:sz="4" w:space="0" w:color="808080"/>
              <w:left w:val="single" w:sz="4" w:space="0" w:color="808080"/>
              <w:bottom w:val="single" w:sz="4" w:space="0" w:color="808080"/>
              <w:right w:val="single" w:sz="4" w:space="0" w:color="808080"/>
            </w:tcBorders>
          </w:tcPr>
          <w:p w14:paraId="7F870EF2"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 alignment. Complex dissection with margins and nodes, equivalence to other sites</w:t>
            </w:r>
          </w:p>
        </w:tc>
      </w:tr>
      <w:tr w:rsidR="00014860" w:rsidRPr="0060121E" w14:paraId="682D91E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668EBE3"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Pituitary neoplasm </w:t>
            </w:r>
          </w:p>
        </w:tc>
        <w:tc>
          <w:tcPr>
            <w:tcW w:w="703" w:type="pct"/>
            <w:tcBorders>
              <w:top w:val="single" w:sz="4" w:space="0" w:color="808080"/>
              <w:left w:val="single" w:sz="4" w:space="0" w:color="808080"/>
              <w:bottom w:val="single" w:sz="4" w:space="0" w:color="808080"/>
              <w:right w:val="single" w:sz="4" w:space="0" w:color="808080"/>
            </w:tcBorders>
            <w:noWrap/>
            <w:hideMark/>
          </w:tcPr>
          <w:p w14:paraId="522E2121"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4EB9DBA2" w14:textId="77777777" w:rsidR="00014860" w:rsidRPr="00EE04E5"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EE04E5">
              <w:rPr>
                <w:sz w:val="20"/>
                <w:szCs w:val="20"/>
                <w:lang w:eastAsia="en-US"/>
              </w:rPr>
              <w:t xml:space="preserve"> </w:t>
            </w:r>
            <w:r w:rsidR="00B21D4A">
              <w:rPr>
                <w:sz w:val="20"/>
                <w:szCs w:val="20"/>
                <w:lang w:eastAsia="en-US"/>
              </w:rPr>
              <w:t>level</w:t>
            </w:r>
            <w:r w:rsidR="00014860" w:rsidRPr="00EE04E5">
              <w:rPr>
                <w:sz w:val="20"/>
                <w:szCs w:val="20"/>
                <w:lang w:eastAsia="en-US"/>
              </w:rPr>
              <w:t xml:space="preserve"> to 5</w:t>
            </w:r>
          </w:p>
        </w:tc>
        <w:tc>
          <w:tcPr>
            <w:tcW w:w="1636" w:type="pct"/>
            <w:tcBorders>
              <w:top w:val="single" w:sz="4" w:space="0" w:color="808080"/>
              <w:left w:val="single" w:sz="4" w:space="0" w:color="808080"/>
              <w:bottom w:val="single" w:sz="4" w:space="0" w:color="808080"/>
              <w:right w:val="single" w:sz="4" w:space="0" w:color="808080"/>
            </w:tcBorders>
          </w:tcPr>
          <w:p w14:paraId="4B2BBE3A"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Alignment. Should be equivalent to other </w:t>
            </w:r>
            <w:r w:rsidR="00B504AD" w:rsidRPr="00EE04E5">
              <w:rPr>
                <w:sz w:val="20"/>
                <w:szCs w:val="20"/>
                <w:lang w:eastAsia="en-US"/>
              </w:rPr>
              <w:t xml:space="preserve">endocrine </w:t>
            </w:r>
            <w:r w:rsidR="00AA0AA2" w:rsidRPr="00EE04E5">
              <w:rPr>
                <w:sz w:val="20"/>
                <w:szCs w:val="20"/>
                <w:lang w:eastAsia="en-US"/>
              </w:rPr>
              <w:t>neoplasms</w:t>
            </w:r>
            <w:r w:rsidRPr="00EE04E5">
              <w:rPr>
                <w:sz w:val="20"/>
                <w:szCs w:val="20"/>
                <w:lang w:eastAsia="en-US"/>
              </w:rPr>
              <w:t xml:space="preserve">; correlation with </w:t>
            </w:r>
            <w:r w:rsidRPr="00022B12">
              <w:rPr>
                <w:sz w:val="20"/>
                <w:szCs w:val="20"/>
                <w:lang w:eastAsia="en-US"/>
              </w:rPr>
              <w:t xml:space="preserve">special stains </w:t>
            </w:r>
            <w:r w:rsidRPr="009850CC">
              <w:rPr>
                <w:sz w:val="20"/>
                <w:szCs w:val="20"/>
                <w:lang w:eastAsia="en-US"/>
              </w:rPr>
              <w:t xml:space="preserve">and </w:t>
            </w:r>
            <w:proofErr w:type="spellStart"/>
            <w:r w:rsidRPr="009850CC">
              <w:rPr>
                <w:sz w:val="20"/>
                <w:szCs w:val="20"/>
                <w:lang w:eastAsia="en-US"/>
              </w:rPr>
              <w:t>immunostains</w:t>
            </w:r>
            <w:proofErr w:type="spellEnd"/>
            <w:r w:rsidRPr="009850CC">
              <w:rPr>
                <w:sz w:val="20"/>
                <w:szCs w:val="20"/>
                <w:lang w:eastAsia="en-US"/>
              </w:rPr>
              <w:t xml:space="preserve"> required</w:t>
            </w:r>
          </w:p>
        </w:tc>
      </w:tr>
      <w:tr w:rsidR="00014860" w:rsidRPr="0060121E" w14:paraId="1A859E7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7426AA3"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Placenta - not third trimester </w:t>
            </w:r>
          </w:p>
        </w:tc>
        <w:tc>
          <w:tcPr>
            <w:tcW w:w="703" w:type="pct"/>
            <w:tcBorders>
              <w:top w:val="single" w:sz="4" w:space="0" w:color="808080"/>
              <w:left w:val="single" w:sz="4" w:space="0" w:color="808080"/>
              <w:bottom w:val="single" w:sz="4" w:space="0" w:color="808080"/>
              <w:right w:val="single" w:sz="4" w:space="0" w:color="808080"/>
            </w:tcBorders>
            <w:noWrap/>
            <w:hideMark/>
          </w:tcPr>
          <w:p w14:paraId="0A01B966"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7F322AC9"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42A04BB8"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 Trimester not the critical determinant</w:t>
            </w:r>
          </w:p>
        </w:tc>
      </w:tr>
      <w:tr w:rsidR="00014860" w:rsidRPr="0060121E" w14:paraId="6ED46A7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31E4103"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Placenta - third trimester, abnormal pregnancy or delivery </w:t>
            </w:r>
          </w:p>
        </w:tc>
        <w:tc>
          <w:tcPr>
            <w:tcW w:w="703" w:type="pct"/>
            <w:tcBorders>
              <w:top w:val="single" w:sz="4" w:space="0" w:color="808080"/>
              <w:left w:val="single" w:sz="4" w:space="0" w:color="808080"/>
              <w:bottom w:val="single" w:sz="4" w:space="0" w:color="808080"/>
              <w:right w:val="single" w:sz="4" w:space="0" w:color="808080"/>
            </w:tcBorders>
            <w:noWrap/>
            <w:hideMark/>
          </w:tcPr>
          <w:p w14:paraId="0AB0BF86"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39B02A55"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Remove </w:t>
            </w:r>
            <w:r w:rsidRPr="00EE04E5">
              <w:rPr>
                <w:i/>
                <w:sz w:val="20"/>
                <w:szCs w:val="20"/>
                <w:lang w:eastAsia="en-US"/>
              </w:rPr>
              <w:t>third trimester</w:t>
            </w:r>
            <w:r w:rsidRPr="00EE04E5">
              <w:rPr>
                <w:sz w:val="20"/>
                <w:szCs w:val="20"/>
                <w:lang w:eastAsia="en-US"/>
              </w:rPr>
              <w:t xml:space="preserve"> wording; split into </w:t>
            </w:r>
            <w:r w:rsidRPr="00EE04E5">
              <w:rPr>
                <w:i/>
                <w:sz w:val="20"/>
                <w:szCs w:val="20"/>
                <w:lang w:eastAsia="en-US"/>
              </w:rPr>
              <w:t>placenta, abnormal pregnancy or delivery</w:t>
            </w:r>
            <w:r w:rsidRPr="00EE04E5">
              <w:rPr>
                <w:sz w:val="20"/>
                <w:szCs w:val="20"/>
                <w:lang w:eastAsia="en-US"/>
              </w:rPr>
              <w:t xml:space="preserve"> (</w:t>
            </w:r>
            <w:r w:rsidR="00B21D4A">
              <w:rPr>
                <w:sz w:val="20"/>
                <w:szCs w:val="20"/>
                <w:lang w:eastAsia="en-US"/>
              </w:rPr>
              <w:t>level</w:t>
            </w:r>
            <w:r w:rsidRPr="00EE04E5">
              <w:rPr>
                <w:sz w:val="20"/>
                <w:szCs w:val="20"/>
                <w:lang w:eastAsia="en-US"/>
              </w:rPr>
              <w:t xml:space="preserve"> 5) and </w:t>
            </w:r>
            <w:r w:rsidRPr="00EE04E5">
              <w:rPr>
                <w:i/>
                <w:sz w:val="20"/>
                <w:szCs w:val="20"/>
                <w:lang w:eastAsia="en-US"/>
              </w:rPr>
              <w:t>placenta, stillbirth</w:t>
            </w:r>
            <w:r w:rsidRPr="00EE04E5">
              <w:rPr>
                <w:sz w:val="20"/>
                <w:szCs w:val="20"/>
                <w:lang w:eastAsia="en-US"/>
              </w:rPr>
              <w:t xml:space="preserve"> (</w:t>
            </w:r>
            <w:r w:rsidR="00B21D4A">
              <w:rPr>
                <w:sz w:val="20"/>
                <w:szCs w:val="20"/>
                <w:lang w:eastAsia="en-US"/>
              </w:rPr>
              <w:t>level</w:t>
            </w:r>
            <w:r w:rsidRPr="00EE04E5">
              <w:rPr>
                <w:sz w:val="20"/>
                <w:szCs w:val="20"/>
                <w:lang w:eastAsia="en-US"/>
              </w:rPr>
              <w:t xml:space="preserve"> 6)</w:t>
            </w:r>
          </w:p>
        </w:tc>
        <w:tc>
          <w:tcPr>
            <w:tcW w:w="1636" w:type="pct"/>
            <w:tcBorders>
              <w:top w:val="single" w:sz="4" w:space="0" w:color="808080"/>
              <w:left w:val="single" w:sz="4" w:space="0" w:color="808080"/>
              <w:bottom w:val="single" w:sz="4" w:space="0" w:color="808080"/>
              <w:right w:val="single" w:sz="4" w:space="0" w:color="808080"/>
            </w:tcBorders>
          </w:tcPr>
          <w:p w14:paraId="3654D0A0"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Alignment. Complex examination with multiple blocks, particularly so in the case of stillbirth; correlation with microbiological and genetic assays required</w:t>
            </w:r>
          </w:p>
        </w:tc>
      </w:tr>
      <w:tr w:rsidR="00EF0660" w:rsidRPr="0060121E" w14:paraId="2DCAA02D"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605E126" w14:textId="77777777" w:rsidR="00EF0660" w:rsidRPr="00791082" w:rsidRDefault="00EF0660" w:rsidP="007337CF">
            <w:pPr>
              <w:spacing w:beforeLines="40" w:before="96" w:afterLines="40" w:after="96"/>
              <w:rPr>
                <w:sz w:val="20"/>
                <w:szCs w:val="20"/>
                <w:lang w:eastAsia="en-US"/>
              </w:rPr>
            </w:pPr>
            <w:r w:rsidRPr="00791082">
              <w:rPr>
                <w:sz w:val="20"/>
                <w:szCs w:val="20"/>
                <w:lang w:eastAsia="en-US"/>
              </w:rPr>
              <w:t>[</w:t>
            </w:r>
            <w:r w:rsidR="00477567" w:rsidRPr="0036616D">
              <w:rPr>
                <w:sz w:val="20"/>
                <w:szCs w:val="20"/>
                <w:lang w:eastAsia="en-US"/>
              </w:rPr>
              <w:t>new listing</w:t>
            </w:r>
            <w:r w:rsidRPr="00791082">
              <w:rPr>
                <w:sz w:val="20"/>
                <w:szCs w:val="20"/>
                <w:lang w:eastAsia="en-US"/>
              </w:rPr>
              <w:t>]</w:t>
            </w:r>
          </w:p>
          <w:p w14:paraId="0A9B6160" w14:textId="77777777" w:rsidR="00EF0660" w:rsidRPr="00791082" w:rsidRDefault="00EF0660" w:rsidP="007337CF">
            <w:pPr>
              <w:spacing w:beforeLines="40" w:before="96" w:afterLines="40" w:after="96"/>
              <w:rPr>
                <w:sz w:val="20"/>
                <w:szCs w:val="20"/>
                <w:lang w:eastAsia="en-US"/>
              </w:rPr>
            </w:pPr>
            <w:r w:rsidRPr="0036616D">
              <w:rPr>
                <w:sz w:val="20"/>
                <w:szCs w:val="20"/>
                <w:lang w:eastAsia="en-US"/>
              </w:rPr>
              <w:t xml:space="preserve">Pleura </w:t>
            </w:r>
            <w:r w:rsidR="005D395D">
              <w:rPr>
                <w:sz w:val="20"/>
                <w:szCs w:val="20"/>
                <w:lang w:eastAsia="en-US"/>
              </w:rPr>
              <w:t>-</w:t>
            </w:r>
            <w:r w:rsidR="005D395D" w:rsidRPr="0036616D">
              <w:rPr>
                <w:sz w:val="20"/>
                <w:szCs w:val="20"/>
                <w:lang w:eastAsia="en-US"/>
              </w:rPr>
              <w:t xml:space="preserve"> </w:t>
            </w:r>
            <w:r w:rsidRPr="0036616D">
              <w:rPr>
                <w:sz w:val="20"/>
                <w:szCs w:val="20"/>
                <w:lang w:eastAsia="en-US"/>
              </w:rPr>
              <w:t xml:space="preserve">pleurectomy for neoplasia </w:t>
            </w:r>
            <w:r w:rsidR="00477567" w:rsidRPr="0036616D">
              <w:rPr>
                <w:sz w:val="20"/>
                <w:szCs w:val="20"/>
                <w:lang w:eastAsia="en-US"/>
              </w:rPr>
              <w:t>with Structured Report</w:t>
            </w:r>
          </w:p>
        </w:tc>
        <w:tc>
          <w:tcPr>
            <w:tcW w:w="703" w:type="pct"/>
            <w:tcBorders>
              <w:top w:val="single" w:sz="4" w:space="0" w:color="808080"/>
              <w:left w:val="single" w:sz="4" w:space="0" w:color="808080"/>
              <w:bottom w:val="single" w:sz="4" w:space="0" w:color="808080"/>
              <w:right w:val="single" w:sz="4" w:space="0" w:color="808080"/>
            </w:tcBorders>
            <w:noWrap/>
            <w:hideMark/>
          </w:tcPr>
          <w:p w14:paraId="05F348F1" w14:textId="77777777" w:rsidR="00EF0660" w:rsidRPr="0036616D" w:rsidRDefault="005D395D" w:rsidP="007337CF">
            <w:pPr>
              <w:spacing w:beforeLines="40" w:before="96" w:afterLines="40" w:after="96"/>
              <w:rPr>
                <w:sz w:val="20"/>
                <w:szCs w:val="20"/>
                <w:lang w:eastAsia="en-US"/>
              </w:rPr>
            </w:pPr>
            <w:r>
              <w:rPr>
                <w:sz w:val="20"/>
                <w:szCs w:val="20"/>
                <w:lang w:eastAsia="en-US"/>
              </w:rPr>
              <w:t>—</w:t>
            </w:r>
          </w:p>
        </w:tc>
        <w:tc>
          <w:tcPr>
            <w:tcW w:w="1405" w:type="pct"/>
            <w:tcBorders>
              <w:top w:val="single" w:sz="4" w:space="0" w:color="808080"/>
              <w:left w:val="single" w:sz="4" w:space="0" w:color="808080"/>
              <w:bottom w:val="single" w:sz="4" w:space="0" w:color="808080"/>
              <w:right w:val="single" w:sz="4" w:space="0" w:color="808080"/>
            </w:tcBorders>
          </w:tcPr>
          <w:p w14:paraId="6141E757" w14:textId="77777777" w:rsidR="00EF0660" w:rsidRPr="0036616D" w:rsidRDefault="00EF0660" w:rsidP="007337CF">
            <w:pPr>
              <w:spacing w:beforeLines="40" w:before="96" w:afterLines="40" w:after="96"/>
              <w:rPr>
                <w:sz w:val="20"/>
                <w:szCs w:val="20"/>
                <w:lang w:eastAsia="en-US"/>
              </w:rPr>
            </w:pPr>
            <w:r w:rsidRPr="0036616D">
              <w:rPr>
                <w:sz w:val="20"/>
                <w:szCs w:val="20"/>
                <w:lang w:eastAsia="en-US"/>
              </w:rPr>
              <w:t xml:space="preserve">Complexity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3854F1BD" w14:textId="77777777" w:rsidR="00EF0660" w:rsidRPr="00EE04E5" w:rsidRDefault="00EF0660" w:rsidP="007337CF">
            <w:pPr>
              <w:spacing w:beforeLines="40" w:before="96" w:afterLines="40" w:after="96"/>
              <w:rPr>
                <w:sz w:val="20"/>
                <w:szCs w:val="20"/>
                <w:lang w:eastAsia="en-US"/>
              </w:rPr>
            </w:pPr>
            <w:r w:rsidRPr="0036616D">
              <w:rPr>
                <w:sz w:val="20"/>
                <w:szCs w:val="20"/>
                <w:lang w:eastAsia="en-US"/>
              </w:rPr>
              <w:t xml:space="preserve">Clarification. </w:t>
            </w:r>
            <w:r w:rsidRPr="0036616D">
              <w:rPr>
                <w:color w:val="000000" w:themeColor="text1"/>
                <w:sz w:val="20"/>
                <w:szCs w:val="20"/>
                <w:lang w:eastAsia="en-US"/>
              </w:rPr>
              <w:t>Current item does not include extensive pleural resections for mesothelioma</w:t>
            </w:r>
          </w:p>
        </w:tc>
      </w:tr>
      <w:tr w:rsidR="00A95152" w:rsidRPr="0060121E" w14:paraId="203F5A21"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16FA0E2"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lastRenderedPageBreak/>
              <w:t xml:space="preserve">Prostate, radical resection </w:t>
            </w:r>
          </w:p>
        </w:tc>
        <w:tc>
          <w:tcPr>
            <w:tcW w:w="703" w:type="pct"/>
            <w:tcBorders>
              <w:top w:val="single" w:sz="4" w:space="0" w:color="808080"/>
              <w:left w:val="single" w:sz="4" w:space="0" w:color="808080"/>
              <w:bottom w:val="single" w:sz="4" w:space="0" w:color="808080"/>
              <w:right w:val="single" w:sz="4" w:space="0" w:color="808080"/>
            </w:tcBorders>
            <w:noWrap/>
            <w:hideMark/>
          </w:tcPr>
          <w:p w14:paraId="427BE354"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25CCF691"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431BE57A"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 xml:space="preserve">Clarification. </w:t>
            </w:r>
            <w:r w:rsidRPr="00EE04E5">
              <w:rPr>
                <w:color w:val="000000" w:themeColor="text1"/>
                <w:sz w:val="20"/>
                <w:szCs w:val="20"/>
                <w:lang w:eastAsia="en-US"/>
              </w:rPr>
              <w:t>Super</w:t>
            </w:r>
            <w:r w:rsidR="005D395D">
              <w:rPr>
                <w:color w:val="000000" w:themeColor="text1"/>
                <w:sz w:val="20"/>
                <w:szCs w:val="20"/>
                <w:lang w:eastAsia="en-US"/>
              </w:rPr>
              <w:t>s</w:t>
            </w:r>
            <w:r w:rsidRPr="00EE04E5">
              <w:rPr>
                <w:color w:val="000000" w:themeColor="text1"/>
                <w:sz w:val="20"/>
                <w:szCs w:val="20"/>
                <w:lang w:eastAsia="en-US"/>
              </w:rPr>
              <w:t>eded by updated listing for radical prostatectomy</w:t>
            </w:r>
          </w:p>
        </w:tc>
      </w:tr>
      <w:tr w:rsidR="00A95152" w:rsidRPr="0036616D" w14:paraId="75125C4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971718A" w14:textId="77777777" w:rsidR="00A95152" w:rsidRPr="00791082" w:rsidRDefault="00A95152" w:rsidP="007337CF">
            <w:pPr>
              <w:spacing w:beforeLines="40" w:before="96" w:afterLines="40" w:after="96"/>
              <w:rPr>
                <w:sz w:val="20"/>
                <w:szCs w:val="20"/>
                <w:lang w:eastAsia="en-US"/>
              </w:rPr>
            </w:pPr>
            <w:r w:rsidRPr="00791082">
              <w:rPr>
                <w:sz w:val="20"/>
                <w:szCs w:val="20"/>
                <w:lang w:eastAsia="en-US"/>
              </w:rPr>
              <w:t xml:space="preserve">Prostate, radical prostatectomy or </w:t>
            </w:r>
            <w:proofErr w:type="spellStart"/>
            <w:r w:rsidRPr="00791082">
              <w:rPr>
                <w:sz w:val="20"/>
                <w:szCs w:val="20"/>
                <w:lang w:eastAsia="en-US"/>
              </w:rPr>
              <w:t>cystoprostatectomy</w:t>
            </w:r>
            <w:proofErr w:type="spellEnd"/>
            <w:r w:rsidRPr="00791082">
              <w:rPr>
                <w:sz w:val="20"/>
                <w:szCs w:val="20"/>
                <w:lang w:eastAsia="en-US"/>
              </w:rPr>
              <w:t xml:space="preserve"> for carcinoma</w:t>
            </w:r>
          </w:p>
        </w:tc>
        <w:tc>
          <w:tcPr>
            <w:tcW w:w="703" w:type="pct"/>
            <w:tcBorders>
              <w:top w:val="single" w:sz="4" w:space="0" w:color="808080"/>
              <w:left w:val="single" w:sz="4" w:space="0" w:color="808080"/>
              <w:bottom w:val="single" w:sz="4" w:space="0" w:color="808080"/>
              <w:right w:val="single" w:sz="4" w:space="0" w:color="808080"/>
            </w:tcBorders>
            <w:noWrap/>
            <w:hideMark/>
          </w:tcPr>
          <w:p w14:paraId="501D94E5"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7</w:t>
            </w:r>
          </w:p>
        </w:tc>
        <w:tc>
          <w:tcPr>
            <w:tcW w:w="1405" w:type="pct"/>
            <w:tcBorders>
              <w:top w:val="single" w:sz="4" w:space="0" w:color="808080"/>
              <w:left w:val="single" w:sz="4" w:space="0" w:color="808080"/>
              <w:bottom w:val="single" w:sz="4" w:space="0" w:color="808080"/>
              <w:right w:val="single" w:sz="4" w:space="0" w:color="808080"/>
            </w:tcBorders>
          </w:tcPr>
          <w:p w14:paraId="19E60643" w14:textId="77777777" w:rsidR="00A95152" w:rsidRPr="00791082" w:rsidRDefault="00A95152"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288AEF7D" w14:textId="77777777" w:rsidR="00A95152" w:rsidRPr="0036616D" w:rsidRDefault="00A95152" w:rsidP="007337CF">
            <w:pPr>
              <w:spacing w:beforeLines="40" w:before="96" w:afterLines="40" w:after="96"/>
              <w:rPr>
                <w:sz w:val="20"/>
                <w:szCs w:val="20"/>
                <w:lang w:eastAsia="en-US"/>
              </w:rPr>
            </w:pPr>
            <w:r w:rsidRPr="0036616D">
              <w:rPr>
                <w:sz w:val="20"/>
                <w:szCs w:val="20"/>
                <w:lang w:eastAsia="en-US"/>
              </w:rPr>
              <w:t>Alignment. Drive best practice</w:t>
            </w:r>
          </w:p>
        </w:tc>
      </w:tr>
      <w:tr w:rsidR="00EF0660" w:rsidRPr="0060121E" w14:paraId="262A075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C6A459D" w14:textId="77777777" w:rsidR="00EF0660" w:rsidRPr="0036616D" w:rsidRDefault="00EF0660" w:rsidP="007337CF">
            <w:pPr>
              <w:spacing w:beforeLines="40" w:before="96" w:afterLines="40" w:after="96"/>
              <w:rPr>
                <w:sz w:val="20"/>
                <w:szCs w:val="20"/>
                <w:lang w:eastAsia="en-US"/>
              </w:rPr>
            </w:pPr>
            <w:r w:rsidRPr="0036616D">
              <w:rPr>
                <w:sz w:val="20"/>
                <w:szCs w:val="20"/>
                <w:lang w:eastAsia="en-US"/>
              </w:rPr>
              <w:t xml:space="preserve">Salivary gland, neoplasm </w:t>
            </w:r>
            <w:r w:rsidR="005D395D">
              <w:rPr>
                <w:sz w:val="20"/>
                <w:szCs w:val="20"/>
                <w:lang w:eastAsia="en-US"/>
              </w:rPr>
              <w:t>-</w:t>
            </w:r>
            <w:r w:rsidR="005D395D" w:rsidRPr="0036616D">
              <w:rPr>
                <w:sz w:val="20"/>
                <w:szCs w:val="20"/>
                <w:lang w:eastAsia="en-US"/>
              </w:rPr>
              <w:t xml:space="preserve"> </w:t>
            </w:r>
            <w:r w:rsidRPr="0036616D">
              <w:rPr>
                <w:sz w:val="20"/>
                <w:szCs w:val="20"/>
                <w:lang w:eastAsia="en-US"/>
              </w:rPr>
              <w:t xml:space="preserve">all sites </w:t>
            </w:r>
          </w:p>
        </w:tc>
        <w:tc>
          <w:tcPr>
            <w:tcW w:w="703" w:type="pct"/>
            <w:tcBorders>
              <w:top w:val="single" w:sz="4" w:space="0" w:color="808080"/>
              <w:left w:val="single" w:sz="4" w:space="0" w:color="808080"/>
              <w:bottom w:val="single" w:sz="4" w:space="0" w:color="808080"/>
              <w:right w:val="single" w:sz="4" w:space="0" w:color="808080"/>
            </w:tcBorders>
            <w:noWrap/>
            <w:hideMark/>
          </w:tcPr>
          <w:p w14:paraId="73FD78C4" w14:textId="77777777" w:rsidR="00EF0660" w:rsidRPr="0036616D" w:rsidRDefault="00EF06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5E0EE426" w14:textId="77777777" w:rsidR="00EF0660" w:rsidRPr="00791082" w:rsidRDefault="00EF06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7C5363D6" w14:textId="77777777" w:rsidR="00EF0660" w:rsidRPr="00EE04E5" w:rsidRDefault="00EF0660"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60121E" w14:paraId="343226B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569A074"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Skin, biopsy - blistering skin diseases </w:t>
            </w:r>
          </w:p>
        </w:tc>
        <w:tc>
          <w:tcPr>
            <w:tcW w:w="703" w:type="pct"/>
            <w:tcBorders>
              <w:top w:val="single" w:sz="4" w:space="0" w:color="808080"/>
              <w:left w:val="single" w:sz="4" w:space="0" w:color="808080"/>
              <w:bottom w:val="single" w:sz="4" w:space="0" w:color="808080"/>
              <w:right w:val="single" w:sz="4" w:space="0" w:color="808080"/>
            </w:tcBorders>
            <w:noWrap/>
            <w:hideMark/>
          </w:tcPr>
          <w:p w14:paraId="303D4CE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3ABCB7DA"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74E5EFE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 Combine with inflammatory dermatosis</w:t>
            </w:r>
          </w:p>
        </w:tc>
      </w:tr>
      <w:tr w:rsidR="00014860" w:rsidRPr="0060121E" w14:paraId="5CFDFA05"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3054A87" w14:textId="77777777" w:rsidR="00014860" w:rsidRPr="00EE04E5" w:rsidRDefault="00014860" w:rsidP="007337CF">
            <w:pPr>
              <w:spacing w:beforeLines="40" w:before="96" w:afterLines="40" w:after="96"/>
              <w:rPr>
                <w:sz w:val="20"/>
                <w:szCs w:val="20"/>
                <w:lang w:eastAsia="en-US"/>
              </w:rPr>
            </w:pPr>
            <w:r w:rsidRPr="0036616D">
              <w:rPr>
                <w:sz w:val="20"/>
                <w:szCs w:val="20"/>
                <w:lang w:eastAsia="en-US"/>
              </w:rPr>
              <w:t>Skin, biopsy - inflammatory dermatosis</w:t>
            </w:r>
            <w:r w:rsidRPr="00EE04E5">
              <w:rPr>
                <w:sz w:val="20"/>
                <w:szCs w:val="20"/>
                <w:lang w:eastAsia="en-US"/>
              </w:rPr>
              <w:t xml:space="preserve"> </w:t>
            </w:r>
          </w:p>
        </w:tc>
        <w:tc>
          <w:tcPr>
            <w:tcW w:w="703" w:type="pct"/>
            <w:tcBorders>
              <w:top w:val="single" w:sz="4" w:space="0" w:color="808080"/>
              <w:left w:val="single" w:sz="4" w:space="0" w:color="808080"/>
              <w:bottom w:val="single" w:sz="4" w:space="0" w:color="808080"/>
              <w:right w:val="single" w:sz="4" w:space="0" w:color="808080"/>
            </w:tcBorders>
            <w:noWrap/>
            <w:hideMark/>
          </w:tcPr>
          <w:p w14:paraId="7D08C80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54EF7E9A" w14:textId="77777777" w:rsidR="0036616D" w:rsidRPr="0036616D" w:rsidRDefault="00014860" w:rsidP="007337CF">
            <w:pPr>
              <w:spacing w:beforeLines="40" w:before="96" w:afterLines="40" w:after="96"/>
              <w:rPr>
                <w:sz w:val="20"/>
                <w:szCs w:val="20"/>
                <w:lang w:eastAsia="en-US"/>
              </w:rPr>
            </w:pPr>
            <w:r w:rsidRPr="0036616D">
              <w:rPr>
                <w:sz w:val="20"/>
                <w:szCs w:val="20"/>
                <w:lang w:eastAsia="en-US"/>
              </w:rPr>
              <w:t xml:space="preserve">Add </w:t>
            </w:r>
            <w:r w:rsidR="0036616D" w:rsidRPr="0036616D">
              <w:rPr>
                <w:sz w:val="20"/>
                <w:szCs w:val="20"/>
                <w:lang w:eastAsia="en-US"/>
              </w:rPr>
              <w:t>‘</w:t>
            </w:r>
            <w:r w:rsidRPr="0036616D">
              <w:rPr>
                <w:i/>
                <w:sz w:val="20"/>
                <w:szCs w:val="20"/>
                <w:lang w:eastAsia="en-US"/>
              </w:rPr>
              <w:t>or</w:t>
            </w:r>
            <w:r w:rsidRPr="0036616D">
              <w:rPr>
                <w:sz w:val="20"/>
                <w:szCs w:val="20"/>
                <w:lang w:eastAsia="en-US"/>
              </w:rPr>
              <w:t xml:space="preserve"> </w:t>
            </w:r>
            <w:r w:rsidRPr="0036616D">
              <w:rPr>
                <w:i/>
                <w:sz w:val="20"/>
                <w:szCs w:val="20"/>
                <w:lang w:eastAsia="en-US"/>
              </w:rPr>
              <w:t>blisterin</w:t>
            </w:r>
            <w:r w:rsidR="00791082" w:rsidRPr="0036616D">
              <w:rPr>
                <w:i/>
                <w:sz w:val="20"/>
                <w:szCs w:val="20"/>
                <w:lang w:eastAsia="en-US"/>
              </w:rPr>
              <w:t>g</w:t>
            </w:r>
            <w:r w:rsidRPr="0036616D">
              <w:rPr>
                <w:i/>
                <w:sz w:val="20"/>
                <w:szCs w:val="20"/>
                <w:lang w:eastAsia="en-US"/>
              </w:rPr>
              <w:t xml:space="preserve"> skin disease</w:t>
            </w:r>
            <w:r w:rsidR="00791082" w:rsidRPr="0036616D">
              <w:rPr>
                <w:i/>
                <w:sz w:val="20"/>
                <w:szCs w:val="20"/>
                <w:lang w:eastAsia="en-US"/>
              </w:rPr>
              <w:t>, excluding secondary infl</w:t>
            </w:r>
            <w:r w:rsidR="0036616D" w:rsidRPr="0036616D">
              <w:rPr>
                <w:i/>
                <w:sz w:val="20"/>
                <w:szCs w:val="20"/>
                <w:lang w:eastAsia="en-US"/>
              </w:rPr>
              <w:t>ammation in a simple skin lesion, with special stains’</w:t>
            </w:r>
            <w:r w:rsidRPr="0036616D">
              <w:rPr>
                <w:sz w:val="20"/>
                <w:szCs w:val="20"/>
                <w:lang w:eastAsia="en-US"/>
              </w:rPr>
              <w:t xml:space="preserve"> </w:t>
            </w:r>
          </w:p>
          <w:p w14:paraId="02D8CFA9"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5</w:t>
            </w:r>
          </w:p>
        </w:tc>
        <w:tc>
          <w:tcPr>
            <w:tcW w:w="1636" w:type="pct"/>
            <w:tcBorders>
              <w:top w:val="single" w:sz="4" w:space="0" w:color="808080"/>
              <w:left w:val="single" w:sz="4" w:space="0" w:color="808080"/>
              <w:bottom w:val="single" w:sz="4" w:space="0" w:color="808080"/>
              <w:right w:val="single" w:sz="4" w:space="0" w:color="808080"/>
            </w:tcBorders>
          </w:tcPr>
          <w:p w14:paraId="52A34795"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Vastly more time consuming than GIT biopsy (L4); special stains/IF required.</w:t>
            </w:r>
            <w:r w:rsidR="0036616D" w:rsidRPr="0036616D">
              <w:rPr>
                <w:sz w:val="20"/>
                <w:szCs w:val="20"/>
                <w:lang w:eastAsia="en-US"/>
              </w:rPr>
              <w:t xml:space="preserve"> Clarification of excluded secondary inflammation included.</w:t>
            </w:r>
          </w:p>
        </w:tc>
      </w:tr>
      <w:tr w:rsidR="00503DC2" w:rsidRPr="0060121E" w14:paraId="105E617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66D68F6" w14:textId="77777777" w:rsidR="00503DC2" w:rsidRPr="00EE04E5" w:rsidRDefault="00503DC2" w:rsidP="007337CF">
            <w:pPr>
              <w:spacing w:beforeLines="40" w:before="96" w:afterLines="40" w:after="96"/>
              <w:rPr>
                <w:sz w:val="20"/>
                <w:szCs w:val="20"/>
                <w:lang w:eastAsia="en-US"/>
              </w:rPr>
            </w:pPr>
            <w:r w:rsidRPr="00EE04E5">
              <w:rPr>
                <w:sz w:val="20"/>
                <w:szCs w:val="20"/>
                <w:lang w:eastAsia="en-US"/>
              </w:rPr>
              <w:t xml:space="preserve">Skin, resection of malignant melanoma or melanoma in situ </w:t>
            </w:r>
          </w:p>
        </w:tc>
        <w:tc>
          <w:tcPr>
            <w:tcW w:w="703" w:type="pct"/>
            <w:tcBorders>
              <w:top w:val="single" w:sz="4" w:space="0" w:color="808080"/>
              <w:left w:val="single" w:sz="4" w:space="0" w:color="808080"/>
              <w:bottom w:val="single" w:sz="4" w:space="0" w:color="808080"/>
              <w:right w:val="single" w:sz="4" w:space="0" w:color="808080"/>
            </w:tcBorders>
            <w:noWrap/>
            <w:hideMark/>
          </w:tcPr>
          <w:p w14:paraId="7E60625B" w14:textId="77777777" w:rsidR="00503DC2" w:rsidRPr="00EE04E5" w:rsidRDefault="00503DC2" w:rsidP="007337CF">
            <w:pPr>
              <w:spacing w:beforeLines="40" w:before="96" w:afterLines="40" w:after="96"/>
              <w:rPr>
                <w:sz w:val="20"/>
                <w:szCs w:val="20"/>
                <w:lang w:eastAsia="en-US"/>
              </w:rPr>
            </w:pPr>
            <w:r w:rsidRPr="00EE04E5">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52AA37B7" w14:textId="77777777" w:rsidR="00503DC2" w:rsidRPr="00EE04E5" w:rsidRDefault="00503DC2" w:rsidP="007337CF">
            <w:pPr>
              <w:spacing w:beforeLines="40" w:before="96" w:afterLines="40" w:after="96"/>
              <w:rPr>
                <w:sz w:val="20"/>
                <w:szCs w:val="20"/>
                <w:lang w:eastAsia="en-US"/>
              </w:rPr>
            </w:pPr>
            <w:r w:rsidRPr="00791082">
              <w:rPr>
                <w:sz w:val="20"/>
                <w:szCs w:val="20"/>
                <w:lang w:eastAsia="en-US"/>
              </w:rPr>
              <w:t xml:space="preserve">Add </w:t>
            </w:r>
            <w:r w:rsidR="00791082" w:rsidRPr="00791082">
              <w:rPr>
                <w:sz w:val="20"/>
                <w:szCs w:val="20"/>
                <w:lang w:eastAsia="en-US"/>
              </w:rPr>
              <w:t>‘</w:t>
            </w:r>
            <w:r w:rsidRPr="0036616D">
              <w:rPr>
                <w:i/>
                <w:sz w:val="20"/>
                <w:szCs w:val="20"/>
                <w:lang w:eastAsia="en-US"/>
              </w:rPr>
              <w:t>with margin assessment and Structured Report</w:t>
            </w:r>
            <w:r w:rsidR="00791082" w:rsidRPr="0036616D">
              <w:rPr>
                <w:i/>
                <w:sz w:val="20"/>
                <w:szCs w:val="20"/>
                <w:lang w:eastAsia="en-US"/>
              </w:rPr>
              <w:t>’</w:t>
            </w:r>
          </w:p>
        </w:tc>
        <w:tc>
          <w:tcPr>
            <w:tcW w:w="1636" w:type="pct"/>
            <w:tcBorders>
              <w:top w:val="single" w:sz="4" w:space="0" w:color="808080"/>
              <w:left w:val="single" w:sz="4" w:space="0" w:color="808080"/>
              <w:bottom w:val="single" w:sz="4" w:space="0" w:color="808080"/>
              <w:right w:val="single" w:sz="4" w:space="0" w:color="808080"/>
            </w:tcBorders>
          </w:tcPr>
          <w:p w14:paraId="67284EA8" w14:textId="77777777" w:rsidR="00503DC2" w:rsidRPr="00EE04E5" w:rsidRDefault="00503DC2" w:rsidP="007337CF">
            <w:pPr>
              <w:spacing w:beforeLines="40" w:before="96" w:afterLines="40" w:after="96"/>
              <w:rPr>
                <w:sz w:val="20"/>
                <w:szCs w:val="20"/>
                <w:lang w:eastAsia="en-US"/>
              </w:rPr>
            </w:pPr>
            <w:r w:rsidRPr="00EE04E5">
              <w:rPr>
                <w:sz w:val="20"/>
                <w:szCs w:val="20"/>
                <w:lang w:eastAsia="en-US"/>
              </w:rPr>
              <w:t>Clarification. Drive best practice</w:t>
            </w:r>
          </w:p>
        </w:tc>
      </w:tr>
      <w:tr w:rsidR="00014860" w:rsidRPr="0060121E" w14:paraId="4FDBA4BF"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FCD00C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Small bowel, diverticulum </w:t>
            </w:r>
          </w:p>
        </w:tc>
        <w:tc>
          <w:tcPr>
            <w:tcW w:w="703" w:type="pct"/>
            <w:tcBorders>
              <w:top w:val="single" w:sz="4" w:space="0" w:color="808080"/>
              <w:left w:val="single" w:sz="4" w:space="0" w:color="808080"/>
              <w:bottom w:val="single" w:sz="4" w:space="0" w:color="808080"/>
              <w:right w:val="single" w:sz="4" w:space="0" w:color="808080"/>
            </w:tcBorders>
            <w:noWrap/>
            <w:hideMark/>
          </w:tcPr>
          <w:p w14:paraId="46A4564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298F6053" w14:textId="77777777" w:rsidR="00014860" w:rsidRPr="00EE04E5"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EE04E5">
              <w:rPr>
                <w:sz w:val="20"/>
                <w:szCs w:val="20"/>
                <w:lang w:eastAsia="en-US"/>
              </w:rPr>
              <w:t xml:space="preserve"> </w:t>
            </w:r>
            <w:r w:rsidR="00B21D4A">
              <w:rPr>
                <w:sz w:val="20"/>
                <w:szCs w:val="20"/>
                <w:lang w:eastAsia="en-US"/>
              </w:rPr>
              <w:t>level</w:t>
            </w:r>
            <w:r w:rsidR="00014860" w:rsidRPr="00EE04E5">
              <w:rPr>
                <w:sz w:val="20"/>
                <w:szCs w:val="20"/>
                <w:lang w:eastAsia="en-US"/>
              </w:rPr>
              <w:t xml:space="preserve"> to 4</w:t>
            </w:r>
          </w:p>
        </w:tc>
        <w:tc>
          <w:tcPr>
            <w:tcW w:w="1636" w:type="pct"/>
            <w:tcBorders>
              <w:top w:val="single" w:sz="4" w:space="0" w:color="808080"/>
              <w:left w:val="single" w:sz="4" w:space="0" w:color="808080"/>
              <w:bottom w:val="single" w:sz="4" w:space="0" w:color="808080"/>
              <w:right w:val="single" w:sz="4" w:space="0" w:color="808080"/>
            </w:tcBorders>
          </w:tcPr>
          <w:p w14:paraId="7C6F2B43"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Alignment. Equivalence to other GIT biopsies, assessment of heterotopia</w:t>
            </w:r>
          </w:p>
        </w:tc>
      </w:tr>
      <w:tr w:rsidR="00A95152" w:rsidRPr="0060121E" w14:paraId="4E74BFD7"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84C1385"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 xml:space="preserve">Small bowel, resection - neoplasm </w:t>
            </w:r>
          </w:p>
        </w:tc>
        <w:tc>
          <w:tcPr>
            <w:tcW w:w="703" w:type="pct"/>
            <w:tcBorders>
              <w:top w:val="single" w:sz="4" w:space="0" w:color="808080"/>
              <w:left w:val="single" w:sz="4" w:space="0" w:color="808080"/>
              <w:bottom w:val="single" w:sz="4" w:space="0" w:color="808080"/>
              <w:right w:val="single" w:sz="4" w:space="0" w:color="808080"/>
            </w:tcBorders>
            <w:noWrap/>
            <w:hideMark/>
          </w:tcPr>
          <w:p w14:paraId="5995B0E1"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5EAF803A" w14:textId="77777777" w:rsidR="00A95152" w:rsidRPr="00EE04E5" w:rsidRDefault="00A95152" w:rsidP="007337CF">
            <w:pPr>
              <w:spacing w:beforeLines="40" w:before="96" w:afterLines="40" w:after="96"/>
              <w:rPr>
                <w:i/>
                <w:sz w:val="20"/>
                <w:szCs w:val="20"/>
                <w:lang w:eastAsia="en-US"/>
              </w:rPr>
            </w:pPr>
            <w:r w:rsidRPr="0036616D">
              <w:rPr>
                <w:sz w:val="20"/>
                <w:szCs w:val="20"/>
                <w:lang w:eastAsia="en-US"/>
              </w:rPr>
              <w:t>Add ‘</w:t>
            </w:r>
            <w:r w:rsidRPr="0036616D">
              <w:rPr>
                <w:i/>
                <w:sz w:val="20"/>
                <w:szCs w:val="20"/>
                <w:lang w:eastAsia="en-US"/>
              </w:rPr>
              <w:t>with Structured Report’</w:t>
            </w:r>
          </w:p>
          <w:p w14:paraId="0DD71EC5" w14:textId="77777777" w:rsidR="00B504AD" w:rsidRPr="00EE04E5" w:rsidRDefault="00791082" w:rsidP="007337CF">
            <w:pPr>
              <w:spacing w:beforeLines="40" w:before="96" w:afterLines="40" w:after="96"/>
              <w:rPr>
                <w:sz w:val="20"/>
                <w:szCs w:val="20"/>
                <w:lang w:eastAsia="en-US"/>
              </w:rPr>
            </w:pPr>
            <w:r w:rsidRPr="00791082">
              <w:rPr>
                <w:i/>
                <w:color w:val="0070C0"/>
                <w:sz w:val="20"/>
                <w:szCs w:val="20"/>
                <w:lang w:eastAsia="en-US"/>
              </w:rPr>
              <w:t>[</w:t>
            </w:r>
            <w:r>
              <w:rPr>
                <w:i/>
                <w:color w:val="0070C0"/>
                <w:sz w:val="20"/>
                <w:szCs w:val="20"/>
                <w:lang w:eastAsia="en-US"/>
              </w:rPr>
              <w:t xml:space="preserve">not yet </w:t>
            </w:r>
            <w:r w:rsidRPr="004F476E">
              <w:rPr>
                <w:i/>
                <w:color w:val="0070C0"/>
                <w:sz w:val="20"/>
                <w:szCs w:val="20"/>
                <w:lang w:eastAsia="en-US"/>
              </w:rPr>
              <w:t>in development]</w:t>
            </w:r>
          </w:p>
        </w:tc>
        <w:tc>
          <w:tcPr>
            <w:tcW w:w="1636" w:type="pct"/>
            <w:tcBorders>
              <w:top w:val="single" w:sz="4" w:space="0" w:color="808080"/>
              <w:left w:val="single" w:sz="4" w:space="0" w:color="808080"/>
              <w:bottom w:val="single" w:sz="4" w:space="0" w:color="808080"/>
              <w:right w:val="single" w:sz="4" w:space="0" w:color="808080"/>
            </w:tcBorders>
          </w:tcPr>
          <w:p w14:paraId="10C41C0C"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Alignment. Drive best practice</w:t>
            </w:r>
          </w:p>
        </w:tc>
      </w:tr>
      <w:tr w:rsidR="00A95152" w:rsidRPr="0060121E" w14:paraId="3BEE836D"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FF07FE2"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[New listing]</w:t>
            </w:r>
          </w:p>
          <w:p w14:paraId="7866E6B4"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Small bowel, stoma</w:t>
            </w:r>
          </w:p>
        </w:tc>
        <w:tc>
          <w:tcPr>
            <w:tcW w:w="703" w:type="pct"/>
            <w:tcBorders>
              <w:top w:val="single" w:sz="4" w:space="0" w:color="808080"/>
              <w:left w:val="single" w:sz="4" w:space="0" w:color="808080"/>
              <w:bottom w:val="single" w:sz="4" w:space="0" w:color="808080"/>
              <w:right w:val="single" w:sz="4" w:space="0" w:color="808080"/>
            </w:tcBorders>
            <w:noWrap/>
            <w:hideMark/>
          </w:tcPr>
          <w:p w14:paraId="1EAD6CEC" w14:textId="77777777" w:rsidR="00A95152" w:rsidRPr="00EE04E5" w:rsidRDefault="005D395D" w:rsidP="007337CF">
            <w:pPr>
              <w:spacing w:beforeLines="40" w:before="96" w:afterLines="40" w:after="96"/>
              <w:rPr>
                <w:sz w:val="20"/>
                <w:szCs w:val="20"/>
                <w:lang w:eastAsia="en-US"/>
              </w:rPr>
            </w:pPr>
            <w:r>
              <w:rPr>
                <w:sz w:val="20"/>
                <w:szCs w:val="20"/>
                <w:lang w:eastAsia="en-US"/>
              </w:rPr>
              <w:t>—</w:t>
            </w:r>
          </w:p>
        </w:tc>
        <w:tc>
          <w:tcPr>
            <w:tcW w:w="1405" w:type="pct"/>
            <w:tcBorders>
              <w:top w:val="single" w:sz="4" w:space="0" w:color="808080"/>
              <w:left w:val="single" w:sz="4" w:space="0" w:color="808080"/>
              <w:bottom w:val="single" w:sz="4" w:space="0" w:color="808080"/>
              <w:right w:val="single" w:sz="4" w:space="0" w:color="808080"/>
            </w:tcBorders>
          </w:tcPr>
          <w:p w14:paraId="7E385201"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 xml:space="preserve">Complexity </w:t>
            </w:r>
            <w:r w:rsidR="00B21D4A">
              <w:rPr>
                <w:sz w:val="20"/>
                <w:szCs w:val="20"/>
                <w:lang w:eastAsia="en-US"/>
              </w:rPr>
              <w:t>level</w:t>
            </w:r>
            <w:r w:rsidRPr="00EE04E5">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51AEDA03" w14:textId="77777777" w:rsidR="00A95152" w:rsidRPr="00EE04E5" w:rsidRDefault="00A95152" w:rsidP="007337CF">
            <w:pPr>
              <w:spacing w:beforeLines="40" w:before="96" w:afterLines="40" w:after="96"/>
              <w:rPr>
                <w:sz w:val="20"/>
                <w:szCs w:val="20"/>
                <w:lang w:eastAsia="en-US"/>
              </w:rPr>
            </w:pPr>
            <w:r w:rsidRPr="00EE04E5">
              <w:rPr>
                <w:sz w:val="20"/>
                <w:szCs w:val="20"/>
                <w:lang w:eastAsia="en-US"/>
              </w:rPr>
              <w:t>Alignment. Equate to colostomy; currently small bowel resection (L5) being wrongly used as no item for small bowel stoma</w:t>
            </w:r>
          </w:p>
        </w:tc>
      </w:tr>
      <w:tr w:rsidR="00014860" w:rsidRPr="0060121E" w14:paraId="0A58905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4834BA60"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Soft tissue, lipoma and variants </w:t>
            </w:r>
          </w:p>
        </w:tc>
        <w:tc>
          <w:tcPr>
            <w:tcW w:w="703" w:type="pct"/>
            <w:tcBorders>
              <w:top w:val="single" w:sz="4" w:space="0" w:color="808080"/>
              <w:left w:val="single" w:sz="4" w:space="0" w:color="808080"/>
              <w:bottom w:val="single" w:sz="4" w:space="0" w:color="808080"/>
              <w:right w:val="single" w:sz="4" w:space="0" w:color="808080"/>
            </w:tcBorders>
            <w:noWrap/>
            <w:hideMark/>
          </w:tcPr>
          <w:p w14:paraId="29DEBD2F"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610C726A"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Delete the wording </w:t>
            </w:r>
            <w:r w:rsidRPr="00EE04E5">
              <w:rPr>
                <w:i/>
                <w:sz w:val="20"/>
                <w:szCs w:val="20"/>
                <w:lang w:eastAsia="en-US"/>
              </w:rPr>
              <w:t>and variants</w:t>
            </w:r>
          </w:p>
          <w:p w14:paraId="358E2B25"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Add wording </w:t>
            </w:r>
            <w:r w:rsidRPr="00EE04E5">
              <w:rPr>
                <w:i/>
                <w:sz w:val="20"/>
                <w:szCs w:val="20"/>
                <w:lang w:eastAsia="en-US"/>
              </w:rPr>
              <w:t>NOS and angiolipoma</w:t>
            </w:r>
            <w:r w:rsidRPr="00EE04E5">
              <w:rPr>
                <w:sz w:val="20"/>
                <w:szCs w:val="20"/>
                <w:lang w:eastAsia="en-US"/>
              </w:rPr>
              <w:t xml:space="preserve"> </w:t>
            </w:r>
          </w:p>
          <w:p w14:paraId="2A19EDB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Keep complexity </w:t>
            </w:r>
            <w:r w:rsidR="00B21D4A">
              <w:rPr>
                <w:sz w:val="20"/>
                <w:szCs w:val="20"/>
                <w:lang w:eastAsia="en-US"/>
              </w:rPr>
              <w:t>level</w:t>
            </w:r>
            <w:r w:rsidRPr="00EE04E5">
              <w:rPr>
                <w:sz w:val="20"/>
                <w:szCs w:val="20"/>
                <w:lang w:eastAsia="en-US"/>
              </w:rPr>
              <w:t xml:space="preserve"> 3</w:t>
            </w:r>
          </w:p>
        </w:tc>
        <w:tc>
          <w:tcPr>
            <w:tcW w:w="1636" w:type="pct"/>
            <w:tcBorders>
              <w:top w:val="single" w:sz="4" w:space="0" w:color="808080"/>
              <w:left w:val="single" w:sz="4" w:space="0" w:color="808080"/>
              <w:bottom w:val="single" w:sz="4" w:space="0" w:color="808080"/>
              <w:right w:val="single" w:sz="4" w:space="0" w:color="808080"/>
            </w:tcBorders>
          </w:tcPr>
          <w:p w14:paraId="3FC1D6C1"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 Atypical variants of lipoma can be diagnostically very challenging; to be included with soft tissue, neoplasm</w:t>
            </w:r>
          </w:p>
        </w:tc>
      </w:tr>
      <w:tr w:rsidR="001224A5" w:rsidRPr="0060121E" w14:paraId="4368E5C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2A543FA" w14:textId="77777777" w:rsidR="001224A5" w:rsidRPr="00EE04E5" w:rsidRDefault="001224A5" w:rsidP="007337CF">
            <w:pPr>
              <w:spacing w:beforeLines="40" w:before="96" w:afterLines="40" w:after="96"/>
              <w:rPr>
                <w:sz w:val="20"/>
                <w:szCs w:val="20"/>
                <w:lang w:eastAsia="en-US"/>
              </w:rPr>
            </w:pPr>
            <w:r w:rsidRPr="00EE04E5">
              <w:rPr>
                <w:sz w:val="20"/>
                <w:szCs w:val="20"/>
                <w:lang w:eastAsia="en-US"/>
              </w:rPr>
              <w:t xml:space="preserve">Soft tissue, infiltrative lesion, extensive resections at least 5cm in maximal diameter </w:t>
            </w:r>
          </w:p>
        </w:tc>
        <w:tc>
          <w:tcPr>
            <w:tcW w:w="703" w:type="pct"/>
            <w:tcBorders>
              <w:top w:val="single" w:sz="4" w:space="0" w:color="808080"/>
              <w:left w:val="single" w:sz="4" w:space="0" w:color="808080"/>
              <w:bottom w:val="single" w:sz="4" w:space="0" w:color="808080"/>
              <w:right w:val="single" w:sz="4" w:space="0" w:color="808080"/>
            </w:tcBorders>
            <w:noWrap/>
            <w:hideMark/>
          </w:tcPr>
          <w:p w14:paraId="192D8B6A" w14:textId="77777777" w:rsidR="001224A5" w:rsidRPr="00EE04E5" w:rsidRDefault="001224A5" w:rsidP="007337CF">
            <w:pPr>
              <w:spacing w:beforeLines="40" w:before="96" w:afterLines="40" w:after="96"/>
              <w:rPr>
                <w:sz w:val="20"/>
                <w:szCs w:val="20"/>
                <w:lang w:eastAsia="en-US"/>
              </w:rPr>
            </w:pPr>
            <w:r w:rsidRPr="00EE04E5">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034A20D4" w14:textId="77777777" w:rsidR="001224A5" w:rsidRPr="00EE04E5" w:rsidRDefault="001224A5"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4DDA1BCA" w14:textId="77777777" w:rsidR="001224A5" w:rsidRPr="00EE04E5" w:rsidRDefault="001224A5" w:rsidP="007337CF">
            <w:pPr>
              <w:spacing w:beforeLines="40" w:before="96" w:afterLines="40" w:after="96"/>
              <w:rPr>
                <w:sz w:val="20"/>
                <w:szCs w:val="20"/>
                <w:lang w:eastAsia="en-US"/>
              </w:rPr>
            </w:pPr>
            <w:r w:rsidRPr="00EE04E5">
              <w:rPr>
                <w:sz w:val="20"/>
                <w:szCs w:val="20"/>
                <w:lang w:eastAsia="en-US"/>
              </w:rPr>
              <w:t>Alignment. Drive best practice</w:t>
            </w:r>
          </w:p>
        </w:tc>
      </w:tr>
      <w:tr w:rsidR="00014860" w:rsidRPr="0060121E" w14:paraId="6D65747C" w14:textId="77777777" w:rsidTr="003D1B38">
        <w:trPr>
          <w:cantSplit/>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A4317FF"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lastRenderedPageBreak/>
              <w:t xml:space="preserve">Soft tissue, neoplasm, not lipoma - all specimens </w:t>
            </w:r>
          </w:p>
        </w:tc>
        <w:tc>
          <w:tcPr>
            <w:tcW w:w="703" w:type="pct"/>
            <w:tcBorders>
              <w:top w:val="single" w:sz="4" w:space="0" w:color="808080"/>
              <w:left w:val="single" w:sz="4" w:space="0" w:color="808080"/>
              <w:bottom w:val="single" w:sz="4" w:space="0" w:color="808080"/>
              <w:right w:val="single" w:sz="4" w:space="0" w:color="808080"/>
            </w:tcBorders>
            <w:noWrap/>
            <w:hideMark/>
          </w:tcPr>
          <w:p w14:paraId="6AFC6747"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7013003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Delete wording </w:t>
            </w:r>
            <w:r w:rsidRPr="00EE04E5">
              <w:rPr>
                <w:i/>
                <w:sz w:val="20"/>
                <w:szCs w:val="20"/>
                <w:lang w:eastAsia="en-US"/>
              </w:rPr>
              <w:t>‘not lipoma’</w:t>
            </w:r>
          </w:p>
          <w:p w14:paraId="23FCD7F0"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Replace wording with </w:t>
            </w:r>
            <w:r w:rsidRPr="00EE04E5">
              <w:rPr>
                <w:i/>
                <w:sz w:val="20"/>
                <w:szCs w:val="20"/>
                <w:lang w:eastAsia="en-US"/>
              </w:rPr>
              <w:t>‘excluding lipoma NOS/angiolipoma’</w:t>
            </w:r>
          </w:p>
          <w:p w14:paraId="35F4D972"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Keep complexity </w:t>
            </w:r>
            <w:r w:rsidR="00B21D4A">
              <w:rPr>
                <w:sz w:val="20"/>
                <w:szCs w:val="20"/>
                <w:lang w:eastAsia="en-US"/>
              </w:rPr>
              <w:t>level</w:t>
            </w:r>
            <w:r w:rsidRPr="00EE04E5">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0D46BA4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Clarification. Atypical variants of lipoma can be diagnostically very challenging, </w:t>
            </w:r>
            <w:proofErr w:type="gramStart"/>
            <w:r w:rsidRPr="00EE04E5">
              <w:rPr>
                <w:sz w:val="20"/>
                <w:szCs w:val="20"/>
                <w:lang w:eastAsia="en-US"/>
              </w:rPr>
              <w:t>similar to</w:t>
            </w:r>
            <w:proofErr w:type="gramEnd"/>
            <w:r w:rsidRPr="00EE04E5">
              <w:rPr>
                <w:sz w:val="20"/>
                <w:szCs w:val="20"/>
                <w:lang w:eastAsia="en-US"/>
              </w:rPr>
              <w:t xml:space="preserve"> other soft tissue neoplasms</w:t>
            </w:r>
          </w:p>
        </w:tc>
      </w:tr>
      <w:tr w:rsidR="001224A5" w:rsidRPr="0036616D" w14:paraId="4733EDC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8329D73" w14:textId="77777777" w:rsidR="001224A5" w:rsidRPr="0036616D" w:rsidRDefault="001224A5" w:rsidP="007337CF">
            <w:pPr>
              <w:spacing w:beforeLines="40" w:before="96" w:afterLines="40" w:after="96"/>
              <w:rPr>
                <w:sz w:val="20"/>
                <w:szCs w:val="20"/>
                <w:lang w:eastAsia="en-US"/>
              </w:rPr>
            </w:pPr>
            <w:r w:rsidRPr="0036616D">
              <w:rPr>
                <w:sz w:val="20"/>
                <w:szCs w:val="20"/>
                <w:lang w:eastAsia="en-US"/>
              </w:rPr>
              <w:t xml:space="preserve">Stomach, resection, neoplasm – all specimens </w:t>
            </w:r>
          </w:p>
        </w:tc>
        <w:tc>
          <w:tcPr>
            <w:tcW w:w="703" w:type="pct"/>
            <w:tcBorders>
              <w:top w:val="single" w:sz="4" w:space="0" w:color="808080"/>
              <w:left w:val="single" w:sz="4" w:space="0" w:color="808080"/>
              <w:bottom w:val="single" w:sz="4" w:space="0" w:color="808080"/>
              <w:right w:val="single" w:sz="4" w:space="0" w:color="808080"/>
            </w:tcBorders>
            <w:noWrap/>
            <w:hideMark/>
          </w:tcPr>
          <w:p w14:paraId="78CF2DE6" w14:textId="77777777" w:rsidR="001224A5" w:rsidRPr="0036616D" w:rsidRDefault="001224A5"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F20CAB0" w14:textId="77777777" w:rsidR="001224A5" w:rsidRPr="0036616D" w:rsidRDefault="001224A5"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680C9EC6" w14:textId="77777777" w:rsidR="001224A5" w:rsidRPr="0036616D" w:rsidRDefault="001224A5"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36616D" w14:paraId="3244CC8C"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E3652BF"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Testis and adjacent structures, neoplasm with or without nodes </w:t>
            </w:r>
          </w:p>
        </w:tc>
        <w:tc>
          <w:tcPr>
            <w:tcW w:w="703" w:type="pct"/>
            <w:tcBorders>
              <w:top w:val="single" w:sz="4" w:space="0" w:color="808080"/>
              <w:left w:val="single" w:sz="4" w:space="0" w:color="808080"/>
              <w:bottom w:val="single" w:sz="4" w:space="0" w:color="808080"/>
              <w:right w:val="single" w:sz="4" w:space="0" w:color="808080"/>
            </w:tcBorders>
            <w:noWrap/>
            <w:hideMark/>
          </w:tcPr>
          <w:p w14:paraId="75114698"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32CE33EC" w14:textId="77777777" w:rsidR="00014860" w:rsidRPr="0036616D" w:rsidRDefault="00EA3676" w:rsidP="007337CF">
            <w:pPr>
              <w:spacing w:beforeLines="40" w:before="96" w:afterLines="40" w:after="96"/>
              <w:rPr>
                <w:sz w:val="20"/>
                <w:szCs w:val="20"/>
                <w:lang w:eastAsia="en-US"/>
              </w:rPr>
            </w:pPr>
            <w:r>
              <w:rPr>
                <w:sz w:val="20"/>
                <w:szCs w:val="20"/>
                <w:lang w:eastAsia="en-US"/>
              </w:rPr>
              <w:t>Raise c</w:t>
            </w:r>
            <w:r w:rsidRPr="0036616D">
              <w:rPr>
                <w:sz w:val="20"/>
                <w:szCs w:val="20"/>
                <w:lang w:eastAsia="en-US"/>
              </w:rPr>
              <w:t>omplexity</w:t>
            </w:r>
            <w:r w:rsidR="00014860" w:rsidRPr="0036616D">
              <w:rPr>
                <w:sz w:val="20"/>
                <w:szCs w:val="20"/>
                <w:lang w:eastAsia="en-US"/>
              </w:rPr>
              <w:t xml:space="preserve"> </w:t>
            </w:r>
            <w:r w:rsidR="00B21D4A">
              <w:rPr>
                <w:sz w:val="20"/>
                <w:szCs w:val="20"/>
                <w:lang w:eastAsia="en-US"/>
              </w:rPr>
              <w:t>level</w:t>
            </w:r>
            <w:r w:rsidR="00014860" w:rsidRPr="0036616D">
              <w:rPr>
                <w:sz w:val="20"/>
                <w:szCs w:val="20"/>
                <w:lang w:eastAsia="en-US"/>
              </w:rPr>
              <w:t xml:space="preserve"> to 6</w:t>
            </w:r>
          </w:p>
          <w:p w14:paraId="2BAAC49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5143D4BA"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Alignment. Complex dissection with margins and nodes, equivalence to other sites</w:t>
            </w:r>
          </w:p>
        </w:tc>
      </w:tr>
      <w:tr w:rsidR="00014860" w:rsidRPr="0036616D" w14:paraId="7CE84A7A"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1467DCB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Testis and adjacent structures, vas deferens sterili</w:t>
            </w:r>
            <w:r w:rsidR="0010112A">
              <w:rPr>
                <w:sz w:val="20"/>
                <w:szCs w:val="20"/>
                <w:lang w:eastAsia="en-US"/>
              </w:rPr>
              <w:t>s</w:t>
            </w:r>
            <w:r w:rsidRPr="0036616D">
              <w:rPr>
                <w:sz w:val="20"/>
                <w:szCs w:val="20"/>
                <w:lang w:eastAsia="en-US"/>
              </w:rPr>
              <w:t xml:space="preserve">ation </w:t>
            </w:r>
          </w:p>
        </w:tc>
        <w:tc>
          <w:tcPr>
            <w:tcW w:w="703" w:type="pct"/>
            <w:tcBorders>
              <w:top w:val="single" w:sz="4" w:space="0" w:color="808080"/>
              <w:left w:val="single" w:sz="4" w:space="0" w:color="808080"/>
              <w:bottom w:val="single" w:sz="4" w:space="0" w:color="808080"/>
              <w:right w:val="single" w:sz="4" w:space="0" w:color="808080"/>
            </w:tcBorders>
            <w:noWrap/>
            <w:hideMark/>
          </w:tcPr>
          <w:p w14:paraId="6F8A573A"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2</w:t>
            </w:r>
          </w:p>
        </w:tc>
        <w:tc>
          <w:tcPr>
            <w:tcW w:w="1405" w:type="pct"/>
            <w:tcBorders>
              <w:top w:val="single" w:sz="4" w:space="0" w:color="808080"/>
              <w:left w:val="single" w:sz="4" w:space="0" w:color="808080"/>
              <w:bottom w:val="single" w:sz="4" w:space="0" w:color="808080"/>
              <w:right w:val="single" w:sz="4" w:space="0" w:color="808080"/>
            </w:tcBorders>
          </w:tcPr>
          <w:p w14:paraId="29413F9D"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Delete wording </w:t>
            </w:r>
            <w:r w:rsidRPr="0036616D">
              <w:rPr>
                <w:i/>
                <w:sz w:val="20"/>
                <w:szCs w:val="20"/>
                <w:lang w:eastAsia="en-US"/>
              </w:rPr>
              <w:t>testis and adjacent structures</w:t>
            </w:r>
            <w:r w:rsidRPr="0036616D">
              <w:rPr>
                <w:sz w:val="20"/>
                <w:szCs w:val="20"/>
                <w:lang w:eastAsia="en-US"/>
              </w:rPr>
              <w:t xml:space="preserve"> </w:t>
            </w:r>
          </w:p>
          <w:p w14:paraId="4732211B"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Keep complexity </w:t>
            </w:r>
            <w:r w:rsidR="00B21D4A">
              <w:rPr>
                <w:sz w:val="20"/>
                <w:szCs w:val="20"/>
                <w:lang w:eastAsia="en-US"/>
              </w:rPr>
              <w:t>level</w:t>
            </w:r>
            <w:r w:rsidRPr="0036616D">
              <w:rPr>
                <w:sz w:val="20"/>
                <w:szCs w:val="20"/>
                <w:lang w:eastAsia="en-US"/>
              </w:rPr>
              <w:t xml:space="preserve"> 2</w:t>
            </w:r>
          </w:p>
        </w:tc>
        <w:tc>
          <w:tcPr>
            <w:tcW w:w="1636" w:type="pct"/>
            <w:tcBorders>
              <w:top w:val="single" w:sz="4" w:space="0" w:color="808080"/>
              <w:left w:val="single" w:sz="4" w:space="0" w:color="808080"/>
              <w:bottom w:val="single" w:sz="4" w:space="0" w:color="808080"/>
              <w:right w:val="single" w:sz="4" w:space="0" w:color="808080"/>
            </w:tcBorders>
          </w:tcPr>
          <w:p w14:paraId="692CF60D"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Clarification. Should just list under Vas deferens, currently confusing location under testis</w:t>
            </w:r>
          </w:p>
        </w:tc>
      </w:tr>
      <w:tr w:rsidR="005E670B" w:rsidRPr="0060121E" w14:paraId="65DEDC80"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767E30E3" w14:textId="77777777" w:rsidR="005E670B" w:rsidRPr="0036616D" w:rsidRDefault="005E670B" w:rsidP="007337CF">
            <w:pPr>
              <w:spacing w:beforeLines="40" w:before="96" w:afterLines="40" w:after="96"/>
              <w:rPr>
                <w:sz w:val="20"/>
                <w:szCs w:val="20"/>
                <w:lang w:eastAsia="en-US"/>
              </w:rPr>
            </w:pPr>
            <w:r w:rsidRPr="0036616D">
              <w:rPr>
                <w:sz w:val="20"/>
                <w:szCs w:val="20"/>
                <w:lang w:eastAsia="en-US"/>
              </w:rPr>
              <w:t xml:space="preserve">Thymus </w:t>
            </w:r>
            <w:r w:rsidR="0010112A">
              <w:rPr>
                <w:sz w:val="20"/>
                <w:szCs w:val="20"/>
                <w:lang w:eastAsia="en-US"/>
              </w:rPr>
              <w:t>-</w:t>
            </w:r>
            <w:r w:rsidR="0010112A" w:rsidRPr="0036616D">
              <w:rPr>
                <w:sz w:val="20"/>
                <w:szCs w:val="20"/>
                <w:lang w:eastAsia="en-US"/>
              </w:rPr>
              <w:t xml:space="preserve"> </w:t>
            </w:r>
            <w:r w:rsidRPr="0036616D">
              <w:rPr>
                <w:sz w:val="20"/>
                <w:szCs w:val="20"/>
                <w:lang w:eastAsia="en-US"/>
              </w:rPr>
              <w:t xml:space="preserve">not otherwise specified </w:t>
            </w:r>
          </w:p>
        </w:tc>
        <w:tc>
          <w:tcPr>
            <w:tcW w:w="703" w:type="pct"/>
            <w:tcBorders>
              <w:top w:val="single" w:sz="4" w:space="0" w:color="808080"/>
              <w:left w:val="single" w:sz="4" w:space="0" w:color="808080"/>
              <w:bottom w:val="single" w:sz="4" w:space="0" w:color="808080"/>
              <w:right w:val="single" w:sz="4" w:space="0" w:color="808080"/>
            </w:tcBorders>
            <w:noWrap/>
            <w:hideMark/>
          </w:tcPr>
          <w:p w14:paraId="62267D5B" w14:textId="77777777" w:rsidR="005E670B" w:rsidRPr="0036616D" w:rsidRDefault="005E670B"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79A406DD" w14:textId="77777777" w:rsidR="005E670B" w:rsidRPr="0036616D" w:rsidRDefault="005E670B" w:rsidP="007337CF">
            <w:pPr>
              <w:spacing w:beforeLines="40" w:before="96" w:afterLines="40" w:after="96"/>
              <w:rPr>
                <w:sz w:val="20"/>
                <w:szCs w:val="20"/>
                <w:lang w:eastAsia="en-US"/>
              </w:rPr>
            </w:pPr>
            <w:r w:rsidRPr="0036616D">
              <w:rPr>
                <w:sz w:val="20"/>
                <w:szCs w:val="20"/>
                <w:lang w:eastAsia="en-US"/>
              </w:rPr>
              <w:t>Split into</w:t>
            </w:r>
            <w:r w:rsidRPr="0036616D">
              <w:rPr>
                <w:i/>
                <w:sz w:val="20"/>
                <w:szCs w:val="20"/>
                <w:lang w:eastAsia="en-US"/>
              </w:rPr>
              <w:t xml:space="preserve">: </w:t>
            </w:r>
            <w:r w:rsidR="00477567" w:rsidRPr="0036616D">
              <w:rPr>
                <w:i/>
                <w:sz w:val="20"/>
                <w:szCs w:val="20"/>
                <w:lang w:eastAsia="en-US"/>
              </w:rPr>
              <w:t>Thymus,</w:t>
            </w:r>
            <w:r w:rsidR="00E11BC0">
              <w:rPr>
                <w:i/>
                <w:sz w:val="20"/>
                <w:szCs w:val="20"/>
                <w:lang w:eastAsia="en-US"/>
              </w:rPr>
              <w:t xml:space="preserve"> </w:t>
            </w:r>
            <w:r w:rsidR="00477567" w:rsidRPr="0036616D">
              <w:rPr>
                <w:i/>
                <w:sz w:val="20"/>
                <w:szCs w:val="20"/>
                <w:lang w:eastAsia="en-US"/>
              </w:rPr>
              <w:t>total or partial resection for neoplasm</w:t>
            </w:r>
            <w:r w:rsidRPr="0036616D">
              <w:rPr>
                <w:i/>
                <w:sz w:val="20"/>
                <w:szCs w:val="20"/>
                <w:lang w:eastAsia="en-US"/>
              </w:rPr>
              <w:t>, with Structured Report (</w:t>
            </w:r>
            <w:r w:rsidR="00B21D4A">
              <w:rPr>
                <w:i/>
                <w:sz w:val="20"/>
                <w:szCs w:val="20"/>
                <w:lang w:eastAsia="en-US"/>
              </w:rPr>
              <w:t>level</w:t>
            </w:r>
            <w:r w:rsidRPr="0036616D">
              <w:rPr>
                <w:i/>
                <w:sz w:val="20"/>
                <w:szCs w:val="20"/>
                <w:lang w:eastAsia="en-US"/>
              </w:rPr>
              <w:t xml:space="preserve"> 6)</w:t>
            </w:r>
            <w:r w:rsidRPr="0036616D">
              <w:rPr>
                <w:sz w:val="20"/>
                <w:szCs w:val="20"/>
                <w:lang w:eastAsia="en-US"/>
              </w:rPr>
              <w:t xml:space="preserve"> and </w:t>
            </w:r>
            <w:r w:rsidRPr="0036616D">
              <w:rPr>
                <w:i/>
                <w:sz w:val="20"/>
                <w:szCs w:val="20"/>
                <w:lang w:eastAsia="en-US"/>
              </w:rPr>
              <w:t>thymus, not otherwise specified (</w:t>
            </w:r>
            <w:r w:rsidR="00B21D4A">
              <w:rPr>
                <w:i/>
                <w:sz w:val="20"/>
                <w:szCs w:val="20"/>
                <w:lang w:eastAsia="en-US"/>
              </w:rPr>
              <w:t>level</w:t>
            </w:r>
            <w:r w:rsidRPr="0036616D">
              <w:rPr>
                <w:i/>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24A84153" w14:textId="77777777" w:rsidR="005E670B" w:rsidRPr="00EE04E5" w:rsidRDefault="005E670B" w:rsidP="007337CF">
            <w:pPr>
              <w:spacing w:beforeLines="40" w:before="96" w:afterLines="40" w:after="96"/>
              <w:rPr>
                <w:sz w:val="20"/>
                <w:szCs w:val="20"/>
                <w:lang w:eastAsia="en-US"/>
              </w:rPr>
            </w:pPr>
            <w:r w:rsidRPr="0036616D">
              <w:rPr>
                <w:sz w:val="20"/>
                <w:szCs w:val="20"/>
                <w:lang w:eastAsia="en-US"/>
              </w:rPr>
              <w:t>Clarification. Differentiate resection for neoplasm (requiring margins, classification) from incidental specimen.</w:t>
            </w:r>
          </w:p>
        </w:tc>
      </w:tr>
      <w:tr w:rsidR="00014860" w:rsidRPr="0036616D" w14:paraId="54E5C14C"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31BE020D"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Thyroid - all specimens </w:t>
            </w:r>
          </w:p>
        </w:tc>
        <w:tc>
          <w:tcPr>
            <w:tcW w:w="703" w:type="pct"/>
            <w:tcBorders>
              <w:top w:val="single" w:sz="4" w:space="0" w:color="808080"/>
              <w:left w:val="single" w:sz="4" w:space="0" w:color="808080"/>
              <w:bottom w:val="single" w:sz="4" w:space="0" w:color="808080"/>
              <w:right w:val="single" w:sz="4" w:space="0" w:color="808080"/>
            </w:tcBorders>
            <w:noWrap/>
            <w:hideMark/>
          </w:tcPr>
          <w:p w14:paraId="6161879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759C522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Delete wording </w:t>
            </w:r>
            <w:r w:rsidRPr="0036616D">
              <w:rPr>
                <w:i/>
                <w:sz w:val="20"/>
                <w:szCs w:val="20"/>
                <w:lang w:eastAsia="en-US"/>
              </w:rPr>
              <w:t>‘all specimens’</w:t>
            </w:r>
          </w:p>
          <w:p w14:paraId="09094E69"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Split </w:t>
            </w:r>
            <w:proofErr w:type="gramStart"/>
            <w:r w:rsidRPr="0036616D">
              <w:rPr>
                <w:sz w:val="20"/>
                <w:szCs w:val="20"/>
                <w:lang w:eastAsia="en-US"/>
              </w:rPr>
              <w:t>into</w:t>
            </w:r>
            <w:r w:rsidRPr="0036616D">
              <w:rPr>
                <w:i/>
                <w:sz w:val="20"/>
                <w:szCs w:val="20"/>
                <w:lang w:eastAsia="en-US"/>
              </w:rPr>
              <w:t>:</w:t>
            </w:r>
            <w:proofErr w:type="gramEnd"/>
            <w:r w:rsidRPr="0036616D">
              <w:rPr>
                <w:i/>
                <w:sz w:val="20"/>
                <w:szCs w:val="20"/>
                <w:lang w:eastAsia="en-US"/>
              </w:rPr>
              <w:t xml:space="preserve"> thyroid,</w:t>
            </w:r>
            <w:r w:rsidRPr="0036616D">
              <w:rPr>
                <w:sz w:val="20"/>
                <w:szCs w:val="20"/>
                <w:lang w:eastAsia="en-US"/>
              </w:rPr>
              <w:t xml:space="preserve"> </w:t>
            </w:r>
            <w:r w:rsidRPr="0036616D">
              <w:rPr>
                <w:i/>
                <w:sz w:val="20"/>
                <w:szCs w:val="20"/>
                <w:lang w:eastAsia="en-US"/>
              </w:rPr>
              <w:t>total or partial resection for neoplasm</w:t>
            </w:r>
            <w:r w:rsidR="00E42576" w:rsidRPr="0036616D">
              <w:rPr>
                <w:i/>
                <w:sz w:val="20"/>
                <w:szCs w:val="20"/>
                <w:lang w:eastAsia="en-US"/>
              </w:rPr>
              <w:t xml:space="preserve"> </w:t>
            </w:r>
            <w:r w:rsidR="00477567" w:rsidRPr="0036616D">
              <w:rPr>
                <w:i/>
                <w:sz w:val="20"/>
                <w:szCs w:val="20"/>
                <w:lang w:eastAsia="en-US"/>
              </w:rPr>
              <w:t>with Structured Report</w:t>
            </w:r>
            <w:r w:rsidRPr="0036616D">
              <w:rPr>
                <w:i/>
                <w:sz w:val="20"/>
                <w:szCs w:val="20"/>
                <w:lang w:eastAsia="en-US"/>
              </w:rPr>
              <w:t xml:space="preserve"> (</w:t>
            </w:r>
            <w:r w:rsidR="00B21D4A">
              <w:rPr>
                <w:i/>
                <w:sz w:val="20"/>
                <w:szCs w:val="20"/>
                <w:lang w:eastAsia="en-US"/>
              </w:rPr>
              <w:t>level</w:t>
            </w:r>
            <w:r w:rsidRPr="0036616D">
              <w:rPr>
                <w:i/>
                <w:sz w:val="20"/>
                <w:szCs w:val="20"/>
                <w:lang w:eastAsia="en-US"/>
              </w:rPr>
              <w:t xml:space="preserve"> 6)</w:t>
            </w:r>
            <w:r w:rsidRPr="0036616D">
              <w:rPr>
                <w:sz w:val="20"/>
                <w:szCs w:val="20"/>
                <w:lang w:eastAsia="en-US"/>
              </w:rPr>
              <w:t xml:space="preserve"> and </w:t>
            </w:r>
            <w:r w:rsidRPr="0036616D">
              <w:rPr>
                <w:i/>
                <w:sz w:val="20"/>
                <w:szCs w:val="20"/>
                <w:lang w:eastAsia="en-US"/>
              </w:rPr>
              <w:t xml:space="preserve">thyroid, </w:t>
            </w:r>
            <w:r w:rsidR="005E670B" w:rsidRPr="0036616D">
              <w:rPr>
                <w:i/>
                <w:sz w:val="20"/>
                <w:szCs w:val="20"/>
                <w:lang w:eastAsia="en-US"/>
              </w:rPr>
              <w:t>not otherwise specified</w:t>
            </w:r>
            <w:r w:rsidRPr="0036616D">
              <w:rPr>
                <w:i/>
                <w:sz w:val="20"/>
                <w:szCs w:val="20"/>
                <w:lang w:eastAsia="en-US"/>
              </w:rPr>
              <w:t xml:space="preserve"> (</w:t>
            </w:r>
            <w:r w:rsidR="00B21D4A">
              <w:rPr>
                <w:i/>
                <w:sz w:val="20"/>
                <w:szCs w:val="20"/>
                <w:lang w:eastAsia="en-US"/>
              </w:rPr>
              <w:t>level</w:t>
            </w:r>
            <w:r w:rsidRPr="0036616D">
              <w:rPr>
                <w:i/>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4511BF54"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Clarification/alignment. Currently single listing for all thyroid specimens illogical; neoplasms require complete embedding with detailed margin assessment</w:t>
            </w:r>
          </w:p>
        </w:tc>
      </w:tr>
      <w:tr w:rsidR="00014860" w:rsidRPr="0036616D" w14:paraId="25BCB6E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D355AE7"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Tongue,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52ECFEA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68F2F382"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Add wording </w:t>
            </w:r>
            <w:r w:rsidRPr="0036616D">
              <w:rPr>
                <w:i/>
                <w:sz w:val="20"/>
                <w:szCs w:val="20"/>
                <w:lang w:eastAsia="en-US"/>
              </w:rPr>
              <w:t>‘or local excision of lesion’</w:t>
            </w:r>
          </w:p>
          <w:p w14:paraId="4B74B910"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 xml:space="preserve">Keep complexity </w:t>
            </w:r>
            <w:r w:rsidR="00B21D4A">
              <w:rPr>
                <w:sz w:val="20"/>
                <w:szCs w:val="20"/>
                <w:lang w:eastAsia="en-US"/>
              </w:rPr>
              <w:t>level</w:t>
            </w:r>
            <w:r w:rsidRPr="0036616D">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57EC77CC" w14:textId="77777777" w:rsidR="00014860" w:rsidRPr="0036616D" w:rsidRDefault="00014860" w:rsidP="007337CF">
            <w:pPr>
              <w:spacing w:beforeLines="40" w:before="96" w:afterLines="40" w:after="96"/>
              <w:rPr>
                <w:sz w:val="20"/>
                <w:szCs w:val="20"/>
                <w:lang w:eastAsia="en-US"/>
              </w:rPr>
            </w:pPr>
            <w:r w:rsidRPr="0036616D">
              <w:rPr>
                <w:sz w:val="20"/>
                <w:szCs w:val="20"/>
                <w:lang w:eastAsia="en-US"/>
              </w:rPr>
              <w:t>Clarification. Differentiate resection of small benign lesion (i</w:t>
            </w:r>
            <w:r w:rsidR="0010112A">
              <w:rPr>
                <w:sz w:val="20"/>
                <w:szCs w:val="20"/>
                <w:lang w:eastAsia="en-US"/>
              </w:rPr>
              <w:t>.</w:t>
            </w:r>
            <w:r w:rsidRPr="0036616D">
              <w:rPr>
                <w:sz w:val="20"/>
                <w:szCs w:val="20"/>
                <w:lang w:eastAsia="en-US"/>
              </w:rPr>
              <w:t>e</w:t>
            </w:r>
            <w:r w:rsidR="0010112A">
              <w:rPr>
                <w:sz w:val="20"/>
                <w:szCs w:val="20"/>
                <w:lang w:eastAsia="en-US"/>
              </w:rPr>
              <w:t>.</w:t>
            </w:r>
            <w:r w:rsidRPr="0036616D">
              <w:rPr>
                <w:sz w:val="20"/>
                <w:szCs w:val="20"/>
                <w:lang w:eastAsia="en-US"/>
              </w:rPr>
              <w:t xml:space="preserve"> polyp) from resection for malignancy</w:t>
            </w:r>
          </w:p>
        </w:tc>
      </w:tr>
      <w:tr w:rsidR="00D72D03" w:rsidRPr="0036616D" w14:paraId="027C9CD6"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3C1CE67"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Tongue or tonsil, neoplasm local </w:t>
            </w:r>
          </w:p>
        </w:tc>
        <w:tc>
          <w:tcPr>
            <w:tcW w:w="703" w:type="pct"/>
            <w:tcBorders>
              <w:top w:val="single" w:sz="4" w:space="0" w:color="808080"/>
              <w:left w:val="single" w:sz="4" w:space="0" w:color="808080"/>
              <w:bottom w:val="single" w:sz="4" w:space="0" w:color="808080"/>
              <w:right w:val="single" w:sz="4" w:space="0" w:color="808080"/>
            </w:tcBorders>
            <w:noWrap/>
            <w:hideMark/>
          </w:tcPr>
          <w:p w14:paraId="4D182361"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32121189"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Delete wording </w:t>
            </w:r>
            <w:r w:rsidRPr="0036616D">
              <w:rPr>
                <w:i/>
                <w:sz w:val="20"/>
                <w:szCs w:val="20"/>
                <w:lang w:eastAsia="en-US"/>
              </w:rPr>
              <w:t>‘neoplasm local’</w:t>
            </w:r>
          </w:p>
          <w:p w14:paraId="7A3791AD"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Add wording </w:t>
            </w:r>
            <w:r w:rsidRPr="0036616D">
              <w:rPr>
                <w:i/>
                <w:sz w:val="20"/>
                <w:szCs w:val="20"/>
                <w:lang w:eastAsia="en-US"/>
              </w:rPr>
              <w:t>‘local</w:t>
            </w:r>
            <w:r w:rsidR="00B504AD" w:rsidRPr="0036616D">
              <w:rPr>
                <w:i/>
                <w:sz w:val="20"/>
                <w:szCs w:val="20"/>
                <w:lang w:eastAsia="en-US"/>
              </w:rPr>
              <w:t xml:space="preserve"> resection of malignant neoplasm </w:t>
            </w:r>
            <w:r w:rsidR="00477567" w:rsidRPr="0036616D">
              <w:rPr>
                <w:i/>
                <w:sz w:val="20"/>
                <w:szCs w:val="20"/>
                <w:lang w:eastAsia="en-US"/>
              </w:rPr>
              <w:t>with Structured Report</w:t>
            </w:r>
            <w:r w:rsidRPr="0036616D">
              <w:rPr>
                <w:i/>
                <w:sz w:val="20"/>
                <w:szCs w:val="20"/>
                <w:lang w:eastAsia="en-US"/>
              </w:rPr>
              <w:t>’</w:t>
            </w:r>
          </w:p>
          <w:p w14:paraId="40DCA30B"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Keep complexity </w:t>
            </w:r>
            <w:r w:rsidR="00B21D4A">
              <w:rPr>
                <w:sz w:val="20"/>
                <w:szCs w:val="20"/>
                <w:lang w:eastAsia="en-US"/>
              </w:rPr>
              <w:t>level</w:t>
            </w:r>
            <w:r w:rsidRPr="0036616D">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6B67A6F3"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Clarification. Differentiate resection of small benign lesion (i</w:t>
            </w:r>
            <w:r w:rsidR="0010112A">
              <w:rPr>
                <w:sz w:val="20"/>
                <w:szCs w:val="20"/>
                <w:lang w:eastAsia="en-US"/>
              </w:rPr>
              <w:t>.</w:t>
            </w:r>
            <w:r w:rsidRPr="0036616D">
              <w:rPr>
                <w:sz w:val="20"/>
                <w:szCs w:val="20"/>
                <w:lang w:eastAsia="en-US"/>
              </w:rPr>
              <w:t>e</w:t>
            </w:r>
            <w:r w:rsidR="0010112A">
              <w:rPr>
                <w:sz w:val="20"/>
                <w:szCs w:val="20"/>
                <w:lang w:eastAsia="en-US"/>
              </w:rPr>
              <w:t>.</w:t>
            </w:r>
            <w:r w:rsidRPr="0036616D">
              <w:rPr>
                <w:sz w:val="20"/>
                <w:szCs w:val="20"/>
                <w:lang w:eastAsia="en-US"/>
              </w:rPr>
              <w:t xml:space="preserve"> polyp) from resection for malignancy</w:t>
            </w:r>
          </w:p>
        </w:tc>
      </w:tr>
      <w:tr w:rsidR="00D72D03" w:rsidRPr="0060121E" w14:paraId="489970A2"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0199683B"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Urinary bladder, partial or total with or without prostatectomy </w:t>
            </w:r>
          </w:p>
        </w:tc>
        <w:tc>
          <w:tcPr>
            <w:tcW w:w="703" w:type="pct"/>
            <w:tcBorders>
              <w:top w:val="single" w:sz="4" w:space="0" w:color="808080"/>
              <w:left w:val="single" w:sz="4" w:space="0" w:color="808080"/>
              <w:bottom w:val="single" w:sz="4" w:space="0" w:color="808080"/>
              <w:right w:val="single" w:sz="4" w:space="0" w:color="808080"/>
            </w:tcBorders>
            <w:noWrap/>
            <w:hideMark/>
          </w:tcPr>
          <w:p w14:paraId="75405289"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FAB3DF6"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2774D844" w14:textId="77777777" w:rsidR="00D72D03" w:rsidRPr="00EE04E5" w:rsidRDefault="00D72D03" w:rsidP="007337CF">
            <w:pPr>
              <w:spacing w:beforeLines="40" w:before="96" w:afterLines="40" w:after="96"/>
              <w:rPr>
                <w:sz w:val="20"/>
                <w:szCs w:val="20"/>
                <w:lang w:eastAsia="en-US"/>
              </w:rPr>
            </w:pPr>
            <w:r w:rsidRPr="0036616D">
              <w:rPr>
                <w:sz w:val="20"/>
                <w:szCs w:val="20"/>
                <w:lang w:eastAsia="en-US"/>
              </w:rPr>
              <w:t>Alignment. Drive best practice</w:t>
            </w:r>
          </w:p>
        </w:tc>
      </w:tr>
      <w:tr w:rsidR="00014860" w:rsidRPr="0060121E" w14:paraId="2AB952E8" w14:textId="77777777" w:rsidTr="003D1B38">
        <w:trPr>
          <w:cantSplit/>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4182DF14"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lastRenderedPageBreak/>
              <w:t xml:space="preserve">Uterus, cervix, </w:t>
            </w:r>
            <w:proofErr w:type="spellStart"/>
            <w:r w:rsidRPr="00EE04E5">
              <w:rPr>
                <w:sz w:val="20"/>
                <w:szCs w:val="20"/>
                <w:lang w:eastAsia="en-US"/>
              </w:rPr>
              <w:t>curettings</w:t>
            </w:r>
            <w:proofErr w:type="spellEnd"/>
            <w:r w:rsidRPr="00EE04E5">
              <w:rPr>
                <w:sz w:val="20"/>
                <w:szCs w:val="20"/>
                <w:lang w:eastAsia="en-US"/>
              </w:rPr>
              <w:t xml:space="preserve"> or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54B4CF24"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377B7FDB"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Change wording to ‘</w:t>
            </w:r>
            <w:r w:rsidRPr="00EE04E5">
              <w:rPr>
                <w:i/>
                <w:sz w:val="20"/>
                <w:szCs w:val="20"/>
                <w:lang w:eastAsia="en-US"/>
              </w:rPr>
              <w:t>uterine cervix, curetting or biopsy including polyp’</w:t>
            </w:r>
          </w:p>
          <w:p w14:paraId="17E4BDFE"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Keep complexity </w:t>
            </w:r>
            <w:r w:rsidR="00B21D4A">
              <w:rPr>
                <w:sz w:val="20"/>
                <w:szCs w:val="20"/>
                <w:lang w:eastAsia="en-US"/>
              </w:rPr>
              <w:t>level</w:t>
            </w:r>
            <w:r w:rsidRPr="00EE04E5">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3D596D0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Clarification/alignment. Listing currently confusing. Polyp should be included rather than separate</w:t>
            </w:r>
          </w:p>
        </w:tc>
      </w:tr>
      <w:tr w:rsidR="00014860" w:rsidRPr="0060121E" w14:paraId="47140CD9"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22AE5730"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Uterus, cervix cone, biopsy (including LLETZ or LEEP biopsy) </w:t>
            </w:r>
          </w:p>
        </w:tc>
        <w:tc>
          <w:tcPr>
            <w:tcW w:w="703" w:type="pct"/>
            <w:tcBorders>
              <w:top w:val="single" w:sz="4" w:space="0" w:color="808080"/>
              <w:left w:val="single" w:sz="4" w:space="0" w:color="808080"/>
              <w:bottom w:val="single" w:sz="4" w:space="0" w:color="808080"/>
              <w:right w:val="single" w:sz="4" w:space="0" w:color="808080"/>
            </w:tcBorders>
            <w:noWrap/>
            <w:hideMark/>
          </w:tcPr>
          <w:p w14:paraId="15539C2A"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5</w:t>
            </w:r>
          </w:p>
        </w:tc>
        <w:tc>
          <w:tcPr>
            <w:tcW w:w="1405" w:type="pct"/>
            <w:tcBorders>
              <w:top w:val="single" w:sz="4" w:space="0" w:color="808080"/>
              <w:left w:val="single" w:sz="4" w:space="0" w:color="808080"/>
              <w:bottom w:val="single" w:sz="4" w:space="0" w:color="808080"/>
              <w:right w:val="single" w:sz="4" w:space="0" w:color="808080"/>
            </w:tcBorders>
          </w:tcPr>
          <w:p w14:paraId="439AB4E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Change wording ‘</w:t>
            </w:r>
            <w:r w:rsidRPr="00EE04E5">
              <w:rPr>
                <w:i/>
                <w:sz w:val="20"/>
                <w:szCs w:val="20"/>
                <w:lang w:eastAsia="en-US"/>
              </w:rPr>
              <w:t>uterus, cervix</w:t>
            </w:r>
            <w:r w:rsidRPr="00EE04E5">
              <w:rPr>
                <w:sz w:val="20"/>
                <w:szCs w:val="20"/>
                <w:lang w:eastAsia="en-US"/>
              </w:rPr>
              <w:t>’ to ‘</w:t>
            </w:r>
            <w:r w:rsidRPr="00EE04E5">
              <w:rPr>
                <w:i/>
                <w:sz w:val="20"/>
                <w:szCs w:val="20"/>
                <w:lang w:eastAsia="en-US"/>
              </w:rPr>
              <w:t>uterine cervix</w:t>
            </w:r>
            <w:r w:rsidR="005E670B" w:rsidRPr="00EE04E5">
              <w:rPr>
                <w:i/>
                <w:sz w:val="20"/>
                <w:szCs w:val="20"/>
                <w:lang w:eastAsia="en-US"/>
              </w:rPr>
              <w:t>, cone biopsy (including LLETZ or LEEP biopsy)</w:t>
            </w:r>
            <w:r w:rsidRPr="00EE04E5">
              <w:rPr>
                <w:i/>
                <w:sz w:val="20"/>
                <w:szCs w:val="20"/>
                <w:lang w:eastAsia="en-US"/>
              </w:rPr>
              <w:t>’</w:t>
            </w:r>
            <w:r w:rsidRPr="00EE04E5">
              <w:rPr>
                <w:sz w:val="20"/>
                <w:szCs w:val="20"/>
                <w:lang w:eastAsia="en-US"/>
              </w:rPr>
              <w:t>.</w:t>
            </w:r>
          </w:p>
          <w:p w14:paraId="211BAE62"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Keep complexity </w:t>
            </w:r>
            <w:r w:rsidR="00B21D4A">
              <w:rPr>
                <w:sz w:val="20"/>
                <w:szCs w:val="20"/>
                <w:lang w:eastAsia="en-US"/>
              </w:rPr>
              <w:t>level</w:t>
            </w:r>
            <w:r w:rsidRPr="00EE04E5">
              <w:rPr>
                <w:sz w:val="20"/>
                <w:szCs w:val="20"/>
                <w:lang w:eastAsia="en-US"/>
              </w:rPr>
              <w:t xml:space="preserve"> 5</w:t>
            </w:r>
          </w:p>
        </w:tc>
        <w:tc>
          <w:tcPr>
            <w:tcW w:w="1636" w:type="pct"/>
            <w:tcBorders>
              <w:top w:val="single" w:sz="4" w:space="0" w:color="808080"/>
              <w:left w:val="single" w:sz="4" w:space="0" w:color="808080"/>
              <w:bottom w:val="single" w:sz="4" w:space="0" w:color="808080"/>
              <w:right w:val="single" w:sz="4" w:space="0" w:color="808080"/>
            </w:tcBorders>
          </w:tcPr>
          <w:p w14:paraId="3DFDA79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w:t>
            </w:r>
          </w:p>
        </w:tc>
      </w:tr>
      <w:tr w:rsidR="00014860" w:rsidRPr="0060121E" w14:paraId="0314D92B"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73DC05D"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 xml:space="preserve">Uterus, endocervix, polyp </w:t>
            </w:r>
          </w:p>
        </w:tc>
        <w:tc>
          <w:tcPr>
            <w:tcW w:w="703" w:type="pct"/>
            <w:tcBorders>
              <w:top w:val="single" w:sz="4" w:space="0" w:color="808080"/>
              <w:left w:val="single" w:sz="4" w:space="0" w:color="808080"/>
              <w:bottom w:val="single" w:sz="4" w:space="0" w:color="808080"/>
              <w:right w:val="single" w:sz="4" w:space="0" w:color="808080"/>
            </w:tcBorders>
            <w:noWrap/>
            <w:hideMark/>
          </w:tcPr>
          <w:p w14:paraId="4709A054"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5758899C"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7AA4105E" w14:textId="77777777" w:rsidR="00014860" w:rsidRPr="00EE04E5" w:rsidRDefault="00014860" w:rsidP="007337CF">
            <w:pPr>
              <w:spacing w:beforeLines="40" w:before="96" w:afterLines="40" w:after="96"/>
              <w:rPr>
                <w:sz w:val="20"/>
                <w:szCs w:val="20"/>
                <w:lang w:eastAsia="en-US"/>
              </w:rPr>
            </w:pPr>
            <w:r w:rsidRPr="00EE04E5">
              <w:rPr>
                <w:sz w:val="20"/>
                <w:szCs w:val="20"/>
                <w:lang w:eastAsia="en-US"/>
              </w:rPr>
              <w:t>Clarification. Include und</w:t>
            </w:r>
            <w:r w:rsidR="005E670B" w:rsidRPr="00EE04E5">
              <w:rPr>
                <w:sz w:val="20"/>
                <w:szCs w:val="20"/>
                <w:lang w:eastAsia="en-US"/>
              </w:rPr>
              <w:t>er Uterine cervix, curetting or</w:t>
            </w:r>
            <w:r w:rsidRPr="00EE04E5">
              <w:rPr>
                <w:sz w:val="20"/>
                <w:szCs w:val="20"/>
                <w:lang w:eastAsia="en-US"/>
              </w:rPr>
              <w:t xml:space="preserve"> biopsy</w:t>
            </w:r>
            <w:r w:rsidR="005E670B" w:rsidRPr="00EE04E5">
              <w:rPr>
                <w:sz w:val="20"/>
                <w:szCs w:val="20"/>
                <w:lang w:eastAsia="en-US"/>
              </w:rPr>
              <w:t xml:space="preserve"> including polyp</w:t>
            </w:r>
            <w:r w:rsidRPr="00EE04E5">
              <w:rPr>
                <w:sz w:val="20"/>
                <w:szCs w:val="20"/>
                <w:lang w:eastAsia="en-US"/>
              </w:rPr>
              <w:t>; polyp in isolation unlikely</w:t>
            </w:r>
            <w:r w:rsidR="005E670B" w:rsidRPr="00EE04E5">
              <w:rPr>
                <w:sz w:val="20"/>
                <w:szCs w:val="20"/>
                <w:lang w:eastAsia="en-US"/>
              </w:rPr>
              <w:t xml:space="preserve"> and confusing</w:t>
            </w:r>
          </w:p>
        </w:tc>
      </w:tr>
      <w:tr w:rsidR="00D72D03" w:rsidRPr="0060121E" w14:paraId="7771DCF3"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tcPr>
          <w:p w14:paraId="51DBF334" w14:textId="77777777" w:rsidR="00D72D03" w:rsidRPr="00EE04E5" w:rsidRDefault="00D72D03" w:rsidP="007337CF">
            <w:pPr>
              <w:spacing w:beforeLines="40" w:before="96" w:afterLines="40" w:after="96"/>
              <w:rPr>
                <w:sz w:val="20"/>
                <w:szCs w:val="20"/>
                <w:lang w:eastAsia="en-US"/>
              </w:rPr>
            </w:pPr>
            <w:r w:rsidRPr="00EE04E5">
              <w:rPr>
                <w:sz w:val="20"/>
                <w:szCs w:val="20"/>
                <w:lang w:eastAsia="en-US"/>
              </w:rPr>
              <w:t>Uterus, endometrium, polyp</w:t>
            </w:r>
          </w:p>
        </w:tc>
        <w:tc>
          <w:tcPr>
            <w:tcW w:w="703" w:type="pct"/>
            <w:tcBorders>
              <w:top w:val="single" w:sz="4" w:space="0" w:color="808080"/>
              <w:left w:val="single" w:sz="4" w:space="0" w:color="808080"/>
              <w:bottom w:val="single" w:sz="4" w:space="0" w:color="808080"/>
              <w:right w:val="single" w:sz="4" w:space="0" w:color="808080"/>
            </w:tcBorders>
            <w:noWrap/>
          </w:tcPr>
          <w:p w14:paraId="7E0DEEA7" w14:textId="77777777" w:rsidR="00D72D03" w:rsidRPr="00EE04E5" w:rsidRDefault="00D72D03" w:rsidP="007337CF">
            <w:pPr>
              <w:spacing w:beforeLines="40" w:before="96" w:afterLines="40" w:after="96"/>
              <w:rPr>
                <w:sz w:val="20"/>
                <w:szCs w:val="20"/>
                <w:lang w:eastAsia="en-US"/>
              </w:rPr>
            </w:pPr>
            <w:r w:rsidRPr="00EE04E5">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77896890" w14:textId="77777777" w:rsidR="00D72D03" w:rsidRPr="00EE04E5" w:rsidRDefault="00D72D03" w:rsidP="007337CF">
            <w:pPr>
              <w:spacing w:beforeLines="40" w:before="96" w:afterLines="40" w:after="96"/>
              <w:rPr>
                <w:sz w:val="20"/>
                <w:szCs w:val="20"/>
                <w:lang w:eastAsia="en-US"/>
              </w:rPr>
            </w:pPr>
            <w:r w:rsidRPr="00EE04E5">
              <w:rPr>
                <w:sz w:val="20"/>
                <w:szCs w:val="20"/>
                <w:lang w:eastAsia="en-US"/>
              </w:rPr>
              <w:t>Change wording to ‘</w:t>
            </w:r>
            <w:r w:rsidRPr="00EE04E5">
              <w:rPr>
                <w:i/>
                <w:sz w:val="20"/>
                <w:szCs w:val="20"/>
                <w:lang w:eastAsia="en-US"/>
              </w:rPr>
              <w:t>uterus, endometrium, biopsy or polyp’</w:t>
            </w:r>
          </w:p>
          <w:p w14:paraId="6D7D4BBA" w14:textId="77777777" w:rsidR="00D72D03" w:rsidRPr="00EE04E5" w:rsidRDefault="00D72D03" w:rsidP="007337CF">
            <w:pPr>
              <w:spacing w:beforeLines="40" w:before="96" w:afterLines="40" w:after="96"/>
              <w:rPr>
                <w:sz w:val="20"/>
                <w:szCs w:val="20"/>
                <w:lang w:eastAsia="en-US"/>
              </w:rPr>
            </w:pPr>
            <w:r w:rsidRPr="00EE04E5">
              <w:rPr>
                <w:sz w:val="20"/>
                <w:szCs w:val="20"/>
                <w:lang w:eastAsia="en-US"/>
              </w:rPr>
              <w:t xml:space="preserve">Complexity </w:t>
            </w:r>
            <w:r w:rsidR="00B21D4A">
              <w:rPr>
                <w:sz w:val="20"/>
                <w:szCs w:val="20"/>
                <w:lang w:eastAsia="en-US"/>
              </w:rPr>
              <w:t>level</w:t>
            </w:r>
            <w:r w:rsidRPr="00EE04E5">
              <w:rPr>
                <w:sz w:val="20"/>
                <w:szCs w:val="20"/>
                <w:lang w:eastAsia="en-US"/>
              </w:rPr>
              <w:t xml:space="preserve"> to 4</w:t>
            </w:r>
          </w:p>
        </w:tc>
        <w:tc>
          <w:tcPr>
            <w:tcW w:w="1636" w:type="pct"/>
            <w:tcBorders>
              <w:top w:val="single" w:sz="4" w:space="0" w:color="808080"/>
              <w:left w:val="single" w:sz="4" w:space="0" w:color="808080"/>
              <w:bottom w:val="single" w:sz="4" w:space="0" w:color="808080"/>
              <w:right w:val="single" w:sz="4" w:space="0" w:color="808080"/>
            </w:tcBorders>
          </w:tcPr>
          <w:p w14:paraId="7ACF22AA" w14:textId="77777777" w:rsidR="00D72D03" w:rsidRPr="00EE04E5" w:rsidRDefault="00D72D03" w:rsidP="007337CF">
            <w:pPr>
              <w:spacing w:beforeLines="40" w:before="96" w:afterLines="40" w:after="96"/>
              <w:rPr>
                <w:sz w:val="20"/>
                <w:szCs w:val="20"/>
                <w:lang w:eastAsia="en-US"/>
              </w:rPr>
            </w:pPr>
            <w:r w:rsidRPr="00EE04E5">
              <w:rPr>
                <w:sz w:val="20"/>
                <w:szCs w:val="20"/>
                <w:lang w:eastAsia="en-US"/>
              </w:rPr>
              <w:t>Clarification/alignment. Appropriate to have item for endometrial examination (</w:t>
            </w:r>
            <w:r w:rsidR="0010112A">
              <w:rPr>
                <w:sz w:val="20"/>
                <w:szCs w:val="20"/>
                <w:lang w:eastAsia="en-US"/>
              </w:rPr>
              <w:t>±</w:t>
            </w:r>
            <w:r w:rsidRPr="00EE04E5">
              <w:rPr>
                <w:sz w:val="20"/>
                <w:szCs w:val="20"/>
                <w:lang w:eastAsia="en-US"/>
              </w:rPr>
              <w:t xml:space="preserve"> polyp) separate from examination of whole uterus</w:t>
            </w:r>
          </w:p>
        </w:tc>
      </w:tr>
      <w:tr w:rsidR="00D72D03" w:rsidRPr="0036616D" w14:paraId="0A765C18"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tcPr>
          <w:p w14:paraId="66364698"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Uterus, with or without adnexa, malignant neoplasm </w:t>
            </w:r>
            <w:r w:rsidR="0010112A">
              <w:rPr>
                <w:sz w:val="20"/>
                <w:szCs w:val="20"/>
                <w:lang w:eastAsia="en-US"/>
              </w:rPr>
              <w:t>-</w:t>
            </w:r>
            <w:r w:rsidR="0010112A" w:rsidRPr="0036616D">
              <w:rPr>
                <w:sz w:val="20"/>
                <w:szCs w:val="20"/>
                <w:lang w:eastAsia="en-US"/>
              </w:rPr>
              <w:t xml:space="preserve"> </w:t>
            </w:r>
            <w:r w:rsidRPr="0036616D">
              <w:rPr>
                <w:sz w:val="20"/>
                <w:szCs w:val="20"/>
                <w:lang w:eastAsia="en-US"/>
              </w:rPr>
              <w:t>all specimen types not otherwise specified</w:t>
            </w:r>
          </w:p>
        </w:tc>
        <w:tc>
          <w:tcPr>
            <w:tcW w:w="703" w:type="pct"/>
            <w:tcBorders>
              <w:top w:val="single" w:sz="4" w:space="0" w:color="808080"/>
              <w:left w:val="single" w:sz="4" w:space="0" w:color="808080"/>
              <w:bottom w:val="single" w:sz="4" w:space="0" w:color="808080"/>
              <w:right w:val="single" w:sz="4" w:space="0" w:color="808080"/>
            </w:tcBorders>
            <w:noWrap/>
          </w:tcPr>
          <w:p w14:paraId="4B3F19D9"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ECF717F"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074202E9"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Alignment. Drive best practice</w:t>
            </w:r>
          </w:p>
        </w:tc>
      </w:tr>
      <w:tr w:rsidR="00D72D03" w:rsidRPr="0036616D" w14:paraId="136CFB88"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tcPr>
          <w:p w14:paraId="79B7C813"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Uterus, with or without adnexa, </w:t>
            </w:r>
            <w:r w:rsidR="00AA0AA2" w:rsidRPr="0036616D">
              <w:rPr>
                <w:sz w:val="20"/>
                <w:szCs w:val="20"/>
                <w:lang w:eastAsia="en-US"/>
              </w:rPr>
              <w:t>neoplasm</w:t>
            </w:r>
            <w:r w:rsidRPr="0036616D">
              <w:rPr>
                <w:sz w:val="20"/>
                <w:szCs w:val="20"/>
                <w:lang w:eastAsia="en-US"/>
              </w:rPr>
              <w:t>, We</w:t>
            </w:r>
            <w:r w:rsidR="00BD01A1">
              <w:rPr>
                <w:sz w:val="20"/>
                <w:szCs w:val="20"/>
                <w:lang w:eastAsia="en-US"/>
              </w:rPr>
              <w:t>r</w:t>
            </w:r>
            <w:r w:rsidRPr="0036616D">
              <w:rPr>
                <w:sz w:val="20"/>
                <w:szCs w:val="20"/>
                <w:lang w:eastAsia="en-US"/>
              </w:rPr>
              <w:t>theim’s or pelvic clearance</w:t>
            </w:r>
          </w:p>
        </w:tc>
        <w:tc>
          <w:tcPr>
            <w:tcW w:w="703" w:type="pct"/>
            <w:tcBorders>
              <w:top w:val="single" w:sz="4" w:space="0" w:color="808080"/>
              <w:left w:val="single" w:sz="4" w:space="0" w:color="808080"/>
              <w:bottom w:val="single" w:sz="4" w:space="0" w:color="808080"/>
              <w:right w:val="single" w:sz="4" w:space="0" w:color="808080"/>
            </w:tcBorders>
            <w:noWrap/>
          </w:tcPr>
          <w:p w14:paraId="1A838C6C"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43AEC71A"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Add ‘</w:t>
            </w:r>
            <w:r w:rsidRPr="0036616D">
              <w:rPr>
                <w:i/>
                <w:sz w:val="20"/>
                <w:szCs w:val="20"/>
                <w:lang w:eastAsia="en-US"/>
              </w:rPr>
              <w:t>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23190F4E"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Alignment. Drive best practice</w:t>
            </w:r>
          </w:p>
        </w:tc>
      </w:tr>
      <w:tr w:rsidR="00D72D03" w:rsidRPr="0036616D" w14:paraId="2BFBA3BA" w14:textId="77777777" w:rsidTr="00907BED">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56FA3BDD"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Uterus and/or cervix - all specimens not otherwise specified </w:t>
            </w:r>
          </w:p>
        </w:tc>
        <w:tc>
          <w:tcPr>
            <w:tcW w:w="703" w:type="pct"/>
            <w:tcBorders>
              <w:top w:val="single" w:sz="4" w:space="0" w:color="808080"/>
              <w:left w:val="single" w:sz="4" w:space="0" w:color="808080"/>
              <w:bottom w:val="single" w:sz="4" w:space="0" w:color="808080"/>
              <w:right w:val="single" w:sz="4" w:space="0" w:color="808080"/>
            </w:tcBorders>
            <w:noWrap/>
            <w:hideMark/>
          </w:tcPr>
          <w:p w14:paraId="58D7749C"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4</w:t>
            </w:r>
          </w:p>
        </w:tc>
        <w:tc>
          <w:tcPr>
            <w:tcW w:w="1405" w:type="pct"/>
            <w:tcBorders>
              <w:top w:val="single" w:sz="4" w:space="0" w:color="808080"/>
              <w:left w:val="single" w:sz="4" w:space="0" w:color="808080"/>
              <w:bottom w:val="single" w:sz="4" w:space="0" w:color="808080"/>
              <w:right w:val="single" w:sz="4" w:space="0" w:color="808080"/>
            </w:tcBorders>
          </w:tcPr>
          <w:p w14:paraId="5CA17104"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Split into: ‘</w:t>
            </w:r>
            <w:r w:rsidRPr="0036616D">
              <w:rPr>
                <w:i/>
                <w:sz w:val="20"/>
                <w:szCs w:val="20"/>
                <w:lang w:eastAsia="en-US"/>
              </w:rPr>
              <w:t>uterus and/or cervix, resection with or without adnexa’</w:t>
            </w:r>
            <w:r w:rsidRPr="0036616D">
              <w:rPr>
                <w:sz w:val="20"/>
                <w:szCs w:val="20"/>
                <w:lang w:eastAsia="en-US"/>
              </w:rPr>
              <w:t xml:space="preserve"> (</w:t>
            </w:r>
            <w:r w:rsidR="00E42576" w:rsidRPr="0036616D">
              <w:rPr>
                <w:sz w:val="20"/>
                <w:szCs w:val="20"/>
                <w:lang w:eastAsia="en-US"/>
              </w:rPr>
              <w:t xml:space="preserve">complexity </w:t>
            </w:r>
            <w:r w:rsidR="00B21D4A">
              <w:rPr>
                <w:sz w:val="20"/>
                <w:szCs w:val="20"/>
                <w:lang w:eastAsia="en-US"/>
              </w:rPr>
              <w:t>level</w:t>
            </w:r>
            <w:r w:rsidRPr="0036616D">
              <w:rPr>
                <w:sz w:val="20"/>
                <w:szCs w:val="20"/>
                <w:lang w:eastAsia="en-US"/>
              </w:rPr>
              <w:t xml:space="preserve"> </w:t>
            </w:r>
            <w:r w:rsidR="00E42576" w:rsidRPr="0036616D">
              <w:rPr>
                <w:sz w:val="20"/>
                <w:szCs w:val="20"/>
                <w:lang w:eastAsia="en-US"/>
              </w:rPr>
              <w:t xml:space="preserve">to </w:t>
            </w:r>
            <w:r w:rsidRPr="0036616D">
              <w:rPr>
                <w:sz w:val="20"/>
                <w:szCs w:val="20"/>
                <w:lang w:eastAsia="en-US"/>
              </w:rPr>
              <w:t xml:space="preserve">5) and </w:t>
            </w:r>
            <w:r w:rsidRPr="0036616D">
              <w:rPr>
                <w:i/>
                <w:sz w:val="20"/>
                <w:szCs w:val="20"/>
                <w:lang w:eastAsia="en-US"/>
              </w:rPr>
              <w:t>uterus and/or cervix, all specimens not otherwise specified</w:t>
            </w:r>
            <w:r w:rsidRPr="0036616D">
              <w:rPr>
                <w:sz w:val="20"/>
                <w:szCs w:val="20"/>
                <w:lang w:eastAsia="en-US"/>
              </w:rPr>
              <w:t xml:space="preserve"> (</w:t>
            </w:r>
            <w:r w:rsidR="00B21D4A">
              <w:rPr>
                <w:sz w:val="20"/>
                <w:szCs w:val="20"/>
                <w:lang w:eastAsia="en-US"/>
              </w:rPr>
              <w:t>level</w:t>
            </w:r>
            <w:r w:rsidRPr="0036616D">
              <w:rPr>
                <w:sz w:val="20"/>
                <w:szCs w:val="20"/>
                <w:lang w:eastAsia="en-US"/>
              </w:rPr>
              <w:t xml:space="preserve"> 4)</w:t>
            </w:r>
          </w:p>
        </w:tc>
        <w:tc>
          <w:tcPr>
            <w:tcW w:w="1636" w:type="pct"/>
            <w:tcBorders>
              <w:top w:val="single" w:sz="4" w:space="0" w:color="808080"/>
              <w:left w:val="single" w:sz="4" w:space="0" w:color="808080"/>
              <w:bottom w:val="single" w:sz="4" w:space="0" w:color="808080"/>
              <w:right w:val="single" w:sz="4" w:space="0" w:color="808080"/>
            </w:tcBorders>
          </w:tcPr>
          <w:p w14:paraId="38799952"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Alignment. Current rebate for examining cervix, uterus, tubes </w:t>
            </w:r>
            <w:r w:rsidR="0010112A">
              <w:rPr>
                <w:sz w:val="20"/>
                <w:szCs w:val="20"/>
                <w:lang w:eastAsia="en-US"/>
              </w:rPr>
              <w:t>and</w:t>
            </w:r>
            <w:r w:rsidR="0010112A" w:rsidRPr="0036616D">
              <w:rPr>
                <w:sz w:val="20"/>
                <w:szCs w:val="20"/>
                <w:lang w:eastAsia="en-US"/>
              </w:rPr>
              <w:t xml:space="preserve"> </w:t>
            </w:r>
            <w:r w:rsidRPr="0036616D">
              <w:rPr>
                <w:sz w:val="20"/>
                <w:szCs w:val="20"/>
                <w:lang w:eastAsia="en-US"/>
              </w:rPr>
              <w:t xml:space="preserve">ovaries (at least </w:t>
            </w:r>
            <w:r w:rsidR="00371947" w:rsidRPr="0036616D">
              <w:rPr>
                <w:sz w:val="20"/>
                <w:szCs w:val="20"/>
                <w:lang w:eastAsia="en-US"/>
              </w:rPr>
              <w:t>7</w:t>
            </w:r>
            <w:r w:rsidRPr="0036616D">
              <w:rPr>
                <w:sz w:val="20"/>
                <w:szCs w:val="20"/>
                <w:lang w:eastAsia="en-US"/>
              </w:rPr>
              <w:t xml:space="preserve"> blocks) vastly underfunded</w:t>
            </w:r>
          </w:p>
        </w:tc>
      </w:tr>
      <w:tr w:rsidR="00371947" w:rsidRPr="0036616D" w14:paraId="4486E6E3" w14:textId="77777777" w:rsidTr="00305000">
        <w:trPr>
          <w:trHeight w:val="303"/>
          <w:jc w:val="center"/>
        </w:trPr>
        <w:tc>
          <w:tcPr>
            <w:tcW w:w="1256" w:type="pct"/>
            <w:tcBorders>
              <w:top w:val="single" w:sz="4" w:space="0" w:color="808080"/>
              <w:left w:val="single" w:sz="4" w:space="0" w:color="808080"/>
              <w:bottom w:val="single" w:sz="4" w:space="0" w:color="808080"/>
              <w:right w:val="single" w:sz="4" w:space="0" w:color="808080"/>
            </w:tcBorders>
            <w:hideMark/>
          </w:tcPr>
          <w:p w14:paraId="6FC4CE3D" w14:textId="77777777" w:rsidR="00371947" w:rsidRPr="0036616D" w:rsidRDefault="00371947" w:rsidP="007337CF">
            <w:pPr>
              <w:spacing w:beforeLines="40" w:before="96" w:afterLines="40" w:after="96"/>
              <w:rPr>
                <w:sz w:val="20"/>
                <w:szCs w:val="20"/>
                <w:lang w:eastAsia="en-US"/>
              </w:rPr>
            </w:pPr>
            <w:r w:rsidRPr="0036616D">
              <w:rPr>
                <w:sz w:val="20"/>
                <w:szCs w:val="20"/>
                <w:lang w:eastAsia="en-US"/>
              </w:rPr>
              <w:t xml:space="preserve">Vaginal mucosa, incidental </w:t>
            </w:r>
          </w:p>
        </w:tc>
        <w:tc>
          <w:tcPr>
            <w:tcW w:w="703" w:type="pct"/>
            <w:tcBorders>
              <w:top w:val="single" w:sz="4" w:space="0" w:color="808080"/>
              <w:left w:val="single" w:sz="4" w:space="0" w:color="808080"/>
              <w:bottom w:val="single" w:sz="4" w:space="0" w:color="808080"/>
              <w:right w:val="single" w:sz="4" w:space="0" w:color="808080"/>
            </w:tcBorders>
            <w:noWrap/>
            <w:hideMark/>
          </w:tcPr>
          <w:p w14:paraId="6C28F8C9" w14:textId="77777777" w:rsidR="00371947" w:rsidRPr="0036616D" w:rsidRDefault="00371947" w:rsidP="007337CF">
            <w:pPr>
              <w:spacing w:beforeLines="40" w:before="96" w:afterLines="40" w:after="96"/>
              <w:rPr>
                <w:sz w:val="20"/>
                <w:szCs w:val="20"/>
                <w:lang w:eastAsia="en-US"/>
              </w:rPr>
            </w:pPr>
            <w:r w:rsidRPr="0036616D">
              <w:rPr>
                <w:sz w:val="20"/>
                <w:szCs w:val="20"/>
                <w:lang w:eastAsia="en-US"/>
              </w:rPr>
              <w:t>3</w:t>
            </w:r>
          </w:p>
        </w:tc>
        <w:tc>
          <w:tcPr>
            <w:tcW w:w="1405" w:type="pct"/>
            <w:tcBorders>
              <w:top w:val="single" w:sz="4" w:space="0" w:color="808080"/>
              <w:left w:val="single" w:sz="4" w:space="0" w:color="808080"/>
              <w:bottom w:val="single" w:sz="4" w:space="0" w:color="808080"/>
              <w:right w:val="single" w:sz="4" w:space="0" w:color="808080"/>
            </w:tcBorders>
          </w:tcPr>
          <w:p w14:paraId="7ADD3652" w14:textId="77777777" w:rsidR="00371947" w:rsidRPr="0036616D" w:rsidRDefault="00477567" w:rsidP="007337CF">
            <w:pPr>
              <w:spacing w:beforeLines="40" w:before="96" w:afterLines="40" w:after="96"/>
              <w:rPr>
                <w:sz w:val="20"/>
                <w:szCs w:val="20"/>
                <w:lang w:eastAsia="en-US"/>
              </w:rPr>
            </w:pPr>
            <w:r w:rsidRPr="0036616D">
              <w:rPr>
                <w:sz w:val="20"/>
                <w:szCs w:val="20"/>
                <w:lang w:eastAsia="en-US"/>
              </w:rPr>
              <w:t>Delete</w:t>
            </w:r>
          </w:p>
        </w:tc>
        <w:tc>
          <w:tcPr>
            <w:tcW w:w="1636" w:type="pct"/>
            <w:tcBorders>
              <w:top w:val="single" w:sz="4" w:space="0" w:color="808080"/>
              <w:left w:val="single" w:sz="4" w:space="0" w:color="808080"/>
              <w:bottom w:val="single" w:sz="4" w:space="0" w:color="808080"/>
              <w:right w:val="single" w:sz="4" w:space="0" w:color="808080"/>
            </w:tcBorders>
          </w:tcPr>
          <w:p w14:paraId="1379D902" w14:textId="77777777" w:rsidR="00371947" w:rsidRPr="0036616D" w:rsidRDefault="00371947" w:rsidP="007337CF">
            <w:pPr>
              <w:spacing w:beforeLines="40" w:before="96" w:afterLines="40" w:after="96"/>
              <w:rPr>
                <w:sz w:val="20"/>
                <w:szCs w:val="20"/>
                <w:lang w:eastAsia="en-US"/>
              </w:rPr>
            </w:pPr>
            <w:r w:rsidRPr="0036616D">
              <w:rPr>
                <w:sz w:val="20"/>
                <w:szCs w:val="20"/>
                <w:lang w:eastAsia="en-US"/>
              </w:rPr>
              <w:t>Clarification. Incidental sampling of vaginal mucosa unlikely</w:t>
            </w:r>
          </w:p>
        </w:tc>
      </w:tr>
      <w:tr w:rsidR="00D72D03" w:rsidRPr="0060121E" w14:paraId="2E5F3411" w14:textId="77777777" w:rsidTr="00305000">
        <w:trPr>
          <w:trHeight w:val="303"/>
          <w:jc w:val="center"/>
        </w:trPr>
        <w:tc>
          <w:tcPr>
            <w:tcW w:w="1256" w:type="pct"/>
            <w:tcBorders>
              <w:top w:val="single" w:sz="4" w:space="0" w:color="808080"/>
              <w:left w:val="single" w:sz="4" w:space="0" w:color="808080"/>
              <w:bottom w:val="single" w:sz="4" w:space="0" w:color="auto"/>
              <w:right w:val="single" w:sz="4" w:space="0" w:color="808080"/>
            </w:tcBorders>
            <w:hideMark/>
          </w:tcPr>
          <w:p w14:paraId="06545F0C" w14:textId="77777777" w:rsidR="00D72D03" w:rsidRPr="0036616D" w:rsidRDefault="00BD01A1" w:rsidP="007337CF">
            <w:pPr>
              <w:spacing w:beforeLines="40" w:before="96" w:afterLines="40" w:after="96"/>
              <w:rPr>
                <w:sz w:val="20"/>
                <w:szCs w:val="20"/>
                <w:lang w:eastAsia="en-US"/>
              </w:rPr>
            </w:pPr>
            <w:r>
              <w:rPr>
                <w:sz w:val="20"/>
                <w:szCs w:val="20"/>
                <w:lang w:eastAsia="en-US"/>
              </w:rPr>
              <w:t>Vulval (sic)</w:t>
            </w:r>
            <w:r w:rsidR="00D72D03" w:rsidRPr="0036616D">
              <w:rPr>
                <w:sz w:val="20"/>
                <w:szCs w:val="20"/>
                <w:lang w:eastAsia="en-US"/>
              </w:rPr>
              <w:t>, subtotal or to</w:t>
            </w:r>
            <w:r w:rsidR="0010112A">
              <w:rPr>
                <w:sz w:val="20"/>
                <w:szCs w:val="20"/>
                <w:lang w:eastAsia="en-US"/>
              </w:rPr>
              <w:t>t</w:t>
            </w:r>
            <w:r w:rsidR="00D72D03" w:rsidRPr="0036616D">
              <w:rPr>
                <w:sz w:val="20"/>
                <w:szCs w:val="20"/>
                <w:lang w:eastAsia="en-US"/>
              </w:rPr>
              <w:t xml:space="preserve">al with or without nodes </w:t>
            </w:r>
          </w:p>
        </w:tc>
        <w:tc>
          <w:tcPr>
            <w:tcW w:w="703" w:type="pct"/>
            <w:tcBorders>
              <w:top w:val="single" w:sz="4" w:space="0" w:color="808080"/>
              <w:left w:val="single" w:sz="4" w:space="0" w:color="808080"/>
              <w:bottom w:val="single" w:sz="4" w:space="0" w:color="808080"/>
              <w:right w:val="single" w:sz="4" w:space="0" w:color="808080"/>
            </w:tcBorders>
            <w:noWrap/>
            <w:hideMark/>
          </w:tcPr>
          <w:p w14:paraId="6DCEF4E5"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6</w:t>
            </w:r>
          </w:p>
        </w:tc>
        <w:tc>
          <w:tcPr>
            <w:tcW w:w="1405" w:type="pct"/>
            <w:tcBorders>
              <w:top w:val="single" w:sz="4" w:space="0" w:color="808080"/>
              <w:left w:val="single" w:sz="4" w:space="0" w:color="808080"/>
              <w:bottom w:val="single" w:sz="4" w:space="0" w:color="808080"/>
              <w:right w:val="single" w:sz="4" w:space="0" w:color="808080"/>
            </w:tcBorders>
          </w:tcPr>
          <w:p w14:paraId="3795F578" w14:textId="77777777" w:rsidR="00D72D03" w:rsidRPr="0036616D" w:rsidRDefault="00D72D03" w:rsidP="007337CF">
            <w:pPr>
              <w:spacing w:beforeLines="40" w:before="96" w:afterLines="40" w:after="96"/>
              <w:rPr>
                <w:sz w:val="20"/>
                <w:szCs w:val="20"/>
                <w:lang w:eastAsia="en-US"/>
              </w:rPr>
            </w:pPr>
            <w:r w:rsidRPr="0036616D">
              <w:rPr>
                <w:sz w:val="20"/>
                <w:szCs w:val="20"/>
                <w:lang w:eastAsia="en-US"/>
              </w:rPr>
              <w:t xml:space="preserve">Change wording to: </w:t>
            </w:r>
            <w:r w:rsidR="00477567" w:rsidRPr="0036616D">
              <w:rPr>
                <w:i/>
                <w:sz w:val="20"/>
                <w:szCs w:val="20"/>
                <w:lang w:eastAsia="en-US"/>
              </w:rPr>
              <w:t>Vulva, subtotal or total vulvectomy with or without nodes, with Structured Report</w:t>
            </w:r>
          </w:p>
        </w:tc>
        <w:tc>
          <w:tcPr>
            <w:tcW w:w="1636" w:type="pct"/>
            <w:tcBorders>
              <w:top w:val="single" w:sz="4" w:space="0" w:color="808080"/>
              <w:left w:val="single" w:sz="4" w:space="0" w:color="808080"/>
              <w:bottom w:val="single" w:sz="4" w:space="0" w:color="808080"/>
              <w:right w:val="single" w:sz="4" w:space="0" w:color="808080"/>
            </w:tcBorders>
          </w:tcPr>
          <w:p w14:paraId="0EF6D53D" w14:textId="77777777" w:rsidR="00D72D03" w:rsidRPr="00EE04E5" w:rsidRDefault="00D72D03" w:rsidP="007337CF">
            <w:pPr>
              <w:spacing w:beforeLines="40" w:before="96" w:afterLines="40" w:after="96"/>
              <w:rPr>
                <w:sz w:val="20"/>
                <w:szCs w:val="20"/>
                <w:lang w:eastAsia="en-US"/>
              </w:rPr>
            </w:pPr>
            <w:r w:rsidRPr="0036616D">
              <w:rPr>
                <w:sz w:val="20"/>
                <w:szCs w:val="20"/>
                <w:lang w:eastAsia="en-US"/>
              </w:rPr>
              <w:t>Clarification and Alignment. Drive best practice</w:t>
            </w:r>
          </w:p>
        </w:tc>
      </w:tr>
    </w:tbl>
    <w:p w14:paraId="155D3EC7" w14:textId="77777777" w:rsidR="00BD01A1" w:rsidRPr="00BD01A1" w:rsidRDefault="00BD01A1" w:rsidP="00BD01A1">
      <w:pPr>
        <w:keepNext/>
        <w:rPr>
          <w:b/>
          <w:i/>
          <w:color w:val="01653F"/>
          <w:sz w:val="24"/>
        </w:rPr>
      </w:pPr>
      <w:r w:rsidRPr="00BD01A1">
        <w:rPr>
          <w:b/>
          <w:i/>
          <w:color w:val="01653F"/>
          <w:sz w:val="24"/>
        </w:rPr>
        <w:t>Rationale</w:t>
      </w:r>
    </w:p>
    <w:p w14:paraId="353E2086" w14:textId="77777777" w:rsidR="00832FE5" w:rsidRDefault="00832FE5" w:rsidP="00832FE5">
      <w:pPr>
        <w:pStyle w:val="NormalBulleted"/>
      </w:pPr>
      <w:r>
        <w:rPr>
          <w:lang w:val="en-US" w:eastAsia="en-US"/>
        </w:rPr>
        <w:t xml:space="preserve">The Committee identified </w:t>
      </w:r>
      <w:r w:rsidRPr="00AB5985">
        <w:t>numerous inconsistencies in the Complexity Table, with work of similar complexity being differently remunerated, and work of vastly different complexity being similarly remunerated</w:t>
      </w:r>
      <w:r>
        <w:t>. Most of the</w:t>
      </w:r>
      <w:r w:rsidRPr="00320056">
        <w:t xml:space="preserve"> proposed changes rel</w:t>
      </w:r>
      <w:r>
        <w:t>ate to obvious anomalies. F</w:t>
      </w:r>
      <w:r w:rsidRPr="00320056">
        <w:t xml:space="preserve">or </w:t>
      </w:r>
      <w:r>
        <w:t>example</w:t>
      </w:r>
      <w:r w:rsidRPr="00320056">
        <w:t>, currently examination of a cervix</w:t>
      </w:r>
      <w:r>
        <w:t xml:space="preserve">, </w:t>
      </w:r>
      <w:r w:rsidRPr="00320056">
        <w:t>uterus</w:t>
      </w:r>
      <w:r>
        <w:t xml:space="preserve">, </w:t>
      </w:r>
      <w:r w:rsidRPr="00320056">
        <w:t xml:space="preserve">both </w:t>
      </w:r>
      <w:r>
        <w:t xml:space="preserve">fallopian </w:t>
      </w:r>
      <w:r w:rsidRPr="00320056">
        <w:t>tubes</w:t>
      </w:r>
      <w:r>
        <w:t xml:space="preserve"> and</w:t>
      </w:r>
      <w:r w:rsidRPr="00320056">
        <w:t xml:space="preserve"> both ovaries </w:t>
      </w:r>
      <w:r>
        <w:lastRenderedPageBreak/>
        <w:t>(</w:t>
      </w:r>
      <w:r w:rsidRPr="00AB5985">
        <w:t>which requires careful dissection, 7</w:t>
      </w:r>
      <w:r>
        <w:t>–</w:t>
      </w:r>
      <w:r w:rsidRPr="00AB5985">
        <w:t>10</w:t>
      </w:r>
      <w:r>
        <w:t> </w:t>
      </w:r>
      <w:r w:rsidRPr="00AB5985">
        <w:t xml:space="preserve">blocks/slides and commensurate time to review them) </w:t>
      </w:r>
      <w:r>
        <w:t xml:space="preserve">is </w:t>
      </w:r>
      <w:r w:rsidRPr="00AB5985">
        <w:t xml:space="preserve">currently </w:t>
      </w:r>
      <w:r>
        <w:t>rebated</w:t>
      </w:r>
      <w:r w:rsidRPr="00AB5985">
        <w:t xml:space="preserve"> at</w:t>
      </w:r>
      <w:r>
        <w:t xml:space="preserve"> Level 4,</w:t>
      </w:r>
      <w:r w:rsidRPr="00AB5985">
        <w:t xml:space="preserve"> the same </w:t>
      </w:r>
      <w:r>
        <w:t>level</w:t>
      </w:r>
      <w:r w:rsidRPr="00AB5985">
        <w:t xml:space="preserve"> as a single gastrointestinal biopsy or orientated skin biopsy. </w:t>
      </w:r>
      <w:r>
        <w:t xml:space="preserve"> The </w:t>
      </w:r>
      <w:r w:rsidRPr="00320056">
        <w:t>examination of a lung core biopsy for</w:t>
      </w:r>
      <w:r w:rsidR="003000F2">
        <w:t xml:space="preserve"> </w:t>
      </w:r>
      <w:proofErr w:type="gramStart"/>
      <w:r w:rsidR="003000F2">
        <w:t xml:space="preserve">lung </w:t>
      </w:r>
      <w:r w:rsidRPr="00320056">
        <w:t xml:space="preserve"> transplant</w:t>
      </w:r>
      <w:proofErr w:type="gramEnd"/>
      <w:r w:rsidRPr="00320056">
        <w:t xml:space="preserve"> rejection is currently </w:t>
      </w:r>
      <w:r>
        <w:t xml:space="preserve">level </w:t>
      </w:r>
      <w:r w:rsidRPr="00320056">
        <w:t xml:space="preserve">4 while examination of a cardiac biopsy for heart transplant rejection is </w:t>
      </w:r>
      <w:r>
        <w:t xml:space="preserve">level </w:t>
      </w:r>
      <w:r w:rsidRPr="00320056">
        <w:t>5. Equity between organ systems has been addressed</w:t>
      </w:r>
      <w:r>
        <w:t xml:space="preserve"> in the Committee’s recommendations</w:t>
      </w:r>
      <w:r w:rsidRPr="00320056">
        <w:t xml:space="preserve"> for similar work of similar complexity.</w:t>
      </w:r>
    </w:p>
    <w:p w14:paraId="2B72926B" w14:textId="77777777" w:rsidR="00BD01A1" w:rsidRDefault="00BD01A1" w:rsidP="00BD01A1">
      <w:pPr>
        <w:pStyle w:val="NormalBulleted"/>
      </w:pPr>
      <w:r>
        <w:t xml:space="preserve">Most </w:t>
      </w:r>
      <w:r w:rsidRPr="0036616D">
        <w:t xml:space="preserve">of the proposed changes reflect increases in complexity </w:t>
      </w:r>
      <w:r>
        <w:t>level</w:t>
      </w:r>
      <w:r w:rsidRPr="0036616D">
        <w:t>, while a few represent decreases (</w:t>
      </w:r>
      <w:r>
        <w:t>e.g.</w:t>
      </w:r>
      <w:r w:rsidRPr="0036616D">
        <w:t xml:space="preserve"> breast </w:t>
      </w:r>
      <w:proofErr w:type="spellStart"/>
      <w:r w:rsidRPr="0036616D">
        <w:t>microdochectomy</w:t>
      </w:r>
      <w:proofErr w:type="spellEnd"/>
      <w:r w:rsidRPr="0036616D">
        <w:t xml:space="preserve"> from </w:t>
      </w:r>
      <w:r>
        <w:t>level</w:t>
      </w:r>
      <w:r w:rsidRPr="0036616D">
        <w:t xml:space="preserve"> 6 to </w:t>
      </w:r>
      <w:r>
        <w:t>level</w:t>
      </w:r>
      <w:r w:rsidRPr="0036616D">
        <w:t xml:space="preserve"> 5). In most cases the increase in complexity is also associated a specified requirement for additional special stains to be performed or a Structured Report to be included.</w:t>
      </w:r>
    </w:p>
    <w:p w14:paraId="6567CF43" w14:textId="77777777" w:rsidR="00832FE5" w:rsidRDefault="00832FE5" w:rsidP="00832FE5">
      <w:pPr>
        <w:pStyle w:val="NormalBulleted"/>
      </w:pPr>
      <w:r>
        <w:t>The</w:t>
      </w:r>
      <w:r w:rsidRPr="00AB5985">
        <w:t xml:space="preserve"> necessity for additional special stains in certain types of specimens has never been explicitly recognised in the complexity table, despite these being an integral component of the diagnostic process</w:t>
      </w:r>
      <w:r w:rsidRPr="00AB5985">
        <w:rPr>
          <w:color w:val="000000" w:themeColor="text1"/>
        </w:rPr>
        <w:t>.</w:t>
      </w:r>
      <w:r>
        <w:t xml:space="preserve"> </w:t>
      </w:r>
      <w:r w:rsidRPr="00AB5985">
        <w:t>Rather than propose the addition of a specific item for special stains (as is the case in the USA), the Committee proposes making the necessity for special stains in certain types of specimens more explicit.</w:t>
      </w:r>
      <w:r>
        <w:t xml:space="preserve"> </w:t>
      </w:r>
    </w:p>
    <w:p w14:paraId="5A87269D" w14:textId="77777777" w:rsidR="00832FE5" w:rsidRDefault="00832FE5" w:rsidP="00832FE5">
      <w:pPr>
        <w:pStyle w:val="NormalBulleted"/>
      </w:pPr>
      <w:r w:rsidRPr="00AB5985">
        <w:t>Structured reporting has been widely demonstrated as improving the completeness and quality of data in pathology reports and therefore ensuring improved outcomes for cancer patients.</w:t>
      </w:r>
      <w:r>
        <w:t xml:space="preserve"> </w:t>
      </w:r>
    </w:p>
    <w:p w14:paraId="0DE136BF" w14:textId="77777777" w:rsidR="00832FE5" w:rsidRDefault="00832FE5" w:rsidP="00832FE5">
      <w:pPr>
        <w:pStyle w:val="NormalBulleted"/>
        <w:numPr>
          <w:ilvl w:val="0"/>
          <w:numId w:val="0"/>
        </w:numPr>
        <w:ind w:left="357"/>
      </w:pPr>
      <w:r>
        <w:t xml:space="preserve">- </w:t>
      </w:r>
      <w:r w:rsidRPr="00AB5985">
        <w:t xml:space="preserve">The Commonwealth Government has recognised its importance by the funding of the </w:t>
      </w:r>
      <w:r w:rsidRPr="00AB5DEE">
        <w:rPr>
          <w:i/>
        </w:rPr>
        <w:t xml:space="preserve">National Structured </w:t>
      </w:r>
      <w:hyperlink r:id="rId15" w:history="1">
        <w:r w:rsidRPr="00AB5DEE">
          <w:rPr>
            <w:rStyle w:val="Hyperlink"/>
            <w:i/>
            <w:color w:val="auto"/>
            <w:u w:val="none"/>
          </w:rPr>
          <w:t xml:space="preserve">Pathology Reporting of Cancer (NSPRC) </w:t>
        </w:r>
        <w:proofErr w:type="spellStart"/>
        <w:r w:rsidRPr="00AB5DEE">
          <w:rPr>
            <w:rStyle w:val="Hyperlink"/>
            <w:i/>
            <w:color w:val="auto"/>
            <w:u w:val="none"/>
          </w:rPr>
          <w:t>Project</w:t>
        </w:r>
      </w:hyperlink>
      <w:r>
        <w:rPr>
          <w:vertAlign w:val="superscript"/>
        </w:rPr>
        <w:t>iii</w:t>
      </w:r>
      <w:proofErr w:type="spellEnd"/>
      <w:r w:rsidRPr="00AB5985">
        <w:t xml:space="preserve"> since 2007</w:t>
      </w:r>
      <w:r>
        <w:t>,</w:t>
      </w:r>
      <w:r w:rsidRPr="00AB5985">
        <w:t xml:space="preserve"> </w:t>
      </w:r>
      <w:r>
        <w:t xml:space="preserve">which </w:t>
      </w:r>
      <w:r w:rsidRPr="00AB5985">
        <w:t xml:space="preserve">has provided </w:t>
      </w:r>
      <w:hyperlink r:id="rId16" w:history="1">
        <w:r w:rsidRPr="00AB5985">
          <w:rPr>
            <w:rStyle w:val="Hyperlink"/>
            <w:color w:val="auto"/>
            <w:u w:val="none"/>
          </w:rPr>
          <w:t>cancer reporting protocols</w:t>
        </w:r>
      </w:hyperlink>
      <w:r w:rsidRPr="00AB5985">
        <w:t xml:space="preserve"> freely ava</w:t>
      </w:r>
      <w:r>
        <w:t xml:space="preserve">ilable through the RCPA website. </w:t>
      </w:r>
    </w:p>
    <w:p w14:paraId="13FDEB78" w14:textId="77777777" w:rsidR="00832FE5" w:rsidRDefault="00832FE5" w:rsidP="00832FE5">
      <w:pPr>
        <w:pStyle w:val="NormalBulleted"/>
        <w:numPr>
          <w:ilvl w:val="0"/>
          <w:numId w:val="0"/>
        </w:numPr>
        <w:ind w:left="357"/>
      </w:pPr>
      <w:r>
        <w:t>- Level</w:t>
      </w:r>
      <w:r w:rsidRPr="00AB5985">
        <w:t xml:space="preserve"> 3 reporting is defined as data entry in a structured format, with SPR</w:t>
      </w:r>
      <w:r>
        <w:t>-</w:t>
      </w:r>
      <w:r w:rsidRPr="00AB5985">
        <w:t>protocol</w:t>
      </w:r>
      <w:r>
        <w:t>-</w:t>
      </w:r>
      <w:r w:rsidRPr="00AB5985">
        <w:t>compliant content</w:t>
      </w:r>
      <w:r>
        <w:t>,</w:t>
      </w:r>
      <w:r w:rsidRPr="00AB5985">
        <w:t xml:space="preserve"> but does not enforce higher </w:t>
      </w:r>
      <w:r>
        <w:t>level</w:t>
      </w:r>
      <w:r w:rsidRPr="00AB5985">
        <w:t xml:space="preserve">s of data storage, coding or Health </w:t>
      </w:r>
      <w:r>
        <w:t>level</w:t>
      </w:r>
      <w:r w:rsidRPr="00AB5985">
        <w:t xml:space="preserve"> 7 (HL7) </w:t>
      </w:r>
      <w:proofErr w:type="spellStart"/>
      <w:r w:rsidRPr="00AB5985">
        <w:t>messaging.</w:t>
      </w:r>
      <w:r>
        <w:rPr>
          <w:vertAlign w:val="superscript"/>
        </w:rPr>
        <w:t>iv</w:t>
      </w:r>
      <w:proofErr w:type="spellEnd"/>
      <w:r>
        <w:rPr>
          <w:vertAlign w:val="superscript"/>
        </w:rPr>
        <w:t xml:space="preserve"> </w:t>
      </w:r>
      <w:r>
        <w:t xml:space="preserve"> </w:t>
      </w:r>
      <w:r w:rsidRPr="00AB5985">
        <w:t>Level 3 reporting can be achieved with current Laboratory Information Systems (LIS) and is therefore attainable with</w:t>
      </w:r>
      <w:r>
        <w:t xml:space="preserve">out further capital investment. </w:t>
      </w:r>
    </w:p>
    <w:p w14:paraId="0F3F2946" w14:textId="77777777" w:rsidR="00832FE5" w:rsidRDefault="00832FE5" w:rsidP="00832FE5">
      <w:pPr>
        <w:pStyle w:val="NormalBulleted"/>
        <w:numPr>
          <w:ilvl w:val="0"/>
          <w:numId w:val="0"/>
        </w:numPr>
        <w:ind w:left="357"/>
      </w:pPr>
      <w:r>
        <w:t xml:space="preserve">- </w:t>
      </w:r>
      <w:r w:rsidRPr="00AB5985">
        <w:t>The National Pathology Accreditation Advisory Council (NPAAC) has recognised the importance of structured reporting</w:t>
      </w:r>
      <w:r>
        <w:t xml:space="preserve">, with </w:t>
      </w:r>
      <w:r w:rsidRPr="00AB5985">
        <w:t xml:space="preserve">NPAAC’s </w:t>
      </w:r>
      <w:r w:rsidRPr="00AB5985">
        <w:rPr>
          <w:i/>
        </w:rPr>
        <w:t>Requirements for Medical Pathology Services</w:t>
      </w:r>
      <w:r w:rsidRPr="00AB5985">
        <w:t xml:space="preserve"> document (</w:t>
      </w:r>
      <w:r>
        <w:t>2</w:t>
      </w:r>
      <w:r w:rsidRPr="00AD1437">
        <w:rPr>
          <w:vertAlign w:val="superscript"/>
        </w:rPr>
        <w:t>nd</w:t>
      </w:r>
      <w:r>
        <w:t xml:space="preserve"> Edition released for public comment June 2017) stating</w:t>
      </w:r>
      <w:r w:rsidRPr="00AB5985">
        <w:t xml:space="preserve"> that</w:t>
      </w:r>
      <w:r>
        <w:t>:</w:t>
      </w:r>
    </w:p>
    <w:p w14:paraId="051F0B45" w14:textId="77777777" w:rsidR="00832FE5" w:rsidRDefault="00832FE5" w:rsidP="000B659E">
      <w:pPr>
        <w:pStyle w:val="NormalBulleted"/>
        <w:numPr>
          <w:ilvl w:val="0"/>
          <w:numId w:val="0"/>
        </w:numPr>
        <w:ind w:left="357"/>
      </w:pPr>
      <w:r w:rsidRPr="00AB5985">
        <w:t xml:space="preserve"> </w:t>
      </w:r>
      <w:r>
        <w:t xml:space="preserve">‘CC8.2(ii) </w:t>
      </w:r>
      <w:r w:rsidRPr="00AB5985">
        <w:t xml:space="preserve">Structured reporting </w:t>
      </w:r>
      <w:r>
        <w:t>must</w:t>
      </w:r>
      <w:r w:rsidRPr="00AB5985">
        <w:t xml:space="preserve"> be used where appropriate</w:t>
      </w:r>
      <w:r>
        <w:t xml:space="preserve">’. </w:t>
      </w:r>
    </w:p>
    <w:p w14:paraId="13000952" w14:textId="77777777" w:rsidR="00832FE5" w:rsidRDefault="00832FE5" w:rsidP="00832FE5">
      <w:pPr>
        <w:pStyle w:val="NormalBulleted"/>
        <w:numPr>
          <w:ilvl w:val="0"/>
          <w:numId w:val="0"/>
        </w:numPr>
        <w:ind w:left="357"/>
      </w:pPr>
      <w:r>
        <w:t xml:space="preserve">- </w:t>
      </w:r>
      <w:r w:rsidRPr="00AB5985">
        <w:t xml:space="preserve">While efforts continue via the </w:t>
      </w:r>
      <w:r w:rsidRPr="00AD1437">
        <w:rPr>
          <w:i/>
        </w:rPr>
        <w:t>National Structured Pathology Reporting of Cancer Project</w:t>
      </w:r>
      <w:r w:rsidRPr="00AB5985">
        <w:t xml:space="preserve"> (overseen by the RCPA) to increase the suite of published protocols, the Committee suggests </w:t>
      </w:r>
      <w:r>
        <w:t xml:space="preserve">that </w:t>
      </w:r>
      <w:r w:rsidRPr="00AB5985">
        <w:t>the addition of a requirement for use of a Structured Report to qualify for MBS funding</w:t>
      </w:r>
      <w:r>
        <w:t xml:space="preserve"> </w:t>
      </w:r>
      <w:r w:rsidRPr="00AB5985">
        <w:t>for high</w:t>
      </w:r>
      <w:r>
        <w:t>-</w:t>
      </w:r>
      <w:r w:rsidRPr="00AB5985">
        <w:t>complexity items presents an opportunity to drive best practice in pathology reporting.</w:t>
      </w:r>
      <w:r>
        <w:t xml:space="preserve"> </w:t>
      </w:r>
    </w:p>
    <w:p w14:paraId="03724B8F" w14:textId="77777777" w:rsidR="00832FE5" w:rsidRPr="00AB5985" w:rsidRDefault="00832FE5" w:rsidP="00832FE5">
      <w:pPr>
        <w:pStyle w:val="NormalBulleted"/>
        <w:numPr>
          <w:ilvl w:val="0"/>
          <w:numId w:val="0"/>
        </w:numPr>
        <w:ind w:left="357"/>
      </w:pPr>
      <w:r>
        <w:t xml:space="preserve">- </w:t>
      </w:r>
      <w:r w:rsidRPr="00AB5985">
        <w:t xml:space="preserve">All but a few of the current or proposed </w:t>
      </w:r>
      <w:r>
        <w:t>level</w:t>
      </w:r>
      <w:r w:rsidRPr="00AB5985">
        <w:t xml:space="preserve"> 6 and 7 specimens have Structured Report Protocols either already available or in development. </w:t>
      </w:r>
    </w:p>
    <w:p w14:paraId="52C96C56" w14:textId="77777777" w:rsidR="00BD01A1" w:rsidRDefault="00BD01A1" w:rsidP="00BD01A1">
      <w:pPr>
        <w:pStyle w:val="NormalBulleted"/>
      </w:pPr>
      <w:r w:rsidRPr="00320056">
        <w:t>Some of the changes relate to necessity to split current listings to separate examination of a neoplastic lesion from other examinations</w:t>
      </w:r>
      <w:r>
        <w:t xml:space="preserve"> of the same organ</w:t>
      </w:r>
      <w:r w:rsidRPr="00320056">
        <w:t xml:space="preserve"> (for instance in thyroid, where all specimens are currently </w:t>
      </w:r>
      <w:r>
        <w:t xml:space="preserve">level </w:t>
      </w:r>
      <w:r w:rsidRPr="00320056">
        <w:t>5).</w:t>
      </w:r>
    </w:p>
    <w:p w14:paraId="144E12B6" w14:textId="77777777" w:rsidR="00BD01A1" w:rsidRDefault="00BD01A1" w:rsidP="00BD01A1">
      <w:pPr>
        <w:pStyle w:val="NormalBulleted"/>
      </w:pPr>
      <w:r>
        <w:t>Some specimen listings have been deleted and pooled with others of the same type (cerebellopontine angle brain tumours with other brain tumours).</w:t>
      </w:r>
    </w:p>
    <w:p w14:paraId="12308013" w14:textId="77777777" w:rsidR="00BD01A1" w:rsidRDefault="00BD01A1" w:rsidP="00BD01A1">
      <w:pPr>
        <w:pStyle w:val="NormalBulleted"/>
      </w:pPr>
      <w:r>
        <w:t xml:space="preserve">Items related to the examination of placentas from abnormal deliveries and examination of stillborn babies &lt; 20 weeks’ gestation have been the subject of particularly detailed review: </w:t>
      </w:r>
    </w:p>
    <w:p w14:paraId="69AE15F7" w14:textId="77777777" w:rsidR="00BD01A1" w:rsidRDefault="00832FE5" w:rsidP="00832FE5">
      <w:pPr>
        <w:pStyle w:val="NormalBulleted"/>
        <w:numPr>
          <w:ilvl w:val="0"/>
          <w:numId w:val="0"/>
        </w:numPr>
        <w:ind w:left="357"/>
      </w:pPr>
      <w:r>
        <w:t xml:space="preserve">- </w:t>
      </w:r>
      <w:r w:rsidR="00BD01A1">
        <w:t>The Committee recommends that examination of the placenta when clinically necessary (i.e. in an abnormal gestation), in the absence of foetal demise, should be increased from level 4 to level 5 on the basis of the complexity of dissection, the number of blocks required (usually &gt; 5), the time taken to examine the sections and the level of detail required in the report required. Feedback along these lines was provided by numerous pathologists.</w:t>
      </w:r>
    </w:p>
    <w:p w14:paraId="568DA65B" w14:textId="77777777" w:rsidR="00BD01A1" w:rsidRDefault="00832FE5" w:rsidP="00832FE5">
      <w:pPr>
        <w:pStyle w:val="NormalBulleted"/>
        <w:numPr>
          <w:ilvl w:val="0"/>
          <w:numId w:val="0"/>
        </w:numPr>
        <w:ind w:left="357"/>
      </w:pPr>
      <w:r>
        <w:t xml:space="preserve">- </w:t>
      </w:r>
      <w:r w:rsidR="00BD01A1">
        <w:t>The Committee recommends that examination of the placenta of a stillborn baby (when no examination of the foetus/baby is conducted) be increased to level 6, in view of the additional level of detail and special stains required. Estimates of the reporting time involved indicate it is commensurate with examination of a substantial neoplastic resection.</w:t>
      </w:r>
    </w:p>
    <w:p w14:paraId="1333D40B" w14:textId="77777777" w:rsidR="00BD01A1" w:rsidRDefault="00832FE5" w:rsidP="00832FE5">
      <w:pPr>
        <w:pStyle w:val="NormalBulleted"/>
        <w:numPr>
          <w:ilvl w:val="0"/>
          <w:numId w:val="0"/>
        </w:numPr>
        <w:ind w:left="357"/>
      </w:pPr>
      <w:r>
        <w:t xml:space="preserve">- </w:t>
      </w:r>
      <w:r w:rsidR="00BD01A1">
        <w:t xml:space="preserve">The Committee recommends that the item for examination and dissection of a stillborn baby of &lt; 20 weeks’ gestation (with ancillary studies as required along with examination of the placenta) be increased to level 7. This still falls short of reflecting the complexity and </w:t>
      </w:r>
      <w:r w:rsidR="00BD01A1">
        <w:lastRenderedPageBreak/>
        <w:t>effort required in such cases, which usually involve X-ray, photography, detailed measurements as well as dissection and histology, along with correlation with genetic tests and microbiology.</w:t>
      </w:r>
    </w:p>
    <w:p w14:paraId="465A5B73" w14:textId="77777777" w:rsidR="00BD01A1" w:rsidRDefault="00832FE5" w:rsidP="00832FE5">
      <w:pPr>
        <w:pStyle w:val="NormalBulleted"/>
        <w:numPr>
          <w:ilvl w:val="0"/>
          <w:numId w:val="0"/>
        </w:numPr>
        <w:ind w:left="357"/>
      </w:pPr>
      <w:r>
        <w:t xml:space="preserve">- </w:t>
      </w:r>
      <w:r w:rsidR="00BD01A1">
        <w:t>The Committee considers that the issue of remuneration for autopsies on babies of &gt; 20 weeks’ gestation necessarily falls outside the scope of the MBS review (such remuneration being explicitly excluded under MBS rules). However, the Committee suggests that the issue be addressed via appropriate RCPA committees/Working Groups, with a view to defining the existing (variable) state-based funding available and working toward a national approach to this very important issue.</w:t>
      </w:r>
    </w:p>
    <w:p w14:paraId="13732020" w14:textId="77777777" w:rsidR="00022B12" w:rsidRPr="003000F2" w:rsidRDefault="00022B12" w:rsidP="005B3E9F">
      <w:pPr>
        <w:spacing w:before="360"/>
        <w:rPr>
          <w:i/>
          <w:sz w:val="24"/>
        </w:rPr>
      </w:pPr>
      <w:r w:rsidRPr="003000F2">
        <w:rPr>
          <w:b/>
          <w:i/>
          <w:sz w:val="24"/>
          <w:lang w:val="en-US" w:eastAsia="en-US"/>
        </w:rPr>
        <w:t xml:space="preserve">Data </w:t>
      </w:r>
      <w:r w:rsidR="008355D3" w:rsidRPr="003000F2">
        <w:rPr>
          <w:b/>
          <w:i/>
          <w:sz w:val="24"/>
          <w:lang w:val="en-US" w:eastAsia="en-US"/>
        </w:rPr>
        <w:t>modelling</w:t>
      </w:r>
    </w:p>
    <w:p w14:paraId="42A41AD4" w14:textId="77777777" w:rsidR="00022B12" w:rsidRDefault="00022B12" w:rsidP="00022B12">
      <w:r>
        <w:rPr>
          <w:lang w:val="en-US" w:eastAsia="en-US"/>
        </w:rPr>
        <w:t>Details of specimen type</w:t>
      </w:r>
      <w:r w:rsidR="00C803EF">
        <w:rPr>
          <w:lang w:val="en-US" w:eastAsia="en-US"/>
        </w:rPr>
        <w:t>/s</w:t>
      </w:r>
      <w:r>
        <w:rPr>
          <w:lang w:val="en-US" w:eastAsia="en-US"/>
        </w:rPr>
        <w:t xml:space="preserve"> within each accession was available from laboratory D (11118 accessions, 16971 specimens) collected over a </w:t>
      </w:r>
      <w:r w:rsidR="00D4143D">
        <w:rPr>
          <w:lang w:val="en-US" w:eastAsia="en-US"/>
        </w:rPr>
        <w:t>1-</w:t>
      </w:r>
      <w:r>
        <w:rPr>
          <w:lang w:val="en-US" w:eastAsia="en-US"/>
        </w:rPr>
        <w:t>week period in January 2017.</w:t>
      </w:r>
      <w:r w:rsidR="00E11BC0">
        <w:rPr>
          <w:lang w:val="en-US" w:eastAsia="en-US"/>
        </w:rPr>
        <w:t xml:space="preserve"> </w:t>
      </w:r>
      <w:r w:rsidRPr="00F81733">
        <w:t>Medicare data for the period 2014</w:t>
      </w:r>
      <w:r w:rsidR="00D4143D">
        <w:t>–</w:t>
      </w:r>
      <w:r w:rsidRPr="00F81733">
        <w:t xml:space="preserve">15 </w:t>
      </w:r>
      <w:r>
        <w:t>indicated</w:t>
      </w:r>
      <w:r w:rsidRPr="00F81733">
        <w:t xml:space="preserve"> </w:t>
      </w:r>
      <w:r w:rsidR="00D4143D">
        <w:t xml:space="preserve">that </w:t>
      </w:r>
      <w:r w:rsidRPr="00F81733">
        <w:t>a total of 3</w:t>
      </w:r>
      <w:r w:rsidR="00D4143D">
        <w:t>,</w:t>
      </w:r>
      <w:r w:rsidRPr="00F81733">
        <w:t>080</w:t>
      </w:r>
      <w:r w:rsidR="00D4143D">
        <w:t>,</w:t>
      </w:r>
      <w:r w:rsidRPr="00F81733">
        <w:t>539 histo</w:t>
      </w:r>
      <w:r>
        <w:t>logy</w:t>
      </w:r>
      <w:r w:rsidRPr="00F81733">
        <w:t xml:space="preserve"> services</w:t>
      </w:r>
      <w:r>
        <w:t xml:space="preserve"> were rebated, thus this data from Laboratory D represents a sample equating to around 0.36% of the expected Australian annual total.</w:t>
      </w:r>
    </w:p>
    <w:p w14:paraId="2CA6217D" w14:textId="77777777" w:rsidR="00022B12" w:rsidRDefault="00022B12" w:rsidP="00022B12">
      <w:pPr>
        <w:rPr>
          <w:b/>
          <w:i/>
          <w:lang w:val="en-US" w:eastAsia="en-US"/>
        </w:rPr>
      </w:pPr>
      <w:r>
        <w:t xml:space="preserve">The proposed changes in the complexity table were modelled after sorting by specimen type, with maintenance of current tiering and coning rules. The overall effects of the proposed complexity changes on the distribution of complexity for this laboratory is shown in </w:t>
      </w:r>
      <w:r w:rsidRPr="005413F6">
        <w:rPr>
          <w:i/>
        </w:rPr>
        <w:t xml:space="preserve">Figure </w:t>
      </w:r>
      <w:r w:rsidR="00707180">
        <w:rPr>
          <w:i/>
        </w:rPr>
        <w:t>6</w:t>
      </w:r>
      <w:r>
        <w:t xml:space="preserve">: the most obvious change is a small reduction in </w:t>
      </w:r>
      <w:r w:rsidR="00B21D4A">
        <w:t>level</w:t>
      </w:r>
      <w:r>
        <w:t xml:space="preserve"> 4 items and increase in </w:t>
      </w:r>
      <w:r w:rsidR="00B21D4A">
        <w:t>level</w:t>
      </w:r>
      <w:r>
        <w:t xml:space="preserve"> 5 due to changes in classification for inflammatory dermatoses and hysterectomy specimens.</w:t>
      </w:r>
    </w:p>
    <w:p w14:paraId="7C5F9684" w14:textId="77777777" w:rsidR="00D4143D" w:rsidRPr="005413F6" w:rsidRDefault="00F1357A" w:rsidP="004C73C5">
      <w:pPr>
        <w:pStyle w:val="Caption"/>
      </w:pPr>
      <w:bookmarkStart w:id="55" w:name="_Toc482213881"/>
      <w:r>
        <w:t xml:space="preserve">Figure </w:t>
      </w:r>
      <w:r w:rsidR="00707180">
        <w:t>6</w:t>
      </w:r>
      <w:r>
        <w:t xml:space="preserve">. </w:t>
      </w:r>
      <w:r w:rsidRPr="003B3151">
        <w:t xml:space="preserve">Laboratory D data showing change in case distribution before and after proposed </w:t>
      </w:r>
      <w:r>
        <w:t>c</w:t>
      </w:r>
      <w:r w:rsidRPr="003B3151">
        <w:t>omplexity changes</w:t>
      </w:r>
      <w:r>
        <w:t>.</w:t>
      </w:r>
      <w:bookmarkEnd w:id="55"/>
    </w:p>
    <w:p w14:paraId="7A1E4B8C" w14:textId="77777777" w:rsidR="00AB5985" w:rsidRDefault="00022B12" w:rsidP="00022B12">
      <w:pPr>
        <w:rPr>
          <w:lang w:val="en-US" w:eastAsia="en-US"/>
        </w:rPr>
      </w:pPr>
      <w:r>
        <w:rPr>
          <w:noProof/>
          <w:lang w:val="en-AU"/>
        </w:rPr>
        <w:drawing>
          <wp:inline distT="0" distB="0" distL="0" distR="0" wp14:anchorId="2B04D06B" wp14:editId="750C3DA5">
            <wp:extent cx="4572000" cy="2743200"/>
            <wp:effectExtent l="0" t="0" r="0" b="0"/>
            <wp:docPr id="9" name="Chart 9" descr="This is the bar chart showing the change in case distribution before and after proposed complexity changes in laboratory 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4534F7" w14:textId="77777777" w:rsidR="00022B12" w:rsidRPr="00022B12" w:rsidRDefault="00022B12" w:rsidP="00F0115A">
      <w:pPr>
        <w:spacing w:before="360"/>
        <w:rPr>
          <w:lang w:val="en-US" w:eastAsia="en-US"/>
        </w:rPr>
      </w:pPr>
      <w:r>
        <w:rPr>
          <w:lang w:val="en-US" w:eastAsia="en-US"/>
        </w:rPr>
        <w:t>Financial modelling of the effects of these changes on billing was also performed using data from Laboratory D. The effect was similar if coned billings (</w:t>
      </w:r>
      <w:proofErr w:type="spellStart"/>
      <w:r>
        <w:rPr>
          <w:lang w:val="en-US" w:eastAsia="en-US"/>
        </w:rPr>
        <w:t>utilising</w:t>
      </w:r>
      <w:proofErr w:type="spellEnd"/>
      <w:r>
        <w:rPr>
          <w:lang w:val="en-US" w:eastAsia="en-US"/>
        </w:rPr>
        <w:t xml:space="preserve"> the current tiering and coning rules) and </w:t>
      </w:r>
      <w:proofErr w:type="spellStart"/>
      <w:r>
        <w:rPr>
          <w:lang w:val="en-US" w:eastAsia="en-US"/>
        </w:rPr>
        <w:t>unconed</w:t>
      </w:r>
      <w:proofErr w:type="spellEnd"/>
      <w:r>
        <w:rPr>
          <w:lang w:val="en-US" w:eastAsia="en-US"/>
        </w:rPr>
        <w:t xml:space="preserve"> billings were considered. The increase in nominal billings is expressed as a percentage of the current billings (</w:t>
      </w:r>
      <w:r w:rsidRPr="009305D6">
        <w:rPr>
          <w:i/>
          <w:lang w:val="en-US" w:eastAsia="en-US"/>
        </w:rPr>
        <w:t xml:space="preserve">Table </w:t>
      </w:r>
      <w:r w:rsidR="00907BED">
        <w:rPr>
          <w:i/>
          <w:lang w:val="en-US" w:eastAsia="en-US"/>
        </w:rPr>
        <w:t>7</w:t>
      </w:r>
      <w:r>
        <w:rPr>
          <w:lang w:val="en-US" w:eastAsia="en-US"/>
        </w:rPr>
        <w:t xml:space="preserve">). </w:t>
      </w:r>
    </w:p>
    <w:p w14:paraId="350DD25B" w14:textId="77777777" w:rsidR="00F1357A" w:rsidRPr="005413F6" w:rsidRDefault="00F1357A" w:rsidP="004C73C5">
      <w:pPr>
        <w:pStyle w:val="Caption"/>
      </w:pPr>
      <w:bookmarkStart w:id="56" w:name="_Toc482213834"/>
      <w:r>
        <w:t xml:space="preserve">Table </w:t>
      </w:r>
      <w:r w:rsidR="00707180">
        <w:t>7</w:t>
      </w:r>
      <w:r>
        <w:t xml:space="preserve">. </w:t>
      </w:r>
      <w:r w:rsidRPr="00405AEA">
        <w:t>Effect of proposed complexity changes on nominal MBS billings (Laboratory D)</w:t>
      </w:r>
      <w:bookmarkEnd w:id="56"/>
    </w:p>
    <w:tbl>
      <w:tblPr>
        <w:tblW w:w="8564" w:type="dxa"/>
        <w:tblInd w:w="93" w:type="dxa"/>
        <w:tblLook w:val="04A0" w:firstRow="1" w:lastRow="0" w:firstColumn="1" w:lastColumn="0" w:noHBand="0" w:noVBand="1"/>
      </w:tblPr>
      <w:tblGrid>
        <w:gridCol w:w="1897"/>
        <w:gridCol w:w="2016"/>
        <w:gridCol w:w="1883"/>
        <w:gridCol w:w="2768"/>
      </w:tblGrid>
      <w:tr w:rsidR="005A559B" w:rsidRPr="004623E8" w14:paraId="7523975C" w14:textId="77777777" w:rsidTr="003000F2">
        <w:trPr>
          <w:trHeight w:val="731"/>
        </w:trPr>
        <w:tc>
          <w:tcPr>
            <w:tcW w:w="1897" w:type="dxa"/>
            <w:tcBorders>
              <w:top w:val="single" w:sz="4" w:space="0" w:color="auto"/>
              <w:left w:val="single" w:sz="4" w:space="0" w:color="auto"/>
              <w:bottom w:val="double" w:sz="6" w:space="0" w:color="auto"/>
              <w:right w:val="single" w:sz="4" w:space="0" w:color="auto"/>
            </w:tcBorders>
            <w:shd w:val="clear" w:color="auto" w:fill="EEECE1" w:themeFill="background2"/>
            <w:vAlign w:val="bottom"/>
            <w:hideMark/>
          </w:tcPr>
          <w:p w14:paraId="6E4BB2D0" w14:textId="77777777" w:rsidR="005A559B" w:rsidRPr="004C73C5" w:rsidRDefault="005A559B" w:rsidP="007337CF">
            <w:pPr>
              <w:spacing w:beforeLines="40" w:before="96" w:afterLines="40" w:after="96"/>
              <w:rPr>
                <w:b/>
                <w:bCs/>
                <w:sz w:val="20"/>
                <w:szCs w:val="20"/>
                <w:lang w:eastAsia="en-US"/>
              </w:rPr>
            </w:pPr>
            <w:r w:rsidRPr="004C73C5">
              <w:rPr>
                <w:b/>
                <w:bCs/>
                <w:sz w:val="20"/>
                <w:szCs w:val="20"/>
                <w:lang w:eastAsia="en-US"/>
              </w:rPr>
              <w:t> </w:t>
            </w:r>
          </w:p>
        </w:tc>
        <w:tc>
          <w:tcPr>
            <w:tcW w:w="2016" w:type="dxa"/>
            <w:tcBorders>
              <w:top w:val="single" w:sz="4" w:space="0" w:color="auto"/>
              <w:left w:val="nil"/>
              <w:bottom w:val="double" w:sz="6" w:space="0" w:color="auto"/>
              <w:right w:val="nil"/>
            </w:tcBorders>
            <w:shd w:val="clear" w:color="auto" w:fill="EEECE1" w:themeFill="background2"/>
            <w:vAlign w:val="bottom"/>
            <w:hideMark/>
          </w:tcPr>
          <w:p w14:paraId="6917D9E2" w14:textId="77777777" w:rsidR="005A559B" w:rsidRPr="004C73C5" w:rsidRDefault="005A559B" w:rsidP="007337CF">
            <w:pPr>
              <w:spacing w:beforeLines="40" w:before="96" w:afterLines="40" w:after="96"/>
              <w:jc w:val="center"/>
              <w:rPr>
                <w:b/>
                <w:bCs/>
                <w:sz w:val="20"/>
                <w:szCs w:val="20"/>
                <w:lang w:eastAsia="en-US"/>
              </w:rPr>
            </w:pPr>
            <w:r w:rsidRPr="004C73C5">
              <w:rPr>
                <w:b/>
                <w:bCs/>
                <w:sz w:val="20"/>
                <w:szCs w:val="20"/>
                <w:lang w:eastAsia="en-US"/>
              </w:rPr>
              <w:t>N</w:t>
            </w:r>
            <w:r w:rsidR="00F1357A">
              <w:rPr>
                <w:b/>
                <w:bCs/>
                <w:sz w:val="20"/>
                <w:szCs w:val="20"/>
                <w:lang w:eastAsia="en-US"/>
              </w:rPr>
              <w:t>umber of</w:t>
            </w:r>
            <w:r w:rsidRPr="004C73C5">
              <w:rPr>
                <w:b/>
                <w:bCs/>
                <w:sz w:val="20"/>
                <w:szCs w:val="20"/>
                <w:lang w:eastAsia="en-US"/>
              </w:rPr>
              <w:t xml:space="preserve"> specimens</w:t>
            </w:r>
          </w:p>
        </w:tc>
        <w:tc>
          <w:tcPr>
            <w:tcW w:w="1883" w:type="dxa"/>
            <w:tcBorders>
              <w:top w:val="single" w:sz="4" w:space="0" w:color="auto"/>
              <w:left w:val="nil"/>
              <w:bottom w:val="double" w:sz="6" w:space="0" w:color="auto"/>
              <w:right w:val="nil"/>
            </w:tcBorders>
            <w:shd w:val="clear" w:color="auto" w:fill="EEECE1" w:themeFill="background2"/>
            <w:vAlign w:val="bottom"/>
            <w:hideMark/>
          </w:tcPr>
          <w:p w14:paraId="530EAAE9" w14:textId="77777777" w:rsidR="005A559B" w:rsidRPr="004C73C5" w:rsidRDefault="005A559B" w:rsidP="007337CF">
            <w:pPr>
              <w:spacing w:beforeLines="40" w:before="96" w:afterLines="40" w:after="96"/>
              <w:jc w:val="center"/>
              <w:rPr>
                <w:b/>
                <w:bCs/>
                <w:sz w:val="20"/>
                <w:szCs w:val="20"/>
                <w:lang w:eastAsia="en-US"/>
              </w:rPr>
            </w:pPr>
            <w:r w:rsidRPr="004C73C5">
              <w:rPr>
                <w:b/>
                <w:bCs/>
                <w:sz w:val="20"/>
                <w:szCs w:val="20"/>
                <w:lang w:eastAsia="en-US"/>
              </w:rPr>
              <w:t>N</w:t>
            </w:r>
            <w:r w:rsidR="00F1357A">
              <w:rPr>
                <w:b/>
                <w:bCs/>
                <w:sz w:val="20"/>
                <w:szCs w:val="20"/>
                <w:lang w:eastAsia="en-US"/>
              </w:rPr>
              <w:t>umber of</w:t>
            </w:r>
            <w:r w:rsidRPr="004C73C5">
              <w:rPr>
                <w:b/>
                <w:bCs/>
                <w:sz w:val="20"/>
                <w:szCs w:val="20"/>
                <w:lang w:eastAsia="en-US"/>
              </w:rPr>
              <w:t xml:space="preserve"> </w:t>
            </w:r>
            <w:r w:rsidR="00F1357A">
              <w:rPr>
                <w:b/>
                <w:bCs/>
                <w:sz w:val="20"/>
                <w:szCs w:val="20"/>
                <w:lang w:eastAsia="en-US"/>
              </w:rPr>
              <w:t>a</w:t>
            </w:r>
            <w:r w:rsidR="00F1357A" w:rsidRPr="004C73C5">
              <w:rPr>
                <w:b/>
                <w:bCs/>
                <w:sz w:val="20"/>
                <w:szCs w:val="20"/>
                <w:lang w:eastAsia="en-US"/>
              </w:rPr>
              <w:t>ccessions</w:t>
            </w:r>
          </w:p>
        </w:tc>
        <w:tc>
          <w:tcPr>
            <w:tcW w:w="2768" w:type="dxa"/>
            <w:tcBorders>
              <w:top w:val="single" w:sz="4" w:space="0" w:color="auto"/>
              <w:left w:val="nil"/>
              <w:bottom w:val="double" w:sz="6" w:space="0" w:color="auto"/>
              <w:right w:val="single" w:sz="4" w:space="0" w:color="auto"/>
            </w:tcBorders>
            <w:shd w:val="clear" w:color="auto" w:fill="EEECE1" w:themeFill="background2"/>
            <w:vAlign w:val="bottom"/>
            <w:hideMark/>
          </w:tcPr>
          <w:p w14:paraId="74BF977D" w14:textId="77777777" w:rsidR="005A559B" w:rsidRPr="004C73C5" w:rsidRDefault="005A559B" w:rsidP="007337CF">
            <w:pPr>
              <w:spacing w:beforeLines="40" w:before="96" w:afterLines="40" w:after="96"/>
              <w:jc w:val="center"/>
              <w:rPr>
                <w:b/>
                <w:bCs/>
                <w:sz w:val="20"/>
                <w:szCs w:val="20"/>
                <w:lang w:eastAsia="en-US"/>
              </w:rPr>
            </w:pPr>
            <w:r w:rsidRPr="004C73C5">
              <w:rPr>
                <w:b/>
                <w:bCs/>
                <w:sz w:val="20"/>
                <w:szCs w:val="20"/>
                <w:lang w:eastAsia="en-US"/>
              </w:rPr>
              <w:t>% billing change with proposed complexity changes</w:t>
            </w:r>
          </w:p>
        </w:tc>
      </w:tr>
      <w:tr w:rsidR="005A559B" w:rsidRPr="004623E8" w14:paraId="79D1DEE0" w14:textId="77777777" w:rsidTr="003000F2">
        <w:trPr>
          <w:trHeight w:val="341"/>
        </w:trPr>
        <w:tc>
          <w:tcPr>
            <w:tcW w:w="1897" w:type="dxa"/>
            <w:tcBorders>
              <w:top w:val="nil"/>
              <w:left w:val="single" w:sz="4" w:space="0" w:color="auto"/>
              <w:bottom w:val="nil"/>
              <w:right w:val="single" w:sz="4" w:space="0" w:color="auto"/>
            </w:tcBorders>
            <w:shd w:val="clear" w:color="auto" w:fill="auto"/>
            <w:noWrap/>
            <w:vAlign w:val="bottom"/>
            <w:hideMark/>
          </w:tcPr>
          <w:p w14:paraId="7172957C" w14:textId="77777777" w:rsidR="005A559B" w:rsidRPr="004C73C5" w:rsidRDefault="005A559B" w:rsidP="007337CF">
            <w:pPr>
              <w:spacing w:beforeLines="40" w:before="96" w:afterLines="40" w:after="96"/>
              <w:rPr>
                <w:sz w:val="20"/>
                <w:szCs w:val="20"/>
                <w:lang w:eastAsia="en-US"/>
              </w:rPr>
            </w:pPr>
            <w:r w:rsidRPr="004C73C5">
              <w:rPr>
                <w:sz w:val="20"/>
                <w:szCs w:val="20"/>
                <w:lang w:eastAsia="en-US"/>
              </w:rPr>
              <w:t xml:space="preserve">Lab D: </w:t>
            </w:r>
            <w:proofErr w:type="spellStart"/>
            <w:r w:rsidRPr="004C73C5">
              <w:rPr>
                <w:sz w:val="20"/>
                <w:szCs w:val="20"/>
                <w:lang w:eastAsia="en-US"/>
              </w:rPr>
              <w:t>unconed</w:t>
            </w:r>
            <w:proofErr w:type="spellEnd"/>
            <w:r w:rsidRPr="004C73C5">
              <w:rPr>
                <w:sz w:val="20"/>
                <w:szCs w:val="20"/>
                <w:lang w:eastAsia="en-US"/>
              </w:rPr>
              <w:t xml:space="preserve"> data</w:t>
            </w:r>
          </w:p>
        </w:tc>
        <w:tc>
          <w:tcPr>
            <w:tcW w:w="2016" w:type="dxa"/>
            <w:tcBorders>
              <w:top w:val="nil"/>
              <w:left w:val="nil"/>
              <w:bottom w:val="nil"/>
              <w:right w:val="nil"/>
            </w:tcBorders>
            <w:shd w:val="clear" w:color="auto" w:fill="auto"/>
            <w:noWrap/>
            <w:hideMark/>
          </w:tcPr>
          <w:p w14:paraId="53DDB9FF" w14:textId="77777777" w:rsidR="005A559B" w:rsidRPr="004C73C5" w:rsidRDefault="005A559B" w:rsidP="007337CF">
            <w:pPr>
              <w:spacing w:beforeLines="40" w:before="96" w:afterLines="40" w:after="96"/>
              <w:jc w:val="right"/>
              <w:rPr>
                <w:sz w:val="20"/>
                <w:szCs w:val="20"/>
                <w:lang w:eastAsia="en-US"/>
              </w:rPr>
            </w:pPr>
            <w:r w:rsidRPr="004C73C5">
              <w:rPr>
                <w:sz w:val="20"/>
                <w:szCs w:val="20"/>
                <w:lang w:eastAsia="en-US"/>
              </w:rPr>
              <w:t>16</w:t>
            </w:r>
            <w:r w:rsidR="008E2B5F">
              <w:rPr>
                <w:sz w:val="20"/>
                <w:szCs w:val="20"/>
                <w:lang w:eastAsia="en-US"/>
              </w:rPr>
              <w:t xml:space="preserve"> </w:t>
            </w:r>
            <w:r w:rsidRPr="004C73C5">
              <w:rPr>
                <w:sz w:val="20"/>
                <w:szCs w:val="20"/>
                <w:lang w:eastAsia="en-US"/>
              </w:rPr>
              <w:t>971</w:t>
            </w:r>
          </w:p>
        </w:tc>
        <w:tc>
          <w:tcPr>
            <w:tcW w:w="1883" w:type="dxa"/>
            <w:tcBorders>
              <w:top w:val="nil"/>
              <w:left w:val="nil"/>
              <w:bottom w:val="nil"/>
              <w:right w:val="nil"/>
            </w:tcBorders>
            <w:shd w:val="clear" w:color="auto" w:fill="auto"/>
            <w:noWrap/>
            <w:hideMark/>
          </w:tcPr>
          <w:p w14:paraId="7C354087" w14:textId="77777777" w:rsidR="005A559B" w:rsidRPr="004C73C5" w:rsidRDefault="008E2B5F" w:rsidP="007337CF">
            <w:pPr>
              <w:spacing w:beforeLines="40" w:before="96" w:afterLines="40" w:after="96"/>
              <w:jc w:val="right"/>
              <w:rPr>
                <w:sz w:val="20"/>
                <w:szCs w:val="20"/>
                <w:lang w:eastAsia="en-US"/>
              </w:rPr>
            </w:pPr>
            <w:r>
              <w:rPr>
                <w:sz w:val="20"/>
                <w:szCs w:val="20"/>
                <w:lang w:eastAsia="en-US"/>
              </w:rPr>
              <w:t>—</w:t>
            </w:r>
          </w:p>
        </w:tc>
        <w:tc>
          <w:tcPr>
            <w:tcW w:w="2768" w:type="dxa"/>
            <w:tcBorders>
              <w:top w:val="nil"/>
              <w:left w:val="nil"/>
              <w:bottom w:val="nil"/>
              <w:right w:val="single" w:sz="4" w:space="0" w:color="auto"/>
            </w:tcBorders>
            <w:shd w:val="clear" w:color="auto" w:fill="auto"/>
            <w:noWrap/>
            <w:hideMark/>
          </w:tcPr>
          <w:p w14:paraId="21F97388" w14:textId="77777777" w:rsidR="005A559B" w:rsidRPr="004C73C5" w:rsidRDefault="005A559B" w:rsidP="007337CF">
            <w:pPr>
              <w:spacing w:beforeLines="40" w:before="96" w:afterLines="40" w:after="96"/>
              <w:jc w:val="right"/>
              <w:rPr>
                <w:sz w:val="20"/>
                <w:szCs w:val="20"/>
                <w:lang w:eastAsia="en-US"/>
              </w:rPr>
            </w:pPr>
            <w:r w:rsidRPr="004C73C5">
              <w:rPr>
                <w:sz w:val="20"/>
                <w:szCs w:val="20"/>
                <w:lang w:eastAsia="en-US"/>
              </w:rPr>
              <w:t>6.60%</w:t>
            </w:r>
          </w:p>
        </w:tc>
      </w:tr>
      <w:tr w:rsidR="005A559B" w:rsidRPr="004623E8" w14:paraId="6E4D91E5" w14:textId="77777777" w:rsidTr="003000F2">
        <w:trPr>
          <w:trHeight w:val="325"/>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0360399B" w14:textId="77777777" w:rsidR="005A559B" w:rsidRPr="004C73C5" w:rsidRDefault="005A559B" w:rsidP="007337CF">
            <w:pPr>
              <w:spacing w:beforeLines="40" w:before="96" w:afterLines="40" w:after="96"/>
              <w:rPr>
                <w:sz w:val="20"/>
                <w:szCs w:val="20"/>
                <w:lang w:eastAsia="en-US"/>
              </w:rPr>
            </w:pPr>
            <w:r w:rsidRPr="004C73C5">
              <w:rPr>
                <w:sz w:val="20"/>
                <w:szCs w:val="20"/>
                <w:lang w:eastAsia="en-US"/>
              </w:rPr>
              <w:lastRenderedPageBreak/>
              <w:t>Lab D: coned data</w:t>
            </w:r>
          </w:p>
        </w:tc>
        <w:tc>
          <w:tcPr>
            <w:tcW w:w="2016" w:type="dxa"/>
            <w:tcBorders>
              <w:top w:val="nil"/>
              <w:left w:val="nil"/>
              <w:bottom w:val="single" w:sz="4" w:space="0" w:color="auto"/>
              <w:right w:val="nil"/>
            </w:tcBorders>
            <w:shd w:val="clear" w:color="auto" w:fill="auto"/>
            <w:noWrap/>
            <w:hideMark/>
          </w:tcPr>
          <w:p w14:paraId="1D8E9719" w14:textId="77777777" w:rsidR="005A559B" w:rsidRPr="004C73C5" w:rsidRDefault="008E2B5F" w:rsidP="007337CF">
            <w:pPr>
              <w:spacing w:beforeLines="40" w:before="96" w:afterLines="40" w:after="96"/>
              <w:jc w:val="right"/>
              <w:rPr>
                <w:sz w:val="20"/>
                <w:szCs w:val="20"/>
                <w:lang w:eastAsia="en-US"/>
              </w:rPr>
            </w:pPr>
            <w:r>
              <w:rPr>
                <w:sz w:val="20"/>
                <w:szCs w:val="20"/>
                <w:lang w:eastAsia="en-US"/>
              </w:rPr>
              <w:t>—</w:t>
            </w:r>
          </w:p>
        </w:tc>
        <w:tc>
          <w:tcPr>
            <w:tcW w:w="1883" w:type="dxa"/>
            <w:tcBorders>
              <w:top w:val="nil"/>
              <w:left w:val="nil"/>
              <w:bottom w:val="single" w:sz="4" w:space="0" w:color="auto"/>
              <w:right w:val="nil"/>
            </w:tcBorders>
            <w:shd w:val="clear" w:color="auto" w:fill="auto"/>
            <w:noWrap/>
            <w:hideMark/>
          </w:tcPr>
          <w:p w14:paraId="02475EDF" w14:textId="77777777" w:rsidR="005A559B" w:rsidRPr="004C73C5" w:rsidRDefault="005A559B" w:rsidP="007337CF">
            <w:pPr>
              <w:spacing w:beforeLines="40" w:before="96" w:afterLines="40" w:after="96"/>
              <w:jc w:val="right"/>
              <w:rPr>
                <w:sz w:val="20"/>
                <w:szCs w:val="20"/>
                <w:lang w:eastAsia="en-US"/>
              </w:rPr>
            </w:pPr>
            <w:r w:rsidRPr="004C73C5">
              <w:rPr>
                <w:sz w:val="20"/>
                <w:szCs w:val="20"/>
                <w:lang w:eastAsia="en-US"/>
              </w:rPr>
              <w:t>11</w:t>
            </w:r>
            <w:r w:rsidR="008E2B5F">
              <w:rPr>
                <w:sz w:val="20"/>
                <w:szCs w:val="20"/>
                <w:lang w:eastAsia="en-US"/>
              </w:rPr>
              <w:t xml:space="preserve"> </w:t>
            </w:r>
            <w:r w:rsidRPr="004C73C5">
              <w:rPr>
                <w:sz w:val="20"/>
                <w:szCs w:val="20"/>
                <w:lang w:eastAsia="en-US"/>
              </w:rPr>
              <w:t>118</w:t>
            </w:r>
          </w:p>
        </w:tc>
        <w:tc>
          <w:tcPr>
            <w:tcW w:w="2768" w:type="dxa"/>
            <w:tcBorders>
              <w:top w:val="nil"/>
              <w:left w:val="nil"/>
              <w:bottom w:val="single" w:sz="4" w:space="0" w:color="auto"/>
              <w:right w:val="single" w:sz="4" w:space="0" w:color="auto"/>
            </w:tcBorders>
            <w:shd w:val="clear" w:color="auto" w:fill="auto"/>
            <w:noWrap/>
            <w:hideMark/>
          </w:tcPr>
          <w:p w14:paraId="070F3AC0" w14:textId="77777777" w:rsidR="005A559B" w:rsidRPr="004C73C5" w:rsidRDefault="005A559B" w:rsidP="007337CF">
            <w:pPr>
              <w:spacing w:beforeLines="40" w:before="96" w:afterLines="40" w:after="96"/>
              <w:jc w:val="right"/>
              <w:rPr>
                <w:sz w:val="20"/>
                <w:szCs w:val="20"/>
                <w:lang w:eastAsia="en-US"/>
              </w:rPr>
            </w:pPr>
            <w:r w:rsidRPr="004C73C5">
              <w:rPr>
                <w:sz w:val="20"/>
                <w:szCs w:val="20"/>
                <w:lang w:eastAsia="en-US"/>
              </w:rPr>
              <w:t>6.29%</w:t>
            </w:r>
          </w:p>
        </w:tc>
      </w:tr>
    </w:tbl>
    <w:p w14:paraId="30E2ED3A" w14:textId="77777777" w:rsidR="003000F2" w:rsidRDefault="003000F2" w:rsidP="00D645C9">
      <w:bookmarkStart w:id="57" w:name="_Toc482203582"/>
    </w:p>
    <w:p w14:paraId="0CB39C1F" w14:textId="77777777" w:rsidR="003000F2" w:rsidRDefault="003000F2">
      <w:pPr>
        <w:spacing w:before="0" w:after="0"/>
        <w:rPr>
          <w:rFonts w:eastAsiaTheme="minorHAnsi" w:cs="Arial"/>
          <w:b/>
          <w:bCs/>
          <w:iCs/>
          <w:color w:val="01653F"/>
          <w:sz w:val="28"/>
          <w:szCs w:val="22"/>
          <w:lang w:val="en-US" w:eastAsia="en-US"/>
        </w:rPr>
      </w:pPr>
      <w:r>
        <w:br w:type="page"/>
      </w:r>
    </w:p>
    <w:p w14:paraId="617900C4" w14:textId="77777777" w:rsidR="005025D0" w:rsidRPr="002E2665" w:rsidRDefault="003000F2" w:rsidP="003000F2">
      <w:pPr>
        <w:pStyle w:val="Heading2"/>
        <w:numPr>
          <w:ilvl w:val="0"/>
          <w:numId w:val="0"/>
        </w:numPr>
        <w:ind w:left="567" w:hanging="567"/>
      </w:pPr>
      <w:bookmarkStart w:id="58" w:name="_Toc514243832"/>
      <w:r>
        <w:lastRenderedPageBreak/>
        <w:t>4.2</w:t>
      </w:r>
      <w:r>
        <w:tab/>
      </w:r>
      <w:r w:rsidR="005025D0" w:rsidRPr="002E2665">
        <w:t xml:space="preserve">Coning in </w:t>
      </w:r>
      <w:r w:rsidR="0057502C">
        <w:t xml:space="preserve">Tissue </w:t>
      </w:r>
      <w:r w:rsidR="00E86DF1" w:rsidRPr="002E2665">
        <w:t xml:space="preserve">Pathology </w:t>
      </w:r>
      <w:r w:rsidR="004503F9" w:rsidRPr="002E2665">
        <w:t xml:space="preserve">core </w:t>
      </w:r>
      <w:r w:rsidR="005025D0" w:rsidRPr="002E2665">
        <w:t>items</w:t>
      </w:r>
      <w:bookmarkEnd w:id="57"/>
      <w:bookmarkEnd w:id="58"/>
    </w:p>
    <w:p w14:paraId="7A1F3F2F" w14:textId="77777777" w:rsidR="003000F2" w:rsidRDefault="003000F2" w:rsidP="00772F53">
      <w:pPr>
        <w:pStyle w:val="Rec"/>
      </w:pPr>
      <w:r>
        <w:t>Introduction</w:t>
      </w:r>
    </w:p>
    <w:p w14:paraId="1BC7E211" w14:textId="77777777" w:rsidR="003000F2" w:rsidRDefault="002A6298" w:rsidP="002A6298">
      <w:pPr>
        <w:pStyle w:val="NormalBulleted"/>
        <w:numPr>
          <w:ilvl w:val="0"/>
          <w:numId w:val="0"/>
        </w:numPr>
        <w:spacing w:before="0" w:after="0"/>
      </w:pPr>
      <w:r>
        <w:rPr>
          <w:lang w:val="en-US" w:eastAsia="en-US"/>
        </w:rPr>
        <w:t>Currently there is no capacity to fund multiple specimens of complexity levels 2, 5, 6 or 7. There are different tiered items for multiple specimens of complexity levels 3 and 4, with reduced effective rebate per specimen with increa</w:t>
      </w:r>
      <w:r w:rsidR="00707180">
        <w:rPr>
          <w:lang w:val="en-US" w:eastAsia="en-US"/>
        </w:rPr>
        <w:t>sing numbers of specimens. Superimposed on</w:t>
      </w:r>
      <w:r>
        <w:rPr>
          <w:lang w:val="en-US" w:eastAsia="en-US"/>
        </w:rPr>
        <w:t xml:space="preserve"> these within-level cones is Rule 13, which </w:t>
      </w:r>
      <w:r w:rsidR="003000F2" w:rsidRPr="00AB5985">
        <w:t>dictates that a billing code for a specimen of higher complexity overrides a billing code for lower</w:t>
      </w:r>
      <w:r w:rsidR="003000F2">
        <w:t>-</w:t>
      </w:r>
      <w:r w:rsidR="003000F2" w:rsidRPr="00AB5985">
        <w:t>complexity item/s, unless the dollar value of a tiered lower</w:t>
      </w:r>
      <w:r w:rsidR="003000F2">
        <w:t>-</w:t>
      </w:r>
      <w:r w:rsidR="003000F2" w:rsidRPr="00AB5985">
        <w:t>complexity item is greater.</w:t>
      </w:r>
      <w:r w:rsidR="003000F2">
        <w:t xml:space="preserve"> </w:t>
      </w:r>
    </w:p>
    <w:p w14:paraId="5E38608B" w14:textId="77777777" w:rsidR="00944DD3" w:rsidRPr="00772F53" w:rsidRDefault="00944DD3" w:rsidP="002A6298">
      <w:pPr>
        <w:pStyle w:val="Rec"/>
        <w:ind w:left="0" w:firstLine="0"/>
      </w:pPr>
      <w:r w:rsidRPr="00772F53">
        <w:t>Recommendations</w:t>
      </w:r>
    </w:p>
    <w:p w14:paraId="33DCA171" w14:textId="77777777" w:rsidR="00944DD3" w:rsidRPr="006D4298" w:rsidRDefault="00944DD3" w:rsidP="00774742">
      <w:pPr>
        <w:pStyle w:val="NormalBulleted"/>
      </w:pPr>
      <w:r w:rsidRPr="006D4298">
        <w:t>Remove all within-level coning/tiering, having a single item for each Histology complexity</w:t>
      </w:r>
      <w:r>
        <w:t>:</w:t>
      </w:r>
    </w:p>
    <w:p w14:paraId="322A49F0" w14:textId="77777777" w:rsidR="00944DD3" w:rsidRPr="006D4298" w:rsidRDefault="00944DD3" w:rsidP="00774742">
      <w:pPr>
        <w:pStyle w:val="NormalBulleted"/>
        <w:numPr>
          <w:ilvl w:val="0"/>
          <w:numId w:val="0"/>
        </w:numPr>
        <w:ind w:left="567"/>
      </w:pPr>
      <w:r w:rsidRPr="006D4298">
        <w:t>- minor rewording of Histology items: 72813, 72816, 72823, 72830, 72836, 72838</w:t>
      </w:r>
    </w:p>
    <w:p w14:paraId="1B634685" w14:textId="77777777" w:rsidR="00944DD3" w:rsidRPr="006D4298" w:rsidRDefault="00944DD3" w:rsidP="00774742">
      <w:pPr>
        <w:pStyle w:val="NormalBulleted"/>
        <w:numPr>
          <w:ilvl w:val="0"/>
          <w:numId w:val="0"/>
        </w:numPr>
        <w:ind w:left="567"/>
      </w:pPr>
      <w:r w:rsidRPr="006D4298">
        <w:t>- removal of Histology items: 72817, 72818, 72824, 72825, 72826, 72827, 72828</w:t>
      </w:r>
      <w:r>
        <w:t>.</w:t>
      </w:r>
    </w:p>
    <w:p w14:paraId="4A9516FC" w14:textId="77777777" w:rsidR="0057502C" w:rsidRDefault="00944DD3" w:rsidP="0057502C">
      <w:pPr>
        <w:pStyle w:val="NormalBulleted"/>
      </w:pPr>
      <w:r w:rsidRPr="006D4298">
        <w:t>Remove Rule 13 to remove all between-level coning for Histology (adjust explanatory notes)</w:t>
      </w:r>
      <w:r>
        <w:t>.</w:t>
      </w:r>
    </w:p>
    <w:p w14:paraId="549FA400" w14:textId="77777777" w:rsidR="0057502C" w:rsidRDefault="0057502C" w:rsidP="0057502C">
      <w:pPr>
        <w:pStyle w:val="NormalBulleted"/>
      </w:pPr>
      <w:r>
        <w:t xml:space="preserve">Rather </w:t>
      </w:r>
      <w:r w:rsidRPr="006D4298">
        <w:t xml:space="preserve">than renegotiate the rebate for each item (assuming simple removal of coning is deemed financially unacceptable), consider the adoption of an alternative </w:t>
      </w:r>
      <w:r>
        <w:t>‘</w:t>
      </w:r>
      <w:r w:rsidRPr="006D4298">
        <w:t>Surgical</w:t>
      </w:r>
      <w:r>
        <w:t>’</w:t>
      </w:r>
      <w:r w:rsidRPr="006D4298">
        <w:t xml:space="preserve"> model of reimbursement for histology core items, providing 100% rebate for the most expensive item, 50% rebate for the next most expensive item and 25% rebate for each subsequent item thereafter.</w:t>
      </w:r>
    </w:p>
    <w:p w14:paraId="0B6387C5" w14:textId="77777777" w:rsidR="00944DD3" w:rsidRPr="002E2665" w:rsidRDefault="00944DD3" w:rsidP="00772F53">
      <w:pPr>
        <w:pStyle w:val="Rec"/>
      </w:pPr>
      <w:r w:rsidRPr="00944DD3">
        <w:t>Rationale</w:t>
      </w:r>
    </w:p>
    <w:p w14:paraId="045C3609" w14:textId="77777777" w:rsidR="003E129A" w:rsidRPr="003E129A" w:rsidRDefault="00A3752B" w:rsidP="00AB5985">
      <w:pPr>
        <w:pStyle w:val="NormalBulleted"/>
      </w:pPr>
      <w:r w:rsidRPr="003E129A">
        <w:t>If coning is anything other than a cost</w:t>
      </w:r>
      <w:r w:rsidR="00564688" w:rsidRPr="003E129A">
        <w:t>-</w:t>
      </w:r>
      <w:r w:rsidRPr="003E129A">
        <w:t xml:space="preserve">constraining exercise, it presumably is supposed to reflect economies of scale in the provision of work. There are no significant economies of scale in </w:t>
      </w:r>
      <w:r w:rsidR="0057502C" w:rsidRPr="003E129A">
        <w:t>Tissue</w:t>
      </w:r>
      <w:r w:rsidRPr="003E129A">
        <w:t xml:space="preserve"> Pathology. Every single specimen must be indivi</w:t>
      </w:r>
      <w:r w:rsidR="0057502C" w:rsidRPr="003E129A">
        <w:t>dually macroscopically assessed (cut-up)</w:t>
      </w:r>
      <w:r w:rsidRPr="003E129A">
        <w:t xml:space="preserve">, processed, cut </w:t>
      </w:r>
      <w:r w:rsidR="00564688" w:rsidRPr="003E129A">
        <w:t xml:space="preserve">and </w:t>
      </w:r>
      <w:r w:rsidRPr="003E129A">
        <w:t>stained, microscopically assessed and reported as if it were received as a single specimen.</w:t>
      </w:r>
      <w:r w:rsidR="0057502C" w:rsidRPr="003E129A">
        <w:t xml:space="preserve"> A minor economy of scale is present in the data entry effort required for multiple specimens from a single patient, but this is insignificant in comparison to the effort involved in the laboratory processing and pathologist reporting. </w:t>
      </w:r>
      <w:r w:rsidR="002A6298" w:rsidRPr="003E129A">
        <w:rPr>
          <w:lang w:val="en-US" w:eastAsia="en-US"/>
        </w:rPr>
        <w:t xml:space="preserve">The current coning rules are particularly inequitable for complex specimens. </w:t>
      </w:r>
    </w:p>
    <w:p w14:paraId="6091A3DA" w14:textId="77777777" w:rsidR="003E129A" w:rsidRDefault="00A3752B" w:rsidP="00AB5985">
      <w:pPr>
        <w:pStyle w:val="NormalBulleted"/>
      </w:pPr>
      <w:r w:rsidRPr="003E129A">
        <w:t xml:space="preserve">Depending on the practice type, at least 40% of </w:t>
      </w:r>
      <w:r w:rsidR="0057502C" w:rsidRPr="003E129A">
        <w:t>Tissue</w:t>
      </w:r>
      <w:r w:rsidRPr="003E129A">
        <w:t xml:space="preserve"> Pathology specimens come via Specialist request (rather the GP request). </w:t>
      </w:r>
      <w:r w:rsidR="008751A4" w:rsidRPr="003E129A">
        <w:t xml:space="preserve">The overall percentage of Specialist requests </w:t>
      </w:r>
      <w:r w:rsidR="00CB294E" w:rsidRPr="003E129A">
        <w:t>evident</w:t>
      </w:r>
      <w:r w:rsidR="008751A4" w:rsidRPr="003E129A">
        <w:t xml:space="preserve"> in the </w:t>
      </w:r>
      <w:r w:rsidR="00CB294E" w:rsidRPr="003E129A">
        <w:t>2014</w:t>
      </w:r>
      <w:r w:rsidR="00564688" w:rsidRPr="003E129A">
        <w:t>–</w:t>
      </w:r>
      <w:r w:rsidR="00CB294E" w:rsidRPr="003E129A">
        <w:t xml:space="preserve">15 </w:t>
      </w:r>
      <w:r w:rsidR="008751A4" w:rsidRPr="003E129A">
        <w:t>MBS data was 48.27%</w:t>
      </w:r>
      <w:r w:rsidR="00902484" w:rsidRPr="003E129A">
        <w:t xml:space="preserve"> (see </w:t>
      </w:r>
      <w:r w:rsidR="00902484" w:rsidRPr="003E129A">
        <w:rPr>
          <w:i/>
        </w:rPr>
        <w:t xml:space="preserve">Table </w:t>
      </w:r>
      <w:r w:rsidR="0057502C" w:rsidRPr="003E129A">
        <w:rPr>
          <w:i/>
        </w:rPr>
        <w:t xml:space="preserve">3 </w:t>
      </w:r>
      <w:r w:rsidR="00902484" w:rsidRPr="003E129A">
        <w:t>above)</w:t>
      </w:r>
      <w:r w:rsidR="008751A4" w:rsidRPr="003E129A">
        <w:t xml:space="preserve">. </w:t>
      </w:r>
      <w:r w:rsidRPr="003E129A">
        <w:t xml:space="preserve">Coning in other areas of pathology is limited to specimens referred by GPs. Not only does this differential coning not occur in </w:t>
      </w:r>
      <w:r w:rsidR="0057502C" w:rsidRPr="003E129A">
        <w:t>Tissue</w:t>
      </w:r>
      <w:r w:rsidR="00564688" w:rsidRPr="003E129A">
        <w:t xml:space="preserve"> Pathology</w:t>
      </w:r>
      <w:r w:rsidRPr="003E129A">
        <w:t xml:space="preserve">, all specimen requests are similarly coned, regardless of </w:t>
      </w:r>
      <w:r w:rsidR="00564688" w:rsidRPr="003E129A">
        <w:t xml:space="preserve">requester Specialist </w:t>
      </w:r>
      <w:r w:rsidRPr="003E129A">
        <w:t>status.</w:t>
      </w:r>
    </w:p>
    <w:p w14:paraId="4E47BEF5" w14:textId="77777777" w:rsidR="003E129A" w:rsidRDefault="00A3752B" w:rsidP="00AB5985">
      <w:pPr>
        <w:pStyle w:val="NormalBulleted"/>
      </w:pPr>
      <w:r w:rsidRPr="003E129A">
        <w:t>Coning in other areas of pathology is designed to limit unnecessary testing (particular</w:t>
      </w:r>
      <w:r w:rsidR="00564688" w:rsidRPr="003E129A">
        <w:t>ly</w:t>
      </w:r>
      <w:r w:rsidRPr="003E129A">
        <w:t xml:space="preserve"> whe</w:t>
      </w:r>
      <w:r w:rsidR="00564688" w:rsidRPr="003E129A">
        <w:t>n</w:t>
      </w:r>
      <w:r w:rsidRPr="003E129A">
        <w:t xml:space="preserve"> certain tests are pathologist-determinable). In </w:t>
      </w:r>
      <w:r w:rsidR="0057502C" w:rsidRPr="003E129A">
        <w:t>Tissue</w:t>
      </w:r>
      <w:r w:rsidRPr="003E129A">
        <w:t xml:space="preserve"> Pathology, unnecessary testing is highly unlikely to occur, as </w:t>
      </w:r>
      <w:r w:rsidR="00D716E8" w:rsidRPr="003E129A">
        <w:t xml:space="preserve">clinicians do not perform unnecessary biopsies or excision and </w:t>
      </w:r>
      <w:r w:rsidRPr="003E129A">
        <w:t xml:space="preserve">patients </w:t>
      </w:r>
      <w:r w:rsidR="00D716E8" w:rsidRPr="003E129A">
        <w:t xml:space="preserve">will not </w:t>
      </w:r>
      <w:r w:rsidRPr="003E129A">
        <w:t>consent to unnecessary surgical intervention to provide additional specimens.</w:t>
      </w:r>
    </w:p>
    <w:p w14:paraId="317591E6" w14:textId="77777777" w:rsidR="003E129A" w:rsidRDefault="00A3752B" w:rsidP="00AB5985">
      <w:pPr>
        <w:pStyle w:val="NormalBulleted"/>
      </w:pPr>
      <w:r w:rsidRPr="003E129A">
        <w:t xml:space="preserve">There is no </w:t>
      </w:r>
      <w:proofErr w:type="gramStart"/>
      <w:r w:rsidRPr="003E129A">
        <w:t>particular logic</w:t>
      </w:r>
      <w:proofErr w:type="gramEnd"/>
      <w:r w:rsidRPr="003E129A">
        <w:t xml:space="preserve"> to the </w:t>
      </w:r>
      <w:r w:rsidR="002A6298" w:rsidRPr="003E129A">
        <w:t xml:space="preserve">current </w:t>
      </w:r>
      <w:r w:rsidRPr="003E129A">
        <w:t>tier</w:t>
      </w:r>
      <w:r w:rsidR="002A6298" w:rsidRPr="003E129A">
        <w:t>ed item</w:t>
      </w:r>
      <w:r w:rsidRPr="003E129A">
        <w:t xml:space="preserve"> structure within complexity </w:t>
      </w:r>
      <w:r w:rsidR="00B21D4A" w:rsidRPr="003E129A">
        <w:t>level</w:t>
      </w:r>
      <w:r w:rsidRPr="003E129A">
        <w:t xml:space="preserve">s. </w:t>
      </w:r>
      <w:r w:rsidR="00564688" w:rsidRPr="003E129A">
        <w:t>In addition to</w:t>
      </w:r>
      <w:r w:rsidR="00757248" w:rsidRPr="003E129A">
        <w:t xml:space="preserve"> </w:t>
      </w:r>
      <w:r w:rsidR="0057502C" w:rsidRPr="003E129A">
        <w:t xml:space="preserve">there being no capacity to bill for more than one level 2 </w:t>
      </w:r>
      <w:r w:rsidR="00902484" w:rsidRPr="003E129A">
        <w:t xml:space="preserve">histology </w:t>
      </w:r>
      <w:r w:rsidR="0057502C" w:rsidRPr="003E129A">
        <w:t>specimen</w:t>
      </w:r>
      <w:r w:rsidR="00757248" w:rsidRPr="003E129A">
        <w:t xml:space="preserve"> (such as vasectomy, which is rarely unilateral)</w:t>
      </w:r>
      <w:r w:rsidRPr="003E129A">
        <w:t xml:space="preserve">, there are no tiers for multiple specimens of </w:t>
      </w:r>
      <w:r w:rsidR="00B21D4A" w:rsidRPr="003E129A">
        <w:t>level</w:t>
      </w:r>
      <w:r w:rsidRPr="003E129A">
        <w:t>s 5, 6</w:t>
      </w:r>
      <w:r w:rsidR="00902484" w:rsidRPr="003E129A">
        <w:t xml:space="preserve"> and</w:t>
      </w:r>
      <w:r w:rsidRPr="003E129A">
        <w:t xml:space="preserve"> 7</w:t>
      </w:r>
      <w:r w:rsidR="00CB294E" w:rsidRPr="003E129A">
        <w:t xml:space="preserve"> complexity,</w:t>
      </w:r>
      <w:r w:rsidRPr="003E129A">
        <w:t xml:space="preserve"> despite these being the most difficult and time</w:t>
      </w:r>
      <w:r w:rsidR="00902484" w:rsidRPr="003E129A">
        <w:t>-</w:t>
      </w:r>
      <w:r w:rsidRPr="003E129A">
        <w:t>consuming specimens.</w:t>
      </w:r>
      <w:r w:rsidR="00564688" w:rsidRPr="003E129A">
        <w:t xml:space="preserve"> </w:t>
      </w:r>
      <w:proofErr w:type="gramStart"/>
      <w:r w:rsidRPr="003E129A">
        <w:t>Thus</w:t>
      </w:r>
      <w:proofErr w:type="gramEnd"/>
      <w:r w:rsidRPr="003E129A">
        <w:t xml:space="preserve"> a double mastectomy for bilateral breast cancer is rebated the same as a single mastectomy (</w:t>
      </w:r>
      <w:r w:rsidR="00B21D4A" w:rsidRPr="003E129A">
        <w:t>level</w:t>
      </w:r>
      <w:r w:rsidRPr="003E129A">
        <w:t xml:space="preserve"> 6), despite requiring </w:t>
      </w:r>
      <w:r w:rsidR="008840F8" w:rsidRPr="003E129A">
        <w:t>twice</w:t>
      </w:r>
      <w:r w:rsidRPr="003E129A">
        <w:t xml:space="preserve"> the work.</w:t>
      </w:r>
    </w:p>
    <w:p w14:paraId="066AF6AE" w14:textId="77777777" w:rsidR="003E129A" w:rsidRPr="003E129A" w:rsidRDefault="00A3752B" w:rsidP="006879EA">
      <w:pPr>
        <w:pStyle w:val="NormalBulleted"/>
      </w:pPr>
      <w:r w:rsidRPr="003E129A">
        <w:t xml:space="preserve">The incrementally smaller rebate for each additional specimen at a given complexity </w:t>
      </w:r>
      <w:r w:rsidR="00B21D4A" w:rsidRPr="003E129A">
        <w:t>level</w:t>
      </w:r>
      <w:r w:rsidRPr="003E129A">
        <w:t xml:space="preserve"> is shown in </w:t>
      </w:r>
      <w:r w:rsidR="00CB294E" w:rsidRPr="003E129A">
        <w:rPr>
          <w:i/>
        </w:rPr>
        <w:t xml:space="preserve">Figure </w:t>
      </w:r>
      <w:r w:rsidR="008840F8" w:rsidRPr="003E129A">
        <w:rPr>
          <w:i/>
        </w:rPr>
        <w:t>7</w:t>
      </w:r>
      <w:r w:rsidR="00F93474" w:rsidRPr="003E129A">
        <w:t xml:space="preserve"> </w:t>
      </w:r>
      <w:r w:rsidR="00CB294E" w:rsidRPr="003E129A">
        <w:t>below</w:t>
      </w:r>
      <w:r w:rsidRPr="003E129A">
        <w:t>.</w:t>
      </w:r>
      <w:r w:rsidR="00E11BC0" w:rsidRPr="003E129A">
        <w:t xml:space="preserve"> </w:t>
      </w:r>
      <w:r w:rsidR="00902484" w:rsidRPr="003E129A">
        <w:rPr>
          <w:lang w:val="en-US" w:eastAsia="en-US"/>
        </w:rPr>
        <w:t xml:space="preserve">For example, if one </w:t>
      </w:r>
      <w:r w:rsidR="00B21D4A" w:rsidRPr="003E129A">
        <w:rPr>
          <w:lang w:val="en-US" w:eastAsia="en-US"/>
        </w:rPr>
        <w:t>level</w:t>
      </w:r>
      <w:r w:rsidR="00902484" w:rsidRPr="003E129A">
        <w:rPr>
          <w:lang w:val="en-US" w:eastAsia="en-US"/>
        </w:rPr>
        <w:t xml:space="preserve"> 6 specimen is received, it attracts $417.20</w:t>
      </w:r>
      <w:r w:rsidR="00564688" w:rsidRPr="003E129A">
        <w:rPr>
          <w:lang w:val="en-US" w:eastAsia="en-US"/>
        </w:rPr>
        <w:t xml:space="preserve">. However, </w:t>
      </w:r>
      <w:r w:rsidR="00902484" w:rsidRPr="003E129A">
        <w:rPr>
          <w:lang w:val="en-US" w:eastAsia="en-US"/>
        </w:rPr>
        <w:t xml:space="preserve">if two </w:t>
      </w:r>
      <w:r w:rsidR="00B21D4A" w:rsidRPr="003E129A">
        <w:rPr>
          <w:lang w:val="en-US" w:eastAsia="en-US"/>
        </w:rPr>
        <w:t>level</w:t>
      </w:r>
      <w:r w:rsidR="00902484" w:rsidRPr="003E129A">
        <w:rPr>
          <w:lang w:val="en-US" w:eastAsia="en-US"/>
        </w:rPr>
        <w:t xml:space="preserve"> 6 specimens are received, the rebate is unchanged, thus each specimen is effectively remunerated at $208.60, If 3 </w:t>
      </w:r>
      <w:r w:rsidR="00B21D4A" w:rsidRPr="003E129A">
        <w:rPr>
          <w:lang w:val="en-US" w:eastAsia="en-US"/>
        </w:rPr>
        <w:t>level</w:t>
      </w:r>
      <w:r w:rsidR="00902484" w:rsidRPr="003E129A">
        <w:rPr>
          <w:lang w:val="en-US" w:eastAsia="en-US"/>
        </w:rPr>
        <w:t xml:space="preserve"> 6 specimens are received the effective remuneration per specimen is only $139.06</w:t>
      </w:r>
      <w:r w:rsidR="00564688" w:rsidRPr="003E129A">
        <w:rPr>
          <w:lang w:val="en-US" w:eastAsia="en-US"/>
        </w:rPr>
        <w:t>,</w:t>
      </w:r>
      <w:r w:rsidR="00902484" w:rsidRPr="003E129A">
        <w:rPr>
          <w:lang w:val="en-US" w:eastAsia="en-US"/>
        </w:rPr>
        <w:t xml:space="preserve"> </w:t>
      </w:r>
      <w:r w:rsidR="00564688" w:rsidRPr="003E129A">
        <w:rPr>
          <w:lang w:val="en-US" w:eastAsia="en-US"/>
        </w:rPr>
        <w:t>and so on</w:t>
      </w:r>
      <w:r w:rsidR="00902484" w:rsidRPr="003E129A">
        <w:rPr>
          <w:lang w:val="en-US" w:eastAsia="en-US"/>
        </w:rPr>
        <w:t>.</w:t>
      </w:r>
      <w:r w:rsidR="00C615C6" w:rsidRPr="003E129A">
        <w:rPr>
          <w:lang w:val="en-US" w:eastAsia="en-US"/>
        </w:rPr>
        <w:t xml:space="preserve"> Examination of high</w:t>
      </w:r>
      <w:r w:rsidR="00564688" w:rsidRPr="003E129A">
        <w:rPr>
          <w:lang w:val="en-US" w:eastAsia="en-US"/>
        </w:rPr>
        <w:t>-</w:t>
      </w:r>
      <w:r w:rsidR="00C615C6" w:rsidRPr="003E129A">
        <w:rPr>
          <w:lang w:val="en-US" w:eastAsia="en-US"/>
        </w:rPr>
        <w:t>complexity specimens is therefore a loss-making exercise.</w:t>
      </w:r>
    </w:p>
    <w:p w14:paraId="508627AF" w14:textId="77777777" w:rsidR="00564688" w:rsidRPr="005413F6" w:rsidRDefault="00564688" w:rsidP="006879EA">
      <w:pPr>
        <w:pStyle w:val="Caption"/>
      </w:pPr>
      <w:bookmarkStart w:id="59" w:name="_Toc482213882"/>
      <w:r>
        <w:lastRenderedPageBreak/>
        <w:t xml:space="preserve">Figure </w:t>
      </w:r>
      <w:r w:rsidR="008840F8">
        <w:t>7</w:t>
      </w:r>
      <w:r>
        <w:t xml:space="preserve">. </w:t>
      </w:r>
      <w:r w:rsidRPr="008E1628">
        <w:t xml:space="preserve">Current effective rebate per specimen if additional histology specimens are received at each complexity </w:t>
      </w:r>
      <w:r w:rsidR="00B21D4A">
        <w:t>level</w:t>
      </w:r>
      <w:r w:rsidRPr="008E1628">
        <w:t>.</w:t>
      </w:r>
      <w:bookmarkEnd w:id="59"/>
    </w:p>
    <w:p w14:paraId="45AD4070" w14:textId="77777777" w:rsidR="00CB294E" w:rsidRDefault="0085283E" w:rsidP="00902484">
      <w:pPr>
        <w:rPr>
          <w:i/>
          <w:lang w:val="en-US" w:eastAsia="en-US"/>
        </w:rPr>
      </w:pPr>
      <w:r>
        <w:rPr>
          <w:noProof/>
          <w:lang w:val="en-AU"/>
        </w:rPr>
        <w:drawing>
          <wp:inline distT="0" distB="0" distL="0" distR="0" wp14:anchorId="40C915F7" wp14:editId="640A5772">
            <wp:extent cx="5448300" cy="5257800"/>
            <wp:effectExtent l="0" t="0" r="0" b="0"/>
            <wp:docPr id="2" name="Chart 2" descr="This is a line chart showing the current effective rebate per specimen if additional histology specimens are received at each complexity le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8DD6B1" w14:textId="77777777" w:rsidR="003E129A" w:rsidRDefault="003E129A" w:rsidP="003E129A">
      <w:pPr>
        <w:pStyle w:val="NormalBulleted"/>
        <w:numPr>
          <w:ilvl w:val="0"/>
          <w:numId w:val="0"/>
        </w:numPr>
        <w:ind w:left="357"/>
      </w:pPr>
    </w:p>
    <w:p w14:paraId="3671FB26" w14:textId="77777777" w:rsidR="003E129A" w:rsidRDefault="003E129A" w:rsidP="00AB5985">
      <w:pPr>
        <w:pStyle w:val="NormalBulleted"/>
      </w:pPr>
      <w:r w:rsidRPr="003E129A">
        <w:t xml:space="preserve">At present Rule 13 requires that a specimen of higher complexity ‘trumps’ all specimens of lower complexity with respect to the rebate, except if the dollar value of a higher-tier lower-complexity item is greater (which rarely happens). </w:t>
      </w:r>
      <w:proofErr w:type="gramStart"/>
      <w:r w:rsidRPr="003E129A">
        <w:t>Thus</w:t>
      </w:r>
      <w:proofErr w:type="gramEnd"/>
      <w:r w:rsidRPr="003E129A">
        <w:t xml:space="preserve"> a single orientated skin biopsy (level 4) trumps up to five </w:t>
      </w:r>
      <w:proofErr w:type="spellStart"/>
      <w:r w:rsidRPr="003E129A">
        <w:t>unorientated</w:t>
      </w:r>
      <w:proofErr w:type="spellEnd"/>
      <w:r w:rsidRPr="003E129A">
        <w:t xml:space="preserve"> skin biopsies (level 3) received on the same request, and only the single level 4 biopsy is remunerated. </w:t>
      </w:r>
      <w:proofErr w:type="gramStart"/>
      <w:r w:rsidRPr="003E129A">
        <w:t>Likewise</w:t>
      </w:r>
      <w:proofErr w:type="gramEnd"/>
      <w:r w:rsidRPr="003E129A">
        <w:t xml:space="preserve"> an orientated wide local excision of a breast tumour (level 7) trumps the associated axillary node dissection (level 5), which is not remunerated, regardless of the work involved.</w:t>
      </w:r>
    </w:p>
    <w:p w14:paraId="4DBCB925" w14:textId="77777777" w:rsidR="008840F8" w:rsidRDefault="00A3752B" w:rsidP="008840F8">
      <w:pPr>
        <w:pStyle w:val="NormalBulleted"/>
      </w:pPr>
      <w:r w:rsidRPr="00FD7696">
        <w:t>Attempts to compare and manage laboratory Anatomical Pathologist workload based on coned MBS data ha</w:t>
      </w:r>
      <w:r w:rsidR="00704765" w:rsidRPr="005413F6">
        <w:t>ve</w:t>
      </w:r>
      <w:r w:rsidRPr="005413F6">
        <w:t xml:space="preserve"> repeatedly been found to be inequitable. Labs have used other measure</w:t>
      </w:r>
      <w:r w:rsidR="00704765" w:rsidRPr="005413F6">
        <w:t>s</w:t>
      </w:r>
      <w:r w:rsidRPr="005413F6">
        <w:t xml:space="preserve"> such as block</w:t>
      </w:r>
      <w:r w:rsidR="00B21D4A">
        <w:t xml:space="preserve"> or </w:t>
      </w:r>
      <w:r w:rsidRPr="005413F6">
        <w:t xml:space="preserve">slide numbers and workload points allocated according to complexity of each individual specimen. This is obviously necessary because real work effort is not reflected in the coned </w:t>
      </w:r>
      <w:r w:rsidR="00704765" w:rsidRPr="005413F6">
        <w:t xml:space="preserve">MBS </w:t>
      </w:r>
      <w:r w:rsidR="00CB294E" w:rsidRPr="005413F6">
        <w:t>histology</w:t>
      </w:r>
      <w:r w:rsidRPr="005413F6">
        <w:t xml:space="preserve"> data.</w:t>
      </w:r>
    </w:p>
    <w:p w14:paraId="5C17A033" w14:textId="77777777" w:rsidR="008840F8" w:rsidRPr="0063444B" w:rsidRDefault="008840F8" w:rsidP="008840F8">
      <w:pPr>
        <w:pStyle w:val="NormalBulleted"/>
      </w:pPr>
      <w:r w:rsidRPr="0063444B">
        <w:t>If</w:t>
      </w:r>
      <w:r>
        <w:t xml:space="preserve"> Tissue </w:t>
      </w:r>
      <w:r w:rsidRPr="0063444B">
        <w:t xml:space="preserve">Pathology laboratories are unable to demonstrate financial viability, this potentially impacts on staffing, hence on workload, and subsequently on turn-around times and quality </w:t>
      </w:r>
      <w:r>
        <w:t>(</w:t>
      </w:r>
      <w:r w:rsidRPr="0063444B">
        <w:t>a stressed and overloaded workforce is more likely to make diagnostic errors</w:t>
      </w:r>
      <w:r>
        <w:t>)</w:t>
      </w:r>
      <w:r w:rsidRPr="0063444B">
        <w:t>.</w:t>
      </w:r>
      <w:r>
        <w:t xml:space="preserve"> Laboratories must allocate resources across each of the Pathology disciplines in a financially sustainable way to remain viable.</w:t>
      </w:r>
    </w:p>
    <w:p w14:paraId="1169A39D" w14:textId="77777777" w:rsidR="008840F8" w:rsidRDefault="008840F8" w:rsidP="008840F8">
      <w:pPr>
        <w:pStyle w:val="NormalBulleted"/>
      </w:pPr>
      <w:r w:rsidRPr="0063444B">
        <w:t xml:space="preserve">There is currently a serious issue of understaffing within </w:t>
      </w:r>
      <w:r>
        <w:t xml:space="preserve">Tissue </w:t>
      </w:r>
      <w:r w:rsidRPr="0063444B">
        <w:t>Pathology laboratories</w:t>
      </w:r>
      <w:r>
        <w:t>,</w:t>
      </w:r>
      <w:r w:rsidRPr="0063444B">
        <w:t xml:space="preserve"> resulting in significant delays in the preparation of histopathology slides and the preparation of histopathology reports. This is resulting in increasing turnaround times for results. </w:t>
      </w:r>
    </w:p>
    <w:p w14:paraId="1CB684C5" w14:textId="77777777" w:rsidR="003E129A" w:rsidRDefault="008840F8" w:rsidP="003E129A">
      <w:pPr>
        <w:pStyle w:val="NormalBulleted"/>
        <w:numPr>
          <w:ilvl w:val="0"/>
          <w:numId w:val="0"/>
        </w:numPr>
        <w:ind w:left="357"/>
      </w:pPr>
      <w:r w:rsidRPr="0063444B">
        <w:lastRenderedPageBreak/>
        <w:t xml:space="preserve">The issue of staff shortages results from an immediate lack of funding for additional staff but also a workforce shortage of histopathology scientific and technical staff due to the inability to attract people to the career. </w:t>
      </w:r>
    </w:p>
    <w:p w14:paraId="21103F07" w14:textId="77777777" w:rsidR="008840F8" w:rsidRPr="0063444B" w:rsidRDefault="008840F8" w:rsidP="003E129A">
      <w:pPr>
        <w:pStyle w:val="NormalBulleted"/>
        <w:numPr>
          <w:ilvl w:val="0"/>
          <w:numId w:val="0"/>
        </w:numPr>
        <w:ind w:left="357"/>
      </w:pPr>
      <w:r w:rsidRPr="0063444B">
        <w:t>The staff shortages also include histopathology typists. Delays in Histopathology reports result in delays in instituting treatments and management plans including the scheduling of surgical procedures and the initiation of appropriate chemotherapy for the treatment of cancer.</w:t>
      </w:r>
    </w:p>
    <w:p w14:paraId="074EB1A2" w14:textId="77777777" w:rsidR="008840F8" w:rsidRPr="0063444B" w:rsidRDefault="008840F8" w:rsidP="008840F8">
      <w:pPr>
        <w:pStyle w:val="NormalBulleted"/>
      </w:pPr>
      <w:r w:rsidRPr="0063444B">
        <w:t xml:space="preserve">Workloads for </w:t>
      </w:r>
      <w:r>
        <w:t>h</w:t>
      </w:r>
      <w:r w:rsidRPr="0063444B">
        <w:t xml:space="preserve">istopathologists in some laboratories have reached very high </w:t>
      </w:r>
      <w:r>
        <w:t>level</w:t>
      </w:r>
      <w:r w:rsidRPr="0063444B">
        <w:t xml:space="preserve">s and there is an immediate risk of </w:t>
      </w:r>
      <w:r>
        <w:t>h</w:t>
      </w:r>
      <w:r w:rsidRPr="0063444B">
        <w:t xml:space="preserve">istopathologists working at unsafe </w:t>
      </w:r>
      <w:r>
        <w:t>level</w:t>
      </w:r>
      <w:r w:rsidRPr="0063444B">
        <w:t>s</w:t>
      </w:r>
      <w:r>
        <w:t>,</w:t>
      </w:r>
      <w:r w:rsidRPr="0063444B">
        <w:t xml:space="preserve"> with the increased risk of diagnostic errors.</w:t>
      </w:r>
      <w:r>
        <w:t xml:space="preserve"> These errors may lead to either an unnecessary operation or, in the case of a false negative diagnosis, the undertreatment of malignancies.</w:t>
      </w:r>
    </w:p>
    <w:p w14:paraId="71014F44" w14:textId="77777777" w:rsidR="008840F8" w:rsidRDefault="008840F8" w:rsidP="008840F8">
      <w:pPr>
        <w:pStyle w:val="NormalBulleted"/>
      </w:pPr>
      <w:r w:rsidRPr="0063444B">
        <w:t xml:space="preserve">There is evidently an immediate </w:t>
      </w:r>
      <w:r>
        <w:t>h</w:t>
      </w:r>
      <w:r w:rsidRPr="0063444B">
        <w:t xml:space="preserve">istopathology workforce shortage within many areas of Australia. This has led to </w:t>
      </w:r>
      <w:r>
        <w:t>many h</w:t>
      </w:r>
      <w:r w:rsidRPr="0063444B">
        <w:t>istopathologists working well past normal retirement age</w:t>
      </w:r>
      <w:r w:rsidRPr="00DF7C6A">
        <w:rPr>
          <w:rStyle w:val="FootnoteReference"/>
          <w:vertAlign w:val="baseline"/>
        </w:rPr>
        <w:footnoteReference w:customMarkFollows="1" w:id="1"/>
        <w:t>*</w:t>
      </w:r>
      <w:r w:rsidRPr="0063444B">
        <w:t xml:space="preserve"> and at times this has led to unsafe practice (as evidenced by recent reports of systemic errors within some jurisdictions). </w:t>
      </w:r>
    </w:p>
    <w:p w14:paraId="5A4AE57A" w14:textId="77777777" w:rsidR="008840F8" w:rsidRPr="0063444B" w:rsidRDefault="008840F8" w:rsidP="008840F8">
      <w:pPr>
        <w:pStyle w:val="NormalBulleted"/>
        <w:numPr>
          <w:ilvl w:val="0"/>
          <w:numId w:val="0"/>
        </w:numPr>
        <w:ind w:left="357"/>
      </w:pPr>
      <w:r w:rsidRPr="0063444B">
        <w:t xml:space="preserve">The lack of adequate </w:t>
      </w:r>
      <w:r>
        <w:t>h</w:t>
      </w:r>
      <w:r w:rsidRPr="0063444B">
        <w:t xml:space="preserve">istopathology workforce relates to both insufficient resourcing to allow for increased training numbers but also an inability to attract </w:t>
      </w:r>
      <w:proofErr w:type="gramStart"/>
      <w:r w:rsidRPr="0063444B">
        <w:t>sufficient numbers of</w:t>
      </w:r>
      <w:proofErr w:type="gramEnd"/>
      <w:r w:rsidRPr="0063444B">
        <w:t xml:space="preserve"> qualified medical graduates to the field.</w:t>
      </w:r>
    </w:p>
    <w:p w14:paraId="06526A3E" w14:textId="77777777" w:rsidR="008840F8" w:rsidRDefault="008840F8" w:rsidP="008840F8">
      <w:pPr>
        <w:pStyle w:val="NormalBulleted"/>
      </w:pPr>
      <w:r w:rsidRPr="0063444B">
        <w:t>If the processing and reporting of high</w:t>
      </w:r>
      <w:r>
        <w:t>-</w:t>
      </w:r>
      <w:r w:rsidRPr="0063444B">
        <w:t>complexity items is particularly under-remunerated, this introduces perverse incentives to maximise (or exclusively</w:t>
      </w:r>
      <w:r>
        <w:t xml:space="preserve"> </w:t>
      </w:r>
      <w:r w:rsidRPr="0063444B">
        <w:t>focus on) the reporting of simple specimens where there is less inequity of rebate</w:t>
      </w:r>
      <w:r>
        <w:t>.</w:t>
      </w:r>
      <w:r w:rsidRPr="0063444B">
        <w:t xml:space="preserve"> </w:t>
      </w:r>
      <w:r>
        <w:t>T</w:t>
      </w:r>
      <w:r w:rsidRPr="0063444B">
        <w:t xml:space="preserve">his in turn affects the diversity and balance of pathology </w:t>
      </w:r>
      <w:proofErr w:type="gramStart"/>
      <w:r w:rsidRPr="0063444B">
        <w:t>practices, and</w:t>
      </w:r>
      <w:proofErr w:type="gramEnd"/>
      <w:r w:rsidRPr="0063444B">
        <w:t xml:space="preserve"> may affect the availability of more complex diagnostic services across locations. </w:t>
      </w:r>
    </w:p>
    <w:p w14:paraId="22C275BC" w14:textId="77777777" w:rsidR="008840F8" w:rsidRDefault="008840F8" w:rsidP="008840F8">
      <w:pPr>
        <w:pStyle w:val="NormalBulleted"/>
        <w:numPr>
          <w:ilvl w:val="0"/>
          <w:numId w:val="0"/>
        </w:numPr>
        <w:ind w:left="357"/>
      </w:pPr>
      <w:r w:rsidRPr="0063444B">
        <w:t xml:space="preserve">It has already resulted in the consolidation of pathology practices into larger centralised practices, where </w:t>
      </w:r>
      <w:r>
        <w:t xml:space="preserve">Tissue </w:t>
      </w:r>
      <w:r w:rsidRPr="0063444B">
        <w:t xml:space="preserve">Pathology is necessarily </w:t>
      </w:r>
      <w:proofErr w:type="gramStart"/>
      <w:r w:rsidRPr="0063444B">
        <w:t>cross-subsidi</w:t>
      </w:r>
      <w:r>
        <w:t>s</w:t>
      </w:r>
      <w:r w:rsidRPr="0063444B">
        <w:t>ed</w:t>
      </w:r>
      <w:proofErr w:type="gramEnd"/>
      <w:r w:rsidRPr="0063444B">
        <w:t xml:space="preserve"> by other disciplines.</w:t>
      </w:r>
      <w:r>
        <w:t xml:space="preserve"> As Pathology rebates have been reduced by about 50% in real terms since 2000, the ability to cross-subsidise loss-making fields within Pathology has diminished.</w:t>
      </w:r>
    </w:p>
    <w:p w14:paraId="192B8364" w14:textId="77777777" w:rsidR="008840F8" w:rsidRPr="00B63EE7" w:rsidRDefault="008840F8" w:rsidP="008840F8">
      <w:pPr>
        <w:pStyle w:val="NormalBulleted"/>
      </w:pPr>
      <w:r w:rsidRPr="0063444B">
        <w:t xml:space="preserve">A shortage of </w:t>
      </w:r>
      <w:r>
        <w:t>h</w:t>
      </w:r>
      <w:r w:rsidRPr="0063444B">
        <w:t xml:space="preserve">istopathologists and technicians (particularly in regional centres) has meant that in some </w:t>
      </w:r>
      <w:proofErr w:type="gramStart"/>
      <w:r w:rsidRPr="0063444B">
        <w:t>centres</w:t>
      </w:r>
      <w:proofErr w:type="gramEnd"/>
      <w:r w:rsidRPr="0063444B">
        <w:t xml:space="preserve"> intraoperative histopathological examination of tissue specimens (frozen sections) can no longer be performed. This means that patients will </w:t>
      </w:r>
      <w:r>
        <w:t>either</w:t>
      </w:r>
      <w:r w:rsidRPr="0063444B">
        <w:t xml:space="preserve"> have to undergo a separate second operative procedure (with the inherent risks of a second anaesthetic) at a later date rather than have a definitive single </w:t>
      </w:r>
      <w:proofErr w:type="gramStart"/>
      <w:r w:rsidRPr="0063444B">
        <w:t>procedure</w:t>
      </w:r>
      <w:r>
        <w:t>, or</w:t>
      </w:r>
      <w:proofErr w:type="gramEnd"/>
      <w:r>
        <w:t xml:space="preserve"> travel large distances to a tertiary referral centre for their treatment</w:t>
      </w:r>
      <w:r w:rsidRPr="0063444B">
        <w:t>.</w:t>
      </w:r>
    </w:p>
    <w:p w14:paraId="355C61DB" w14:textId="77777777" w:rsidR="008840F8" w:rsidRPr="008840F8" w:rsidRDefault="008840F8" w:rsidP="008840F8"/>
    <w:p w14:paraId="3422CFD2" w14:textId="77777777" w:rsidR="003E129A" w:rsidRPr="003E129A" w:rsidRDefault="00477567" w:rsidP="003E129A">
      <w:pPr>
        <w:spacing w:before="0" w:after="200" w:line="276" w:lineRule="auto"/>
        <w:rPr>
          <w:b/>
          <w:i/>
          <w:sz w:val="24"/>
        </w:rPr>
      </w:pPr>
      <w:r w:rsidRPr="0057502C">
        <w:rPr>
          <w:b/>
          <w:i/>
          <w:sz w:val="24"/>
        </w:rPr>
        <w:t xml:space="preserve">Data </w:t>
      </w:r>
      <w:r w:rsidR="00AD71F3" w:rsidRPr="0057502C">
        <w:rPr>
          <w:b/>
          <w:i/>
          <w:sz w:val="24"/>
        </w:rPr>
        <w:t>modelling</w:t>
      </w:r>
    </w:p>
    <w:p w14:paraId="368B8D25" w14:textId="77777777" w:rsidR="003E129A" w:rsidRDefault="003E129A" w:rsidP="003E129A">
      <w:r w:rsidRPr="00FD7696">
        <w:t xml:space="preserve">The dominant Medicare claim in </w:t>
      </w:r>
      <w:r>
        <w:rPr>
          <w:szCs w:val="22"/>
        </w:rPr>
        <w:t>Tissue</w:t>
      </w:r>
      <w:r w:rsidRPr="00FD7696">
        <w:t xml:space="preserve"> Pathology (accounting for 44.3%) is a single </w:t>
      </w:r>
      <w:r>
        <w:t>level</w:t>
      </w:r>
      <w:r w:rsidRPr="00FD7696">
        <w:t xml:space="preserve"> 3 biopsy (mostly simple skins), with single </w:t>
      </w:r>
      <w:r>
        <w:t>level</w:t>
      </w:r>
      <w:r w:rsidRPr="00FD7696">
        <w:t xml:space="preserve"> 4 biopsies accounting for another 22.5% (see </w:t>
      </w:r>
      <w:r w:rsidRPr="005413F6">
        <w:rPr>
          <w:i/>
        </w:rPr>
        <w:t xml:space="preserve">Table </w:t>
      </w:r>
      <w:r>
        <w:rPr>
          <w:i/>
        </w:rPr>
        <w:t>3</w:t>
      </w:r>
      <w:r w:rsidRPr="005413F6">
        <w:t xml:space="preserve"> above</w:t>
      </w:r>
      <w:r w:rsidRPr="00FD7696">
        <w:t>).</w:t>
      </w:r>
      <w:r>
        <w:t xml:space="preserve"> </w:t>
      </w:r>
      <w:r w:rsidRPr="00FD7696">
        <w:t>Numbers (and rebates) for higher</w:t>
      </w:r>
      <w:r>
        <w:t>-</w:t>
      </w:r>
      <w:r w:rsidRPr="00FD7696">
        <w:t>complex</w:t>
      </w:r>
      <w:r>
        <w:t>ity</w:t>
      </w:r>
      <w:r w:rsidRPr="00FD7696">
        <w:t xml:space="preserve"> specimens are almost negligible by comparison.</w:t>
      </w:r>
    </w:p>
    <w:p w14:paraId="22B2A6D3" w14:textId="77777777" w:rsidR="003E129A" w:rsidRDefault="003E129A" w:rsidP="003E129A">
      <w:r w:rsidRPr="00FD7696">
        <w:t xml:space="preserve">Data on coned vs </w:t>
      </w:r>
      <w:proofErr w:type="spellStart"/>
      <w:r w:rsidRPr="00FD7696">
        <w:t>unconed</w:t>
      </w:r>
      <w:proofErr w:type="spellEnd"/>
      <w:r w:rsidRPr="00FD7696">
        <w:t xml:space="preserve"> data </w:t>
      </w:r>
      <w:r>
        <w:t xml:space="preserve">are </w:t>
      </w:r>
      <w:r w:rsidRPr="00FD7696">
        <w:t xml:space="preserve">obviously not </w:t>
      </w:r>
      <w:r w:rsidRPr="005413F6">
        <w:t>available from</w:t>
      </w:r>
      <w:r>
        <w:t xml:space="preserve"> the Department of</w:t>
      </w:r>
      <w:r w:rsidRPr="005413F6">
        <w:t xml:space="preserve"> </w:t>
      </w:r>
      <w:r>
        <w:t>Health</w:t>
      </w:r>
      <w:r w:rsidRPr="005413F6">
        <w:t xml:space="preserve">, and </w:t>
      </w:r>
      <w:r>
        <w:t xml:space="preserve">laboratory information systems </w:t>
      </w:r>
      <w:r w:rsidRPr="005413F6">
        <w:t xml:space="preserve">issues at many sites make it difficult to extract such data. </w:t>
      </w:r>
      <w:proofErr w:type="spellStart"/>
      <w:r w:rsidRPr="005413F6">
        <w:t>Unconed</w:t>
      </w:r>
      <w:proofErr w:type="spellEnd"/>
      <w:r>
        <w:t xml:space="preserve"> </w:t>
      </w:r>
      <w:r w:rsidRPr="005413F6">
        <w:t xml:space="preserve">/coned </w:t>
      </w:r>
      <w:r>
        <w:t xml:space="preserve">data </w:t>
      </w:r>
      <w:r w:rsidRPr="005413F6">
        <w:t xml:space="preserve">obtained with considerable effort from </w:t>
      </w:r>
      <w:r>
        <w:t>four</w:t>
      </w:r>
      <w:r w:rsidRPr="005413F6">
        <w:t xml:space="preserve"> laboratories has enabled the effect of current coning and tiering to be modelled.</w:t>
      </w:r>
      <w:r>
        <w:t xml:space="preserve"> The parameters of this data were described above (</w:t>
      </w:r>
      <w:r w:rsidRPr="005413F6">
        <w:rPr>
          <w:i/>
        </w:rPr>
        <w:t>Table</w:t>
      </w:r>
      <w:r>
        <w:rPr>
          <w:i/>
        </w:rPr>
        <w:t xml:space="preserve"> 4</w:t>
      </w:r>
      <w:r>
        <w:t>).</w:t>
      </w:r>
    </w:p>
    <w:p w14:paraId="3AB6B316" w14:textId="77777777" w:rsidR="003852C2" w:rsidRDefault="003852C2" w:rsidP="003852C2">
      <w:pPr>
        <w:pStyle w:val="NormalBulleted"/>
        <w:numPr>
          <w:ilvl w:val="0"/>
          <w:numId w:val="0"/>
        </w:numPr>
      </w:pPr>
      <w:r w:rsidRPr="00CC4AF5">
        <w:t xml:space="preserve">Data obtained from four different laboratories demonstrated that between 29% and 53% of income was being lost in each laboratory due to coning/tiering rules, compared </w:t>
      </w:r>
      <w:r>
        <w:t xml:space="preserve">with </w:t>
      </w:r>
      <w:r w:rsidRPr="00CC4AF5">
        <w:t>the potential income had each specimen been received separately (</w:t>
      </w:r>
      <w:r w:rsidRPr="001417DE">
        <w:rPr>
          <w:i/>
        </w:rPr>
        <w:t xml:space="preserve">Table </w:t>
      </w:r>
      <w:r>
        <w:rPr>
          <w:i/>
        </w:rPr>
        <w:t>8</w:t>
      </w:r>
      <w:r w:rsidRPr="00CC4AF5">
        <w:t>).</w:t>
      </w:r>
    </w:p>
    <w:p w14:paraId="0E0122F2" w14:textId="77777777" w:rsidR="003E129A" w:rsidRDefault="003E129A" w:rsidP="003E129A"/>
    <w:p w14:paraId="5CA64A1F" w14:textId="77777777" w:rsidR="003E129A" w:rsidRDefault="003E129A" w:rsidP="008840F8">
      <w:pPr>
        <w:pStyle w:val="NormalBulleted"/>
        <w:numPr>
          <w:ilvl w:val="0"/>
          <w:numId w:val="0"/>
        </w:numPr>
      </w:pPr>
    </w:p>
    <w:p w14:paraId="7276678B" w14:textId="77777777" w:rsidR="00AD71F3" w:rsidRPr="005413F6" w:rsidRDefault="00AD71F3" w:rsidP="006879EA">
      <w:pPr>
        <w:pStyle w:val="Caption"/>
      </w:pPr>
      <w:bookmarkStart w:id="60" w:name="_Toc482213835"/>
      <w:r>
        <w:t xml:space="preserve">Table </w:t>
      </w:r>
      <w:r w:rsidR="008840F8">
        <w:t>8</w:t>
      </w:r>
      <w:r>
        <w:t xml:space="preserve">. </w:t>
      </w:r>
      <w:r w:rsidRPr="00A61599">
        <w:t>Current impact of coning/tiering rules on Histology billing</w:t>
      </w:r>
      <w:bookmarkEnd w:id="60"/>
    </w:p>
    <w:tbl>
      <w:tblPr>
        <w:tblW w:w="8804" w:type="dxa"/>
        <w:tblInd w:w="93" w:type="dxa"/>
        <w:tblLayout w:type="fixed"/>
        <w:tblLook w:val="04A0" w:firstRow="1" w:lastRow="0" w:firstColumn="1" w:lastColumn="0" w:noHBand="0" w:noVBand="1"/>
      </w:tblPr>
      <w:tblGrid>
        <w:gridCol w:w="948"/>
        <w:gridCol w:w="1194"/>
        <w:gridCol w:w="1417"/>
        <w:gridCol w:w="1701"/>
        <w:gridCol w:w="1559"/>
        <w:gridCol w:w="1985"/>
      </w:tblGrid>
      <w:tr w:rsidR="007168E5" w:rsidRPr="007168E5" w14:paraId="33E141ED" w14:textId="77777777" w:rsidTr="008840F8">
        <w:trPr>
          <w:trHeight w:val="885"/>
        </w:trPr>
        <w:tc>
          <w:tcPr>
            <w:tcW w:w="948" w:type="dxa"/>
            <w:tcBorders>
              <w:top w:val="single" w:sz="4" w:space="0" w:color="auto"/>
              <w:left w:val="single" w:sz="4" w:space="0" w:color="auto"/>
              <w:bottom w:val="nil"/>
              <w:right w:val="nil"/>
            </w:tcBorders>
            <w:shd w:val="clear" w:color="auto" w:fill="EEECE1" w:themeFill="background2"/>
            <w:vAlign w:val="bottom"/>
            <w:hideMark/>
          </w:tcPr>
          <w:p w14:paraId="436F28FF" w14:textId="77777777" w:rsidR="007168E5" w:rsidRPr="006879EA" w:rsidRDefault="007168E5" w:rsidP="007337CF">
            <w:pPr>
              <w:spacing w:beforeLines="40" w:before="96" w:afterLines="40" w:after="96"/>
              <w:jc w:val="center"/>
              <w:rPr>
                <w:b/>
                <w:bCs/>
                <w:sz w:val="20"/>
                <w:szCs w:val="20"/>
                <w:lang w:eastAsia="en-US"/>
              </w:rPr>
            </w:pPr>
            <w:r w:rsidRPr="006879EA">
              <w:rPr>
                <w:b/>
                <w:bCs/>
                <w:sz w:val="20"/>
                <w:szCs w:val="20"/>
                <w:lang w:eastAsia="en-US"/>
              </w:rPr>
              <w:t> </w:t>
            </w:r>
          </w:p>
        </w:tc>
        <w:tc>
          <w:tcPr>
            <w:tcW w:w="1194" w:type="dxa"/>
            <w:tcBorders>
              <w:top w:val="single" w:sz="4" w:space="0" w:color="auto"/>
              <w:left w:val="single" w:sz="4" w:space="0" w:color="auto"/>
              <w:bottom w:val="nil"/>
              <w:right w:val="nil"/>
            </w:tcBorders>
            <w:shd w:val="clear" w:color="auto" w:fill="EEECE1" w:themeFill="background2"/>
            <w:vAlign w:val="bottom"/>
            <w:hideMark/>
          </w:tcPr>
          <w:p w14:paraId="1A848EE3" w14:textId="77777777" w:rsidR="007168E5" w:rsidRPr="006879EA" w:rsidRDefault="007168E5" w:rsidP="007337CF">
            <w:pPr>
              <w:spacing w:beforeLines="40" w:before="96" w:afterLines="40" w:after="96"/>
              <w:rPr>
                <w:b/>
                <w:bCs/>
                <w:sz w:val="20"/>
                <w:szCs w:val="20"/>
                <w:lang w:eastAsia="en-US"/>
              </w:rPr>
            </w:pPr>
            <w:r w:rsidRPr="006879EA">
              <w:rPr>
                <w:b/>
                <w:bCs/>
                <w:sz w:val="20"/>
                <w:szCs w:val="20"/>
                <w:lang w:eastAsia="en-US"/>
              </w:rPr>
              <w:t>N</w:t>
            </w:r>
            <w:r w:rsidR="00AD71F3">
              <w:rPr>
                <w:b/>
                <w:bCs/>
                <w:sz w:val="20"/>
                <w:szCs w:val="20"/>
                <w:lang w:eastAsia="en-US"/>
              </w:rPr>
              <w:t>umber of</w:t>
            </w:r>
            <w:r w:rsidRPr="006879EA">
              <w:rPr>
                <w:b/>
                <w:bCs/>
                <w:sz w:val="20"/>
                <w:szCs w:val="20"/>
                <w:lang w:eastAsia="en-US"/>
              </w:rPr>
              <w:t xml:space="preserve"> specimens</w:t>
            </w:r>
          </w:p>
        </w:tc>
        <w:tc>
          <w:tcPr>
            <w:tcW w:w="1417" w:type="dxa"/>
            <w:tcBorders>
              <w:top w:val="single" w:sz="4" w:space="0" w:color="auto"/>
              <w:left w:val="nil"/>
              <w:bottom w:val="nil"/>
              <w:right w:val="nil"/>
            </w:tcBorders>
            <w:shd w:val="clear" w:color="auto" w:fill="EEECE1" w:themeFill="background2"/>
            <w:vAlign w:val="bottom"/>
            <w:hideMark/>
          </w:tcPr>
          <w:p w14:paraId="6A6A628B" w14:textId="77777777" w:rsidR="007168E5" w:rsidRPr="006879EA" w:rsidRDefault="007168E5" w:rsidP="007337CF">
            <w:pPr>
              <w:spacing w:beforeLines="40" w:before="96" w:afterLines="40" w:after="96"/>
              <w:rPr>
                <w:b/>
                <w:bCs/>
                <w:sz w:val="20"/>
                <w:szCs w:val="20"/>
                <w:lang w:eastAsia="en-US"/>
              </w:rPr>
            </w:pPr>
            <w:r w:rsidRPr="006879EA">
              <w:rPr>
                <w:b/>
                <w:bCs/>
                <w:sz w:val="20"/>
                <w:szCs w:val="20"/>
                <w:lang w:eastAsia="en-US"/>
              </w:rPr>
              <w:t>N</w:t>
            </w:r>
            <w:r w:rsidR="00AD71F3">
              <w:rPr>
                <w:b/>
                <w:bCs/>
                <w:sz w:val="20"/>
                <w:szCs w:val="20"/>
                <w:lang w:eastAsia="en-US"/>
              </w:rPr>
              <w:t>umber of</w:t>
            </w:r>
            <w:r w:rsidRPr="006879EA">
              <w:rPr>
                <w:b/>
                <w:bCs/>
                <w:sz w:val="20"/>
                <w:szCs w:val="20"/>
                <w:lang w:eastAsia="en-US"/>
              </w:rPr>
              <w:t xml:space="preserve"> </w:t>
            </w:r>
            <w:r w:rsidR="00AD71F3">
              <w:rPr>
                <w:b/>
                <w:bCs/>
                <w:sz w:val="20"/>
                <w:szCs w:val="20"/>
                <w:lang w:eastAsia="en-US"/>
              </w:rPr>
              <w:t>a</w:t>
            </w:r>
            <w:r w:rsidR="00AD71F3" w:rsidRPr="006879EA">
              <w:rPr>
                <w:b/>
                <w:bCs/>
                <w:sz w:val="20"/>
                <w:szCs w:val="20"/>
                <w:lang w:eastAsia="en-US"/>
              </w:rPr>
              <w:t>ccessions</w:t>
            </w:r>
          </w:p>
        </w:tc>
        <w:tc>
          <w:tcPr>
            <w:tcW w:w="1701" w:type="dxa"/>
            <w:tcBorders>
              <w:top w:val="single" w:sz="4" w:space="0" w:color="auto"/>
              <w:left w:val="nil"/>
              <w:bottom w:val="nil"/>
              <w:right w:val="nil"/>
            </w:tcBorders>
            <w:shd w:val="clear" w:color="auto" w:fill="EEECE1" w:themeFill="background2"/>
            <w:vAlign w:val="bottom"/>
            <w:hideMark/>
          </w:tcPr>
          <w:p w14:paraId="0E5364A9" w14:textId="77777777" w:rsidR="007168E5" w:rsidRPr="006879EA" w:rsidRDefault="007168E5" w:rsidP="007337CF">
            <w:pPr>
              <w:spacing w:beforeLines="40" w:before="96" w:afterLines="40" w:after="96"/>
              <w:rPr>
                <w:b/>
                <w:bCs/>
                <w:sz w:val="20"/>
                <w:szCs w:val="20"/>
                <w:lang w:eastAsia="en-US"/>
              </w:rPr>
            </w:pPr>
            <w:r w:rsidRPr="006879EA">
              <w:rPr>
                <w:b/>
                <w:bCs/>
                <w:sz w:val="20"/>
                <w:szCs w:val="20"/>
                <w:lang w:eastAsia="en-US"/>
              </w:rPr>
              <w:t>Coned revenue</w:t>
            </w:r>
          </w:p>
        </w:tc>
        <w:tc>
          <w:tcPr>
            <w:tcW w:w="1559" w:type="dxa"/>
            <w:tcBorders>
              <w:top w:val="single" w:sz="4" w:space="0" w:color="auto"/>
              <w:left w:val="nil"/>
              <w:bottom w:val="nil"/>
              <w:right w:val="nil"/>
            </w:tcBorders>
            <w:shd w:val="clear" w:color="auto" w:fill="EEECE1" w:themeFill="background2"/>
            <w:vAlign w:val="bottom"/>
            <w:hideMark/>
          </w:tcPr>
          <w:p w14:paraId="30496C08" w14:textId="77777777" w:rsidR="007168E5" w:rsidRPr="006879EA" w:rsidRDefault="007168E5" w:rsidP="007337CF">
            <w:pPr>
              <w:spacing w:beforeLines="40" w:before="96" w:afterLines="40" w:after="96"/>
              <w:rPr>
                <w:b/>
                <w:bCs/>
                <w:sz w:val="20"/>
                <w:szCs w:val="20"/>
                <w:lang w:eastAsia="en-US"/>
              </w:rPr>
            </w:pPr>
            <w:r w:rsidRPr="006879EA">
              <w:rPr>
                <w:b/>
                <w:bCs/>
                <w:sz w:val="20"/>
                <w:szCs w:val="20"/>
                <w:lang w:eastAsia="en-US"/>
              </w:rPr>
              <w:t xml:space="preserve">Nominal </w:t>
            </w:r>
            <w:proofErr w:type="spellStart"/>
            <w:r w:rsidRPr="006879EA">
              <w:rPr>
                <w:b/>
                <w:bCs/>
                <w:sz w:val="20"/>
                <w:szCs w:val="20"/>
                <w:lang w:eastAsia="en-US"/>
              </w:rPr>
              <w:t>unconed</w:t>
            </w:r>
            <w:proofErr w:type="spellEnd"/>
            <w:r w:rsidRPr="006879EA">
              <w:rPr>
                <w:b/>
                <w:bCs/>
                <w:sz w:val="20"/>
                <w:szCs w:val="20"/>
                <w:lang w:eastAsia="en-US"/>
              </w:rPr>
              <w:t xml:space="preserve"> revenue</w:t>
            </w:r>
          </w:p>
        </w:tc>
        <w:tc>
          <w:tcPr>
            <w:tcW w:w="1985" w:type="dxa"/>
            <w:tcBorders>
              <w:top w:val="single" w:sz="4" w:space="0" w:color="auto"/>
              <w:left w:val="nil"/>
              <w:bottom w:val="nil"/>
              <w:right w:val="single" w:sz="4" w:space="0" w:color="auto"/>
            </w:tcBorders>
            <w:shd w:val="clear" w:color="auto" w:fill="EEECE1" w:themeFill="background2"/>
            <w:vAlign w:val="bottom"/>
            <w:hideMark/>
          </w:tcPr>
          <w:p w14:paraId="0BC23112" w14:textId="77777777" w:rsidR="007168E5" w:rsidRPr="006879EA" w:rsidRDefault="007168E5" w:rsidP="007337CF">
            <w:pPr>
              <w:spacing w:beforeLines="40" w:before="96" w:afterLines="40" w:after="96"/>
              <w:rPr>
                <w:b/>
                <w:bCs/>
                <w:sz w:val="20"/>
                <w:szCs w:val="20"/>
                <w:lang w:eastAsia="en-US"/>
              </w:rPr>
            </w:pPr>
            <w:r w:rsidRPr="006879EA">
              <w:rPr>
                <w:b/>
                <w:bCs/>
                <w:sz w:val="20"/>
                <w:szCs w:val="20"/>
                <w:lang w:eastAsia="en-US"/>
              </w:rPr>
              <w:t xml:space="preserve">Impact of coning </w:t>
            </w:r>
            <w:proofErr w:type="gramStart"/>
            <w:r w:rsidR="008840F8">
              <w:rPr>
                <w:b/>
                <w:bCs/>
                <w:sz w:val="20"/>
                <w:szCs w:val="20"/>
                <w:lang w:eastAsia="en-US"/>
              </w:rPr>
              <w:t xml:space="preserve">   </w:t>
            </w:r>
            <w:r w:rsidRPr="006879EA">
              <w:rPr>
                <w:b/>
                <w:bCs/>
                <w:sz w:val="20"/>
                <w:szCs w:val="20"/>
                <w:lang w:eastAsia="en-US"/>
              </w:rPr>
              <w:t>(</w:t>
            </w:r>
            <w:proofErr w:type="gramEnd"/>
            <w:r w:rsidRPr="006879EA">
              <w:rPr>
                <w:b/>
                <w:bCs/>
                <w:sz w:val="20"/>
                <w:szCs w:val="20"/>
                <w:lang w:eastAsia="en-US"/>
              </w:rPr>
              <w:t>%</w:t>
            </w:r>
            <w:r w:rsidR="00704765" w:rsidRPr="006879EA">
              <w:rPr>
                <w:b/>
                <w:bCs/>
                <w:sz w:val="20"/>
                <w:szCs w:val="20"/>
                <w:lang w:eastAsia="en-US"/>
              </w:rPr>
              <w:t xml:space="preserve"> </w:t>
            </w:r>
            <w:r w:rsidRPr="006879EA">
              <w:rPr>
                <w:b/>
                <w:bCs/>
                <w:sz w:val="20"/>
                <w:szCs w:val="20"/>
                <w:lang w:eastAsia="en-US"/>
              </w:rPr>
              <w:t>loss of potential revenue)</w:t>
            </w:r>
          </w:p>
        </w:tc>
      </w:tr>
      <w:tr w:rsidR="007168E5" w:rsidRPr="00AD71F3" w14:paraId="195712D2" w14:textId="77777777" w:rsidTr="008840F8">
        <w:trPr>
          <w:trHeight w:val="315"/>
        </w:trPr>
        <w:tc>
          <w:tcPr>
            <w:tcW w:w="948" w:type="dxa"/>
            <w:tcBorders>
              <w:top w:val="single" w:sz="4" w:space="0" w:color="auto"/>
              <w:left w:val="single" w:sz="4" w:space="0" w:color="auto"/>
              <w:bottom w:val="nil"/>
              <w:right w:val="nil"/>
            </w:tcBorders>
            <w:shd w:val="clear" w:color="auto" w:fill="auto"/>
            <w:noWrap/>
            <w:vAlign w:val="bottom"/>
            <w:hideMark/>
          </w:tcPr>
          <w:p w14:paraId="63AAF863"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Lab A</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DF42"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8</w:t>
            </w:r>
            <w:r w:rsidR="00AD71F3">
              <w:rPr>
                <w:sz w:val="20"/>
                <w:szCs w:val="20"/>
                <w:lang w:eastAsia="en-US"/>
              </w:rPr>
              <w:t xml:space="preserve"> </w:t>
            </w:r>
            <w:r w:rsidRPr="006879EA">
              <w:rPr>
                <w:sz w:val="20"/>
                <w:szCs w:val="20"/>
                <w:lang w:eastAsia="en-US"/>
              </w:rPr>
              <w:t>518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0CB308"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17</w:t>
            </w:r>
            <w:r w:rsidR="00AD71F3">
              <w:rPr>
                <w:sz w:val="20"/>
                <w:szCs w:val="20"/>
                <w:lang w:eastAsia="en-US"/>
              </w:rPr>
              <w:t xml:space="preserve"> </w:t>
            </w:r>
            <w:r w:rsidRPr="006879EA">
              <w:rPr>
                <w:sz w:val="20"/>
                <w:szCs w:val="20"/>
                <w:lang w:eastAsia="en-US"/>
              </w:rPr>
              <w:t>230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3CFB66"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w:t>
            </w:r>
            <w:r w:rsidR="00AD71F3">
              <w:rPr>
                <w:sz w:val="20"/>
                <w:szCs w:val="20"/>
                <w:lang w:eastAsia="en-US"/>
              </w:rPr>
              <w:t xml:space="preserve"> </w:t>
            </w:r>
            <w:r w:rsidRPr="006879EA">
              <w:rPr>
                <w:sz w:val="20"/>
                <w:szCs w:val="20"/>
                <w:lang w:eastAsia="en-US"/>
              </w:rPr>
              <w:t>185</w:t>
            </w:r>
            <w:r w:rsidR="00AD71F3">
              <w:rPr>
                <w:sz w:val="20"/>
                <w:szCs w:val="20"/>
                <w:lang w:eastAsia="en-US"/>
              </w:rPr>
              <w:t xml:space="preserve"> </w:t>
            </w:r>
            <w:r w:rsidRPr="006879EA">
              <w:rPr>
                <w:sz w:val="20"/>
                <w:szCs w:val="20"/>
                <w:lang w:eastAsia="en-US"/>
              </w:rPr>
              <w:t>247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52217"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2</w:t>
            </w:r>
            <w:r w:rsidR="00AD71F3">
              <w:rPr>
                <w:sz w:val="20"/>
                <w:szCs w:val="20"/>
                <w:lang w:eastAsia="en-US"/>
              </w:rPr>
              <w:t xml:space="preserve"> </w:t>
            </w:r>
            <w:r w:rsidRPr="006879EA">
              <w:rPr>
                <w:sz w:val="20"/>
                <w:szCs w:val="20"/>
                <w:lang w:eastAsia="en-US"/>
              </w:rPr>
              <w:t>098</w:t>
            </w:r>
            <w:r w:rsidR="00AD71F3">
              <w:rPr>
                <w:sz w:val="20"/>
                <w:szCs w:val="20"/>
                <w:lang w:eastAsia="en-US"/>
              </w:rPr>
              <w:t xml:space="preserve"> </w:t>
            </w:r>
            <w:r w:rsidRPr="006879EA">
              <w:rPr>
                <w:sz w:val="20"/>
                <w:szCs w:val="20"/>
                <w:lang w:eastAsia="en-US"/>
              </w:rPr>
              <w:t>236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79A261"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43.51%</w:t>
            </w:r>
          </w:p>
        </w:tc>
      </w:tr>
      <w:tr w:rsidR="007168E5" w:rsidRPr="00AD71F3" w14:paraId="27AECD75" w14:textId="77777777" w:rsidTr="008840F8">
        <w:trPr>
          <w:trHeight w:val="300"/>
        </w:trPr>
        <w:tc>
          <w:tcPr>
            <w:tcW w:w="948" w:type="dxa"/>
            <w:tcBorders>
              <w:top w:val="nil"/>
              <w:left w:val="single" w:sz="4" w:space="0" w:color="auto"/>
              <w:bottom w:val="nil"/>
              <w:right w:val="nil"/>
            </w:tcBorders>
            <w:shd w:val="clear" w:color="auto" w:fill="auto"/>
            <w:noWrap/>
            <w:vAlign w:val="bottom"/>
            <w:hideMark/>
          </w:tcPr>
          <w:p w14:paraId="3C79C2E1"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Lab B</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635FB3F"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F45AA0"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673</w:t>
            </w:r>
          </w:p>
        </w:tc>
        <w:tc>
          <w:tcPr>
            <w:tcW w:w="1701" w:type="dxa"/>
            <w:tcBorders>
              <w:top w:val="nil"/>
              <w:left w:val="nil"/>
              <w:bottom w:val="single" w:sz="4" w:space="0" w:color="auto"/>
              <w:right w:val="single" w:sz="4" w:space="0" w:color="auto"/>
            </w:tcBorders>
            <w:shd w:val="clear" w:color="auto" w:fill="auto"/>
            <w:noWrap/>
            <w:vAlign w:val="bottom"/>
            <w:hideMark/>
          </w:tcPr>
          <w:p w14:paraId="5C45BBE9"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48</w:t>
            </w:r>
            <w:r w:rsidR="00AD71F3">
              <w:rPr>
                <w:sz w:val="20"/>
                <w:szCs w:val="20"/>
                <w:lang w:eastAsia="en-US"/>
              </w:rPr>
              <w:t xml:space="preserve"> </w:t>
            </w:r>
            <w:r w:rsidRPr="006879EA">
              <w:rPr>
                <w:sz w:val="20"/>
                <w:szCs w:val="20"/>
                <w:lang w:eastAsia="en-US"/>
              </w:rPr>
              <w:t>684</w:t>
            </w:r>
          </w:p>
        </w:tc>
        <w:tc>
          <w:tcPr>
            <w:tcW w:w="1559" w:type="dxa"/>
            <w:tcBorders>
              <w:top w:val="nil"/>
              <w:left w:val="nil"/>
              <w:bottom w:val="single" w:sz="4" w:space="0" w:color="auto"/>
              <w:right w:val="single" w:sz="4" w:space="0" w:color="auto"/>
            </w:tcBorders>
            <w:shd w:val="clear" w:color="auto" w:fill="auto"/>
            <w:noWrap/>
            <w:vAlign w:val="bottom"/>
            <w:hideMark/>
          </w:tcPr>
          <w:p w14:paraId="7A46C95C"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103</w:t>
            </w:r>
            <w:r w:rsidR="00AD71F3">
              <w:rPr>
                <w:sz w:val="20"/>
                <w:szCs w:val="20"/>
                <w:lang w:eastAsia="en-US"/>
              </w:rPr>
              <w:t xml:space="preserve"> </w:t>
            </w:r>
            <w:r w:rsidRPr="006879EA">
              <w:rPr>
                <w:sz w:val="20"/>
                <w:szCs w:val="20"/>
                <w:lang w:eastAsia="en-US"/>
              </w:rPr>
              <w:t>032</w:t>
            </w:r>
          </w:p>
        </w:tc>
        <w:tc>
          <w:tcPr>
            <w:tcW w:w="1985" w:type="dxa"/>
            <w:tcBorders>
              <w:top w:val="nil"/>
              <w:left w:val="nil"/>
              <w:bottom w:val="single" w:sz="4" w:space="0" w:color="auto"/>
              <w:right w:val="single" w:sz="4" w:space="0" w:color="auto"/>
            </w:tcBorders>
            <w:shd w:val="clear" w:color="auto" w:fill="auto"/>
            <w:noWrap/>
            <w:vAlign w:val="bottom"/>
            <w:hideMark/>
          </w:tcPr>
          <w:p w14:paraId="08A7C7F6"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52.70%</w:t>
            </w:r>
          </w:p>
        </w:tc>
      </w:tr>
      <w:tr w:rsidR="007168E5" w:rsidRPr="00AD71F3" w14:paraId="4FFF0442" w14:textId="77777777" w:rsidTr="008840F8">
        <w:trPr>
          <w:trHeight w:val="300"/>
        </w:trPr>
        <w:tc>
          <w:tcPr>
            <w:tcW w:w="948" w:type="dxa"/>
            <w:tcBorders>
              <w:top w:val="nil"/>
              <w:left w:val="single" w:sz="4" w:space="0" w:color="auto"/>
              <w:bottom w:val="nil"/>
              <w:right w:val="nil"/>
            </w:tcBorders>
            <w:shd w:val="clear" w:color="auto" w:fill="auto"/>
            <w:noWrap/>
            <w:vAlign w:val="bottom"/>
            <w:hideMark/>
          </w:tcPr>
          <w:p w14:paraId="780CD7F8"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Lab C</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FC63676"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234</w:t>
            </w:r>
          </w:p>
        </w:tc>
        <w:tc>
          <w:tcPr>
            <w:tcW w:w="1417" w:type="dxa"/>
            <w:tcBorders>
              <w:top w:val="nil"/>
              <w:left w:val="nil"/>
              <w:bottom w:val="single" w:sz="4" w:space="0" w:color="auto"/>
              <w:right w:val="single" w:sz="4" w:space="0" w:color="auto"/>
            </w:tcBorders>
            <w:shd w:val="clear" w:color="auto" w:fill="auto"/>
            <w:noWrap/>
            <w:vAlign w:val="bottom"/>
            <w:hideMark/>
          </w:tcPr>
          <w:p w14:paraId="12241FF7"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475</w:t>
            </w:r>
          </w:p>
        </w:tc>
        <w:tc>
          <w:tcPr>
            <w:tcW w:w="1701" w:type="dxa"/>
            <w:tcBorders>
              <w:top w:val="nil"/>
              <w:left w:val="nil"/>
              <w:bottom w:val="single" w:sz="4" w:space="0" w:color="auto"/>
              <w:right w:val="single" w:sz="4" w:space="0" w:color="auto"/>
            </w:tcBorders>
            <w:shd w:val="clear" w:color="auto" w:fill="auto"/>
            <w:noWrap/>
            <w:vAlign w:val="bottom"/>
            <w:hideMark/>
          </w:tcPr>
          <w:p w14:paraId="0EEB0B12"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32</w:t>
            </w:r>
            <w:r w:rsidR="00AD71F3">
              <w:rPr>
                <w:sz w:val="20"/>
                <w:szCs w:val="20"/>
                <w:lang w:eastAsia="en-US"/>
              </w:rPr>
              <w:t xml:space="preserve"> </w:t>
            </w:r>
            <w:r w:rsidRPr="006879EA">
              <w:rPr>
                <w:sz w:val="20"/>
                <w:szCs w:val="20"/>
                <w:lang w:eastAsia="en-US"/>
              </w:rPr>
              <w:t>923</w:t>
            </w:r>
          </w:p>
        </w:tc>
        <w:tc>
          <w:tcPr>
            <w:tcW w:w="1559" w:type="dxa"/>
            <w:tcBorders>
              <w:top w:val="nil"/>
              <w:left w:val="nil"/>
              <w:bottom w:val="single" w:sz="4" w:space="0" w:color="auto"/>
              <w:right w:val="single" w:sz="4" w:space="0" w:color="auto"/>
            </w:tcBorders>
            <w:shd w:val="clear" w:color="auto" w:fill="auto"/>
            <w:noWrap/>
            <w:vAlign w:val="bottom"/>
            <w:hideMark/>
          </w:tcPr>
          <w:p w14:paraId="6A1457D3"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52</w:t>
            </w:r>
            <w:r w:rsidR="00AD71F3">
              <w:rPr>
                <w:sz w:val="20"/>
                <w:szCs w:val="20"/>
                <w:lang w:eastAsia="en-US"/>
              </w:rPr>
              <w:t xml:space="preserve"> </w:t>
            </w:r>
            <w:r w:rsidRPr="006879EA">
              <w:rPr>
                <w:sz w:val="20"/>
                <w:szCs w:val="20"/>
                <w:lang w:eastAsia="en-US"/>
              </w:rPr>
              <w:t>937</w:t>
            </w:r>
          </w:p>
        </w:tc>
        <w:tc>
          <w:tcPr>
            <w:tcW w:w="1985" w:type="dxa"/>
            <w:tcBorders>
              <w:top w:val="nil"/>
              <w:left w:val="nil"/>
              <w:bottom w:val="single" w:sz="4" w:space="0" w:color="auto"/>
              <w:right w:val="single" w:sz="4" w:space="0" w:color="auto"/>
            </w:tcBorders>
            <w:shd w:val="clear" w:color="auto" w:fill="auto"/>
            <w:noWrap/>
            <w:vAlign w:val="bottom"/>
            <w:hideMark/>
          </w:tcPr>
          <w:p w14:paraId="297A32E3"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37.80%</w:t>
            </w:r>
          </w:p>
        </w:tc>
      </w:tr>
      <w:tr w:rsidR="007168E5" w:rsidRPr="00AD71F3" w14:paraId="5B63DDD9" w14:textId="77777777" w:rsidTr="008840F8">
        <w:trPr>
          <w:trHeight w:val="300"/>
        </w:trPr>
        <w:tc>
          <w:tcPr>
            <w:tcW w:w="948" w:type="dxa"/>
            <w:tcBorders>
              <w:top w:val="nil"/>
              <w:left w:val="single" w:sz="4" w:space="0" w:color="auto"/>
              <w:bottom w:val="single" w:sz="4" w:space="0" w:color="auto"/>
              <w:right w:val="nil"/>
            </w:tcBorders>
            <w:shd w:val="clear" w:color="auto" w:fill="auto"/>
            <w:noWrap/>
            <w:vAlign w:val="bottom"/>
            <w:hideMark/>
          </w:tcPr>
          <w:p w14:paraId="055330FF"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Lab D</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38B5205"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11</w:t>
            </w:r>
            <w:r w:rsidR="00AD71F3">
              <w:rPr>
                <w:sz w:val="20"/>
                <w:szCs w:val="20"/>
                <w:lang w:eastAsia="en-US"/>
              </w:rPr>
              <w:t xml:space="preserve"> </w:t>
            </w:r>
            <w:r w:rsidRPr="006879EA">
              <w:rPr>
                <w:sz w:val="20"/>
                <w:szCs w:val="20"/>
                <w:lang w:eastAsia="en-US"/>
              </w:rPr>
              <w:t>118</w:t>
            </w:r>
          </w:p>
        </w:tc>
        <w:tc>
          <w:tcPr>
            <w:tcW w:w="1417" w:type="dxa"/>
            <w:tcBorders>
              <w:top w:val="nil"/>
              <w:left w:val="nil"/>
              <w:bottom w:val="single" w:sz="4" w:space="0" w:color="auto"/>
              <w:right w:val="single" w:sz="4" w:space="0" w:color="auto"/>
            </w:tcBorders>
            <w:shd w:val="clear" w:color="auto" w:fill="auto"/>
            <w:noWrap/>
            <w:vAlign w:val="bottom"/>
            <w:hideMark/>
          </w:tcPr>
          <w:p w14:paraId="72D66A2C"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16</w:t>
            </w:r>
            <w:r w:rsidR="00AD71F3">
              <w:rPr>
                <w:sz w:val="20"/>
                <w:szCs w:val="20"/>
                <w:lang w:eastAsia="en-US"/>
              </w:rPr>
              <w:t xml:space="preserve"> </w:t>
            </w:r>
            <w:r w:rsidRPr="006879EA">
              <w:rPr>
                <w:sz w:val="20"/>
                <w:szCs w:val="20"/>
                <w:lang w:eastAsia="en-US"/>
              </w:rPr>
              <w:t>971</w:t>
            </w:r>
          </w:p>
        </w:tc>
        <w:tc>
          <w:tcPr>
            <w:tcW w:w="1701" w:type="dxa"/>
            <w:tcBorders>
              <w:top w:val="nil"/>
              <w:left w:val="nil"/>
              <w:bottom w:val="single" w:sz="4" w:space="0" w:color="auto"/>
              <w:right w:val="single" w:sz="4" w:space="0" w:color="auto"/>
            </w:tcBorders>
            <w:shd w:val="clear" w:color="auto" w:fill="auto"/>
            <w:noWrap/>
            <w:vAlign w:val="bottom"/>
            <w:hideMark/>
          </w:tcPr>
          <w:p w14:paraId="26B40A74"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w:t>
            </w:r>
            <w:r w:rsidR="00AD71F3">
              <w:rPr>
                <w:sz w:val="20"/>
                <w:szCs w:val="20"/>
                <w:lang w:eastAsia="en-US"/>
              </w:rPr>
              <w:t xml:space="preserve"> </w:t>
            </w:r>
            <w:r w:rsidRPr="006879EA">
              <w:rPr>
                <w:sz w:val="20"/>
                <w:szCs w:val="20"/>
                <w:lang w:eastAsia="en-US"/>
              </w:rPr>
              <w:t>161</w:t>
            </w:r>
            <w:r w:rsidR="00AD71F3">
              <w:rPr>
                <w:sz w:val="20"/>
                <w:szCs w:val="20"/>
                <w:lang w:eastAsia="en-US"/>
              </w:rPr>
              <w:t xml:space="preserve"> </w:t>
            </w:r>
            <w:r w:rsidRPr="006879EA">
              <w:rPr>
                <w:sz w:val="20"/>
                <w:szCs w:val="20"/>
                <w:lang w:eastAsia="en-US"/>
              </w:rPr>
              <w:t>139</w:t>
            </w:r>
          </w:p>
        </w:tc>
        <w:tc>
          <w:tcPr>
            <w:tcW w:w="1559" w:type="dxa"/>
            <w:tcBorders>
              <w:top w:val="nil"/>
              <w:left w:val="nil"/>
              <w:bottom w:val="single" w:sz="4" w:space="0" w:color="auto"/>
              <w:right w:val="single" w:sz="4" w:space="0" w:color="auto"/>
            </w:tcBorders>
            <w:shd w:val="clear" w:color="auto" w:fill="auto"/>
            <w:noWrap/>
            <w:vAlign w:val="bottom"/>
            <w:hideMark/>
          </w:tcPr>
          <w:p w14:paraId="6401D057"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1</w:t>
            </w:r>
            <w:r w:rsidR="00AD71F3">
              <w:rPr>
                <w:sz w:val="20"/>
                <w:szCs w:val="20"/>
                <w:lang w:eastAsia="en-US"/>
              </w:rPr>
              <w:t xml:space="preserve"> </w:t>
            </w:r>
            <w:r w:rsidRPr="006879EA">
              <w:rPr>
                <w:sz w:val="20"/>
                <w:szCs w:val="20"/>
                <w:lang w:eastAsia="en-US"/>
              </w:rPr>
              <w:t>640</w:t>
            </w:r>
            <w:r w:rsidR="00AD71F3">
              <w:rPr>
                <w:sz w:val="20"/>
                <w:szCs w:val="20"/>
                <w:lang w:eastAsia="en-US"/>
              </w:rPr>
              <w:t xml:space="preserve"> </w:t>
            </w:r>
            <w:r w:rsidRPr="006879EA">
              <w:rPr>
                <w:sz w:val="20"/>
                <w:szCs w:val="20"/>
                <w:lang w:eastAsia="en-US"/>
              </w:rPr>
              <w:t>016</w:t>
            </w:r>
          </w:p>
        </w:tc>
        <w:tc>
          <w:tcPr>
            <w:tcW w:w="1985" w:type="dxa"/>
            <w:tcBorders>
              <w:top w:val="nil"/>
              <w:left w:val="nil"/>
              <w:bottom w:val="single" w:sz="4" w:space="0" w:color="auto"/>
              <w:right w:val="single" w:sz="4" w:space="0" w:color="auto"/>
            </w:tcBorders>
            <w:shd w:val="clear" w:color="auto" w:fill="auto"/>
            <w:noWrap/>
            <w:vAlign w:val="bottom"/>
            <w:hideMark/>
          </w:tcPr>
          <w:p w14:paraId="34A28F65" w14:textId="77777777" w:rsidR="007168E5" w:rsidRPr="006879EA" w:rsidRDefault="007168E5" w:rsidP="007337CF">
            <w:pPr>
              <w:spacing w:beforeLines="40" w:before="96" w:afterLines="40" w:after="96"/>
              <w:jc w:val="right"/>
              <w:rPr>
                <w:sz w:val="20"/>
                <w:szCs w:val="20"/>
                <w:lang w:eastAsia="en-US"/>
              </w:rPr>
            </w:pPr>
            <w:r w:rsidRPr="006879EA">
              <w:rPr>
                <w:sz w:val="20"/>
                <w:szCs w:val="20"/>
                <w:lang w:eastAsia="en-US"/>
              </w:rPr>
              <w:t>29.20%</w:t>
            </w:r>
          </w:p>
        </w:tc>
      </w:tr>
    </w:tbl>
    <w:p w14:paraId="2142A49A" w14:textId="77777777" w:rsidR="00A3752B" w:rsidRPr="006879EA" w:rsidRDefault="00A3752B" w:rsidP="007337CF">
      <w:pPr>
        <w:spacing w:beforeLines="40" w:before="96" w:afterLines="40" w:after="96"/>
        <w:jc w:val="right"/>
        <w:rPr>
          <w:sz w:val="20"/>
          <w:szCs w:val="20"/>
          <w:lang w:eastAsia="en-US"/>
        </w:rPr>
      </w:pPr>
    </w:p>
    <w:p w14:paraId="14B16876" w14:textId="77777777" w:rsidR="008A4442" w:rsidRDefault="00E8232A" w:rsidP="006879EA">
      <w:r w:rsidRPr="00704765">
        <w:t xml:space="preserve">Similar effects were seen with data </w:t>
      </w:r>
      <w:r w:rsidR="00F829B4">
        <w:t>from Lab</w:t>
      </w:r>
      <w:r w:rsidR="00D135DC">
        <w:t>oratory</w:t>
      </w:r>
      <w:r w:rsidR="00F829B4">
        <w:t xml:space="preserve"> A </w:t>
      </w:r>
      <w:r w:rsidRPr="00704765">
        <w:t xml:space="preserve">on </w:t>
      </w:r>
      <w:r w:rsidR="008A4442">
        <w:t>immunohistochemistry</w:t>
      </w:r>
      <w:r w:rsidR="008A4442" w:rsidRPr="00704765">
        <w:t xml:space="preserve"> </w:t>
      </w:r>
      <w:r w:rsidRPr="00704765">
        <w:t>stains</w:t>
      </w:r>
      <w:r w:rsidR="00D135DC">
        <w:t xml:space="preserve"> (see Section 4.4)</w:t>
      </w:r>
      <w:r w:rsidRPr="00704765">
        <w:t xml:space="preserve"> and </w:t>
      </w:r>
      <w:r w:rsidR="008A4442">
        <w:t>f</w:t>
      </w:r>
      <w:r w:rsidR="008A4442" w:rsidRPr="00704765">
        <w:t>rozen</w:t>
      </w:r>
      <w:r w:rsidR="008A4442">
        <w:t>-</w:t>
      </w:r>
      <w:r w:rsidRPr="00704765">
        <w:t>section items</w:t>
      </w:r>
      <w:r w:rsidR="00D135DC">
        <w:t xml:space="preserve"> (see Section 4.6)</w:t>
      </w:r>
      <w:r w:rsidR="008A4442">
        <w:t>,</w:t>
      </w:r>
      <w:r w:rsidR="00D135DC">
        <w:t xml:space="preserve"> </w:t>
      </w:r>
      <w:r w:rsidRPr="00704765">
        <w:t>which are also tiered.</w:t>
      </w:r>
    </w:p>
    <w:p w14:paraId="75013967" w14:textId="77777777" w:rsidR="008A4442" w:rsidRDefault="00A3752B" w:rsidP="006879EA">
      <w:r w:rsidRPr="00704765">
        <w:t xml:space="preserve">It is currently estimated that coning </w:t>
      </w:r>
      <w:r w:rsidR="00704765">
        <w:t xml:space="preserve">across all </w:t>
      </w:r>
      <w:r w:rsidRPr="00704765">
        <w:t>areas of pathology affects around 15% of spe</w:t>
      </w:r>
      <w:r w:rsidR="00E8232A" w:rsidRPr="00704765">
        <w:t xml:space="preserve">cimens. We believe our data (particularly from laboratory D) </w:t>
      </w:r>
      <w:r w:rsidR="008A4442">
        <w:t xml:space="preserve">are </w:t>
      </w:r>
      <w:r w:rsidR="00166189">
        <w:t>a representative snapshot of</w:t>
      </w:r>
      <w:r w:rsidR="00E8232A" w:rsidRPr="00704765">
        <w:t xml:space="preserve"> </w:t>
      </w:r>
      <w:r w:rsidR="00166189">
        <w:t xml:space="preserve">Australian histology testing </w:t>
      </w:r>
      <w:r w:rsidR="00E8232A" w:rsidRPr="00704765">
        <w:t xml:space="preserve">and indicate that coning rules are having at least twice the effect in </w:t>
      </w:r>
      <w:r w:rsidR="008840F8">
        <w:t xml:space="preserve">Tissue </w:t>
      </w:r>
      <w:r w:rsidR="007168E5" w:rsidRPr="00704765">
        <w:t>Pathology (</w:t>
      </w:r>
      <w:r w:rsidR="00FD7696">
        <w:t>~</w:t>
      </w:r>
      <w:r w:rsidR="007168E5" w:rsidRPr="00704765">
        <w:t xml:space="preserve">30%) as </w:t>
      </w:r>
      <w:r w:rsidR="00FD7696">
        <w:t>across</w:t>
      </w:r>
      <w:r w:rsidR="00FD7696" w:rsidRPr="00704765">
        <w:t xml:space="preserve"> </w:t>
      </w:r>
      <w:r w:rsidR="007168E5" w:rsidRPr="00704765">
        <w:t>pathology more generally</w:t>
      </w:r>
      <w:r w:rsidRPr="00704765">
        <w:t>.</w:t>
      </w:r>
    </w:p>
    <w:p w14:paraId="4B0409A5" w14:textId="77777777" w:rsidR="00FB3E67" w:rsidRDefault="00A3752B" w:rsidP="006879EA">
      <w:r w:rsidRPr="00704765">
        <w:t xml:space="preserve">This is obviously highly inequitable and makes it almost impossible for an Anatomical Pathology laboratory to break even financially (usually they are </w:t>
      </w:r>
      <w:r w:rsidR="007168E5" w:rsidRPr="00704765">
        <w:t>cross-subsidised as</w:t>
      </w:r>
      <w:r w:rsidRPr="00704765">
        <w:t xml:space="preserve"> </w:t>
      </w:r>
      <w:r w:rsidR="008A4442">
        <w:t>‘</w:t>
      </w:r>
      <w:r w:rsidRPr="00704765">
        <w:t>loss-leaders</w:t>
      </w:r>
      <w:r w:rsidR="008A4442">
        <w:t>’</w:t>
      </w:r>
      <w:r w:rsidRPr="00704765">
        <w:t>).</w:t>
      </w:r>
      <w:r w:rsidR="00FD7696">
        <w:t xml:space="preserve"> This also makes it extremely difficult for single discipline Anatomical Pathology laboratories to exist as isolated entities.</w:t>
      </w:r>
    </w:p>
    <w:p w14:paraId="74F2E810" w14:textId="77777777" w:rsidR="006529AB" w:rsidRPr="00166189" w:rsidRDefault="00FB3E67" w:rsidP="008840F8">
      <w:pPr>
        <w:pStyle w:val="NormalBulleted"/>
        <w:numPr>
          <w:ilvl w:val="0"/>
          <w:numId w:val="0"/>
        </w:numPr>
        <w:ind w:left="357" w:hanging="357"/>
      </w:pPr>
      <w:r w:rsidRPr="00166189">
        <w:t>Other Medical specialities have alternate coning models</w:t>
      </w:r>
      <w:r w:rsidR="00271CD9" w:rsidRPr="00166189">
        <w:t>, for example</w:t>
      </w:r>
      <w:r w:rsidR="00166189">
        <w:t>:</w:t>
      </w:r>
    </w:p>
    <w:p w14:paraId="25BDA7F3" w14:textId="77777777" w:rsidR="003F6149" w:rsidRPr="003F6149" w:rsidRDefault="00271CD9" w:rsidP="00774742">
      <w:pPr>
        <w:pStyle w:val="NormalBulleted"/>
      </w:pPr>
      <w:r w:rsidRPr="002E2665">
        <w:rPr>
          <w:b/>
        </w:rPr>
        <w:t>The Surgical model</w:t>
      </w:r>
      <w:r w:rsidRPr="003F6149">
        <w:t xml:space="preserve"> (T.8.2 Multiple operation rule) allows:</w:t>
      </w:r>
    </w:p>
    <w:p w14:paraId="77E0CBBF" w14:textId="77777777" w:rsidR="003F6149" w:rsidRPr="00166189" w:rsidRDefault="00271CD9" w:rsidP="008A4442">
      <w:pPr>
        <w:spacing w:before="0" w:after="0" w:line="276" w:lineRule="auto"/>
        <w:ind w:left="567" w:hanging="141"/>
      </w:pPr>
      <w:r w:rsidRPr="00166189">
        <w:t>- 100% of the most expensive item performed during a single anaesthetic episode by the same surgeon</w:t>
      </w:r>
    </w:p>
    <w:p w14:paraId="05F5609E" w14:textId="77777777" w:rsidR="00271CD9" w:rsidRPr="00166189" w:rsidRDefault="00271CD9" w:rsidP="008A4442">
      <w:pPr>
        <w:spacing w:before="0" w:after="0" w:line="276" w:lineRule="auto"/>
        <w:ind w:left="567" w:hanging="141"/>
      </w:pPr>
      <w:r w:rsidRPr="00166189">
        <w:t>- 50% of the next most expensive and then</w:t>
      </w:r>
    </w:p>
    <w:p w14:paraId="31883530" w14:textId="77777777" w:rsidR="00271CD9" w:rsidRPr="00166189" w:rsidRDefault="00271CD9" w:rsidP="008840F8">
      <w:pPr>
        <w:pStyle w:val="NormalBulleted"/>
        <w:numPr>
          <w:ilvl w:val="0"/>
          <w:numId w:val="0"/>
        </w:numPr>
        <w:ind w:left="357"/>
      </w:pPr>
      <w:r w:rsidRPr="00166189">
        <w:t>- 25% of each item thereafter.</w:t>
      </w:r>
    </w:p>
    <w:p w14:paraId="516D3739" w14:textId="77777777" w:rsidR="003F6149" w:rsidRPr="00166189" w:rsidRDefault="00271CD9" w:rsidP="006D4298">
      <w:r w:rsidRPr="00166189">
        <w:t xml:space="preserve">This pre-supposes a degree of economy in having the patient already anaesthetised </w:t>
      </w:r>
      <w:proofErr w:type="gramStart"/>
      <w:r w:rsidRPr="00166189">
        <w:t>and on the table</w:t>
      </w:r>
      <w:proofErr w:type="gramEnd"/>
      <w:r w:rsidRPr="00166189">
        <w:t xml:space="preserve"> (an economy of scale not actually present in histopathology), but provides an interesting comparison.</w:t>
      </w:r>
    </w:p>
    <w:p w14:paraId="65EC55CE" w14:textId="77777777" w:rsidR="006529AB" w:rsidRPr="00166189" w:rsidRDefault="00271CD9" w:rsidP="00774742">
      <w:pPr>
        <w:pStyle w:val="NormalBulleted"/>
      </w:pPr>
      <w:r w:rsidRPr="00166189">
        <w:rPr>
          <w:b/>
        </w:rPr>
        <w:t>The Radiology MRI model</w:t>
      </w:r>
      <w:r w:rsidRPr="00166189">
        <w:t xml:space="preserve"> (the most restrictive of the many complicated rules relating to billing multiple radiology procedures), allows</w:t>
      </w:r>
      <w:r w:rsidR="008A4442">
        <w:t>:</w:t>
      </w:r>
    </w:p>
    <w:p w14:paraId="36A4A058" w14:textId="77777777" w:rsidR="006529AB" w:rsidRPr="006D4298" w:rsidRDefault="00271CD9" w:rsidP="006D4298">
      <w:pPr>
        <w:spacing w:before="0" w:after="0" w:line="276" w:lineRule="auto"/>
        <w:ind w:left="567" w:hanging="142"/>
        <w:rPr>
          <w:b/>
        </w:rPr>
      </w:pPr>
      <w:r w:rsidRPr="00B45D06">
        <w:t>-</w:t>
      </w:r>
      <w:r w:rsidRPr="00DF7C6A">
        <w:t xml:space="preserve">100% of the most expensive item, and </w:t>
      </w:r>
    </w:p>
    <w:p w14:paraId="64A82802" w14:textId="77777777" w:rsidR="006529AB" w:rsidRPr="006D4298" w:rsidRDefault="00271CD9" w:rsidP="006D4298">
      <w:pPr>
        <w:spacing w:before="0" w:after="0" w:line="276" w:lineRule="auto"/>
        <w:ind w:left="567" w:hanging="141"/>
        <w:rPr>
          <w:b/>
        </w:rPr>
      </w:pPr>
      <w:r w:rsidRPr="00DF7C6A">
        <w:t xml:space="preserve">-50% of each item thereafter. </w:t>
      </w:r>
    </w:p>
    <w:p w14:paraId="2213BEFA" w14:textId="77777777" w:rsidR="006529AB" w:rsidRPr="00166189" w:rsidRDefault="00271CD9" w:rsidP="008840F8">
      <w:pPr>
        <w:pStyle w:val="NormalBulleted"/>
        <w:numPr>
          <w:ilvl w:val="0"/>
          <w:numId w:val="0"/>
        </w:numPr>
      </w:pPr>
      <w:r w:rsidRPr="00166189">
        <w:t xml:space="preserve">[Other radiology rules are more generous, reducing </w:t>
      </w:r>
      <w:r w:rsidR="008A4442">
        <w:t xml:space="preserve">second </w:t>
      </w:r>
      <w:r w:rsidRPr="00166189">
        <w:t>an</w:t>
      </w:r>
      <w:r w:rsidR="008840F8">
        <w:t xml:space="preserve">d subsequent procedures by only </w:t>
      </w:r>
      <w:r w:rsidRPr="00166189">
        <w:t>$5</w:t>
      </w:r>
      <w:r w:rsidR="008A4442">
        <w:t>.00</w:t>
      </w:r>
      <w:r w:rsidRPr="00166189">
        <w:t>].</w:t>
      </w:r>
    </w:p>
    <w:p w14:paraId="6A924606" w14:textId="77777777" w:rsidR="002E2665" w:rsidRPr="006D4298" w:rsidRDefault="00271CD9" w:rsidP="006D4298">
      <w:pPr>
        <w:rPr>
          <w:i/>
        </w:rPr>
      </w:pPr>
      <w:r w:rsidRPr="00166189">
        <w:t xml:space="preserve">Utilising the data from Laboratory D (which was ranked in </w:t>
      </w:r>
      <w:r w:rsidR="00166189">
        <w:t>decreasing</w:t>
      </w:r>
      <w:r w:rsidRPr="00166189">
        <w:t xml:space="preserve"> specimen complexity within each accession) we were able explore the possibility of applying such alternate strategies</w:t>
      </w:r>
      <w:r w:rsidR="00394A54" w:rsidRPr="00166189">
        <w:t xml:space="preserve">, compared </w:t>
      </w:r>
      <w:r w:rsidR="00297D87">
        <w:t xml:space="preserve">with </w:t>
      </w:r>
      <w:r w:rsidR="00394A54" w:rsidRPr="00166189">
        <w:t>the current coning and no coning at all (</w:t>
      </w:r>
      <w:r w:rsidR="00394A54" w:rsidRPr="005413F6">
        <w:rPr>
          <w:i/>
        </w:rPr>
        <w:t xml:space="preserve">Table </w:t>
      </w:r>
      <w:r w:rsidR="008840F8">
        <w:rPr>
          <w:i/>
        </w:rPr>
        <w:t>9</w:t>
      </w:r>
      <w:r w:rsidR="00394A54" w:rsidRPr="00166189">
        <w:t>).</w:t>
      </w:r>
    </w:p>
    <w:p w14:paraId="08953FC8" w14:textId="77777777" w:rsidR="003852C2" w:rsidRDefault="003852C2" w:rsidP="006D4298">
      <w:pPr>
        <w:pStyle w:val="Caption"/>
      </w:pPr>
      <w:bookmarkStart w:id="61" w:name="_Toc482213836"/>
    </w:p>
    <w:p w14:paraId="60BC88D6" w14:textId="77777777" w:rsidR="003852C2" w:rsidRDefault="003852C2" w:rsidP="006D4298">
      <w:pPr>
        <w:pStyle w:val="Caption"/>
      </w:pPr>
    </w:p>
    <w:p w14:paraId="3BDA67E3" w14:textId="77777777" w:rsidR="00297D87" w:rsidRPr="005413F6" w:rsidRDefault="00297D87" w:rsidP="006D4298">
      <w:pPr>
        <w:pStyle w:val="Caption"/>
      </w:pPr>
      <w:r>
        <w:t xml:space="preserve">Table </w:t>
      </w:r>
      <w:r w:rsidR="008840F8">
        <w:t>9</w:t>
      </w:r>
      <w:r>
        <w:t>. Modelling of ‘</w:t>
      </w:r>
      <w:r w:rsidRPr="00E66BEF">
        <w:t>Surgical</w:t>
      </w:r>
      <w:r>
        <w:t>’ and ‘</w:t>
      </w:r>
      <w:r w:rsidRPr="00E66BEF">
        <w:t>Radiology MRI</w:t>
      </w:r>
      <w:r>
        <w:t>’</w:t>
      </w:r>
      <w:r w:rsidRPr="00E66BEF">
        <w:t xml:space="preserve"> coning strategies</w:t>
      </w:r>
      <w:bookmarkEnd w:id="61"/>
    </w:p>
    <w:tbl>
      <w:tblPr>
        <w:tblW w:w="7880" w:type="dxa"/>
        <w:tblInd w:w="93" w:type="dxa"/>
        <w:tblLook w:val="04A0" w:firstRow="1" w:lastRow="0" w:firstColumn="1" w:lastColumn="0" w:noHBand="0" w:noVBand="1"/>
      </w:tblPr>
      <w:tblGrid>
        <w:gridCol w:w="5544"/>
        <w:gridCol w:w="1096"/>
        <w:gridCol w:w="1240"/>
      </w:tblGrid>
      <w:tr w:rsidR="00371D78" w:rsidRPr="00394A54" w14:paraId="0E977B58" w14:textId="77777777" w:rsidTr="00774742">
        <w:trPr>
          <w:trHeight w:val="300"/>
        </w:trPr>
        <w:tc>
          <w:tcPr>
            <w:tcW w:w="5544" w:type="dxa"/>
            <w:tcBorders>
              <w:top w:val="single" w:sz="4" w:space="0" w:color="auto"/>
              <w:left w:val="single" w:sz="4" w:space="0" w:color="auto"/>
              <w:bottom w:val="single" w:sz="4" w:space="0" w:color="auto"/>
              <w:right w:val="nil"/>
            </w:tcBorders>
            <w:shd w:val="clear" w:color="auto" w:fill="EEECE1" w:themeFill="background2"/>
            <w:noWrap/>
            <w:vAlign w:val="bottom"/>
            <w:hideMark/>
          </w:tcPr>
          <w:p w14:paraId="44D049C1" w14:textId="77777777" w:rsidR="00371D78" w:rsidRPr="006D4298" w:rsidRDefault="00371D78" w:rsidP="007337CF">
            <w:pPr>
              <w:spacing w:beforeLines="40" w:before="96" w:afterLines="40" w:after="96"/>
              <w:rPr>
                <w:b/>
                <w:bCs/>
                <w:sz w:val="20"/>
                <w:szCs w:val="20"/>
                <w:highlight w:val="yellow"/>
                <w:lang w:eastAsia="en-US"/>
              </w:rPr>
            </w:pPr>
            <w:r w:rsidRPr="006E224A">
              <w:rPr>
                <w:b/>
                <w:bCs/>
                <w:sz w:val="20"/>
                <w:szCs w:val="20"/>
                <w:lang w:eastAsia="en-US"/>
              </w:rPr>
              <w:t>Coning Method</w:t>
            </w:r>
          </w:p>
        </w:tc>
        <w:tc>
          <w:tcPr>
            <w:tcW w:w="1096"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05AA463C" w14:textId="77777777" w:rsidR="00371D78" w:rsidRPr="006D4298" w:rsidRDefault="00371D78" w:rsidP="007337CF">
            <w:pPr>
              <w:spacing w:beforeLines="40" w:before="96" w:afterLines="40" w:after="96"/>
              <w:rPr>
                <w:b/>
                <w:bCs/>
                <w:sz w:val="20"/>
                <w:szCs w:val="20"/>
                <w:highlight w:val="yellow"/>
                <w:lang w:eastAsia="en-US"/>
              </w:rPr>
            </w:pPr>
            <w:r w:rsidRPr="006E224A">
              <w:rPr>
                <w:b/>
                <w:bCs/>
                <w:sz w:val="20"/>
                <w:szCs w:val="20"/>
                <w:lang w:eastAsia="en-US"/>
              </w:rPr>
              <w:t>Rebate ($)</w:t>
            </w:r>
          </w:p>
        </w:tc>
        <w:tc>
          <w:tcPr>
            <w:tcW w:w="124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0552C75" w14:textId="77777777" w:rsidR="00371D78" w:rsidRPr="006D4298" w:rsidRDefault="00371D78" w:rsidP="007337CF">
            <w:pPr>
              <w:spacing w:beforeLines="40" w:before="96" w:afterLines="40" w:after="96"/>
              <w:rPr>
                <w:b/>
                <w:bCs/>
                <w:sz w:val="20"/>
                <w:szCs w:val="20"/>
                <w:lang w:eastAsia="en-US"/>
              </w:rPr>
            </w:pPr>
            <w:r w:rsidRPr="006D4298">
              <w:rPr>
                <w:b/>
                <w:bCs/>
                <w:sz w:val="20"/>
                <w:szCs w:val="20"/>
                <w:lang w:eastAsia="en-US"/>
              </w:rPr>
              <w:t>Increase%</w:t>
            </w:r>
          </w:p>
        </w:tc>
      </w:tr>
      <w:tr w:rsidR="00371D78" w:rsidRPr="00394A54" w14:paraId="339BF0C0" w14:textId="77777777" w:rsidTr="00371D78">
        <w:trPr>
          <w:trHeight w:val="300"/>
        </w:trPr>
        <w:tc>
          <w:tcPr>
            <w:tcW w:w="5544" w:type="dxa"/>
            <w:tcBorders>
              <w:top w:val="nil"/>
              <w:left w:val="single" w:sz="4" w:space="0" w:color="auto"/>
              <w:bottom w:val="nil"/>
              <w:right w:val="single" w:sz="4" w:space="0" w:color="auto"/>
            </w:tcBorders>
            <w:shd w:val="clear" w:color="auto" w:fill="auto"/>
            <w:noWrap/>
            <w:vAlign w:val="center"/>
            <w:hideMark/>
          </w:tcPr>
          <w:p w14:paraId="646395BD" w14:textId="77777777" w:rsidR="00371D78" w:rsidRPr="006D4298" w:rsidRDefault="00371D78" w:rsidP="007337CF">
            <w:pPr>
              <w:spacing w:beforeLines="40" w:before="96" w:afterLines="40" w:after="96"/>
              <w:rPr>
                <w:sz w:val="20"/>
                <w:szCs w:val="20"/>
                <w:lang w:eastAsia="en-US"/>
              </w:rPr>
            </w:pPr>
            <w:r w:rsidRPr="006D4298">
              <w:rPr>
                <w:sz w:val="20"/>
                <w:szCs w:val="20"/>
                <w:lang w:eastAsia="en-US"/>
              </w:rPr>
              <w:t>Current nominal coned billing</w:t>
            </w:r>
          </w:p>
        </w:tc>
        <w:tc>
          <w:tcPr>
            <w:tcW w:w="1096" w:type="dxa"/>
            <w:tcBorders>
              <w:top w:val="nil"/>
              <w:left w:val="nil"/>
              <w:bottom w:val="nil"/>
              <w:right w:val="single" w:sz="4" w:space="0" w:color="auto"/>
            </w:tcBorders>
            <w:shd w:val="clear" w:color="auto" w:fill="auto"/>
            <w:noWrap/>
            <w:vAlign w:val="bottom"/>
            <w:hideMark/>
          </w:tcPr>
          <w:p w14:paraId="5B746B65" w14:textId="77777777" w:rsidR="00371D78" w:rsidRPr="006D4298" w:rsidRDefault="00371D78" w:rsidP="007337CF">
            <w:pPr>
              <w:spacing w:beforeLines="40" w:before="96" w:afterLines="40" w:after="96"/>
              <w:jc w:val="right"/>
              <w:rPr>
                <w:sz w:val="20"/>
                <w:szCs w:val="20"/>
                <w:lang w:eastAsia="en-US"/>
              </w:rPr>
            </w:pPr>
            <w:r w:rsidRPr="006D4298">
              <w:rPr>
                <w:sz w:val="20"/>
                <w:szCs w:val="20"/>
                <w:lang w:eastAsia="en-US"/>
              </w:rPr>
              <w:t>1</w:t>
            </w:r>
            <w:r>
              <w:rPr>
                <w:sz w:val="20"/>
                <w:szCs w:val="20"/>
                <w:lang w:eastAsia="en-US"/>
              </w:rPr>
              <w:t xml:space="preserve"> </w:t>
            </w:r>
            <w:r w:rsidRPr="006D4298">
              <w:rPr>
                <w:sz w:val="20"/>
                <w:szCs w:val="20"/>
                <w:lang w:eastAsia="en-US"/>
              </w:rPr>
              <w:t>161</w:t>
            </w:r>
            <w:r>
              <w:rPr>
                <w:sz w:val="20"/>
                <w:szCs w:val="20"/>
                <w:lang w:eastAsia="en-US"/>
              </w:rPr>
              <w:t xml:space="preserve"> </w:t>
            </w:r>
            <w:r w:rsidRPr="006D4298">
              <w:rPr>
                <w:sz w:val="20"/>
                <w:szCs w:val="20"/>
                <w:lang w:eastAsia="en-US"/>
              </w:rPr>
              <w:t>139</w:t>
            </w:r>
          </w:p>
        </w:tc>
        <w:tc>
          <w:tcPr>
            <w:tcW w:w="1240" w:type="dxa"/>
            <w:tcBorders>
              <w:top w:val="nil"/>
              <w:left w:val="nil"/>
              <w:bottom w:val="nil"/>
              <w:right w:val="single" w:sz="4" w:space="0" w:color="auto"/>
            </w:tcBorders>
            <w:shd w:val="clear" w:color="auto" w:fill="auto"/>
            <w:noWrap/>
            <w:vAlign w:val="bottom"/>
            <w:hideMark/>
          </w:tcPr>
          <w:p w14:paraId="1C48E593" w14:textId="77777777" w:rsidR="00371D78" w:rsidRPr="006D4298" w:rsidRDefault="00371D78" w:rsidP="007337CF">
            <w:pPr>
              <w:spacing w:beforeLines="40" w:before="96" w:afterLines="40" w:after="96"/>
              <w:jc w:val="right"/>
              <w:rPr>
                <w:sz w:val="20"/>
                <w:szCs w:val="20"/>
                <w:lang w:eastAsia="en-US"/>
              </w:rPr>
            </w:pPr>
            <w:r w:rsidRPr="006D4298">
              <w:rPr>
                <w:sz w:val="20"/>
                <w:szCs w:val="20"/>
                <w:lang w:eastAsia="en-US"/>
              </w:rPr>
              <w:t>0</w:t>
            </w:r>
          </w:p>
        </w:tc>
      </w:tr>
      <w:tr w:rsidR="00394A54" w:rsidRPr="00394A54" w14:paraId="31FE22D7" w14:textId="77777777" w:rsidTr="006D4298">
        <w:trPr>
          <w:trHeight w:val="300"/>
        </w:trPr>
        <w:tc>
          <w:tcPr>
            <w:tcW w:w="5544" w:type="dxa"/>
            <w:tcBorders>
              <w:top w:val="nil"/>
              <w:left w:val="single" w:sz="4" w:space="0" w:color="auto"/>
              <w:bottom w:val="nil"/>
              <w:right w:val="single" w:sz="4" w:space="0" w:color="000000"/>
            </w:tcBorders>
            <w:shd w:val="clear" w:color="auto" w:fill="auto"/>
            <w:noWrap/>
            <w:hideMark/>
          </w:tcPr>
          <w:p w14:paraId="006FC002" w14:textId="77777777" w:rsidR="00394A54" w:rsidRPr="006D4298" w:rsidRDefault="00394A54" w:rsidP="007337CF">
            <w:pPr>
              <w:spacing w:beforeLines="40" w:before="96" w:afterLines="40" w:after="96"/>
              <w:rPr>
                <w:sz w:val="20"/>
                <w:szCs w:val="20"/>
                <w:lang w:eastAsia="en-US"/>
              </w:rPr>
            </w:pPr>
            <w:r w:rsidRPr="006D4298">
              <w:rPr>
                <w:sz w:val="20"/>
                <w:szCs w:val="20"/>
                <w:lang w:eastAsia="en-US"/>
              </w:rPr>
              <w:t>Surgical Model 100/50/25</w:t>
            </w:r>
            <w:r w:rsidR="00297D87">
              <w:rPr>
                <w:sz w:val="20"/>
                <w:szCs w:val="20"/>
                <w:lang w:eastAsia="en-US"/>
              </w:rPr>
              <w:t>,</w:t>
            </w:r>
            <w:r w:rsidRPr="006D4298">
              <w:rPr>
                <w:sz w:val="20"/>
                <w:szCs w:val="20"/>
                <w:lang w:eastAsia="en-US"/>
              </w:rPr>
              <w:t xml:space="preserve"> etc</w:t>
            </w:r>
            <w:r w:rsidR="00297D87">
              <w:rPr>
                <w:sz w:val="20"/>
                <w:szCs w:val="20"/>
                <w:lang w:eastAsia="en-US"/>
              </w:rPr>
              <w:t>.</w:t>
            </w:r>
            <w:r w:rsidRPr="006D4298">
              <w:rPr>
                <w:sz w:val="20"/>
                <w:szCs w:val="20"/>
                <w:lang w:eastAsia="en-US"/>
              </w:rPr>
              <w:t xml:space="preserve"> based on current complexity</w:t>
            </w:r>
          </w:p>
        </w:tc>
        <w:tc>
          <w:tcPr>
            <w:tcW w:w="1096" w:type="dxa"/>
            <w:tcBorders>
              <w:top w:val="nil"/>
              <w:left w:val="nil"/>
              <w:bottom w:val="nil"/>
              <w:right w:val="single" w:sz="4" w:space="0" w:color="auto"/>
            </w:tcBorders>
            <w:shd w:val="clear" w:color="auto" w:fill="auto"/>
            <w:noWrap/>
            <w:vAlign w:val="bottom"/>
            <w:hideMark/>
          </w:tcPr>
          <w:p w14:paraId="5A25C06D" w14:textId="77777777" w:rsidR="00394A54" w:rsidRPr="006D4298" w:rsidRDefault="00394A54" w:rsidP="007337CF">
            <w:pPr>
              <w:spacing w:beforeLines="40" w:before="96" w:afterLines="40" w:after="96"/>
              <w:jc w:val="right"/>
              <w:rPr>
                <w:sz w:val="20"/>
                <w:szCs w:val="20"/>
                <w:lang w:eastAsia="en-US"/>
              </w:rPr>
            </w:pPr>
            <w:r w:rsidRPr="006D4298">
              <w:rPr>
                <w:sz w:val="20"/>
                <w:szCs w:val="20"/>
                <w:lang w:eastAsia="en-US"/>
              </w:rPr>
              <w:t>1</w:t>
            </w:r>
            <w:r w:rsidR="00297D87">
              <w:rPr>
                <w:sz w:val="20"/>
                <w:szCs w:val="20"/>
                <w:lang w:eastAsia="en-US"/>
              </w:rPr>
              <w:t xml:space="preserve"> </w:t>
            </w:r>
            <w:r w:rsidRPr="006D4298">
              <w:rPr>
                <w:sz w:val="20"/>
                <w:szCs w:val="20"/>
                <w:lang w:eastAsia="en-US"/>
              </w:rPr>
              <w:t>308</w:t>
            </w:r>
            <w:r w:rsidR="00297D87">
              <w:rPr>
                <w:sz w:val="20"/>
                <w:szCs w:val="20"/>
                <w:lang w:eastAsia="en-US"/>
              </w:rPr>
              <w:t xml:space="preserve"> </w:t>
            </w:r>
            <w:r w:rsidRPr="006D4298">
              <w:rPr>
                <w:sz w:val="20"/>
                <w:szCs w:val="20"/>
                <w:lang w:eastAsia="en-US"/>
              </w:rPr>
              <w:t>922</w:t>
            </w:r>
          </w:p>
        </w:tc>
        <w:tc>
          <w:tcPr>
            <w:tcW w:w="1240" w:type="dxa"/>
            <w:tcBorders>
              <w:top w:val="nil"/>
              <w:left w:val="nil"/>
              <w:bottom w:val="nil"/>
              <w:right w:val="single" w:sz="4" w:space="0" w:color="auto"/>
            </w:tcBorders>
            <w:shd w:val="clear" w:color="auto" w:fill="auto"/>
            <w:noWrap/>
            <w:vAlign w:val="bottom"/>
            <w:hideMark/>
          </w:tcPr>
          <w:p w14:paraId="7553FC2C" w14:textId="77777777" w:rsidR="00394A54" w:rsidRPr="006D4298" w:rsidRDefault="00394A54" w:rsidP="007337CF">
            <w:pPr>
              <w:spacing w:beforeLines="40" w:before="96" w:afterLines="40" w:after="96"/>
              <w:jc w:val="right"/>
              <w:rPr>
                <w:sz w:val="20"/>
                <w:szCs w:val="20"/>
                <w:lang w:eastAsia="en-US"/>
              </w:rPr>
            </w:pPr>
            <w:r w:rsidRPr="006D4298">
              <w:rPr>
                <w:sz w:val="20"/>
                <w:szCs w:val="20"/>
                <w:lang w:eastAsia="en-US"/>
              </w:rPr>
              <w:t>12.70%</w:t>
            </w:r>
          </w:p>
        </w:tc>
      </w:tr>
      <w:tr w:rsidR="00394A54" w:rsidRPr="00394A54" w14:paraId="5B5C5572" w14:textId="77777777" w:rsidTr="006D4298">
        <w:trPr>
          <w:trHeight w:val="300"/>
        </w:trPr>
        <w:tc>
          <w:tcPr>
            <w:tcW w:w="5544" w:type="dxa"/>
            <w:tcBorders>
              <w:top w:val="nil"/>
              <w:left w:val="single" w:sz="4" w:space="0" w:color="auto"/>
              <w:bottom w:val="nil"/>
              <w:right w:val="single" w:sz="4" w:space="0" w:color="000000"/>
            </w:tcBorders>
            <w:shd w:val="clear" w:color="auto" w:fill="auto"/>
            <w:noWrap/>
            <w:hideMark/>
          </w:tcPr>
          <w:p w14:paraId="7D8B5982" w14:textId="77777777" w:rsidR="00394A54" w:rsidRPr="006D4298" w:rsidRDefault="00394A54" w:rsidP="007337CF">
            <w:pPr>
              <w:spacing w:beforeLines="40" w:before="96" w:afterLines="40" w:after="96"/>
              <w:rPr>
                <w:sz w:val="20"/>
                <w:szCs w:val="20"/>
                <w:lang w:eastAsia="en-US"/>
              </w:rPr>
            </w:pPr>
            <w:proofErr w:type="spellStart"/>
            <w:r w:rsidRPr="006D4298">
              <w:rPr>
                <w:sz w:val="20"/>
                <w:szCs w:val="20"/>
                <w:lang w:eastAsia="en-US"/>
              </w:rPr>
              <w:t>Radiol</w:t>
            </w:r>
            <w:proofErr w:type="spellEnd"/>
            <w:r w:rsidRPr="006D4298">
              <w:rPr>
                <w:sz w:val="20"/>
                <w:szCs w:val="20"/>
                <w:lang w:eastAsia="en-US"/>
              </w:rPr>
              <w:t xml:space="preserve"> MRI</w:t>
            </w:r>
            <w:r w:rsidR="00166189" w:rsidRPr="006D4298">
              <w:rPr>
                <w:sz w:val="20"/>
                <w:szCs w:val="20"/>
                <w:lang w:eastAsia="en-US"/>
              </w:rPr>
              <w:t xml:space="preserve"> </w:t>
            </w:r>
            <w:r w:rsidRPr="006D4298">
              <w:rPr>
                <w:sz w:val="20"/>
                <w:szCs w:val="20"/>
                <w:lang w:eastAsia="en-US"/>
              </w:rPr>
              <w:t>Model 100/50</w:t>
            </w:r>
            <w:r w:rsidR="00297D87">
              <w:rPr>
                <w:sz w:val="20"/>
                <w:szCs w:val="20"/>
                <w:lang w:eastAsia="en-US"/>
              </w:rPr>
              <w:t>,</w:t>
            </w:r>
            <w:r w:rsidRPr="006D4298">
              <w:rPr>
                <w:sz w:val="20"/>
                <w:szCs w:val="20"/>
                <w:lang w:eastAsia="en-US"/>
              </w:rPr>
              <w:t xml:space="preserve"> etc</w:t>
            </w:r>
            <w:r w:rsidR="00297D87">
              <w:rPr>
                <w:sz w:val="20"/>
                <w:szCs w:val="20"/>
                <w:lang w:eastAsia="en-US"/>
              </w:rPr>
              <w:t>.</w:t>
            </w:r>
            <w:r w:rsidRPr="006D4298">
              <w:rPr>
                <w:sz w:val="20"/>
                <w:szCs w:val="20"/>
                <w:lang w:eastAsia="en-US"/>
              </w:rPr>
              <w:t xml:space="preserve"> based on current complexity</w:t>
            </w:r>
          </w:p>
        </w:tc>
        <w:tc>
          <w:tcPr>
            <w:tcW w:w="1096" w:type="dxa"/>
            <w:tcBorders>
              <w:top w:val="nil"/>
              <w:left w:val="nil"/>
              <w:bottom w:val="nil"/>
              <w:right w:val="single" w:sz="4" w:space="0" w:color="auto"/>
            </w:tcBorders>
            <w:shd w:val="clear" w:color="auto" w:fill="auto"/>
            <w:noWrap/>
            <w:vAlign w:val="bottom"/>
            <w:hideMark/>
          </w:tcPr>
          <w:p w14:paraId="65F5D466" w14:textId="77777777" w:rsidR="00394A54" w:rsidRPr="006D4298" w:rsidRDefault="00394A54" w:rsidP="007337CF">
            <w:pPr>
              <w:spacing w:beforeLines="40" w:before="96" w:afterLines="40" w:after="96"/>
              <w:jc w:val="right"/>
              <w:rPr>
                <w:sz w:val="20"/>
                <w:szCs w:val="20"/>
                <w:lang w:eastAsia="en-US"/>
              </w:rPr>
            </w:pPr>
            <w:r w:rsidRPr="006D4298">
              <w:rPr>
                <w:sz w:val="20"/>
                <w:szCs w:val="20"/>
                <w:lang w:eastAsia="en-US"/>
              </w:rPr>
              <w:t>1</w:t>
            </w:r>
            <w:r w:rsidR="00297D87">
              <w:rPr>
                <w:sz w:val="20"/>
                <w:szCs w:val="20"/>
                <w:lang w:eastAsia="en-US"/>
              </w:rPr>
              <w:t xml:space="preserve"> </w:t>
            </w:r>
            <w:r w:rsidRPr="006D4298">
              <w:rPr>
                <w:sz w:val="20"/>
                <w:szCs w:val="20"/>
                <w:lang w:eastAsia="en-US"/>
              </w:rPr>
              <w:t>367</w:t>
            </w:r>
            <w:r w:rsidR="00297D87">
              <w:rPr>
                <w:sz w:val="20"/>
                <w:szCs w:val="20"/>
                <w:lang w:eastAsia="en-US"/>
              </w:rPr>
              <w:t xml:space="preserve"> </w:t>
            </w:r>
            <w:r w:rsidRPr="006D4298">
              <w:rPr>
                <w:sz w:val="20"/>
                <w:szCs w:val="20"/>
                <w:lang w:eastAsia="en-US"/>
              </w:rPr>
              <w:t>619</w:t>
            </w:r>
          </w:p>
        </w:tc>
        <w:tc>
          <w:tcPr>
            <w:tcW w:w="1240" w:type="dxa"/>
            <w:tcBorders>
              <w:top w:val="nil"/>
              <w:left w:val="nil"/>
              <w:bottom w:val="nil"/>
              <w:right w:val="single" w:sz="4" w:space="0" w:color="auto"/>
            </w:tcBorders>
            <w:shd w:val="clear" w:color="auto" w:fill="auto"/>
            <w:noWrap/>
            <w:vAlign w:val="bottom"/>
            <w:hideMark/>
          </w:tcPr>
          <w:p w14:paraId="22E236C8" w14:textId="77777777" w:rsidR="00394A54" w:rsidRPr="006D4298" w:rsidRDefault="00394A54" w:rsidP="007337CF">
            <w:pPr>
              <w:spacing w:beforeLines="40" w:before="96" w:afterLines="40" w:after="96"/>
              <w:jc w:val="right"/>
              <w:rPr>
                <w:sz w:val="20"/>
                <w:szCs w:val="20"/>
                <w:lang w:eastAsia="en-US"/>
              </w:rPr>
            </w:pPr>
            <w:r w:rsidRPr="006D4298">
              <w:rPr>
                <w:sz w:val="20"/>
                <w:szCs w:val="20"/>
                <w:lang w:eastAsia="en-US"/>
              </w:rPr>
              <w:t>17.80%</w:t>
            </w:r>
          </w:p>
        </w:tc>
      </w:tr>
      <w:tr w:rsidR="00371D78" w:rsidRPr="00394A54" w14:paraId="469F998F" w14:textId="77777777" w:rsidTr="00371D7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14:paraId="0046D880" w14:textId="77777777" w:rsidR="00371D78" w:rsidRPr="006D4298" w:rsidRDefault="00371D78" w:rsidP="007337CF">
            <w:pPr>
              <w:spacing w:beforeLines="40" w:before="96" w:afterLines="40" w:after="96"/>
              <w:rPr>
                <w:sz w:val="20"/>
                <w:szCs w:val="20"/>
                <w:lang w:eastAsia="en-US"/>
              </w:rPr>
            </w:pPr>
            <w:r w:rsidRPr="006D4298">
              <w:rPr>
                <w:sz w:val="20"/>
                <w:szCs w:val="20"/>
                <w:lang w:eastAsia="en-US"/>
              </w:rPr>
              <w:t xml:space="preserve">100% </w:t>
            </w:r>
            <w:proofErr w:type="spellStart"/>
            <w:r w:rsidRPr="006D4298">
              <w:rPr>
                <w:sz w:val="20"/>
                <w:szCs w:val="20"/>
                <w:lang w:eastAsia="en-US"/>
              </w:rPr>
              <w:t>unconed</w:t>
            </w:r>
            <w:proofErr w:type="spellEnd"/>
            <w:r w:rsidRPr="006D4298">
              <w:rPr>
                <w:sz w:val="20"/>
                <w:szCs w:val="20"/>
                <w:lang w:eastAsia="en-US"/>
              </w:rPr>
              <w:t xml:space="preserve"> based on current complexity</w:t>
            </w:r>
          </w:p>
        </w:tc>
        <w:tc>
          <w:tcPr>
            <w:tcW w:w="1096" w:type="dxa"/>
            <w:tcBorders>
              <w:top w:val="nil"/>
              <w:left w:val="nil"/>
              <w:bottom w:val="single" w:sz="4" w:space="0" w:color="auto"/>
              <w:right w:val="single" w:sz="4" w:space="0" w:color="auto"/>
            </w:tcBorders>
            <w:shd w:val="clear" w:color="auto" w:fill="auto"/>
            <w:noWrap/>
            <w:vAlign w:val="bottom"/>
            <w:hideMark/>
          </w:tcPr>
          <w:p w14:paraId="38EC510F" w14:textId="77777777" w:rsidR="00371D78" w:rsidRPr="006D4298" w:rsidRDefault="00371D78" w:rsidP="007337CF">
            <w:pPr>
              <w:spacing w:beforeLines="40" w:before="96" w:afterLines="40" w:after="96"/>
              <w:jc w:val="right"/>
              <w:rPr>
                <w:sz w:val="20"/>
                <w:szCs w:val="20"/>
                <w:lang w:eastAsia="en-US"/>
              </w:rPr>
            </w:pPr>
            <w:r w:rsidRPr="006D4298">
              <w:rPr>
                <w:sz w:val="20"/>
                <w:szCs w:val="20"/>
                <w:lang w:eastAsia="en-US"/>
              </w:rPr>
              <w:t>1</w:t>
            </w:r>
            <w:r>
              <w:rPr>
                <w:sz w:val="20"/>
                <w:szCs w:val="20"/>
                <w:lang w:eastAsia="en-US"/>
              </w:rPr>
              <w:t xml:space="preserve"> </w:t>
            </w:r>
            <w:r w:rsidRPr="006D4298">
              <w:rPr>
                <w:sz w:val="20"/>
                <w:szCs w:val="20"/>
                <w:lang w:eastAsia="en-US"/>
              </w:rPr>
              <w:t>640</w:t>
            </w:r>
            <w:r>
              <w:rPr>
                <w:sz w:val="20"/>
                <w:szCs w:val="20"/>
                <w:lang w:eastAsia="en-US"/>
              </w:rPr>
              <w:t xml:space="preserve"> </w:t>
            </w:r>
            <w:r w:rsidRPr="006D4298">
              <w:rPr>
                <w:sz w:val="20"/>
                <w:szCs w:val="20"/>
                <w:lang w:eastAsia="en-US"/>
              </w:rPr>
              <w:t>016</w:t>
            </w:r>
          </w:p>
        </w:tc>
        <w:tc>
          <w:tcPr>
            <w:tcW w:w="1240" w:type="dxa"/>
            <w:tcBorders>
              <w:top w:val="nil"/>
              <w:left w:val="nil"/>
              <w:bottom w:val="single" w:sz="4" w:space="0" w:color="auto"/>
              <w:right w:val="single" w:sz="4" w:space="0" w:color="auto"/>
            </w:tcBorders>
            <w:shd w:val="clear" w:color="auto" w:fill="auto"/>
            <w:noWrap/>
            <w:vAlign w:val="bottom"/>
            <w:hideMark/>
          </w:tcPr>
          <w:p w14:paraId="5CEE8CE2" w14:textId="77777777" w:rsidR="00371D78" w:rsidRPr="006D4298" w:rsidRDefault="00371D78" w:rsidP="007337CF">
            <w:pPr>
              <w:spacing w:beforeLines="40" w:before="96" w:afterLines="40" w:after="96"/>
              <w:jc w:val="right"/>
              <w:rPr>
                <w:sz w:val="20"/>
                <w:szCs w:val="20"/>
                <w:lang w:eastAsia="en-US"/>
              </w:rPr>
            </w:pPr>
            <w:r w:rsidRPr="006D4298">
              <w:rPr>
                <w:sz w:val="20"/>
                <w:szCs w:val="20"/>
                <w:lang w:eastAsia="en-US"/>
              </w:rPr>
              <w:t>41.20%</w:t>
            </w:r>
          </w:p>
        </w:tc>
      </w:tr>
    </w:tbl>
    <w:p w14:paraId="73D2EC85" w14:textId="77777777" w:rsidR="00BE5FD0" w:rsidRPr="006D4298" w:rsidRDefault="00394A54" w:rsidP="006D4298">
      <w:pPr>
        <w:spacing w:before="360"/>
        <w:rPr>
          <w:rStyle w:val="ref-label"/>
        </w:rPr>
      </w:pPr>
      <w:r w:rsidRPr="00166189">
        <w:t xml:space="preserve">Application of the </w:t>
      </w:r>
      <w:r w:rsidR="00BE5FD0">
        <w:t>‘</w:t>
      </w:r>
      <w:r w:rsidRPr="00166189">
        <w:t>Surgical</w:t>
      </w:r>
      <w:r w:rsidR="00BE5FD0">
        <w:t>’</w:t>
      </w:r>
      <w:r w:rsidR="00FD7696">
        <w:t xml:space="preserve"> </w:t>
      </w:r>
      <w:r w:rsidRPr="00166189">
        <w:t xml:space="preserve">model (100% of the most expensive item, 50% of the next most expensive then 25% thereafter) resulted in a 12.7% increase in nominal revenue, while the </w:t>
      </w:r>
      <w:r w:rsidR="00BE5FD0">
        <w:t>‘</w:t>
      </w:r>
      <w:r w:rsidRPr="00166189">
        <w:t>Radiology</w:t>
      </w:r>
      <w:r w:rsidR="00166189">
        <w:t xml:space="preserve"> </w:t>
      </w:r>
      <w:r w:rsidRPr="00166189">
        <w:t>MRI</w:t>
      </w:r>
      <w:r w:rsidR="00BE5FD0">
        <w:t xml:space="preserve">’ </w:t>
      </w:r>
      <w:r w:rsidRPr="00166189">
        <w:t>model (100% of the most expensive item then 50% thereafter) resulted in a 17.8% increase in nominal revenue.</w:t>
      </w:r>
    </w:p>
    <w:p w14:paraId="7DC8A7E5" w14:textId="77777777" w:rsidR="006529AB" w:rsidRDefault="00394A54" w:rsidP="006D4298">
      <w:r w:rsidRPr="00166189">
        <w:t xml:space="preserve">This relatively modest increase came about because </w:t>
      </w:r>
      <w:r w:rsidR="00BE5FD0">
        <w:t xml:space="preserve">most </w:t>
      </w:r>
      <w:r w:rsidRPr="00166189">
        <w:t>cases assessed by Laboratory D had only 1 (70.3%) or 2 (18.36%) specimens.</w:t>
      </w:r>
      <w:r w:rsidR="00E11BC0">
        <w:t xml:space="preserve"> </w:t>
      </w:r>
      <w:r w:rsidRPr="00166189">
        <w:t>Less than 5% of cases had more than 3 specimens. The cases with very high numbers of specimens were generally prostate core biopsy cases.</w:t>
      </w:r>
    </w:p>
    <w:p w14:paraId="15DDE684" w14:textId="77777777" w:rsidR="006529AB" w:rsidRPr="00166189" w:rsidRDefault="00394A54" w:rsidP="006D4298">
      <w:r w:rsidRPr="00166189">
        <w:t xml:space="preserve">The application of an alternative coning model along these lines has various </w:t>
      </w:r>
      <w:r w:rsidR="00FD7696">
        <w:t>advantages</w:t>
      </w:r>
      <w:r w:rsidRPr="00166189">
        <w:t xml:space="preserve">: </w:t>
      </w:r>
    </w:p>
    <w:p w14:paraId="7CE12633" w14:textId="77777777" w:rsidR="006529AB" w:rsidRPr="00166189" w:rsidRDefault="00394A54" w:rsidP="00774742">
      <w:pPr>
        <w:pStyle w:val="NormalBulleted"/>
      </w:pPr>
      <w:r w:rsidRPr="00166189">
        <w:t xml:space="preserve">It would avoid the necessity to introduce additional tiers for </w:t>
      </w:r>
      <w:r w:rsidR="00B21D4A">
        <w:t>level</w:t>
      </w:r>
      <w:r w:rsidRPr="00166189">
        <w:t>s 2, 5, 6 and 7 and the unpicking of Rule 13, whil</w:t>
      </w:r>
      <w:r w:rsidR="009447E6">
        <w:t>e</w:t>
      </w:r>
      <w:r w:rsidRPr="00166189">
        <w:t xml:space="preserve"> recognising (at least in part) the impost of multiple high</w:t>
      </w:r>
      <w:r w:rsidR="009447E6">
        <w:t>-</w:t>
      </w:r>
      <w:r w:rsidRPr="00166189">
        <w:t>complexity items within an accession.</w:t>
      </w:r>
    </w:p>
    <w:p w14:paraId="648360F8" w14:textId="77777777" w:rsidR="006529AB" w:rsidRDefault="00166189" w:rsidP="00774742">
      <w:pPr>
        <w:pStyle w:val="NormalBulleted"/>
      </w:pPr>
      <w:r w:rsidRPr="00166189">
        <w:t>It would be amenable to future negotiated changes in rebate (by percentage) without complicated adjust</w:t>
      </w:r>
      <w:r w:rsidR="0099749C">
        <w:t>ment</w:t>
      </w:r>
      <w:r w:rsidRPr="00166189">
        <w:t xml:space="preserve"> of coning/tiering rules</w:t>
      </w:r>
      <w:r w:rsidR="009447E6">
        <w:t>.</w:t>
      </w:r>
    </w:p>
    <w:p w14:paraId="1F2C0068" w14:textId="77777777" w:rsidR="00923BDB" w:rsidRDefault="00923BDB" w:rsidP="008C5974">
      <w:pPr>
        <w:rPr>
          <w:rFonts w:eastAsiaTheme="minorHAnsi"/>
          <w:lang w:val="en-US" w:eastAsia="en-US"/>
        </w:rPr>
      </w:pPr>
      <w:bookmarkStart w:id="62" w:name="_Toc482203584"/>
      <w:r>
        <w:br w:type="page"/>
      </w:r>
    </w:p>
    <w:p w14:paraId="76186859" w14:textId="77777777" w:rsidR="001E270E" w:rsidRPr="00F87134" w:rsidRDefault="00736C4E" w:rsidP="00736C4E">
      <w:pPr>
        <w:pStyle w:val="Heading2"/>
        <w:numPr>
          <w:ilvl w:val="0"/>
          <w:numId w:val="0"/>
        </w:numPr>
        <w:ind w:left="567" w:hanging="567"/>
      </w:pPr>
      <w:bookmarkStart w:id="63" w:name="_Toc514243833"/>
      <w:r>
        <w:lastRenderedPageBreak/>
        <w:t>4.3</w:t>
      </w:r>
      <w:r>
        <w:tab/>
      </w:r>
      <w:r w:rsidR="001E270E" w:rsidRPr="00F87134">
        <w:t>Coning in Cytology core items</w:t>
      </w:r>
      <w:bookmarkEnd w:id="62"/>
      <w:bookmarkEnd w:id="63"/>
    </w:p>
    <w:p w14:paraId="216824FB" w14:textId="77777777" w:rsidR="00944DD3" w:rsidRPr="00F87134" w:rsidRDefault="00944DD3" w:rsidP="00772F53">
      <w:pPr>
        <w:pStyle w:val="Rec"/>
      </w:pPr>
      <w:r w:rsidRPr="00F87134">
        <w:t>Recommendations</w:t>
      </w:r>
    </w:p>
    <w:p w14:paraId="335F7465" w14:textId="77777777" w:rsidR="00944DD3" w:rsidRPr="00AC42B7" w:rsidRDefault="00944DD3" w:rsidP="00774742">
      <w:pPr>
        <w:pStyle w:val="NormalBulleted"/>
      </w:pPr>
      <w:r w:rsidRPr="00AC42B7">
        <w:t>Remove the multiplier cytology core items and all within-level coning/tiering, having a single item for each Cytology specimen type</w:t>
      </w:r>
      <w:r>
        <w:t>:</w:t>
      </w:r>
    </w:p>
    <w:p w14:paraId="70011DE8" w14:textId="77777777" w:rsidR="00944DD3" w:rsidRPr="00AC42B7" w:rsidRDefault="00944DD3" w:rsidP="00774742">
      <w:pPr>
        <w:pStyle w:val="NormalBulleted"/>
        <w:numPr>
          <w:ilvl w:val="0"/>
          <w:numId w:val="0"/>
        </w:numPr>
        <w:ind w:left="426"/>
      </w:pPr>
      <w:r w:rsidRPr="00AC42B7">
        <w:t>- minor rewording of Cytology items: 73043, 73045, 73049, 73051, 73063 (remove stipulation of number of sites)</w:t>
      </w:r>
    </w:p>
    <w:p w14:paraId="75E5379A" w14:textId="77777777" w:rsidR="00944DD3" w:rsidRPr="00AC42B7" w:rsidRDefault="003852C2" w:rsidP="00774742">
      <w:pPr>
        <w:pStyle w:val="NormalBulleted"/>
        <w:numPr>
          <w:ilvl w:val="0"/>
          <w:numId w:val="0"/>
        </w:numPr>
        <w:ind w:left="284"/>
      </w:pPr>
      <w:r>
        <w:t xml:space="preserve">  </w:t>
      </w:r>
      <w:r w:rsidR="00944DD3" w:rsidRPr="00AC42B7">
        <w:t>- removal of Cytology items: 73062, 73066, 73067</w:t>
      </w:r>
      <w:r w:rsidR="00944DD3">
        <w:t>.</w:t>
      </w:r>
    </w:p>
    <w:p w14:paraId="7593058E" w14:textId="77777777" w:rsidR="00944DD3" w:rsidRPr="00AC42B7" w:rsidRDefault="00944DD3" w:rsidP="00774742">
      <w:pPr>
        <w:pStyle w:val="NormalBulleted"/>
      </w:pPr>
      <w:r w:rsidRPr="00AC42B7">
        <w:t xml:space="preserve">Remove the item 73047 for a series of </w:t>
      </w:r>
      <w:r>
        <w:t>three</w:t>
      </w:r>
      <w:r w:rsidRPr="00AC42B7">
        <w:t xml:space="preserve"> (urine or sputum) and allow each specimen to be dealt with independently (as item 73045)</w:t>
      </w:r>
      <w:r>
        <w:t>.</w:t>
      </w:r>
    </w:p>
    <w:p w14:paraId="2449071B" w14:textId="77777777" w:rsidR="00944DD3" w:rsidRPr="00AC42B7" w:rsidRDefault="00944DD3" w:rsidP="00774742">
      <w:pPr>
        <w:pStyle w:val="NormalBulleted"/>
      </w:pPr>
      <w:r w:rsidRPr="00AC42B7">
        <w:t xml:space="preserve">If simple removal of coning is deemed financially unacceptable, consider the adoption of an alternative </w:t>
      </w:r>
      <w:r>
        <w:t>‘</w:t>
      </w:r>
      <w:r w:rsidRPr="00AC42B7">
        <w:t>Surgical</w:t>
      </w:r>
      <w:r>
        <w:t>’</w:t>
      </w:r>
      <w:r w:rsidRPr="00AC42B7">
        <w:t xml:space="preserve"> model of reimbursement of cytology core items, providing 100% rebate for the most expensive item, 50% rebate for the next most expensive item</w:t>
      </w:r>
      <w:r>
        <w:t>,</w:t>
      </w:r>
      <w:r w:rsidRPr="00AC42B7">
        <w:t xml:space="preserve"> and 25% rebate for each subsequent item thereafter</w:t>
      </w:r>
      <w:r>
        <w:t>.</w:t>
      </w:r>
    </w:p>
    <w:p w14:paraId="20A26DA7" w14:textId="77777777" w:rsidR="00944DD3" w:rsidRDefault="00944DD3" w:rsidP="00774742">
      <w:pPr>
        <w:pStyle w:val="NormalBulleted"/>
      </w:pPr>
      <w:r w:rsidRPr="00AC42B7">
        <w:t>Recommendations relating to Cytology Immunocytochemistry items are provided below in Section 4.4</w:t>
      </w:r>
      <w:r>
        <w:t>.</w:t>
      </w:r>
    </w:p>
    <w:p w14:paraId="12556727" w14:textId="77777777" w:rsidR="00944DD3" w:rsidRDefault="00944DD3" w:rsidP="00774742">
      <w:pPr>
        <w:pStyle w:val="NormalBulleted"/>
        <w:numPr>
          <w:ilvl w:val="0"/>
          <w:numId w:val="0"/>
        </w:numPr>
      </w:pPr>
    </w:p>
    <w:p w14:paraId="71630195" w14:textId="77777777" w:rsidR="00E60294" w:rsidRDefault="00944DD3" w:rsidP="00772F53">
      <w:pPr>
        <w:pStyle w:val="Rec"/>
      </w:pPr>
      <w:r w:rsidRPr="00944DD3">
        <w:t>Rationale</w:t>
      </w:r>
    </w:p>
    <w:p w14:paraId="7E4096BA" w14:textId="77777777" w:rsidR="00A10388" w:rsidRPr="00A10388" w:rsidRDefault="00FA1083" w:rsidP="00695B6A">
      <w:pPr>
        <w:pStyle w:val="NormalBulleted"/>
      </w:pPr>
      <w:r w:rsidRPr="00A10388">
        <w:rPr>
          <w:lang w:val="en-US" w:eastAsia="en-US"/>
        </w:rPr>
        <w:t xml:space="preserve">The Cytology rebates are widely </w:t>
      </w:r>
      <w:proofErr w:type="spellStart"/>
      <w:r w:rsidRPr="00A10388">
        <w:rPr>
          <w:lang w:val="en-US" w:eastAsia="en-US"/>
        </w:rPr>
        <w:t>recogni</w:t>
      </w:r>
      <w:r w:rsidR="001E2C55" w:rsidRPr="00A10388">
        <w:rPr>
          <w:lang w:val="en-US" w:eastAsia="en-US"/>
        </w:rPr>
        <w:t>s</w:t>
      </w:r>
      <w:r w:rsidRPr="00A10388">
        <w:rPr>
          <w:lang w:val="en-US" w:eastAsia="en-US"/>
        </w:rPr>
        <w:t>ed</w:t>
      </w:r>
      <w:proofErr w:type="spellEnd"/>
      <w:r w:rsidRPr="00A10388">
        <w:rPr>
          <w:lang w:val="en-US" w:eastAsia="en-US"/>
        </w:rPr>
        <w:t xml:space="preserve"> as even more inequitable for the work involved than histology.</w:t>
      </w:r>
      <w:r w:rsidR="00E11BC0" w:rsidRPr="00A10388">
        <w:rPr>
          <w:lang w:val="en-US" w:eastAsia="en-US"/>
        </w:rPr>
        <w:t xml:space="preserve"> </w:t>
      </w:r>
      <w:r w:rsidR="0029121C" w:rsidRPr="00A10388">
        <w:rPr>
          <w:lang w:val="en-US" w:eastAsia="en-US"/>
        </w:rPr>
        <w:t>There is no additional funding for the preparation of a cell block, unless it is used for immunocytochemistry stains.</w:t>
      </w:r>
      <w:r w:rsidR="00E11BC0" w:rsidRPr="00A10388">
        <w:rPr>
          <w:lang w:val="en-US" w:eastAsia="en-US"/>
        </w:rPr>
        <w:t xml:space="preserve"> </w:t>
      </w:r>
      <w:r w:rsidRPr="00A10388">
        <w:rPr>
          <w:lang w:val="en-US" w:eastAsia="en-US"/>
        </w:rPr>
        <w:t>The lack of additional funding for multiple mucosal smears, fluids and washing/brushing samples (except the coned series of 3 urine/sputa) and the limitation on FNAB reimbursements to 1 or 2+ sites (despite the difficulty and time involved in assessing these samples) is particularly inequitable.</w:t>
      </w:r>
    </w:p>
    <w:p w14:paraId="0EE36977" w14:textId="77777777" w:rsidR="00A10388" w:rsidRPr="00A10388" w:rsidRDefault="00413992" w:rsidP="00695B6A">
      <w:pPr>
        <w:pStyle w:val="NormalBulleted"/>
      </w:pPr>
      <w:r w:rsidRPr="00A10388">
        <w:rPr>
          <w:lang w:val="en-US" w:eastAsia="en-US"/>
        </w:rPr>
        <w:t>As in histology, there are no economies of scale involved in the laboratory preparation and microscopic examination of multiple cytology specimens.</w:t>
      </w:r>
      <w:r w:rsidR="00E11BC0" w:rsidRPr="00A10388">
        <w:rPr>
          <w:lang w:val="en-US" w:eastAsia="en-US"/>
        </w:rPr>
        <w:t xml:space="preserve"> </w:t>
      </w:r>
      <w:r w:rsidR="00765A97" w:rsidRPr="00A10388">
        <w:rPr>
          <w:lang w:val="en-US" w:eastAsia="en-US"/>
        </w:rPr>
        <w:t xml:space="preserve">Cytology laboratories </w:t>
      </w:r>
      <w:r w:rsidR="0029121C" w:rsidRPr="00A10388">
        <w:rPr>
          <w:lang w:val="en-US" w:eastAsia="en-US"/>
        </w:rPr>
        <w:t xml:space="preserve">are under extreme pressure at present due to changes in the </w:t>
      </w:r>
      <w:r w:rsidR="001E2C55" w:rsidRPr="00A10388">
        <w:rPr>
          <w:lang w:val="en-US" w:eastAsia="en-US"/>
        </w:rPr>
        <w:t xml:space="preserve">National </w:t>
      </w:r>
      <w:r w:rsidR="0029121C" w:rsidRPr="00A10388">
        <w:rPr>
          <w:lang w:val="en-US" w:eastAsia="en-US"/>
        </w:rPr>
        <w:t xml:space="preserve">Cervical Screening program, workforce changes and understaffing. </w:t>
      </w:r>
    </w:p>
    <w:p w14:paraId="4551B280" w14:textId="77777777" w:rsidR="003F7C16" w:rsidRPr="00A10388" w:rsidRDefault="001D2011" w:rsidP="00695B6A">
      <w:pPr>
        <w:pStyle w:val="NormalBulleted"/>
      </w:pPr>
      <w:r w:rsidRPr="00A10388">
        <w:rPr>
          <w:lang w:val="en-US" w:eastAsia="en-US"/>
        </w:rPr>
        <w:t xml:space="preserve">The effective rebate for cytology specimens of different complexity type with increasing numbers of specimens is shown in </w:t>
      </w:r>
      <w:r w:rsidRPr="00A10388">
        <w:rPr>
          <w:i/>
          <w:lang w:val="en-US" w:eastAsia="en-US"/>
        </w:rPr>
        <w:t xml:space="preserve">Figure </w:t>
      </w:r>
      <w:r w:rsidR="00A10388">
        <w:rPr>
          <w:i/>
          <w:lang w:val="en-US" w:eastAsia="en-US"/>
        </w:rPr>
        <w:t xml:space="preserve">8 </w:t>
      </w:r>
      <w:r w:rsidR="00A10388" w:rsidRPr="00A10388">
        <w:rPr>
          <w:lang w:val="en-US" w:eastAsia="en-US"/>
        </w:rPr>
        <w:t>below</w:t>
      </w:r>
      <w:r w:rsidR="00A10388">
        <w:rPr>
          <w:i/>
          <w:lang w:val="en-US" w:eastAsia="en-US"/>
        </w:rPr>
        <w:t>.</w:t>
      </w:r>
      <w:r w:rsidR="0035367B" w:rsidRPr="00A10388">
        <w:rPr>
          <w:lang w:val="en-US" w:eastAsia="en-US"/>
        </w:rPr>
        <w:t xml:space="preserve"> </w:t>
      </w:r>
      <w:r w:rsidR="00F764FD" w:rsidRPr="00A10388">
        <w:rPr>
          <w:lang w:val="en-US" w:eastAsia="en-US"/>
        </w:rPr>
        <w:t>I</w:t>
      </w:r>
      <w:r w:rsidRPr="00A10388">
        <w:rPr>
          <w:lang w:val="en-US" w:eastAsia="en-US"/>
        </w:rPr>
        <w:t>f cytolog</w:t>
      </w:r>
      <w:r w:rsidR="003D56F4" w:rsidRPr="00A10388">
        <w:rPr>
          <w:lang w:val="en-US" w:eastAsia="en-US"/>
        </w:rPr>
        <w:t>y staff</w:t>
      </w:r>
      <w:r w:rsidRPr="00A10388">
        <w:rPr>
          <w:lang w:val="en-US" w:eastAsia="en-US"/>
        </w:rPr>
        <w:t xml:space="preserve"> attend an FNAB to make a specimen</w:t>
      </w:r>
      <w:r w:rsidR="00F764FD" w:rsidRPr="00A10388">
        <w:rPr>
          <w:lang w:val="en-US" w:eastAsia="en-US"/>
        </w:rPr>
        <w:t>-</w:t>
      </w:r>
      <w:r w:rsidRPr="00A10388">
        <w:rPr>
          <w:lang w:val="en-US" w:eastAsia="en-US"/>
        </w:rPr>
        <w:t xml:space="preserve">adequacy assessment (item 73063) the effective rebate is $99.35; if </w:t>
      </w:r>
      <w:r w:rsidR="00F93474" w:rsidRPr="00A10388">
        <w:rPr>
          <w:lang w:val="en-US" w:eastAsia="en-US"/>
        </w:rPr>
        <w:t>two sites are biopsied (as is common in breast cancer assessment)</w:t>
      </w:r>
      <w:r w:rsidRPr="00A10388">
        <w:rPr>
          <w:lang w:val="en-US" w:eastAsia="en-US"/>
        </w:rPr>
        <w:t xml:space="preserve"> the effective rebate per biopsy is $64.58; if three sites are aspirated the effective rebate per biopsy is</w:t>
      </w:r>
      <w:r w:rsidR="00F93474" w:rsidRPr="00A10388">
        <w:rPr>
          <w:lang w:val="en-US" w:eastAsia="en-US"/>
        </w:rPr>
        <w:t xml:space="preserve"> only</w:t>
      </w:r>
      <w:r w:rsidRPr="00A10388">
        <w:rPr>
          <w:lang w:val="en-US" w:eastAsia="en-US"/>
        </w:rPr>
        <w:t xml:space="preserve"> $43.05). </w:t>
      </w:r>
      <w:r w:rsidR="003D56F4" w:rsidRPr="00A10388">
        <w:rPr>
          <w:lang w:val="en-US" w:eastAsia="en-US"/>
        </w:rPr>
        <w:t>The clinician performing the FNAB</w:t>
      </w:r>
      <w:r w:rsidR="00BD2E22" w:rsidRPr="00A10388">
        <w:rPr>
          <w:lang w:val="en-US" w:eastAsia="en-US"/>
        </w:rPr>
        <w:t>s</w:t>
      </w:r>
      <w:r w:rsidR="003D56F4" w:rsidRPr="00A10388">
        <w:rPr>
          <w:lang w:val="en-US" w:eastAsia="en-US"/>
        </w:rPr>
        <w:t xml:space="preserve"> is not constrained by </w:t>
      </w:r>
      <w:r w:rsidR="00BD2E22" w:rsidRPr="00A10388">
        <w:rPr>
          <w:lang w:val="en-US" w:eastAsia="en-US"/>
        </w:rPr>
        <w:t>similar</w:t>
      </w:r>
      <w:r w:rsidR="003D56F4" w:rsidRPr="00A10388">
        <w:rPr>
          <w:lang w:val="en-US" w:eastAsia="en-US"/>
        </w:rPr>
        <w:t xml:space="preserve"> coning rules.</w:t>
      </w:r>
    </w:p>
    <w:p w14:paraId="6A39C226" w14:textId="77777777" w:rsidR="00A10388" w:rsidRDefault="00A10388" w:rsidP="00A10388">
      <w:pPr>
        <w:pStyle w:val="NormalBulleted"/>
        <w:rPr>
          <w:lang w:val="en-US" w:eastAsia="en-US"/>
        </w:rPr>
      </w:pPr>
      <w:r>
        <w:rPr>
          <w:lang w:val="en-US" w:eastAsia="en-US"/>
        </w:rPr>
        <w:t>Currently in cytology a series of three urine or sputum specimens sent from the same patient over a period of several days (or even weeks) is regarded as a ‘single item’ (73047), which is rebated at $94.70 (less than the rebate for two independent specimens of equivalent complexity). This is unprecedented across the MBS. It causes significant logistic complexity (the case cannot be billed until the third specimen is received, the first two are regarded as ‘no-bill’) despite each specimen having to be handled, processed, assessed and reported independently.</w:t>
      </w:r>
    </w:p>
    <w:p w14:paraId="44DA09FD" w14:textId="77777777" w:rsidR="00A10388" w:rsidRDefault="00A10388" w:rsidP="00A10388">
      <w:pPr>
        <w:pStyle w:val="NormalBulleted"/>
      </w:pPr>
      <w:r>
        <w:t>Cytology services are under considerable stress at present and if work is not appropriately remunerated, closures will inevitably occur, leading to loss of access to these services.</w:t>
      </w:r>
    </w:p>
    <w:p w14:paraId="7BBE151C" w14:textId="77777777" w:rsidR="00A10388" w:rsidRDefault="00A10388" w:rsidP="00A10388">
      <w:pPr>
        <w:pStyle w:val="NormalBulleted"/>
      </w:pPr>
      <w:r>
        <w:t>The lack of availability of on-site cytological assessment is disproportionately likely to affect patients in non-metropolitan locations.</w:t>
      </w:r>
    </w:p>
    <w:p w14:paraId="463CCA15" w14:textId="77777777" w:rsidR="00A10388" w:rsidRPr="005413F6" w:rsidRDefault="00A10388" w:rsidP="00A10388">
      <w:pPr>
        <w:pStyle w:val="NormalBulleted"/>
      </w:pPr>
      <w:r>
        <w:t>The replacement of cytology services by (more expensive) histology services is not cost effective for the MBS.</w:t>
      </w:r>
    </w:p>
    <w:p w14:paraId="25216BA9" w14:textId="77777777" w:rsidR="00A10388" w:rsidRPr="00A10388" w:rsidRDefault="00A10388" w:rsidP="00A10388">
      <w:pPr>
        <w:pStyle w:val="NormalBulleted"/>
        <w:numPr>
          <w:ilvl w:val="0"/>
          <w:numId w:val="0"/>
        </w:numPr>
        <w:ind w:left="357"/>
      </w:pPr>
    </w:p>
    <w:p w14:paraId="0E2BF8AE" w14:textId="77777777" w:rsidR="00F764FD" w:rsidRPr="00A10388" w:rsidRDefault="00F764FD" w:rsidP="00695B6A">
      <w:pPr>
        <w:pStyle w:val="Caption"/>
        <w:rPr>
          <w:noProof/>
        </w:rPr>
      </w:pPr>
      <w:bookmarkStart w:id="64" w:name="_Toc482213883"/>
      <w:r>
        <w:lastRenderedPageBreak/>
        <w:t xml:space="preserve">Figure </w:t>
      </w:r>
      <w:r w:rsidR="00A10388">
        <w:t>8</w:t>
      </w:r>
      <w:r>
        <w:t xml:space="preserve">. </w:t>
      </w:r>
      <w:r w:rsidRPr="00950BE0">
        <w:t>Current effective rebates for Cytology specimens of different complexity with increasing numbers of specimens</w:t>
      </w:r>
      <w:r>
        <w:t>.</w:t>
      </w:r>
      <w:bookmarkEnd w:id="64"/>
    </w:p>
    <w:p w14:paraId="47EFED39" w14:textId="77777777" w:rsidR="006F2D4D" w:rsidRDefault="00413992" w:rsidP="00774742">
      <w:pPr>
        <w:pStyle w:val="NormalBulleted"/>
        <w:numPr>
          <w:ilvl w:val="0"/>
          <w:numId w:val="0"/>
        </w:numPr>
        <w:ind w:left="431"/>
        <w:rPr>
          <w:lang w:val="en-US" w:eastAsia="en-US"/>
        </w:rPr>
      </w:pPr>
      <w:r>
        <w:rPr>
          <w:noProof/>
          <w:lang w:val="en-AU"/>
        </w:rPr>
        <w:drawing>
          <wp:inline distT="0" distB="0" distL="0" distR="0" wp14:anchorId="5F008943" wp14:editId="438A1007">
            <wp:extent cx="5272088" cy="4443414"/>
            <wp:effectExtent l="0" t="0" r="24130" b="14605"/>
            <wp:docPr id="12" name="Chart 12" descr="This is a line chart showing the current effective rebates for Cytology specimens of different complexity with increasing numbers of specime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6C7E85" w14:textId="77777777" w:rsidR="00A10388" w:rsidRDefault="00A10388" w:rsidP="00695B6A">
      <w:pPr>
        <w:rPr>
          <w:lang w:val="en-US" w:eastAsia="en-US"/>
        </w:rPr>
      </w:pPr>
    </w:p>
    <w:p w14:paraId="0F3E93DA" w14:textId="77777777" w:rsidR="00A27791" w:rsidRPr="003852C2" w:rsidRDefault="00A27791" w:rsidP="00BF612A">
      <w:pPr>
        <w:rPr>
          <w:b/>
          <w:i/>
          <w:sz w:val="24"/>
        </w:rPr>
      </w:pPr>
      <w:r w:rsidRPr="003852C2">
        <w:rPr>
          <w:b/>
          <w:i/>
          <w:sz w:val="24"/>
        </w:rPr>
        <w:t xml:space="preserve">Data </w:t>
      </w:r>
      <w:r w:rsidR="00F764FD" w:rsidRPr="003852C2">
        <w:rPr>
          <w:b/>
          <w:i/>
          <w:sz w:val="24"/>
        </w:rPr>
        <w:t>modelling</w:t>
      </w:r>
    </w:p>
    <w:p w14:paraId="6EBADC5F" w14:textId="77777777" w:rsidR="001E270E" w:rsidRDefault="003D56F4" w:rsidP="00BF612A">
      <w:r>
        <w:t xml:space="preserve">As for histology, an alternative and more simple model for cytology would be to simply adopt the </w:t>
      </w:r>
      <w:r w:rsidR="00F764FD">
        <w:t>‘</w:t>
      </w:r>
      <w:r>
        <w:t>Surgical</w:t>
      </w:r>
      <w:r w:rsidR="00F764FD">
        <w:t xml:space="preserve">’ </w:t>
      </w:r>
      <w:r>
        <w:t>rule for core cytology items (</w:t>
      </w:r>
      <w:r w:rsidR="00F764FD">
        <w:t>i.e.</w:t>
      </w:r>
      <w:r>
        <w:t xml:space="preserve"> 100% rebate for the most expensive item, 50% rebate for the next most expensive</w:t>
      </w:r>
      <w:r w:rsidR="00BD2E22">
        <w:t>,</w:t>
      </w:r>
      <w:r w:rsidR="00F764FD">
        <w:t xml:space="preserve"> </w:t>
      </w:r>
      <w:r>
        <w:t>and 25% of the rebate for every item thereafter</w:t>
      </w:r>
      <w:r w:rsidR="00F764FD">
        <w:t>)</w:t>
      </w:r>
      <w:r>
        <w:t>. While high</w:t>
      </w:r>
      <w:r w:rsidR="00F764FD">
        <w:t>-</w:t>
      </w:r>
      <w:r w:rsidR="00B21D4A">
        <w:t>level</w:t>
      </w:r>
      <w:r>
        <w:t xml:space="preserve"> multiples of cytology specimens are extremely rare, this would address the (not infrequent) situation of multiple FNABs far more equitably than present. Modelling of the</w:t>
      </w:r>
      <w:r w:rsidR="006D116A">
        <w:t xml:space="preserve"> effective rebates using the Surgical rule (vs the status quo) for </w:t>
      </w:r>
      <w:r w:rsidR="00BD2E22">
        <w:t xml:space="preserve">the three </w:t>
      </w:r>
      <w:r w:rsidR="006D116A">
        <w:t xml:space="preserve">FNAB items is shown in </w:t>
      </w:r>
      <w:r w:rsidR="006D116A" w:rsidRPr="005413F6">
        <w:rPr>
          <w:i/>
        </w:rPr>
        <w:t xml:space="preserve">Figure </w:t>
      </w:r>
      <w:r w:rsidR="00A10388">
        <w:rPr>
          <w:i/>
        </w:rPr>
        <w:t>9</w:t>
      </w:r>
      <w:r w:rsidR="006D116A">
        <w:t>.</w:t>
      </w:r>
    </w:p>
    <w:p w14:paraId="11A521F9" w14:textId="77777777" w:rsidR="00F764FD" w:rsidRPr="00F93474" w:rsidRDefault="00F764FD" w:rsidP="00AC42B7">
      <w:pPr>
        <w:pStyle w:val="Caption"/>
      </w:pPr>
      <w:bookmarkStart w:id="65" w:name="_Toc482213884"/>
      <w:r>
        <w:lastRenderedPageBreak/>
        <w:t xml:space="preserve">Figure </w:t>
      </w:r>
      <w:r w:rsidR="00A10388">
        <w:t>9</w:t>
      </w:r>
      <w:r>
        <w:t xml:space="preserve">. </w:t>
      </w:r>
      <w:r w:rsidRPr="00AF5102">
        <w:t>Comparison of potential rebates with Surgical 100</w:t>
      </w:r>
      <w:r w:rsidR="00D10BD9">
        <w:t>%</w:t>
      </w:r>
      <w:r w:rsidRPr="00AF5102">
        <w:t>/50</w:t>
      </w:r>
      <w:r w:rsidR="00D10BD9">
        <w:t>%</w:t>
      </w:r>
      <w:r w:rsidRPr="00AF5102">
        <w:t>/25</w:t>
      </w:r>
      <w:r w:rsidR="00D10BD9">
        <w:t>%</w:t>
      </w:r>
      <w:r w:rsidRPr="00AF5102">
        <w:t xml:space="preserve"> model vs status quo with increasing numbers of FNAB specimens of different complexity.</w:t>
      </w:r>
      <w:bookmarkEnd w:id="65"/>
    </w:p>
    <w:p w14:paraId="071511DF" w14:textId="77777777" w:rsidR="006D116A" w:rsidRDefault="008C7320" w:rsidP="00774742">
      <w:pPr>
        <w:pStyle w:val="NormalBulleted"/>
        <w:numPr>
          <w:ilvl w:val="0"/>
          <w:numId w:val="0"/>
        </w:numPr>
      </w:pPr>
      <w:r>
        <w:rPr>
          <w:noProof/>
          <w:lang w:val="en-AU"/>
        </w:rPr>
        <w:drawing>
          <wp:inline distT="0" distB="0" distL="0" distR="0" wp14:anchorId="10116A3E" wp14:editId="66C607B3">
            <wp:extent cx="5267325" cy="4495800"/>
            <wp:effectExtent l="0" t="0" r="9525" b="19050"/>
            <wp:docPr id="13" name="Chart 13" descr="This is a line chart showing the comparison of potential rebates with Surgical 100%/50%/25% model vs status quo with increasing numbers of FNAB specimens of different complex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5B4545" w14:textId="77777777" w:rsidR="002E2665" w:rsidRDefault="002E2665">
      <w:pPr>
        <w:spacing w:before="0" w:after="0"/>
        <w:rPr>
          <w:rFonts w:eastAsiaTheme="minorHAnsi" w:cs="Arial"/>
          <w:b/>
          <w:bCs/>
          <w:iCs/>
          <w:color w:val="4F6228" w:themeColor="accent3" w:themeShade="80"/>
          <w:sz w:val="26"/>
          <w:szCs w:val="22"/>
          <w:lang w:val="en-US" w:eastAsia="en-US"/>
        </w:rPr>
      </w:pPr>
      <w:bookmarkStart w:id="66" w:name="_Toc477257723"/>
      <w:bookmarkStart w:id="67" w:name="_Toc454959793"/>
      <w:bookmarkStart w:id="68" w:name="_Toc456613799"/>
      <w:r>
        <w:rPr>
          <w:color w:val="4F6228" w:themeColor="accent3" w:themeShade="80"/>
        </w:rPr>
        <w:br w:type="page"/>
      </w:r>
    </w:p>
    <w:p w14:paraId="1E7D36D2" w14:textId="77777777" w:rsidR="00425A0C" w:rsidRPr="00F87134" w:rsidRDefault="00736C4E" w:rsidP="00736C4E">
      <w:pPr>
        <w:pStyle w:val="Heading2"/>
        <w:numPr>
          <w:ilvl w:val="0"/>
          <w:numId w:val="0"/>
        </w:numPr>
        <w:ind w:left="567" w:hanging="567"/>
      </w:pPr>
      <w:bookmarkStart w:id="69" w:name="_Toc482203585"/>
      <w:bookmarkStart w:id="70" w:name="_Toc514243834"/>
      <w:r>
        <w:lastRenderedPageBreak/>
        <w:t>4.4</w:t>
      </w:r>
      <w:r>
        <w:tab/>
      </w:r>
      <w:r w:rsidR="00FB48E3" w:rsidRPr="00F87134">
        <w:t xml:space="preserve">Alignment of </w:t>
      </w:r>
      <w:r w:rsidR="00425A0C" w:rsidRPr="00F87134">
        <w:t>Immunohistochemical</w:t>
      </w:r>
      <w:r w:rsidR="00124901">
        <w:t xml:space="preserve"> (IHC)</w:t>
      </w:r>
      <w:r w:rsidR="00425A0C" w:rsidRPr="00F87134">
        <w:t xml:space="preserve"> and </w:t>
      </w:r>
      <w:r w:rsidR="00317CD3">
        <w:t>I</w:t>
      </w:r>
      <w:r w:rsidR="00425A0C" w:rsidRPr="00F87134">
        <w:t>mmunocytochemical</w:t>
      </w:r>
      <w:r w:rsidR="00124901">
        <w:t xml:space="preserve"> (ICC)</w:t>
      </w:r>
      <w:r w:rsidR="00425A0C" w:rsidRPr="00F87134">
        <w:t xml:space="preserve"> item</w:t>
      </w:r>
      <w:r w:rsidR="00FB48E3" w:rsidRPr="00F87134">
        <w:t xml:space="preserve"> rebates</w:t>
      </w:r>
      <w:bookmarkEnd w:id="66"/>
      <w:r w:rsidR="004503F9" w:rsidRPr="00F87134">
        <w:t xml:space="preserve"> and consideration of coning/Rule 13</w:t>
      </w:r>
      <w:bookmarkEnd w:id="69"/>
      <w:bookmarkEnd w:id="70"/>
    </w:p>
    <w:p w14:paraId="44ACC618" w14:textId="77777777" w:rsidR="00944DD3" w:rsidRPr="00736C4E" w:rsidRDefault="00944DD3" w:rsidP="00772F53">
      <w:pPr>
        <w:pStyle w:val="Rec"/>
        <w:rPr>
          <w:color w:val="01653F"/>
        </w:rPr>
      </w:pPr>
      <w:r w:rsidRPr="00736C4E">
        <w:rPr>
          <w:color w:val="01653F"/>
        </w:rPr>
        <w:t>Recommendations</w:t>
      </w:r>
    </w:p>
    <w:p w14:paraId="33385C37" w14:textId="77777777" w:rsidR="00944DD3" w:rsidRPr="004D17CB" w:rsidRDefault="00944DD3" w:rsidP="00774742">
      <w:pPr>
        <w:pStyle w:val="NormalBulleted"/>
      </w:pPr>
      <w:r w:rsidRPr="004D17CB">
        <w:t xml:space="preserve">Remove the multiplicity of different tiered </w:t>
      </w:r>
      <w:r w:rsidR="000174E5">
        <w:t xml:space="preserve">standard </w:t>
      </w:r>
      <w:r w:rsidRPr="004D17CB">
        <w:t xml:space="preserve">immunohistochemistry items and replace with a </w:t>
      </w:r>
      <w:r w:rsidR="000174E5">
        <w:t xml:space="preserve">single </w:t>
      </w:r>
      <w:r w:rsidRPr="004D17CB">
        <w:t>standard IHC item</w:t>
      </w:r>
      <w:r>
        <w:t>:</w:t>
      </w:r>
    </w:p>
    <w:p w14:paraId="14366720" w14:textId="77777777" w:rsidR="00944DD3" w:rsidRPr="004D17CB" w:rsidRDefault="00944DD3" w:rsidP="004F1023">
      <w:pPr>
        <w:pStyle w:val="NormalBulleted"/>
        <w:numPr>
          <w:ilvl w:val="0"/>
          <w:numId w:val="0"/>
        </w:numPr>
        <w:ind w:left="284" w:firstLine="73"/>
      </w:pPr>
      <w:r w:rsidRPr="004D17CB">
        <w:t>- reword item 72846</w:t>
      </w:r>
    </w:p>
    <w:p w14:paraId="061EF27F" w14:textId="77777777" w:rsidR="00944DD3" w:rsidRPr="004D17CB" w:rsidRDefault="00944DD3" w:rsidP="004F1023">
      <w:pPr>
        <w:pStyle w:val="NormalBulleted"/>
        <w:numPr>
          <w:ilvl w:val="0"/>
          <w:numId w:val="0"/>
        </w:numPr>
        <w:ind w:left="284" w:firstLine="73"/>
      </w:pPr>
      <w:r w:rsidRPr="004D17CB">
        <w:t>- remov</w:t>
      </w:r>
      <w:r>
        <w:t xml:space="preserve">e </w:t>
      </w:r>
      <w:r w:rsidRPr="004D17CB">
        <w:t>items: 72</w:t>
      </w:r>
      <w:r w:rsidR="00736C4E">
        <w:t>847, 72849, 72850, 72852, 72856 &amp;</w:t>
      </w:r>
      <w:r w:rsidRPr="004D17CB">
        <w:t xml:space="preserve"> 72857</w:t>
      </w:r>
    </w:p>
    <w:p w14:paraId="6C49AAA1" w14:textId="77777777" w:rsidR="00944DD3" w:rsidRPr="006E224A" w:rsidRDefault="00944DD3" w:rsidP="00774742">
      <w:pPr>
        <w:pStyle w:val="NormalBulleted"/>
      </w:pPr>
      <w:r w:rsidRPr="004D17CB">
        <w:t>Maintain the higher</w:t>
      </w:r>
      <w:r>
        <w:t>-</w:t>
      </w:r>
      <w:r w:rsidRPr="004D17CB">
        <w:t>complexity IHC item 72848 but remove the stipulation of 1</w:t>
      </w:r>
      <w:r>
        <w:t>–</w:t>
      </w:r>
      <w:r w:rsidRPr="004D17CB">
        <w:t>3 antibodies</w:t>
      </w:r>
      <w:r>
        <w:t>.</w:t>
      </w:r>
    </w:p>
    <w:p w14:paraId="6123E10A" w14:textId="77777777" w:rsidR="00944DD3" w:rsidRPr="006E224A" w:rsidRDefault="00944DD3" w:rsidP="00774742">
      <w:pPr>
        <w:pStyle w:val="NormalBulleted"/>
      </w:pPr>
      <w:r>
        <w:t>Consider re-wording of 72848 along the lines:</w:t>
      </w:r>
    </w:p>
    <w:p w14:paraId="387D34E5" w14:textId="77777777" w:rsidR="00736C4E" w:rsidRPr="00C40C8C" w:rsidRDefault="00944DD3" w:rsidP="00736C4E">
      <w:pPr>
        <w:pStyle w:val="NormalBulleted"/>
        <w:numPr>
          <w:ilvl w:val="0"/>
          <w:numId w:val="0"/>
        </w:numPr>
        <w:ind w:left="284"/>
      </w:pPr>
      <w:r w:rsidRPr="00C40C8C">
        <w:t xml:space="preserve">“Immunohistochemical examination of biopsy material by </w:t>
      </w:r>
      <w:proofErr w:type="spellStart"/>
      <w:r w:rsidRPr="00C40C8C">
        <w:t>immunoperoxidase</w:t>
      </w:r>
      <w:proofErr w:type="spellEnd"/>
      <w:r w:rsidRPr="00C40C8C">
        <w:t xml:space="preserve"> or other labelled antibody technique where the assay requires enumeration or scoring and functions as a predictive or prognostic biomarker, with </w:t>
      </w:r>
      <w:r>
        <w:t xml:space="preserve">one </w:t>
      </w:r>
      <w:r w:rsidRPr="00C40C8C">
        <w:t>of the following antibodies - oestrogen</w:t>
      </w:r>
      <w:r w:rsidR="000174E5">
        <w:t>, progesterone, c-erb-b2 (Her2)</w:t>
      </w:r>
      <w:r w:rsidRPr="00C40C8C">
        <w:t>.”</w:t>
      </w:r>
      <w:r w:rsidR="000174E5">
        <w:t xml:space="preserve"> Consider future expansion to include Ki67, ALK and PD-L1.</w:t>
      </w:r>
    </w:p>
    <w:p w14:paraId="3662FD20" w14:textId="77777777" w:rsidR="00944DD3" w:rsidRPr="00F73114" w:rsidRDefault="004F1023" w:rsidP="00774742">
      <w:pPr>
        <w:pStyle w:val="NormalBulleted"/>
      </w:pPr>
      <w:r w:rsidRPr="00F73114">
        <w:t xml:space="preserve">Introduce a third </w:t>
      </w:r>
      <w:proofErr w:type="gramStart"/>
      <w:r w:rsidRPr="00F73114">
        <w:t xml:space="preserve">level </w:t>
      </w:r>
      <w:r w:rsidR="004D080F" w:rsidRPr="00F73114">
        <w:t xml:space="preserve"> </w:t>
      </w:r>
      <w:r w:rsidRPr="00F73114">
        <w:t>IHC</w:t>
      </w:r>
      <w:proofErr w:type="gramEnd"/>
      <w:r w:rsidRPr="00F73114">
        <w:t xml:space="preserve"> item for the chromogenic </w:t>
      </w:r>
      <w:r w:rsidR="004D080F" w:rsidRPr="00F73114">
        <w:t>labelling</w:t>
      </w:r>
      <w:r w:rsidRPr="00F73114">
        <w:t xml:space="preserve"> of nucleic acid targets detected by in situ hybridization where required for tumour diagnosis/classification (</w:t>
      </w:r>
      <w:proofErr w:type="spellStart"/>
      <w:r w:rsidRPr="00F73114">
        <w:t>eg</w:t>
      </w:r>
      <w:proofErr w:type="spellEnd"/>
      <w:r w:rsidRPr="00F73114">
        <w:t xml:space="preserve">, EBV, HPV, kappa/lambda light chains) </w:t>
      </w:r>
      <w:r w:rsidR="00944DD3" w:rsidRPr="00F73114">
        <w:t>.</w:t>
      </w:r>
    </w:p>
    <w:p w14:paraId="0E95767E" w14:textId="77777777" w:rsidR="004F1023" w:rsidRPr="004D17CB" w:rsidRDefault="004F1023" w:rsidP="004F1023">
      <w:pPr>
        <w:pStyle w:val="NormalBulleted"/>
      </w:pPr>
      <w:r w:rsidRPr="004D17CB">
        <w:t>Remove Rule 13 in relation to immunohistochemistry</w:t>
      </w:r>
      <w:r>
        <w:t>.</w:t>
      </w:r>
    </w:p>
    <w:p w14:paraId="16EF664A" w14:textId="77777777" w:rsidR="00944DD3" w:rsidRPr="004D17CB" w:rsidRDefault="00944DD3" w:rsidP="00774742">
      <w:pPr>
        <w:pStyle w:val="NormalBulleted"/>
      </w:pPr>
      <w:r w:rsidRPr="004D17CB">
        <w:t xml:space="preserve">If simple removal of the coning is considered financially unacceptable, consider funding via a </w:t>
      </w:r>
      <w:r>
        <w:t>‘</w:t>
      </w:r>
      <w:r w:rsidRPr="004D17CB">
        <w:t>Surgical</w:t>
      </w:r>
      <w:r>
        <w:t>’</w:t>
      </w:r>
      <w:r w:rsidRPr="004D17CB">
        <w:t xml:space="preserve"> multiplier model allowing 100% of the most expensive item, 50% of the next, then 25% of the </w:t>
      </w:r>
      <w:r w:rsidR="000174E5">
        <w:t>cost of subsequent assays.</w:t>
      </w:r>
    </w:p>
    <w:p w14:paraId="7933E64B" w14:textId="77777777" w:rsidR="00944DD3" w:rsidRPr="00B45D06" w:rsidRDefault="00944DD3" w:rsidP="00774742">
      <w:pPr>
        <w:pStyle w:val="NormalBulleted"/>
      </w:pPr>
      <w:r w:rsidRPr="004D17CB">
        <w:t>Align the remuneration for the cytology immunocytochemistry with histology immunohistochemistry (since they are same test) by deleting the immunocytochemistry items from the Cytology schedule but permitting use of the remaining immunohistochemistry items for cytology specimens</w:t>
      </w:r>
      <w:r>
        <w:t>:</w:t>
      </w:r>
    </w:p>
    <w:p w14:paraId="5716BB0A" w14:textId="77777777" w:rsidR="00944DD3" w:rsidRPr="004D17CB" w:rsidRDefault="00944DD3" w:rsidP="004F1023">
      <w:pPr>
        <w:pStyle w:val="NormalBulleted"/>
        <w:numPr>
          <w:ilvl w:val="0"/>
          <w:numId w:val="0"/>
        </w:numPr>
        <w:ind w:left="357" w:firstLine="69"/>
      </w:pPr>
      <w:r w:rsidRPr="004D17CB">
        <w:t>- removal of Cytology items: 73060, 730</w:t>
      </w:r>
      <w:r w:rsidR="000174E5">
        <w:t xml:space="preserve">64, 73065, 73066 &amp; </w:t>
      </w:r>
      <w:r w:rsidRPr="004D17CB">
        <w:t>73067</w:t>
      </w:r>
    </w:p>
    <w:p w14:paraId="1E1248C6" w14:textId="77777777" w:rsidR="00944DD3" w:rsidRPr="004D17CB" w:rsidRDefault="00944DD3" w:rsidP="004F1023">
      <w:pPr>
        <w:pStyle w:val="NormalBulleted"/>
        <w:numPr>
          <w:ilvl w:val="0"/>
          <w:numId w:val="0"/>
        </w:numPr>
        <w:ind w:left="567" w:hanging="141"/>
      </w:pPr>
      <w:r w:rsidRPr="004D17CB">
        <w:t>- rewording of 72846 and 72848 to allow use on specimens obtained by procedures described in items 73043 (currently not allowed), 73045, 73049, 73051,and 73063 (N.B. currently also allowed for items 73047, 73062, 73066 and 73067, but it is proposed to delete these items)</w:t>
      </w:r>
      <w:r>
        <w:t>.</w:t>
      </w:r>
    </w:p>
    <w:p w14:paraId="3E7E9B1D" w14:textId="77777777" w:rsidR="00944DD3" w:rsidRPr="004D17CB" w:rsidRDefault="00944DD3" w:rsidP="00774742">
      <w:pPr>
        <w:pStyle w:val="NormalBulleted"/>
      </w:pPr>
      <w:r w:rsidRPr="004D17CB">
        <w:t>Update the Pathologist</w:t>
      </w:r>
      <w:r>
        <w:t>-</w:t>
      </w:r>
      <w:r w:rsidRPr="004D17CB">
        <w:t>Determinable legislation to remove redundant items</w:t>
      </w:r>
      <w:r>
        <w:t>.</w:t>
      </w:r>
    </w:p>
    <w:p w14:paraId="1A117071" w14:textId="77777777" w:rsidR="00772F53" w:rsidRDefault="00944DD3" w:rsidP="00772F53">
      <w:pPr>
        <w:pStyle w:val="Rec"/>
      </w:pPr>
      <w:r w:rsidRPr="00944DD3">
        <w:t>Rationale</w:t>
      </w:r>
      <w:r w:rsidR="00E5113B">
        <w:t xml:space="preserve"> </w:t>
      </w:r>
    </w:p>
    <w:p w14:paraId="2A136EC7" w14:textId="77777777" w:rsidR="004F1023" w:rsidRDefault="0001385F" w:rsidP="00BF051E">
      <w:pPr>
        <w:pStyle w:val="NormalBulleted"/>
      </w:pPr>
      <w:r>
        <w:t>Immunohistochemistry (IHC) stains are used to detect specific antigenic targets (usually proteins) in cells or tissues via the use of monoclonal antibodies</w:t>
      </w:r>
      <w:r w:rsidR="009579A8">
        <w:t xml:space="preserve"> and chromogenic or fluorescent labels</w:t>
      </w:r>
      <w:r>
        <w:t>.</w:t>
      </w:r>
      <w:r w:rsidR="009579A8">
        <w:t xml:space="preserve"> They are crucially necessary for many diagnoses, particularly the appropriate classification of tumours.</w:t>
      </w:r>
    </w:p>
    <w:p w14:paraId="468D85F5" w14:textId="77777777" w:rsidR="004F1023" w:rsidRPr="00807634" w:rsidRDefault="004503F9" w:rsidP="00BF051E">
      <w:pPr>
        <w:pStyle w:val="NormalBulleted"/>
      </w:pPr>
      <w:r w:rsidRPr="004F1023">
        <w:rPr>
          <w:lang w:val="en-US" w:eastAsia="en-US"/>
        </w:rPr>
        <w:t xml:space="preserve">The current Histology (Tissue Pathology) schedule is complicated by numerous different items for different multiples of the same </w:t>
      </w:r>
      <w:r w:rsidR="0001385F" w:rsidRPr="004F1023">
        <w:rPr>
          <w:lang w:val="en-US" w:eastAsia="en-US"/>
        </w:rPr>
        <w:t xml:space="preserve">immunohistochemistry </w:t>
      </w:r>
      <w:r w:rsidRPr="004F1023">
        <w:rPr>
          <w:lang w:val="en-US" w:eastAsia="en-US"/>
        </w:rPr>
        <w:t xml:space="preserve">assay, as well as reduplication of similar items in the Cytology schedule under the name </w:t>
      </w:r>
      <w:r w:rsidR="00313D10" w:rsidRPr="004F1023">
        <w:rPr>
          <w:lang w:val="en-US" w:eastAsia="en-US"/>
        </w:rPr>
        <w:t>‘</w:t>
      </w:r>
      <w:r w:rsidR="0001385F" w:rsidRPr="004F1023">
        <w:rPr>
          <w:lang w:val="en-US" w:eastAsia="en-US"/>
        </w:rPr>
        <w:t>i</w:t>
      </w:r>
      <w:r w:rsidRPr="004F1023">
        <w:rPr>
          <w:lang w:val="en-US" w:eastAsia="en-US"/>
        </w:rPr>
        <w:t>mmunocytochemistry</w:t>
      </w:r>
      <w:r w:rsidR="00313D10" w:rsidRPr="004F1023">
        <w:rPr>
          <w:lang w:val="en-US" w:eastAsia="en-US"/>
        </w:rPr>
        <w:t xml:space="preserve">’ </w:t>
      </w:r>
      <w:r w:rsidR="0001385F" w:rsidRPr="004F1023">
        <w:rPr>
          <w:lang w:val="en-US" w:eastAsia="en-US"/>
        </w:rPr>
        <w:t>(ICC)</w:t>
      </w:r>
      <w:r w:rsidRPr="004F1023">
        <w:rPr>
          <w:lang w:val="en-US" w:eastAsia="en-US"/>
        </w:rPr>
        <w:t>.</w:t>
      </w:r>
      <w:r w:rsidR="004F1023">
        <w:rPr>
          <w:lang w:val="en-US" w:eastAsia="en-US"/>
        </w:rPr>
        <w:t xml:space="preserve"> </w:t>
      </w:r>
      <w:r w:rsidR="007C2A8E" w:rsidRPr="004F1023">
        <w:rPr>
          <w:lang w:val="en-US" w:eastAsia="en-US"/>
        </w:rPr>
        <w:t xml:space="preserve">These assays are the same procedure, the immunocytochemistry generally performed on paraffin-embedded cell blocks on the same staining platforms with the same </w:t>
      </w:r>
      <w:proofErr w:type="gramStart"/>
      <w:r w:rsidR="007C2A8E" w:rsidRPr="004F1023">
        <w:rPr>
          <w:lang w:val="en-US" w:eastAsia="en-US"/>
        </w:rPr>
        <w:t>reagents</w:t>
      </w:r>
      <w:r w:rsidR="00124901" w:rsidRPr="004F1023">
        <w:rPr>
          <w:lang w:val="en-US" w:eastAsia="en-US"/>
        </w:rPr>
        <w:t xml:space="preserve">, </w:t>
      </w:r>
      <w:r w:rsidR="007C2A8E" w:rsidRPr="004F1023">
        <w:rPr>
          <w:lang w:val="en-US" w:eastAsia="en-US"/>
        </w:rPr>
        <w:t>and</w:t>
      </w:r>
      <w:proofErr w:type="gramEnd"/>
      <w:r w:rsidR="007C2A8E" w:rsidRPr="004F1023">
        <w:rPr>
          <w:lang w:val="en-US" w:eastAsia="en-US"/>
        </w:rPr>
        <w:t xml:space="preserve"> requiring the same work for laboratory scientist and pathologist interpretation.</w:t>
      </w:r>
    </w:p>
    <w:p w14:paraId="3E58F4A6" w14:textId="77777777" w:rsidR="004F1023" w:rsidRPr="004F1023" w:rsidRDefault="00381EC6" w:rsidP="00FE5A72">
      <w:pPr>
        <w:pStyle w:val="NormalBulleted"/>
      </w:pPr>
      <w:r w:rsidRPr="004F1023">
        <w:rPr>
          <w:lang w:val="en-US" w:eastAsia="en-US"/>
        </w:rPr>
        <w:t xml:space="preserve">Separate Immunohistochemistry and Immunocytochemistry items </w:t>
      </w:r>
      <w:r w:rsidR="002E2665" w:rsidRPr="004F1023">
        <w:rPr>
          <w:lang w:val="en-US" w:eastAsia="en-US"/>
        </w:rPr>
        <w:t xml:space="preserve">also </w:t>
      </w:r>
      <w:r w:rsidRPr="004F1023">
        <w:rPr>
          <w:lang w:val="en-US" w:eastAsia="en-US"/>
        </w:rPr>
        <w:t xml:space="preserve">exist for the assessment of </w:t>
      </w:r>
      <w:proofErr w:type="spellStart"/>
      <w:r w:rsidRPr="004F1023">
        <w:rPr>
          <w:lang w:val="en-US" w:eastAsia="en-US"/>
        </w:rPr>
        <w:t>oestrogen</w:t>
      </w:r>
      <w:proofErr w:type="spellEnd"/>
      <w:r w:rsidRPr="004F1023">
        <w:rPr>
          <w:lang w:val="en-US" w:eastAsia="en-US"/>
        </w:rPr>
        <w:t xml:space="preserve"> receptor, progesterone receptor and HER2, because these more complex assays require counting/scoring by the pathologist.</w:t>
      </w:r>
      <w:r w:rsidR="0001385F" w:rsidRPr="004F1023">
        <w:rPr>
          <w:lang w:val="en-US" w:eastAsia="en-US"/>
        </w:rPr>
        <w:t xml:space="preserve"> Participation in specific </w:t>
      </w:r>
      <w:r w:rsidR="00313D10" w:rsidRPr="004F1023">
        <w:rPr>
          <w:lang w:val="en-US" w:eastAsia="en-US"/>
        </w:rPr>
        <w:t>quality assurance programs</w:t>
      </w:r>
      <w:r w:rsidR="0001385F" w:rsidRPr="004F1023">
        <w:rPr>
          <w:lang w:val="en-US" w:eastAsia="en-US"/>
        </w:rPr>
        <w:t xml:space="preserve"> is also required for </w:t>
      </w:r>
      <w:r w:rsidR="00313D10" w:rsidRPr="004F1023">
        <w:rPr>
          <w:lang w:val="en-US" w:eastAsia="en-US"/>
        </w:rPr>
        <w:t xml:space="preserve">assessing </w:t>
      </w:r>
      <w:r w:rsidR="0001385F" w:rsidRPr="004F1023">
        <w:rPr>
          <w:lang w:val="en-US" w:eastAsia="en-US"/>
        </w:rPr>
        <w:t>these antibodies.</w:t>
      </w:r>
    </w:p>
    <w:p w14:paraId="75AE6CAD" w14:textId="77777777" w:rsidR="00F87134" w:rsidRPr="004F1023" w:rsidRDefault="004503F9" w:rsidP="00FE5A72">
      <w:pPr>
        <w:pStyle w:val="NormalBulleted"/>
      </w:pPr>
      <w:r w:rsidRPr="004F1023">
        <w:rPr>
          <w:lang w:val="en-US" w:eastAsia="en-US"/>
        </w:rPr>
        <w:t>Misalignment developed in the rebate for Immunohistochemistry and Immunocytochemistry items through administrative oversight (</w:t>
      </w:r>
      <w:proofErr w:type="gramStart"/>
      <w:r w:rsidRPr="004F1023">
        <w:rPr>
          <w:lang w:val="en-US" w:eastAsia="en-US"/>
        </w:rPr>
        <w:t>despite the fact that</w:t>
      </w:r>
      <w:proofErr w:type="gramEnd"/>
      <w:r w:rsidRPr="004F1023">
        <w:rPr>
          <w:lang w:val="en-US" w:eastAsia="en-US"/>
        </w:rPr>
        <w:t xml:space="preserve"> they are the same test). This was drawn to the attention of </w:t>
      </w:r>
      <w:r w:rsidR="00FE5A72" w:rsidRPr="004F1023">
        <w:rPr>
          <w:lang w:val="en-US" w:eastAsia="en-US"/>
        </w:rPr>
        <w:t xml:space="preserve">the Department of </w:t>
      </w:r>
      <w:r w:rsidR="00F42F82" w:rsidRPr="004F1023">
        <w:rPr>
          <w:lang w:val="en-US" w:eastAsia="en-US"/>
        </w:rPr>
        <w:t>Health</w:t>
      </w:r>
      <w:r w:rsidR="005C5BC7" w:rsidRPr="004F1023">
        <w:rPr>
          <w:lang w:val="en-US" w:eastAsia="en-US"/>
        </w:rPr>
        <w:t xml:space="preserve"> and </w:t>
      </w:r>
      <w:r w:rsidR="00124901" w:rsidRPr="004F1023">
        <w:rPr>
          <w:lang w:val="en-US" w:eastAsia="en-US"/>
        </w:rPr>
        <w:t>the Pathology Services Advisory Committee in 2013</w:t>
      </w:r>
      <w:r w:rsidR="00F42F82" w:rsidRPr="004F1023">
        <w:rPr>
          <w:lang w:val="en-US" w:eastAsia="en-US"/>
        </w:rPr>
        <w:t xml:space="preserve">, and </w:t>
      </w:r>
      <w:r w:rsidR="00124901" w:rsidRPr="004F1023">
        <w:rPr>
          <w:lang w:val="en-US" w:eastAsia="en-US"/>
        </w:rPr>
        <w:t xml:space="preserve">PSAC </w:t>
      </w:r>
      <w:r w:rsidRPr="004F1023">
        <w:rPr>
          <w:lang w:val="en-US" w:eastAsia="en-US"/>
        </w:rPr>
        <w:t>determined that the rebates should be aligned</w:t>
      </w:r>
      <w:r w:rsidR="004F1023">
        <w:rPr>
          <w:lang w:val="en-US" w:eastAsia="en-US"/>
        </w:rPr>
        <w:t xml:space="preserve">, however </w:t>
      </w:r>
      <w:r w:rsidRPr="004F1023">
        <w:rPr>
          <w:lang w:val="en-US" w:eastAsia="en-US"/>
        </w:rPr>
        <w:t>this did not occur.</w:t>
      </w:r>
      <w:r w:rsidR="00124901" w:rsidRPr="004F1023">
        <w:rPr>
          <w:lang w:val="en-US" w:eastAsia="en-US"/>
        </w:rPr>
        <w:t xml:space="preserve"> The item definitions and usage </w:t>
      </w:r>
      <w:r w:rsidR="001417DE" w:rsidRPr="004F1023">
        <w:rPr>
          <w:lang w:val="en-US" w:eastAsia="en-US"/>
        </w:rPr>
        <w:t xml:space="preserve">are </w:t>
      </w:r>
      <w:r w:rsidR="00124901" w:rsidRPr="004F1023">
        <w:rPr>
          <w:lang w:val="en-US" w:eastAsia="en-US"/>
        </w:rPr>
        <w:t xml:space="preserve">shown in </w:t>
      </w:r>
      <w:r w:rsidR="00124901" w:rsidRPr="004F1023">
        <w:rPr>
          <w:i/>
          <w:lang w:val="en-US" w:eastAsia="en-US"/>
        </w:rPr>
        <w:t>Table</w:t>
      </w:r>
      <w:r w:rsidR="001417DE" w:rsidRPr="004F1023">
        <w:rPr>
          <w:i/>
          <w:lang w:val="en-US" w:eastAsia="en-US"/>
        </w:rPr>
        <w:t>s</w:t>
      </w:r>
      <w:r w:rsidR="00124901" w:rsidRPr="004F1023">
        <w:rPr>
          <w:i/>
          <w:lang w:val="en-US" w:eastAsia="en-US"/>
        </w:rPr>
        <w:t xml:space="preserve"> </w:t>
      </w:r>
      <w:r w:rsidR="000E5E9A">
        <w:rPr>
          <w:i/>
          <w:lang w:val="en-US" w:eastAsia="en-US"/>
        </w:rPr>
        <w:t>10</w:t>
      </w:r>
      <w:r w:rsidR="00F42F82" w:rsidRPr="004F1023">
        <w:rPr>
          <w:i/>
          <w:lang w:val="en-US" w:eastAsia="en-US"/>
        </w:rPr>
        <w:t xml:space="preserve"> </w:t>
      </w:r>
      <w:r w:rsidR="001417DE" w:rsidRPr="004F1023">
        <w:rPr>
          <w:i/>
          <w:lang w:val="en-US" w:eastAsia="en-US"/>
        </w:rPr>
        <w:t xml:space="preserve">and </w:t>
      </w:r>
      <w:r w:rsidR="004F1023">
        <w:rPr>
          <w:i/>
          <w:lang w:val="en-US" w:eastAsia="en-US"/>
        </w:rPr>
        <w:t>1</w:t>
      </w:r>
      <w:r w:rsidR="000E5E9A">
        <w:rPr>
          <w:i/>
          <w:lang w:val="en-US" w:eastAsia="en-US"/>
        </w:rPr>
        <w:t>1</w:t>
      </w:r>
      <w:r w:rsidR="00124901" w:rsidRPr="004F1023">
        <w:rPr>
          <w:lang w:val="en-US" w:eastAsia="en-US"/>
        </w:rPr>
        <w:t>.</w:t>
      </w:r>
      <w:r w:rsidR="00E11BC0" w:rsidRPr="004F1023">
        <w:rPr>
          <w:lang w:val="en-US" w:eastAsia="en-US"/>
        </w:rPr>
        <w:t xml:space="preserve"> </w:t>
      </w:r>
      <w:r w:rsidR="00124901" w:rsidRPr="004F1023">
        <w:rPr>
          <w:lang w:val="en-US" w:eastAsia="en-US"/>
        </w:rPr>
        <w:t xml:space="preserve">The usage </w:t>
      </w:r>
      <w:r w:rsidR="0001385F" w:rsidRPr="004F1023">
        <w:rPr>
          <w:lang w:val="en-US" w:eastAsia="en-US"/>
        </w:rPr>
        <w:t xml:space="preserve">of </w:t>
      </w:r>
      <w:proofErr w:type="spellStart"/>
      <w:r w:rsidR="0001385F" w:rsidRPr="004F1023">
        <w:rPr>
          <w:lang w:val="en-US" w:eastAsia="en-US"/>
        </w:rPr>
        <w:t>immunostains</w:t>
      </w:r>
      <w:proofErr w:type="spellEnd"/>
      <w:r w:rsidR="0001385F" w:rsidRPr="004F1023">
        <w:rPr>
          <w:lang w:val="en-US" w:eastAsia="en-US"/>
        </w:rPr>
        <w:t xml:space="preserve"> </w:t>
      </w:r>
      <w:r w:rsidR="00124901" w:rsidRPr="004F1023">
        <w:rPr>
          <w:lang w:val="en-US" w:eastAsia="en-US"/>
        </w:rPr>
        <w:t>in cytology is obviously quite low.</w:t>
      </w:r>
    </w:p>
    <w:p w14:paraId="3F8C2A06" w14:textId="77777777" w:rsidR="00F42F82" w:rsidRPr="00B45D06" w:rsidRDefault="00F42F82">
      <w:pPr>
        <w:pStyle w:val="Caption"/>
        <w:rPr>
          <w:lang w:val="en-US"/>
        </w:rPr>
      </w:pPr>
      <w:bookmarkStart w:id="71" w:name="_Toc482213837"/>
      <w:r>
        <w:lastRenderedPageBreak/>
        <w:t xml:space="preserve">Table </w:t>
      </w:r>
      <w:r w:rsidR="000E5E9A">
        <w:t>10</w:t>
      </w:r>
      <w:r>
        <w:t xml:space="preserve">. </w:t>
      </w:r>
      <w:r w:rsidRPr="00730B61">
        <w:t>Item comparison table for item 72846, 72847, 72849, 72850 (Histology) vs 73059, 73060, 73064, 73065 (Cytology)</w:t>
      </w:r>
      <w:bookmarkEnd w:id="71"/>
    </w:p>
    <w:tbl>
      <w:tblPr>
        <w:tblStyle w:val="TableGrid9"/>
        <w:tblW w:w="0" w:type="auto"/>
        <w:tblLook w:val="04A0" w:firstRow="1" w:lastRow="0" w:firstColumn="1" w:lastColumn="0" w:noHBand="0" w:noVBand="1"/>
      </w:tblPr>
      <w:tblGrid>
        <w:gridCol w:w="978"/>
        <w:gridCol w:w="3304"/>
        <w:gridCol w:w="1098"/>
        <w:gridCol w:w="1155"/>
        <w:gridCol w:w="1155"/>
        <w:gridCol w:w="1206"/>
      </w:tblGrid>
      <w:tr w:rsidR="00425A0C" w:rsidRPr="001035AB" w14:paraId="49A80536" w14:textId="77777777" w:rsidTr="00774742">
        <w:tc>
          <w:tcPr>
            <w:tcW w:w="984" w:type="dxa"/>
            <w:shd w:val="clear" w:color="auto" w:fill="EEECE1" w:themeFill="background2"/>
            <w:vAlign w:val="bottom"/>
          </w:tcPr>
          <w:p w14:paraId="7F3507B6" w14:textId="77777777" w:rsidR="00425A0C" w:rsidRPr="001035AB" w:rsidRDefault="00425A0C">
            <w:pPr>
              <w:spacing w:before="20" w:after="20"/>
              <w:rPr>
                <w:rFonts w:cs="Arial"/>
                <w:b/>
                <w:sz w:val="20"/>
                <w:szCs w:val="20"/>
              </w:rPr>
            </w:pPr>
            <w:r w:rsidRPr="001035AB">
              <w:rPr>
                <w:rFonts w:cs="Arial"/>
                <w:b/>
                <w:sz w:val="20"/>
                <w:szCs w:val="20"/>
              </w:rPr>
              <w:t>Item number</w:t>
            </w:r>
          </w:p>
        </w:tc>
        <w:tc>
          <w:tcPr>
            <w:tcW w:w="3384" w:type="dxa"/>
            <w:shd w:val="clear" w:color="auto" w:fill="EEECE1" w:themeFill="background2"/>
            <w:vAlign w:val="bottom"/>
          </w:tcPr>
          <w:p w14:paraId="3075C1A9" w14:textId="77777777" w:rsidR="00425A0C" w:rsidRPr="001035AB" w:rsidRDefault="00425A0C" w:rsidP="00F42F82">
            <w:pPr>
              <w:spacing w:before="20" w:after="20"/>
              <w:rPr>
                <w:rFonts w:cs="Arial"/>
                <w:b/>
                <w:sz w:val="20"/>
                <w:szCs w:val="20"/>
              </w:rPr>
            </w:pPr>
            <w:r w:rsidRPr="001035AB">
              <w:rPr>
                <w:rFonts w:cs="Arial"/>
                <w:b/>
                <w:sz w:val="20"/>
                <w:szCs w:val="20"/>
              </w:rPr>
              <w:t>Descriptor</w:t>
            </w:r>
          </w:p>
        </w:tc>
        <w:tc>
          <w:tcPr>
            <w:tcW w:w="1106" w:type="dxa"/>
            <w:shd w:val="clear" w:color="auto" w:fill="EEECE1" w:themeFill="background2"/>
            <w:vAlign w:val="bottom"/>
          </w:tcPr>
          <w:p w14:paraId="309343A4" w14:textId="77777777" w:rsidR="00425A0C" w:rsidRPr="001035AB" w:rsidRDefault="00425A0C" w:rsidP="00B45D06">
            <w:pPr>
              <w:spacing w:before="20" w:after="20"/>
              <w:rPr>
                <w:rFonts w:cs="Arial"/>
                <w:b/>
                <w:sz w:val="20"/>
                <w:szCs w:val="20"/>
              </w:rPr>
            </w:pPr>
            <w:r w:rsidRPr="001035AB">
              <w:rPr>
                <w:rFonts w:cs="Arial"/>
                <w:b/>
                <w:sz w:val="20"/>
                <w:szCs w:val="20"/>
              </w:rPr>
              <w:t>Schedule fee</w:t>
            </w:r>
          </w:p>
        </w:tc>
        <w:tc>
          <w:tcPr>
            <w:tcW w:w="1163" w:type="dxa"/>
            <w:shd w:val="clear" w:color="auto" w:fill="EEECE1" w:themeFill="background2"/>
            <w:vAlign w:val="bottom"/>
          </w:tcPr>
          <w:p w14:paraId="1C96BCDA" w14:textId="77777777" w:rsidR="00425A0C" w:rsidRPr="001035AB" w:rsidRDefault="00425A0C">
            <w:pPr>
              <w:spacing w:before="20" w:after="20"/>
              <w:rPr>
                <w:rFonts w:cs="Arial"/>
                <w:b/>
                <w:sz w:val="20"/>
                <w:szCs w:val="20"/>
              </w:rPr>
            </w:pPr>
            <w:r w:rsidRPr="001035AB">
              <w:rPr>
                <w:rFonts w:cs="Arial"/>
                <w:b/>
                <w:sz w:val="20"/>
                <w:szCs w:val="20"/>
              </w:rPr>
              <w:t>Volume of services (2015/16)</w:t>
            </w:r>
          </w:p>
        </w:tc>
        <w:tc>
          <w:tcPr>
            <w:tcW w:w="1163" w:type="dxa"/>
            <w:shd w:val="clear" w:color="auto" w:fill="EEECE1" w:themeFill="background2"/>
            <w:vAlign w:val="bottom"/>
          </w:tcPr>
          <w:p w14:paraId="5DD7BB9A" w14:textId="77777777" w:rsidR="00425A0C" w:rsidRPr="001035AB" w:rsidRDefault="00425A0C">
            <w:pPr>
              <w:spacing w:before="20" w:after="20"/>
              <w:rPr>
                <w:rFonts w:cs="Arial"/>
                <w:b/>
                <w:sz w:val="20"/>
                <w:szCs w:val="20"/>
              </w:rPr>
            </w:pPr>
            <w:r w:rsidRPr="001035AB">
              <w:rPr>
                <w:rFonts w:cs="Arial"/>
                <w:b/>
                <w:sz w:val="20"/>
                <w:szCs w:val="20"/>
              </w:rPr>
              <w:t xml:space="preserve">Services average annual growth (2010/11-2015/16) </w:t>
            </w:r>
          </w:p>
        </w:tc>
        <w:tc>
          <w:tcPr>
            <w:tcW w:w="1217" w:type="dxa"/>
            <w:shd w:val="clear" w:color="auto" w:fill="EEECE1" w:themeFill="background2"/>
            <w:vAlign w:val="bottom"/>
          </w:tcPr>
          <w:p w14:paraId="3844FCEE" w14:textId="77777777" w:rsidR="00425A0C" w:rsidRPr="001035AB" w:rsidRDefault="00425A0C">
            <w:pPr>
              <w:spacing w:before="20" w:after="20"/>
              <w:rPr>
                <w:rFonts w:cs="Arial"/>
                <w:b/>
                <w:sz w:val="20"/>
                <w:szCs w:val="20"/>
              </w:rPr>
            </w:pPr>
            <w:r w:rsidRPr="001035AB">
              <w:rPr>
                <w:rFonts w:cs="Arial"/>
                <w:b/>
                <w:sz w:val="20"/>
                <w:szCs w:val="20"/>
              </w:rPr>
              <w:t>Benefits (2015/16)</w:t>
            </w:r>
          </w:p>
        </w:tc>
      </w:tr>
      <w:tr w:rsidR="00425A0C" w:rsidRPr="001035AB" w14:paraId="58370DD8" w14:textId="77777777" w:rsidTr="007C4E2B">
        <w:tc>
          <w:tcPr>
            <w:tcW w:w="984" w:type="dxa"/>
          </w:tcPr>
          <w:p w14:paraId="4DDCBEC9" w14:textId="77777777" w:rsidR="00425A0C" w:rsidRPr="001035AB" w:rsidRDefault="00425A0C" w:rsidP="00FE5A72">
            <w:pPr>
              <w:jc w:val="right"/>
              <w:rPr>
                <w:rFonts w:cs="Arial"/>
                <w:sz w:val="20"/>
                <w:szCs w:val="20"/>
              </w:rPr>
            </w:pPr>
            <w:r w:rsidRPr="001035AB">
              <w:rPr>
                <w:rFonts w:cs="Arial"/>
                <w:sz w:val="20"/>
                <w:szCs w:val="20"/>
              </w:rPr>
              <w:t>72846</w:t>
            </w:r>
          </w:p>
        </w:tc>
        <w:tc>
          <w:tcPr>
            <w:tcW w:w="3384" w:type="dxa"/>
          </w:tcPr>
          <w:p w14:paraId="288FFA84" w14:textId="77777777" w:rsidR="00425A0C" w:rsidRPr="001035AB" w:rsidRDefault="00425A0C" w:rsidP="00425A0C">
            <w:pPr>
              <w:rPr>
                <w:rFonts w:cs="Arial"/>
                <w:sz w:val="20"/>
                <w:szCs w:val="20"/>
              </w:rPr>
            </w:pPr>
            <w:r w:rsidRPr="00CE6C52">
              <w:rPr>
                <w:rFonts w:cs="Arial"/>
                <w:sz w:val="20"/>
                <w:szCs w:val="20"/>
                <w:u w:val="single"/>
              </w:rPr>
              <w:t>Immunohistochemical</w:t>
            </w:r>
            <w:r w:rsidRPr="001035AB">
              <w:rPr>
                <w:rFonts w:cs="Arial"/>
                <w:sz w:val="20"/>
                <w:szCs w:val="20"/>
              </w:rPr>
              <w:t xml:space="preserve"> examination of biopsy material by immunofluorescence, </w:t>
            </w:r>
            <w:proofErr w:type="spellStart"/>
            <w:r w:rsidRPr="001035AB">
              <w:rPr>
                <w:rFonts w:cs="Arial"/>
                <w:sz w:val="20"/>
                <w:szCs w:val="20"/>
              </w:rPr>
              <w:t>immunoperoxidase</w:t>
            </w:r>
            <w:proofErr w:type="spellEnd"/>
            <w:r w:rsidRPr="001035AB">
              <w:rPr>
                <w:rFonts w:cs="Arial"/>
                <w:sz w:val="20"/>
                <w:szCs w:val="20"/>
              </w:rPr>
              <w:t xml:space="preserve"> or other labelled antibody techniques with multiple antigenic specificities per specimen - 1 to 3 antibodies (Item is subject to rule 13) except those listed in 72848</w:t>
            </w:r>
          </w:p>
        </w:tc>
        <w:tc>
          <w:tcPr>
            <w:tcW w:w="1106" w:type="dxa"/>
          </w:tcPr>
          <w:p w14:paraId="368A5718" w14:textId="77777777" w:rsidR="00425A0C" w:rsidRPr="001035AB" w:rsidRDefault="00F42F82" w:rsidP="00FE5A72">
            <w:pPr>
              <w:jc w:val="right"/>
              <w:rPr>
                <w:rFonts w:cs="Arial"/>
                <w:sz w:val="20"/>
                <w:szCs w:val="20"/>
              </w:rPr>
            </w:pPr>
            <w:r>
              <w:rPr>
                <w:rFonts w:cs="Arial"/>
                <w:sz w:val="20"/>
                <w:szCs w:val="20"/>
              </w:rPr>
              <w:t>$</w:t>
            </w:r>
            <w:r w:rsidR="00425A0C" w:rsidRPr="001035AB">
              <w:rPr>
                <w:rFonts w:cs="Arial"/>
                <w:sz w:val="20"/>
                <w:szCs w:val="20"/>
              </w:rPr>
              <w:t>59.60</w:t>
            </w:r>
          </w:p>
        </w:tc>
        <w:tc>
          <w:tcPr>
            <w:tcW w:w="1163" w:type="dxa"/>
          </w:tcPr>
          <w:p w14:paraId="743C15F2" w14:textId="77777777" w:rsidR="00425A0C" w:rsidRPr="001035AB" w:rsidRDefault="00425A0C" w:rsidP="00FE5A72">
            <w:pPr>
              <w:jc w:val="right"/>
              <w:rPr>
                <w:rFonts w:cs="Arial"/>
                <w:sz w:val="20"/>
                <w:szCs w:val="20"/>
              </w:rPr>
            </w:pPr>
            <w:r w:rsidRPr="001035AB">
              <w:rPr>
                <w:rFonts w:cs="Arial"/>
                <w:sz w:val="20"/>
                <w:szCs w:val="20"/>
              </w:rPr>
              <w:t>112</w:t>
            </w:r>
            <w:r w:rsidR="00F42F82">
              <w:rPr>
                <w:rFonts w:cs="Arial"/>
                <w:sz w:val="20"/>
                <w:szCs w:val="20"/>
              </w:rPr>
              <w:t xml:space="preserve"> </w:t>
            </w:r>
            <w:r w:rsidRPr="001035AB">
              <w:rPr>
                <w:rFonts w:cs="Arial"/>
                <w:sz w:val="20"/>
                <w:szCs w:val="20"/>
              </w:rPr>
              <w:t>573</w:t>
            </w:r>
          </w:p>
        </w:tc>
        <w:tc>
          <w:tcPr>
            <w:tcW w:w="1163" w:type="dxa"/>
          </w:tcPr>
          <w:p w14:paraId="4022EA23" w14:textId="77777777" w:rsidR="00425A0C" w:rsidRPr="001035AB" w:rsidRDefault="00425A0C" w:rsidP="00FE5A72">
            <w:pPr>
              <w:jc w:val="right"/>
              <w:rPr>
                <w:rFonts w:cs="Arial"/>
                <w:sz w:val="20"/>
                <w:szCs w:val="20"/>
              </w:rPr>
            </w:pPr>
            <w:r w:rsidRPr="001035AB">
              <w:rPr>
                <w:rFonts w:cs="Arial"/>
                <w:sz w:val="20"/>
                <w:szCs w:val="20"/>
              </w:rPr>
              <w:t>18.8%</w:t>
            </w:r>
          </w:p>
        </w:tc>
        <w:tc>
          <w:tcPr>
            <w:tcW w:w="1217" w:type="dxa"/>
          </w:tcPr>
          <w:p w14:paraId="167D190F" w14:textId="77777777" w:rsidR="00425A0C" w:rsidRPr="001035AB" w:rsidRDefault="00425A0C" w:rsidP="00FE5A72">
            <w:pPr>
              <w:jc w:val="right"/>
              <w:rPr>
                <w:rFonts w:cs="Arial"/>
                <w:sz w:val="20"/>
                <w:szCs w:val="20"/>
              </w:rPr>
            </w:pPr>
            <w:r w:rsidRPr="001035AB">
              <w:rPr>
                <w:rFonts w:cs="Arial"/>
                <w:sz w:val="20"/>
                <w:szCs w:val="20"/>
              </w:rPr>
              <w:t>$5</w:t>
            </w:r>
            <w:r w:rsidR="00F42F82">
              <w:rPr>
                <w:rFonts w:cs="Arial"/>
                <w:sz w:val="20"/>
                <w:szCs w:val="20"/>
              </w:rPr>
              <w:t xml:space="preserve"> </w:t>
            </w:r>
            <w:r w:rsidRPr="001035AB">
              <w:rPr>
                <w:rFonts w:cs="Arial"/>
                <w:sz w:val="20"/>
                <w:szCs w:val="20"/>
              </w:rPr>
              <w:t>511</w:t>
            </w:r>
            <w:r w:rsidR="00F42F82">
              <w:rPr>
                <w:rFonts w:cs="Arial"/>
                <w:sz w:val="20"/>
                <w:szCs w:val="20"/>
              </w:rPr>
              <w:t xml:space="preserve"> </w:t>
            </w:r>
            <w:r w:rsidRPr="001035AB">
              <w:rPr>
                <w:rFonts w:cs="Arial"/>
                <w:sz w:val="20"/>
                <w:szCs w:val="20"/>
              </w:rPr>
              <w:t>521</w:t>
            </w:r>
          </w:p>
        </w:tc>
      </w:tr>
      <w:tr w:rsidR="00425A0C" w:rsidRPr="001035AB" w14:paraId="273C5F3D" w14:textId="77777777" w:rsidTr="007C4E2B">
        <w:tc>
          <w:tcPr>
            <w:tcW w:w="984" w:type="dxa"/>
          </w:tcPr>
          <w:p w14:paraId="531AF68D" w14:textId="77777777" w:rsidR="00425A0C" w:rsidRPr="001035AB" w:rsidRDefault="00425A0C" w:rsidP="00FE5A72">
            <w:pPr>
              <w:jc w:val="right"/>
              <w:rPr>
                <w:rFonts w:cs="Arial"/>
                <w:sz w:val="20"/>
                <w:szCs w:val="20"/>
              </w:rPr>
            </w:pPr>
            <w:r w:rsidRPr="001035AB">
              <w:rPr>
                <w:rFonts w:cs="Arial"/>
                <w:sz w:val="20"/>
                <w:szCs w:val="20"/>
              </w:rPr>
              <w:t>72847</w:t>
            </w:r>
          </w:p>
        </w:tc>
        <w:tc>
          <w:tcPr>
            <w:tcW w:w="3384" w:type="dxa"/>
          </w:tcPr>
          <w:p w14:paraId="4C716C51" w14:textId="77777777" w:rsidR="00425A0C" w:rsidRPr="001035AB" w:rsidRDefault="0099749C" w:rsidP="00425A0C">
            <w:pPr>
              <w:rPr>
                <w:rFonts w:cs="Arial"/>
                <w:sz w:val="20"/>
                <w:szCs w:val="20"/>
              </w:rPr>
            </w:pPr>
            <w:r>
              <w:rPr>
                <w:rFonts w:cs="Arial"/>
                <w:sz w:val="20"/>
                <w:szCs w:val="20"/>
              </w:rPr>
              <w:t xml:space="preserve">[ditto] </w:t>
            </w:r>
            <w:r w:rsidR="00425A0C" w:rsidRPr="001035AB">
              <w:rPr>
                <w:rFonts w:cs="Arial"/>
                <w:sz w:val="20"/>
                <w:szCs w:val="20"/>
              </w:rPr>
              <w:t>4-6 antibodies (Item is subject to rule 13)</w:t>
            </w:r>
          </w:p>
        </w:tc>
        <w:tc>
          <w:tcPr>
            <w:tcW w:w="1106" w:type="dxa"/>
          </w:tcPr>
          <w:p w14:paraId="36554B40" w14:textId="77777777" w:rsidR="00425A0C" w:rsidRPr="001035AB" w:rsidRDefault="00F42F82" w:rsidP="00FE5A72">
            <w:pPr>
              <w:jc w:val="right"/>
              <w:rPr>
                <w:rFonts w:cs="Arial"/>
                <w:sz w:val="20"/>
                <w:szCs w:val="20"/>
              </w:rPr>
            </w:pPr>
            <w:r>
              <w:rPr>
                <w:rFonts w:cs="Arial"/>
                <w:sz w:val="20"/>
                <w:szCs w:val="20"/>
              </w:rPr>
              <w:t>$</w:t>
            </w:r>
            <w:r w:rsidR="00425A0C" w:rsidRPr="001035AB">
              <w:rPr>
                <w:rFonts w:cs="Arial"/>
                <w:sz w:val="20"/>
                <w:szCs w:val="20"/>
              </w:rPr>
              <w:t>89.40</w:t>
            </w:r>
          </w:p>
        </w:tc>
        <w:tc>
          <w:tcPr>
            <w:tcW w:w="1163" w:type="dxa"/>
          </w:tcPr>
          <w:p w14:paraId="01349857" w14:textId="77777777" w:rsidR="00425A0C" w:rsidRPr="001035AB" w:rsidRDefault="00425A0C" w:rsidP="00FE5A72">
            <w:pPr>
              <w:jc w:val="right"/>
              <w:rPr>
                <w:rFonts w:cs="Arial"/>
                <w:sz w:val="20"/>
                <w:szCs w:val="20"/>
              </w:rPr>
            </w:pPr>
            <w:r w:rsidRPr="001035AB">
              <w:rPr>
                <w:rFonts w:cs="Arial"/>
                <w:sz w:val="20"/>
                <w:szCs w:val="20"/>
              </w:rPr>
              <w:t>49</w:t>
            </w:r>
            <w:r w:rsidR="00F42F82">
              <w:rPr>
                <w:rFonts w:cs="Arial"/>
                <w:sz w:val="20"/>
                <w:szCs w:val="20"/>
              </w:rPr>
              <w:t xml:space="preserve"> </w:t>
            </w:r>
            <w:r w:rsidRPr="001035AB">
              <w:rPr>
                <w:rFonts w:cs="Arial"/>
                <w:sz w:val="20"/>
                <w:szCs w:val="20"/>
              </w:rPr>
              <w:t>986</w:t>
            </w:r>
          </w:p>
        </w:tc>
        <w:tc>
          <w:tcPr>
            <w:tcW w:w="1163" w:type="dxa"/>
          </w:tcPr>
          <w:p w14:paraId="59C4FD06" w14:textId="77777777" w:rsidR="00425A0C" w:rsidRPr="001035AB" w:rsidRDefault="00425A0C" w:rsidP="00FE5A72">
            <w:pPr>
              <w:jc w:val="right"/>
              <w:rPr>
                <w:rFonts w:cs="Arial"/>
                <w:sz w:val="20"/>
                <w:szCs w:val="20"/>
              </w:rPr>
            </w:pPr>
            <w:r w:rsidRPr="001035AB">
              <w:rPr>
                <w:rFonts w:cs="Arial"/>
                <w:sz w:val="20"/>
                <w:szCs w:val="20"/>
              </w:rPr>
              <w:t>11.1%</w:t>
            </w:r>
          </w:p>
        </w:tc>
        <w:tc>
          <w:tcPr>
            <w:tcW w:w="1217" w:type="dxa"/>
          </w:tcPr>
          <w:p w14:paraId="752BAA97" w14:textId="77777777" w:rsidR="00425A0C" w:rsidRPr="001035AB" w:rsidRDefault="00425A0C" w:rsidP="00FE5A72">
            <w:pPr>
              <w:jc w:val="right"/>
              <w:rPr>
                <w:rFonts w:cs="Arial"/>
                <w:sz w:val="20"/>
                <w:szCs w:val="20"/>
              </w:rPr>
            </w:pPr>
            <w:r w:rsidRPr="001035AB">
              <w:rPr>
                <w:rFonts w:cs="Arial"/>
                <w:sz w:val="20"/>
                <w:szCs w:val="20"/>
              </w:rPr>
              <w:t>$3</w:t>
            </w:r>
            <w:r w:rsidR="00F42F82">
              <w:rPr>
                <w:rFonts w:cs="Arial"/>
                <w:sz w:val="20"/>
                <w:szCs w:val="20"/>
              </w:rPr>
              <w:t xml:space="preserve"> </w:t>
            </w:r>
            <w:r w:rsidRPr="001035AB">
              <w:rPr>
                <w:rFonts w:cs="Arial"/>
                <w:sz w:val="20"/>
                <w:szCs w:val="20"/>
              </w:rPr>
              <w:t>623</w:t>
            </w:r>
            <w:r w:rsidR="00F42F82">
              <w:rPr>
                <w:rFonts w:cs="Arial"/>
                <w:sz w:val="20"/>
                <w:szCs w:val="20"/>
              </w:rPr>
              <w:t xml:space="preserve"> </w:t>
            </w:r>
            <w:r w:rsidRPr="001035AB">
              <w:rPr>
                <w:rFonts w:cs="Arial"/>
                <w:sz w:val="20"/>
                <w:szCs w:val="20"/>
              </w:rPr>
              <w:t>218</w:t>
            </w:r>
          </w:p>
        </w:tc>
      </w:tr>
      <w:tr w:rsidR="00425A0C" w:rsidRPr="001035AB" w14:paraId="206C1586" w14:textId="77777777" w:rsidTr="007C4E2B">
        <w:tc>
          <w:tcPr>
            <w:tcW w:w="984" w:type="dxa"/>
          </w:tcPr>
          <w:p w14:paraId="521E6EB7" w14:textId="77777777" w:rsidR="00425A0C" w:rsidRPr="001035AB" w:rsidRDefault="00425A0C" w:rsidP="00FE5A72">
            <w:pPr>
              <w:jc w:val="right"/>
              <w:rPr>
                <w:rFonts w:cs="Arial"/>
                <w:sz w:val="20"/>
                <w:szCs w:val="20"/>
              </w:rPr>
            </w:pPr>
            <w:r w:rsidRPr="001035AB">
              <w:rPr>
                <w:rFonts w:cs="Arial"/>
                <w:sz w:val="20"/>
                <w:szCs w:val="20"/>
              </w:rPr>
              <w:t>72849</w:t>
            </w:r>
          </w:p>
        </w:tc>
        <w:tc>
          <w:tcPr>
            <w:tcW w:w="3384" w:type="dxa"/>
          </w:tcPr>
          <w:p w14:paraId="748A4E39" w14:textId="77777777" w:rsidR="00425A0C" w:rsidRPr="001035AB" w:rsidRDefault="0099749C" w:rsidP="00425A0C">
            <w:pPr>
              <w:rPr>
                <w:rFonts w:cs="Arial"/>
                <w:sz w:val="20"/>
                <w:szCs w:val="20"/>
              </w:rPr>
            </w:pPr>
            <w:r>
              <w:rPr>
                <w:rFonts w:cs="Arial"/>
                <w:sz w:val="20"/>
                <w:szCs w:val="20"/>
              </w:rPr>
              <w:t xml:space="preserve">[ditto] </w:t>
            </w:r>
            <w:r w:rsidR="00425A0C" w:rsidRPr="001035AB">
              <w:rPr>
                <w:rFonts w:cs="Arial"/>
                <w:sz w:val="20"/>
                <w:szCs w:val="20"/>
              </w:rPr>
              <w:t>7-10 antibodies (item is subject to rule 13)</w:t>
            </w:r>
          </w:p>
        </w:tc>
        <w:tc>
          <w:tcPr>
            <w:tcW w:w="1106" w:type="dxa"/>
          </w:tcPr>
          <w:p w14:paraId="78E7E88D" w14:textId="77777777" w:rsidR="00425A0C" w:rsidRPr="001035AB" w:rsidRDefault="00F42F82" w:rsidP="00FE5A72">
            <w:pPr>
              <w:jc w:val="right"/>
              <w:rPr>
                <w:rFonts w:cs="Arial"/>
                <w:sz w:val="20"/>
                <w:szCs w:val="20"/>
              </w:rPr>
            </w:pPr>
            <w:r>
              <w:rPr>
                <w:rFonts w:cs="Arial"/>
                <w:sz w:val="20"/>
                <w:szCs w:val="20"/>
              </w:rPr>
              <w:t>$</w:t>
            </w:r>
            <w:r w:rsidR="00425A0C" w:rsidRPr="001035AB">
              <w:rPr>
                <w:rFonts w:cs="Arial"/>
                <w:sz w:val="20"/>
                <w:szCs w:val="20"/>
              </w:rPr>
              <w:t>104.30</w:t>
            </w:r>
          </w:p>
        </w:tc>
        <w:tc>
          <w:tcPr>
            <w:tcW w:w="1163" w:type="dxa"/>
          </w:tcPr>
          <w:p w14:paraId="73D14F32" w14:textId="77777777" w:rsidR="00425A0C" w:rsidRPr="001035AB" w:rsidRDefault="00425A0C" w:rsidP="00FE5A72">
            <w:pPr>
              <w:jc w:val="right"/>
              <w:rPr>
                <w:rFonts w:cs="Arial"/>
                <w:sz w:val="20"/>
                <w:szCs w:val="20"/>
              </w:rPr>
            </w:pPr>
            <w:r w:rsidRPr="001035AB">
              <w:rPr>
                <w:rFonts w:cs="Arial"/>
                <w:sz w:val="20"/>
                <w:szCs w:val="20"/>
              </w:rPr>
              <w:t>18</w:t>
            </w:r>
            <w:r w:rsidR="00F42F82">
              <w:rPr>
                <w:rFonts w:cs="Arial"/>
                <w:sz w:val="20"/>
                <w:szCs w:val="20"/>
              </w:rPr>
              <w:t xml:space="preserve"> </w:t>
            </w:r>
            <w:r w:rsidRPr="001035AB">
              <w:rPr>
                <w:rFonts w:cs="Arial"/>
                <w:sz w:val="20"/>
                <w:szCs w:val="20"/>
              </w:rPr>
              <w:t>658</w:t>
            </w:r>
          </w:p>
        </w:tc>
        <w:tc>
          <w:tcPr>
            <w:tcW w:w="1163" w:type="dxa"/>
          </w:tcPr>
          <w:p w14:paraId="3FD8399C" w14:textId="77777777" w:rsidR="00425A0C" w:rsidRPr="001035AB" w:rsidRDefault="00425A0C" w:rsidP="00FE5A72">
            <w:pPr>
              <w:jc w:val="right"/>
              <w:rPr>
                <w:rFonts w:cs="Arial"/>
                <w:sz w:val="20"/>
                <w:szCs w:val="20"/>
              </w:rPr>
            </w:pPr>
            <w:r w:rsidRPr="001035AB">
              <w:rPr>
                <w:rFonts w:cs="Arial"/>
                <w:sz w:val="20"/>
                <w:szCs w:val="20"/>
              </w:rPr>
              <w:t>14.8%</w:t>
            </w:r>
          </w:p>
        </w:tc>
        <w:tc>
          <w:tcPr>
            <w:tcW w:w="1217" w:type="dxa"/>
          </w:tcPr>
          <w:p w14:paraId="6526E6AB" w14:textId="77777777" w:rsidR="00425A0C" w:rsidRPr="001035AB" w:rsidRDefault="00425A0C" w:rsidP="00FE5A72">
            <w:pPr>
              <w:jc w:val="right"/>
              <w:rPr>
                <w:rFonts w:cs="Arial"/>
                <w:sz w:val="20"/>
                <w:szCs w:val="20"/>
              </w:rPr>
            </w:pPr>
            <w:r w:rsidRPr="001035AB">
              <w:rPr>
                <w:rFonts w:cs="Arial"/>
                <w:sz w:val="20"/>
                <w:szCs w:val="20"/>
              </w:rPr>
              <w:t>$1</w:t>
            </w:r>
            <w:r w:rsidR="00F42F82">
              <w:rPr>
                <w:rFonts w:cs="Arial"/>
                <w:sz w:val="20"/>
                <w:szCs w:val="20"/>
              </w:rPr>
              <w:t xml:space="preserve"> </w:t>
            </w:r>
            <w:r w:rsidRPr="001035AB">
              <w:rPr>
                <w:rFonts w:cs="Arial"/>
                <w:sz w:val="20"/>
                <w:szCs w:val="20"/>
              </w:rPr>
              <w:t>559</w:t>
            </w:r>
            <w:r w:rsidR="00F42F82">
              <w:rPr>
                <w:rFonts w:cs="Arial"/>
                <w:sz w:val="20"/>
                <w:szCs w:val="20"/>
              </w:rPr>
              <w:t xml:space="preserve"> </w:t>
            </w:r>
            <w:r w:rsidRPr="001035AB">
              <w:rPr>
                <w:rFonts w:cs="Arial"/>
                <w:sz w:val="20"/>
                <w:szCs w:val="20"/>
              </w:rPr>
              <w:t>152</w:t>
            </w:r>
          </w:p>
        </w:tc>
      </w:tr>
      <w:tr w:rsidR="00425A0C" w:rsidRPr="001035AB" w14:paraId="5998B067" w14:textId="77777777" w:rsidTr="007C4E2B">
        <w:tc>
          <w:tcPr>
            <w:tcW w:w="984" w:type="dxa"/>
          </w:tcPr>
          <w:p w14:paraId="6D8282A1" w14:textId="77777777" w:rsidR="00425A0C" w:rsidRPr="001035AB" w:rsidRDefault="00425A0C" w:rsidP="00FE5A72">
            <w:pPr>
              <w:jc w:val="right"/>
              <w:rPr>
                <w:rFonts w:cs="Arial"/>
                <w:sz w:val="20"/>
                <w:szCs w:val="20"/>
              </w:rPr>
            </w:pPr>
            <w:r w:rsidRPr="001035AB">
              <w:rPr>
                <w:rFonts w:cs="Arial"/>
                <w:sz w:val="20"/>
                <w:szCs w:val="20"/>
              </w:rPr>
              <w:t>72850</w:t>
            </w:r>
          </w:p>
        </w:tc>
        <w:tc>
          <w:tcPr>
            <w:tcW w:w="3384" w:type="dxa"/>
          </w:tcPr>
          <w:p w14:paraId="42DA493C" w14:textId="77777777" w:rsidR="00425A0C" w:rsidRPr="001035AB" w:rsidRDefault="0099749C" w:rsidP="00425A0C">
            <w:pPr>
              <w:rPr>
                <w:rFonts w:cs="Arial"/>
                <w:sz w:val="20"/>
                <w:szCs w:val="20"/>
              </w:rPr>
            </w:pPr>
            <w:r>
              <w:rPr>
                <w:rFonts w:cs="Arial"/>
                <w:sz w:val="20"/>
                <w:szCs w:val="20"/>
              </w:rPr>
              <w:t xml:space="preserve">[ditto] </w:t>
            </w:r>
            <w:r w:rsidR="00425A0C" w:rsidRPr="001035AB">
              <w:rPr>
                <w:rFonts w:cs="Arial"/>
                <w:sz w:val="20"/>
                <w:szCs w:val="20"/>
              </w:rPr>
              <w:t>11 or more antibodies (item is subject to rule 13)</w:t>
            </w:r>
          </w:p>
        </w:tc>
        <w:tc>
          <w:tcPr>
            <w:tcW w:w="1106" w:type="dxa"/>
          </w:tcPr>
          <w:p w14:paraId="4B384841" w14:textId="77777777" w:rsidR="00425A0C" w:rsidRPr="001035AB" w:rsidRDefault="00F42F82" w:rsidP="00FE5A72">
            <w:pPr>
              <w:jc w:val="right"/>
              <w:rPr>
                <w:rFonts w:cs="Arial"/>
                <w:sz w:val="20"/>
                <w:szCs w:val="20"/>
              </w:rPr>
            </w:pPr>
            <w:r>
              <w:rPr>
                <w:rFonts w:cs="Arial"/>
                <w:sz w:val="20"/>
                <w:szCs w:val="20"/>
              </w:rPr>
              <w:t>$</w:t>
            </w:r>
            <w:r w:rsidR="00425A0C" w:rsidRPr="001035AB">
              <w:rPr>
                <w:rFonts w:cs="Arial"/>
                <w:sz w:val="20"/>
                <w:szCs w:val="20"/>
              </w:rPr>
              <w:t>119.20</w:t>
            </w:r>
          </w:p>
        </w:tc>
        <w:tc>
          <w:tcPr>
            <w:tcW w:w="1163" w:type="dxa"/>
          </w:tcPr>
          <w:p w14:paraId="4938CE10" w14:textId="77777777" w:rsidR="00425A0C" w:rsidRPr="001035AB" w:rsidRDefault="00425A0C" w:rsidP="00FE5A72">
            <w:pPr>
              <w:jc w:val="right"/>
              <w:rPr>
                <w:rFonts w:cs="Arial"/>
                <w:sz w:val="20"/>
                <w:szCs w:val="20"/>
              </w:rPr>
            </w:pPr>
            <w:r w:rsidRPr="001035AB">
              <w:rPr>
                <w:rFonts w:cs="Arial"/>
                <w:sz w:val="20"/>
                <w:szCs w:val="20"/>
              </w:rPr>
              <w:t>10</w:t>
            </w:r>
            <w:r w:rsidR="00F42F82">
              <w:rPr>
                <w:rFonts w:cs="Arial"/>
                <w:sz w:val="20"/>
                <w:szCs w:val="20"/>
              </w:rPr>
              <w:t xml:space="preserve"> </w:t>
            </w:r>
            <w:r w:rsidRPr="001035AB">
              <w:rPr>
                <w:rFonts w:cs="Arial"/>
                <w:sz w:val="20"/>
                <w:szCs w:val="20"/>
              </w:rPr>
              <w:t>280</w:t>
            </w:r>
          </w:p>
        </w:tc>
        <w:tc>
          <w:tcPr>
            <w:tcW w:w="1163" w:type="dxa"/>
          </w:tcPr>
          <w:p w14:paraId="23461D99" w14:textId="77777777" w:rsidR="00425A0C" w:rsidRPr="001035AB" w:rsidRDefault="00425A0C" w:rsidP="00FE5A72">
            <w:pPr>
              <w:jc w:val="right"/>
              <w:rPr>
                <w:rFonts w:cs="Arial"/>
                <w:sz w:val="20"/>
                <w:szCs w:val="20"/>
              </w:rPr>
            </w:pPr>
            <w:r w:rsidRPr="001035AB">
              <w:rPr>
                <w:rFonts w:cs="Arial"/>
                <w:sz w:val="20"/>
                <w:szCs w:val="20"/>
              </w:rPr>
              <w:t>26.9%</w:t>
            </w:r>
          </w:p>
        </w:tc>
        <w:tc>
          <w:tcPr>
            <w:tcW w:w="1217" w:type="dxa"/>
          </w:tcPr>
          <w:p w14:paraId="53EA2BA1" w14:textId="77777777" w:rsidR="00425A0C" w:rsidRPr="001035AB" w:rsidRDefault="00425A0C" w:rsidP="00FE5A72">
            <w:pPr>
              <w:jc w:val="right"/>
              <w:rPr>
                <w:rFonts w:cs="Arial"/>
                <w:sz w:val="20"/>
                <w:szCs w:val="20"/>
              </w:rPr>
            </w:pPr>
            <w:r w:rsidRPr="001035AB">
              <w:rPr>
                <w:rFonts w:cs="Arial"/>
                <w:sz w:val="20"/>
                <w:szCs w:val="20"/>
              </w:rPr>
              <w:t>$971</w:t>
            </w:r>
            <w:r w:rsidR="00F42F82">
              <w:rPr>
                <w:rFonts w:cs="Arial"/>
                <w:sz w:val="20"/>
                <w:szCs w:val="20"/>
              </w:rPr>
              <w:t xml:space="preserve"> </w:t>
            </w:r>
            <w:r w:rsidRPr="001035AB">
              <w:rPr>
                <w:rFonts w:cs="Arial"/>
                <w:sz w:val="20"/>
                <w:szCs w:val="20"/>
              </w:rPr>
              <w:t>380</w:t>
            </w:r>
          </w:p>
        </w:tc>
      </w:tr>
      <w:tr w:rsidR="007C2A8E" w:rsidRPr="00901139" w14:paraId="37A1B99D" w14:textId="77777777" w:rsidTr="007C4E2B">
        <w:tc>
          <w:tcPr>
            <w:tcW w:w="984" w:type="dxa"/>
          </w:tcPr>
          <w:p w14:paraId="51B4555B" w14:textId="77777777" w:rsidR="00425A0C" w:rsidRPr="00D645C9" w:rsidRDefault="00425A0C" w:rsidP="00FE5A72">
            <w:pPr>
              <w:jc w:val="right"/>
              <w:rPr>
                <w:rFonts w:cs="Arial"/>
                <w:sz w:val="20"/>
                <w:szCs w:val="20"/>
              </w:rPr>
            </w:pPr>
            <w:r w:rsidRPr="00D645C9">
              <w:rPr>
                <w:rFonts w:cs="Arial"/>
                <w:sz w:val="20"/>
                <w:szCs w:val="20"/>
              </w:rPr>
              <w:t>73059</w:t>
            </w:r>
          </w:p>
        </w:tc>
        <w:tc>
          <w:tcPr>
            <w:tcW w:w="3384" w:type="dxa"/>
          </w:tcPr>
          <w:p w14:paraId="0E3B5A28" w14:textId="77777777" w:rsidR="00425A0C" w:rsidRPr="00D645C9" w:rsidRDefault="0099749C" w:rsidP="00425A0C">
            <w:pPr>
              <w:rPr>
                <w:rFonts w:cs="Arial"/>
                <w:sz w:val="20"/>
                <w:szCs w:val="20"/>
              </w:rPr>
            </w:pPr>
            <w:r w:rsidRPr="00D645C9">
              <w:rPr>
                <w:rFonts w:cs="Arial"/>
                <w:sz w:val="20"/>
                <w:szCs w:val="20"/>
                <w:u w:val="single"/>
              </w:rPr>
              <w:t>I</w:t>
            </w:r>
            <w:r w:rsidR="00425A0C" w:rsidRPr="00D645C9">
              <w:rPr>
                <w:rFonts w:cs="Arial"/>
                <w:sz w:val="20"/>
                <w:szCs w:val="20"/>
                <w:u w:val="single"/>
              </w:rPr>
              <w:t>mmunocytochemical</w:t>
            </w:r>
            <w:r w:rsidR="00425A0C" w:rsidRPr="00D645C9">
              <w:rPr>
                <w:rFonts w:cs="Arial"/>
                <w:sz w:val="20"/>
                <w:szCs w:val="20"/>
              </w:rPr>
              <w:t xml:space="preserve"> examination of material obtained by procedures described in items 73045, 73047, 73049, 73051, 73062, 73063, 73066 and 73067 for the characterisation of a malignancy by immunofluorescence, </w:t>
            </w:r>
            <w:proofErr w:type="spellStart"/>
            <w:r w:rsidR="00425A0C" w:rsidRPr="00D645C9">
              <w:rPr>
                <w:rFonts w:cs="Arial"/>
                <w:sz w:val="20"/>
                <w:szCs w:val="20"/>
              </w:rPr>
              <w:t>immunoperoxidase</w:t>
            </w:r>
            <w:proofErr w:type="spellEnd"/>
            <w:r w:rsidR="00425A0C" w:rsidRPr="00D645C9">
              <w:rPr>
                <w:rFonts w:cs="Arial"/>
                <w:sz w:val="20"/>
                <w:szCs w:val="20"/>
              </w:rPr>
              <w:t xml:space="preserve"> or other labelled antibody techniques with multiple antigenic specificities per specimen - 1 to 3 antibodies except those listed in 73061(item is subject to rule 13)</w:t>
            </w:r>
          </w:p>
        </w:tc>
        <w:tc>
          <w:tcPr>
            <w:tcW w:w="1106" w:type="dxa"/>
          </w:tcPr>
          <w:p w14:paraId="15FE58B2" w14:textId="77777777" w:rsidR="00425A0C" w:rsidRPr="00D645C9" w:rsidRDefault="00F42F82" w:rsidP="00FE5A72">
            <w:pPr>
              <w:jc w:val="right"/>
              <w:rPr>
                <w:rFonts w:cs="Arial"/>
                <w:sz w:val="20"/>
                <w:szCs w:val="20"/>
              </w:rPr>
            </w:pPr>
            <w:r w:rsidRPr="00D645C9">
              <w:rPr>
                <w:rFonts w:cs="Arial"/>
                <w:sz w:val="20"/>
                <w:szCs w:val="20"/>
              </w:rPr>
              <w:t>$</w:t>
            </w:r>
            <w:r w:rsidR="00425A0C" w:rsidRPr="00D645C9">
              <w:rPr>
                <w:rFonts w:cs="Arial"/>
                <w:sz w:val="20"/>
                <w:szCs w:val="20"/>
              </w:rPr>
              <w:t>43.00</w:t>
            </w:r>
          </w:p>
        </w:tc>
        <w:tc>
          <w:tcPr>
            <w:tcW w:w="1163" w:type="dxa"/>
          </w:tcPr>
          <w:p w14:paraId="599D65ED" w14:textId="77777777" w:rsidR="00425A0C" w:rsidRPr="00D645C9" w:rsidRDefault="00425A0C" w:rsidP="00FE5A72">
            <w:pPr>
              <w:jc w:val="right"/>
              <w:rPr>
                <w:rFonts w:cs="Arial"/>
                <w:sz w:val="20"/>
                <w:szCs w:val="20"/>
              </w:rPr>
            </w:pPr>
            <w:r w:rsidRPr="00D645C9">
              <w:rPr>
                <w:rFonts w:cs="Arial"/>
                <w:sz w:val="20"/>
                <w:szCs w:val="20"/>
              </w:rPr>
              <w:t>1</w:t>
            </w:r>
            <w:r w:rsidR="00F42F82" w:rsidRPr="00D645C9">
              <w:rPr>
                <w:rFonts w:cs="Arial"/>
                <w:sz w:val="20"/>
                <w:szCs w:val="20"/>
              </w:rPr>
              <w:t xml:space="preserve"> </w:t>
            </w:r>
            <w:r w:rsidRPr="00D645C9">
              <w:rPr>
                <w:rFonts w:cs="Arial"/>
                <w:sz w:val="20"/>
                <w:szCs w:val="20"/>
              </w:rPr>
              <w:t>749</w:t>
            </w:r>
          </w:p>
        </w:tc>
        <w:tc>
          <w:tcPr>
            <w:tcW w:w="1163" w:type="dxa"/>
          </w:tcPr>
          <w:p w14:paraId="065C16F5" w14:textId="77777777" w:rsidR="00425A0C" w:rsidRPr="00D645C9" w:rsidRDefault="00425A0C" w:rsidP="00FE5A72">
            <w:pPr>
              <w:jc w:val="right"/>
              <w:rPr>
                <w:rFonts w:cs="Arial"/>
                <w:sz w:val="20"/>
                <w:szCs w:val="20"/>
              </w:rPr>
            </w:pPr>
            <w:r w:rsidRPr="00D645C9">
              <w:rPr>
                <w:rFonts w:cs="Arial"/>
                <w:sz w:val="20"/>
                <w:szCs w:val="20"/>
              </w:rPr>
              <w:t>12.8%</w:t>
            </w:r>
          </w:p>
        </w:tc>
        <w:tc>
          <w:tcPr>
            <w:tcW w:w="1217" w:type="dxa"/>
          </w:tcPr>
          <w:p w14:paraId="15E97106" w14:textId="77777777" w:rsidR="00425A0C" w:rsidRPr="00D645C9" w:rsidRDefault="00425A0C" w:rsidP="00FE5A72">
            <w:pPr>
              <w:jc w:val="right"/>
              <w:rPr>
                <w:rFonts w:cs="Arial"/>
                <w:sz w:val="20"/>
                <w:szCs w:val="20"/>
              </w:rPr>
            </w:pPr>
            <w:r w:rsidRPr="00D645C9">
              <w:rPr>
                <w:rFonts w:cs="Arial"/>
                <w:sz w:val="20"/>
                <w:szCs w:val="20"/>
              </w:rPr>
              <w:t>$62</w:t>
            </w:r>
            <w:r w:rsidR="00F42F82" w:rsidRPr="00D645C9">
              <w:rPr>
                <w:rFonts w:cs="Arial"/>
                <w:sz w:val="20"/>
                <w:szCs w:val="20"/>
              </w:rPr>
              <w:t xml:space="preserve"> </w:t>
            </w:r>
            <w:r w:rsidRPr="00D645C9">
              <w:rPr>
                <w:rFonts w:cs="Arial"/>
                <w:sz w:val="20"/>
                <w:szCs w:val="20"/>
              </w:rPr>
              <w:t>372</w:t>
            </w:r>
          </w:p>
        </w:tc>
      </w:tr>
      <w:tr w:rsidR="007C2A8E" w:rsidRPr="00901139" w14:paraId="3A6AE6F0" w14:textId="77777777" w:rsidTr="007C4E2B">
        <w:tc>
          <w:tcPr>
            <w:tcW w:w="984" w:type="dxa"/>
          </w:tcPr>
          <w:p w14:paraId="525A8BFC" w14:textId="77777777" w:rsidR="00425A0C" w:rsidRPr="00D645C9" w:rsidRDefault="00425A0C" w:rsidP="00FE5A72">
            <w:pPr>
              <w:jc w:val="right"/>
              <w:rPr>
                <w:rFonts w:cs="Arial"/>
                <w:sz w:val="20"/>
                <w:szCs w:val="20"/>
              </w:rPr>
            </w:pPr>
            <w:r w:rsidRPr="00D645C9">
              <w:rPr>
                <w:rFonts w:cs="Arial"/>
                <w:sz w:val="20"/>
                <w:szCs w:val="20"/>
              </w:rPr>
              <w:t>73060</w:t>
            </w:r>
          </w:p>
        </w:tc>
        <w:tc>
          <w:tcPr>
            <w:tcW w:w="3384" w:type="dxa"/>
          </w:tcPr>
          <w:p w14:paraId="76B9151D" w14:textId="77777777" w:rsidR="00425A0C" w:rsidRPr="00D645C9" w:rsidRDefault="0099749C" w:rsidP="00425A0C">
            <w:pPr>
              <w:rPr>
                <w:rFonts w:cs="Arial"/>
                <w:sz w:val="20"/>
                <w:szCs w:val="20"/>
              </w:rPr>
            </w:pPr>
            <w:r w:rsidRPr="00D645C9">
              <w:rPr>
                <w:rFonts w:cs="Arial"/>
                <w:sz w:val="20"/>
                <w:szCs w:val="20"/>
              </w:rPr>
              <w:t>[ditto]</w:t>
            </w:r>
            <w:r w:rsidR="00425A0C" w:rsidRPr="00D645C9">
              <w:rPr>
                <w:rFonts w:cs="Arial"/>
                <w:sz w:val="20"/>
                <w:szCs w:val="20"/>
              </w:rPr>
              <w:t xml:space="preserve"> - 4 to 6</w:t>
            </w:r>
            <w:r w:rsidR="00E11BC0" w:rsidRPr="00D645C9">
              <w:rPr>
                <w:rFonts w:cs="Arial"/>
                <w:sz w:val="20"/>
                <w:szCs w:val="20"/>
              </w:rPr>
              <w:t xml:space="preserve"> </w:t>
            </w:r>
            <w:proofErr w:type="gramStart"/>
            <w:r w:rsidR="00425A0C" w:rsidRPr="00D645C9">
              <w:rPr>
                <w:rFonts w:cs="Arial"/>
                <w:sz w:val="20"/>
                <w:szCs w:val="20"/>
              </w:rPr>
              <w:t>antibodies(</w:t>
            </w:r>
            <w:proofErr w:type="gramEnd"/>
            <w:r w:rsidR="00425A0C" w:rsidRPr="00D645C9">
              <w:rPr>
                <w:rFonts w:cs="Arial"/>
                <w:sz w:val="20"/>
                <w:szCs w:val="20"/>
              </w:rPr>
              <w:t>item is subject to rule 13)</w:t>
            </w:r>
          </w:p>
        </w:tc>
        <w:tc>
          <w:tcPr>
            <w:tcW w:w="1106" w:type="dxa"/>
          </w:tcPr>
          <w:p w14:paraId="356C002F" w14:textId="77777777" w:rsidR="00425A0C" w:rsidRPr="00D645C9" w:rsidRDefault="00F42F82" w:rsidP="00FE5A72">
            <w:pPr>
              <w:jc w:val="right"/>
              <w:rPr>
                <w:rFonts w:cs="Arial"/>
                <w:sz w:val="20"/>
                <w:szCs w:val="20"/>
              </w:rPr>
            </w:pPr>
            <w:r w:rsidRPr="00D645C9">
              <w:rPr>
                <w:rFonts w:cs="Arial"/>
                <w:sz w:val="20"/>
                <w:szCs w:val="20"/>
              </w:rPr>
              <w:t>$</w:t>
            </w:r>
            <w:r w:rsidR="00425A0C" w:rsidRPr="00D645C9">
              <w:rPr>
                <w:rFonts w:cs="Arial"/>
                <w:sz w:val="20"/>
                <w:szCs w:val="20"/>
              </w:rPr>
              <w:t>57.35</w:t>
            </w:r>
          </w:p>
        </w:tc>
        <w:tc>
          <w:tcPr>
            <w:tcW w:w="1163" w:type="dxa"/>
          </w:tcPr>
          <w:p w14:paraId="0B4FCE4A" w14:textId="77777777" w:rsidR="00425A0C" w:rsidRPr="00D645C9" w:rsidRDefault="00425A0C" w:rsidP="00FE5A72">
            <w:pPr>
              <w:jc w:val="right"/>
              <w:rPr>
                <w:rFonts w:cs="Arial"/>
                <w:sz w:val="20"/>
                <w:szCs w:val="20"/>
              </w:rPr>
            </w:pPr>
            <w:r w:rsidRPr="00D645C9">
              <w:rPr>
                <w:rFonts w:cs="Arial"/>
                <w:sz w:val="20"/>
                <w:szCs w:val="20"/>
              </w:rPr>
              <w:t>2</w:t>
            </w:r>
            <w:r w:rsidR="00F42F82" w:rsidRPr="00D645C9">
              <w:rPr>
                <w:rFonts w:cs="Arial"/>
                <w:sz w:val="20"/>
                <w:szCs w:val="20"/>
              </w:rPr>
              <w:t xml:space="preserve"> </w:t>
            </w:r>
            <w:r w:rsidRPr="00D645C9">
              <w:rPr>
                <w:rFonts w:cs="Arial"/>
                <w:sz w:val="20"/>
                <w:szCs w:val="20"/>
              </w:rPr>
              <w:t>175</w:t>
            </w:r>
          </w:p>
        </w:tc>
        <w:tc>
          <w:tcPr>
            <w:tcW w:w="1163" w:type="dxa"/>
          </w:tcPr>
          <w:p w14:paraId="0FA99DBD" w14:textId="77777777" w:rsidR="00425A0C" w:rsidRPr="00D645C9" w:rsidRDefault="00425A0C" w:rsidP="00FE5A72">
            <w:pPr>
              <w:jc w:val="right"/>
              <w:rPr>
                <w:rFonts w:cs="Arial"/>
                <w:sz w:val="20"/>
                <w:szCs w:val="20"/>
              </w:rPr>
            </w:pPr>
            <w:r w:rsidRPr="00D645C9">
              <w:rPr>
                <w:rFonts w:cs="Arial"/>
                <w:sz w:val="20"/>
                <w:szCs w:val="20"/>
              </w:rPr>
              <w:t>9.6%</w:t>
            </w:r>
          </w:p>
        </w:tc>
        <w:tc>
          <w:tcPr>
            <w:tcW w:w="1217" w:type="dxa"/>
          </w:tcPr>
          <w:p w14:paraId="79151F9E" w14:textId="77777777" w:rsidR="00425A0C" w:rsidRPr="00D645C9" w:rsidRDefault="00425A0C" w:rsidP="00FE5A72">
            <w:pPr>
              <w:jc w:val="right"/>
              <w:rPr>
                <w:rFonts w:cs="Arial"/>
                <w:sz w:val="20"/>
                <w:szCs w:val="20"/>
              </w:rPr>
            </w:pPr>
            <w:r w:rsidRPr="00D645C9">
              <w:rPr>
                <w:rFonts w:cs="Arial"/>
                <w:sz w:val="20"/>
                <w:szCs w:val="20"/>
              </w:rPr>
              <w:t>$101</w:t>
            </w:r>
            <w:r w:rsidR="00F42F82" w:rsidRPr="00D645C9">
              <w:rPr>
                <w:rFonts w:cs="Arial"/>
                <w:sz w:val="20"/>
                <w:szCs w:val="20"/>
              </w:rPr>
              <w:t xml:space="preserve"> </w:t>
            </w:r>
            <w:r w:rsidRPr="00D645C9">
              <w:rPr>
                <w:rFonts w:cs="Arial"/>
                <w:sz w:val="20"/>
                <w:szCs w:val="20"/>
              </w:rPr>
              <w:t>355</w:t>
            </w:r>
          </w:p>
        </w:tc>
      </w:tr>
      <w:tr w:rsidR="007C2A8E" w:rsidRPr="00901139" w14:paraId="3F38CD45" w14:textId="77777777" w:rsidTr="007C4E2B">
        <w:tc>
          <w:tcPr>
            <w:tcW w:w="984" w:type="dxa"/>
          </w:tcPr>
          <w:p w14:paraId="322A4674" w14:textId="77777777" w:rsidR="00425A0C" w:rsidRPr="00D645C9" w:rsidRDefault="00425A0C" w:rsidP="00FE5A72">
            <w:pPr>
              <w:jc w:val="right"/>
              <w:rPr>
                <w:rFonts w:cs="Arial"/>
                <w:sz w:val="20"/>
                <w:szCs w:val="20"/>
              </w:rPr>
            </w:pPr>
            <w:r w:rsidRPr="00D645C9">
              <w:rPr>
                <w:rFonts w:cs="Arial"/>
                <w:sz w:val="20"/>
                <w:szCs w:val="20"/>
              </w:rPr>
              <w:t>73064</w:t>
            </w:r>
          </w:p>
        </w:tc>
        <w:tc>
          <w:tcPr>
            <w:tcW w:w="3384" w:type="dxa"/>
          </w:tcPr>
          <w:p w14:paraId="1ADD8BA3" w14:textId="77777777" w:rsidR="00425A0C" w:rsidRPr="00D645C9" w:rsidRDefault="00634F21" w:rsidP="00425A0C">
            <w:pPr>
              <w:rPr>
                <w:rFonts w:cs="Arial"/>
                <w:sz w:val="20"/>
                <w:szCs w:val="20"/>
              </w:rPr>
            </w:pPr>
            <w:r w:rsidRPr="00D645C9">
              <w:rPr>
                <w:rFonts w:cs="Arial"/>
                <w:sz w:val="20"/>
                <w:szCs w:val="20"/>
              </w:rPr>
              <w:t>[ditto]</w:t>
            </w:r>
            <w:r w:rsidR="00425A0C" w:rsidRPr="00D645C9">
              <w:rPr>
                <w:rFonts w:cs="Arial"/>
                <w:sz w:val="20"/>
                <w:szCs w:val="20"/>
              </w:rPr>
              <w:t xml:space="preserve"> – 7 to 10 antibodies (item is subject to rule 13)</w:t>
            </w:r>
          </w:p>
        </w:tc>
        <w:tc>
          <w:tcPr>
            <w:tcW w:w="1106" w:type="dxa"/>
          </w:tcPr>
          <w:p w14:paraId="4042A83C" w14:textId="77777777" w:rsidR="00425A0C" w:rsidRPr="00D645C9" w:rsidRDefault="00F42F82" w:rsidP="00FE5A72">
            <w:pPr>
              <w:jc w:val="right"/>
              <w:rPr>
                <w:rFonts w:cs="Arial"/>
                <w:sz w:val="20"/>
                <w:szCs w:val="20"/>
              </w:rPr>
            </w:pPr>
            <w:r w:rsidRPr="00D645C9">
              <w:rPr>
                <w:rFonts w:cs="Arial"/>
                <w:sz w:val="20"/>
                <w:szCs w:val="20"/>
              </w:rPr>
              <w:t>$</w:t>
            </w:r>
            <w:r w:rsidR="00425A0C" w:rsidRPr="00D645C9">
              <w:rPr>
                <w:rFonts w:cs="Arial"/>
                <w:sz w:val="20"/>
                <w:szCs w:val="20"/>
              </w:rPr>
              <w:t>71.70</w:t>
            </w:r>
          </w:p>
        </w:tc>
        <w:tc>
          <w:tcPr>
            <w:tcW w:w="1163" w:type="dxa"/>
          </w:tcPr>
          <w:p w14:paraId="583CCC3A" w14:textId="77777777" w:rsidR="00425A0C" w:rsidRPr="00D645C9" w:rsidRDefault="00425A0C" w:rsidP="00FE5A72">
            <w:pPr>
              <w:jc w:val="right"/>
              <w:rPr>
                <w:rFonts w:cs="Arial"/>
                <w:sz w:val="20"/>
                <w:szCs w:val="20"/>
              </w:rPr>
            </w:pPr>
            <w:r w:rsidRPr="00D645C9">
              <w:rPr>
                <w:rFonts w:cs="Arial"/>
                <w:sz w:val="20"/>
                <w:szCs w:val="20"/>
              </w:rPr>
              <w:t>1</w:t>
            </w:r>
            <w:r w:rsidR="00F42F82" w:rsidRPr="00D645C9">
              <w:rPr>
                <w:rFonts w:cs="Arial"/>
                <w:sz w:val="20"/>
                <w:szCs w:val="20"/>
              </w:rPr>
              <w:t xml:space="preserve"> </w:t>
            </w:r>
            <w:r w:rsidRPr="00D645C9">
              <w:rPr>
                <w:rFonts w:cs="Arial"/>
                <w:sz w:val="20"/>
                <w:szCs w:val="20"/>
              </w:rPr>
              <w:t>278</w:t>
            </w:r>
          </w:p>
        </w:tc>
        <w:tc>
          <w:tcPr>
            <w:tcW w:w="1163" w:type="dxa"/>
          </w:tcPr>
          <w:p w14:paraId="2F73C362" w14:textId="77777777" w:rsidR="00425A0C" w:rsidRPr="00D645C9" w:rsidRDefault="00425A0C" w:rsidP="00FE5A72">
            <w:pPr>
              <w:jc w:val="right"/>
              <w:rPr>
                <w:rFonts w:cs="Arial"/>
                <w:sz w:val="20"/>
                <w:szCs w:val="20"/>
              </w:rPr>
            </w:pPr>
            <w:r w:rsidRPr="00D645C9">
              <w:rPr>
                <w:rFonts w:cs="Arial"/>
                <w:sz w:val="20"/>
                <w:szCs w:val="20"/>
              </w:rPr>
              <w:t>16.9%</w:t>
            </w:r>
          </w:p>
        </w:tc>
        <w:tc>
          <w:tcPr>
            <w:tcW w:w="1217" w:type="dxa"/>
          </w:tcPr>
          <w:p w14:paraId="071B592D" w14:textId="77777777" w:rsidR="00425A0C" w:rsidRPr="00D645C9" w:rsidRDefault="00425A0C" w:rsidP="00FE5A72">
            <w:pPr>
              <w:jc w:val="right"/>
              <w:rPr>
                <w:rFonts w:cs="Arial"/>
                <w:sz w:val="20"/>
                <w:szCs w:val="20"/>
              </w:rPr>
            </w:pPr>
            <w:r w:rsidRPr="00D645C9">
              <w:rPr>
                <w:rFonts w:cs="Arial"/>
                <w:sz w:val="20"/>
                <w:szCs w:val="20"/>
              </w:rPr>
              <w:t>$74</w:t>
            </w:r>
            <w:r w:rsidR="00F42F82" w:rsidRPr="00D645C9">
              <w:rPr>
                <w:rFonts w:cs="Arial"/>
                <w:sz w:val="20"/>
                <w:szCs w:val="20"/>
              </w:rPr>
              <w:t xml:space="preserve"> </w:t>
            </w:r>
            <w:r w:rsidRPr="00D645C9">
              <w:rPr>
                <w:rFonts w:cs="Arial"/>
                <w:sz w:val="20"/>
                <w:szCs w:val="20"/>
              </w:rPr>
              <w:t>692</w:t>
            </w:r>
          </w:p>
        </w:tc>
      </w:tr>
      <w:tr w:rsidR="007C2A8E" w:rsidRPr="00901139" w14:paraId="7353A01F" w14:textId="77777777" w:rsidTr="007C4E2B">
        <w:tc>
          <w:tcPr>
            <w:tcW w:w="984" w:type="dxa"/>
          </w:tcPr>
          <w:p w14:paraId="01279335" w14:textId="77777777" w:rsidR="00425A0C" w:rsidRPr="00D645C9" w:rsidRDefault="00425A0C" w:rsidP="00FE5A72">
            <w:pPr>
              <w:jc w:val="right"/>
              <w:rPr>
                <w:rFonts w:cs="Arial"/>
                <w:sz w:val="20"/>
                <w:szCs w:val="20"/>
              </w:rPr>
            </w:pPr>
            <w:r w:rsidRPr="00D645C9">
              <w:rPr>
                <w:rFonts w:cs="Arial"/>
                <w:sz w:val="20"/>
                <w:szCs w:val="20"/>
              </w:rPr>
              <w:t>73065</w:t>
            </w:r>
          </w:p>
        </w:tc>
        <w:tc>
          <w:tcPr>
            <w:tcW w:w="3384" w:type="dxa"/>
          </w:tcPr>
          <w:p w14:paraId="66470223" w14:textId="77777777" w:rsidR="00425A0C" w:rsidRPr="00D645C9" w:rsidRDefault="00634F21" w:rsidP="00425A0C">
            <w:pPr>
              <w:rPr>
                <w:rFonts w:cs="Arial"/>
                <w:sz w:val="20"/>
                <w:szCs w:val="20"/>
              </w:rPr>
            </w:pPr>
            <w:r w:rsidRPr="00D645C9">
              <w:rPr>
                <w:rFonts w:cs="Arial"/>
                <w:sz w:val="20"/>
                <w:szCs w:val="20"/>
              </w:rPr>
              <w:t>[ditto]</w:t>
            </w:r>
            <w:r w:rsidR="00425A0C" w:rsidRPr="00D645C9">
              <w:rPr>
                <w:rFonts w:cs="Arial"/>
                <w:sz w:val="20"/>
                <w:szCs w:val="20"/>
              </w:rPr>
              <w:t xml:space="preserve"> - 11 or more antibodies (item is subject to rule 13)</w:t>
            </w:r>
          </w:p>
        </w:tc>
        <w:tc>
          <w:tcPr>
            <w:tcW w:w="1106" w:type="dxa"/>
          </w:tcPr>
          <w:p w14:paraId="4D29E729" w14:textId="77777777" w:rsidR="00425A0C" w:rsidRPr="00D645C9" w:rsidRDefault="00F42F82" w:rsidP="00FE5A72">
            <w:pPr>
              <w:jc w:val="right"/>
              <w:rPr>
                <w:rFonts w:cs="Arial"/>
                <w:sz w:val="20"/>
                <w:szCs w:val="20"/>
              </w:rPr>
            </w:pPr>
            <w:r w:rsidRPr="00D645C9">
              <w:rPr>
                <w:rFonts w:cs="Arial"/>
                <w:sz w:val="20"/>
                <w:szCs w:val="20"/>
              </w:rPr>
              <w:t>$</w:t>
            </w:r>
            <w:r w:rsidR="00425A0C" w:rsidRPr="00D645C9">
              <w:rPr>
                <w:rFonts w:cs="Arial"/>
                <w:sz w:val="20"/>
                <w:szCs w:val="20"/>
              </w:rPr>
              <w:t>86.00</w:t>
            </w:r>
          </w:p>
        </w:tc>
        <w:tc>
          <w:tcPr>
            <w:tcW w:w="1163" w:type="dxa"/>
          </w:tcPr>
          <w:p w14:paraId="5B95EB28" w14:textId="77777777" w:rsidR="00425A0C" w:rsidRPr="00D645C9" w:rsidRDefault="00425A0C" w:rsidP="00FE5A72">
            <w:pPr>
              <w:jc w:val="right"/>
              <w:rPr>
                <w:rFonts w:cs="Arial"/>
                <w:sz w:val="20"/>
                <w:szCs w:val="20"/>
              </w:rPr>
            </w:pPr>
            <w:r w:rsidRPr="00D645C9">
              <w:rPr>
                <w:rFonts w:cs="Arial"/>
                <w:sz w:val="20"/>
                <w:szCs w:val="20"/>
              </w:rPr>
              <w:t>616</w:t>
            </w:r>
          </w:p>
        </w:tc>
        <w:tc>
          <w:tcPr>
            <w:tcW w:w="1163" w:type="dxa"/>
          </w:tcPr>
          <w:p w14:paraId="216B4084" w14:textId="77777777" w:rsidR="00425A0C" w:rsidRPr="00D645C9" w:rsidRDefault="00425A0C" w:rsidP="00FE5A72">
            <w:pPr>
              <w:jc w:val="right"/>
              <w:rPr>
                <w:rFonts w:cs="Arial"/>
                <w:sz w:val="20"/>
                <w:szCs w:val="20"/>
              </w:rPr>
            </w:pPr>
            <w:r w:rsidRPr="00D645C9">
              <w:rPr>
                <w:rFonts w:cs="Arial"/>
                <w:sz w:val="20"/>
                <w:szCs w:val="20"/>
              </w:rPr>
              <w:t>24.4%</w:t>
            </w:r>
          </w:p>
        </w:tc>
        <w:tc>
          <w:tcPr>
            <w:tcW w:w="1217" w:type="dxa"/>
          </w:tcPr>
          <w:p w14:paraId="2A96B968" w14:textId="77777777" w:rsidR="00425A0C" w:rsidRPr="00D645C9" w:rsidRDefault="00425A0C" w:rsidP="00FE5A72">
            <w:pPr>
              <w:jc w:val="right"/>
              <w:rPr>
                <w:rFonts w:cs="Arial"/>
                <w:sz w:val="20"/>
                <w:szCs w:val="20"/>
              </w:rPr>
            </w:pPr>
            <w:r w:rsidRPr="00D645C9">
              <w:rPr>
                <w:rFonts w:cs="Arial"/>
                <w:sz w:val="20"/>
                <w:szCs w:val="20"/>
              </w:rPr>
              <w:t>$43</w:t>
            </w:r>
            <w:r w:rsidR="00F42F82" w:rsidRPr="00D645C9">
              <w:rPr>
                <w:rFonts w:cs="Arial"/>
                <w:sz w:val="20"/>
                <w:szCs w:val="20"/>
              </w:rPr>
              <w:t xml:space="preserve"> </w:t>
            </w:r>
            <w:r w:rsidRPr="00D645C9">
              <w:rPr>
                <w:rFonts w:cs="Arial"/>
                <w:sz w:val="20"/>
                <w:szCs w:val="20"/>
              </w:rPr>
              <w:t>069</w:t>
            </w:r>
          </w:p>
        </w:tc>
      </w:tr>
    </w:tbl>
    <w:p w14:paraId="6A32C131" w14:textId="77777777" w:rsidR="0099749C" w:rsidRPr="005413F6" w:rsidRDefault="00F42F82">
      <w:pPr>
        <w:pStyle w:val="Caption"/>
        <w:rPr>
          <w:lang w:val="en-US"/>
        </w:rPr>
      </w:pPr>
      <w:bookmarkStart w:id="72" w:name="_Toc482213838"/>
      <w:bookmarkStart w:id="73" w:name="_Toc477257724"/>
      <w:r>
        <w:t>Table</w:t>
      </w:r>
      <w:r w:rsidR="000E5E9A">
        <w:t xml:space="preserve"> 11</w:t>
      </w:r>
      <w:r>
        <w:t xml:space="preserve">. </w:t>
      </w:r>
      <w:r w:rsidRPr="00646683">
        <w:t>Item comparison table for item 72848 (Histology) vs 73061 (Cytology)</w:t>
      </w:r>
      <w:bookmarkEnd w:id="72"/>
      <w:r w:rsidR="00792D34" w:rsidRPr="005413F6">
        <w:rPr>
          <w:lang w:val="en-US"/>
        </w:rPr>
        <w:t xml:space="preserve"> </w:t>
      </w:r>
    </w:p>
    <w:tbl>
      <w:tblPr>
        <w:tblStyle w:val="TableGrid9"/>
        <w:tblW w:w="0" w:type="auto"/>
        <w:tblLook w:val="04A0" w:firstRow="1" w:lastRow="0" w:firstColumn="1" w:lastColumn="0" w:noHBand="0" w:noVBand="1"/>
      </w:tblPr>
      <w:tblGrid>
        <w:gridCol w:w="978"/>
        <w:gridCol w:w="3304"/>
        <w:gridCol w:w="1098"/>
        <w:gridCol w:w="1155"/>
        <w:gridCol w:w="1155"/>
        <w:gridCol w:w="1206"/>
      </w:tblGrid>
      <w:tr w:rsidR="00F42F82" w:rsidRPr="001035AB" w14:paraId="453618DC" w14:textId="77777777" w:rsidTr="00774742">
        <w:tc>
          <w:tcPr>
            <w:tcW w:w="984" w:type="dxa"/>
            <w:shd w:val="clear" w:color="auto" w:fill="EEECE1" w:themeFill="background2"/>
            <w:vAlign w:val="bottom"/>
          </w:tcPr>
          <w:p w14:paraId="382A5F6D" w14:textId="77777777" w:rsidR="00F42F82" w:rsidRPr="00FE5A72" w:rsidRDefault="00F42F82" w:rsidP="00FE5A72">
            <w:pPr>
              <w:spacing w:before="20" w:after="20"/>
              <w:rPr>
                <w:rFonts w:cs="Arial"/>
                <w:b/>
                <w:sz w:val="20"/>
                <w:szCs w:val="20"/>
              </w:rPr>
            </w:pPr>
            <w:r w:rsidRPr="001035AB">
              <w:rPr>
                <w:rFonts w:cs="Arial"/>
                <w:b/>
                <w:sz w:val="20"/>
                <w:szCs w:val="20"/>
              </w:rPr>
              <w:t>Item number</w:t>
            </w:r>
          </w:p>
        </w:tc>
        <w:tc>
          <w:tcPr>
            <w:tcW w:w="3384" w:type="dxa"/>
            <w:shd w:val="clear" w:color="auto" w:fill="EEECE1" w:themeFill="background2"/>
            <w:vAlign w:val="bottom"/>
          </w:tcPr>
          <w:p w14:paraId="4C9B9E48" w14:textId="77777777" w:rsidR="00F42F82" w:rsidRPr="00FE5A72" w:rsidRDefault="00F42F82" w:rsidP="00FE5A72">
            <w:pPr>
              <w:spacing w:before="20" w:after="20"/>
              <w:rPr>
                <w:rFonts w:cs="Arial"/>
                <w:b/>
                <w:sz w:val="20"/>
                <w:szCs w:val="20"/>
              </w:rPr>
            </w:pPr>
            <w:r w:rsidRPr="001035AB">
              <w:rPr>
                <w:rFonts w:cs="Arial"/>
                <w:b/>
                <w:sz w:val="20"/>
                <w:szCs w:val="20"/>
              </w:rPr>
              <w:t>Descriptor</w:t>
            </w:r>
          </w:p>
        </w:tc>
        <w:tc>
          <w:tcPr>
            <w:tcW w:w="1106" w:type="dxa"/>
            <w:shd w:val="clear" w:color="auto" w:fill="EEECE1" w:themeFill="background2"/>
            <w:vAlign w:val="bottom"/>
          </w:tcPr>
          <w:p w14:paraId="09140727" w14:textId="77777777" w:rsidR="00F42F82" w:rsidRPr="00FE5A72" w:rsidRDefault="00F42F82" w:rsidP="00FE5A72">
            <w:pPr>
              <w:spacing w:before="20" w:after="20"/>
              <w:rPr>
                <w:rFonts w:cs="Arial"/>
                <w:b/>
                <w:sz w:val="20"/>
                <w:szCs w:val="20"/>
              </w:rPr>
            </w:pPr>
            <w:r w:rsidRPr="001035AB">
              <w:rPr>
                <w:rFonts w:cs="Arial"/>
                <w:b/>
                <w:sz w:val="20"/>
                <w:szCs w:val="20"/>
              </w:rPr>
              <w:t>Schedule fee</w:t>
            </w:r>
          </w:p>
        </w:tc>
        <w:tc>
          <w:tcPr>
            <w:tcW w:w="1163" w:type="dxa"/>
            <w:shd w:val="clear" w:color="auto" w:fill="EEECE1" w:themeFill="background2"/>
            <w:vAlign w:val="bottom"/>
          </w:tcPr>
          <w:p w14:paraId="60631239" w14:textId="77777777" w:rsidR="00F42F82" w:rsidRPr="00FE5A72" w:rsidRDefault="00F42F82" w:rsidP="00FE5A72">
            <w:pPr>
              <w:spacing w:before="20" w:after="20"/>
              <w:rPr>
                <w:rFonts w:cs="Arial"/>
                <w:b/>
                <w:sz w:val="20"/>
                <w:szCs w:val="20"/>
              </w:rPr>
            </w:pPr>
            <w:r w:rsidRPr="001035AB">
              <w:rPr>
                <w:rFonts w:cs="Arial"/>
                <w:b/>
                <w:sz w:val="20"/>
                <w:szCs w:val="20"/>
              </w:rPr>
              <w:t>Volume of services (2015/16)</w:t>
            </w:r>
          </w:p>
        </w:tc>
        <w:tc>
          <w:tcPr>
            <w:tcW w:w="1163" w:type="dxa"/>
            <w:shd w:val="clear" w:color="auto" w:fill="EEECE1" w:themeFill="background2"/>
            <w:vAlign w:val="bottom"/>
          </w:tcPr>
          <w:p w14:paraId="53BEF13E" w14:textId="77777777" w:rsidR="00F42F82" w:rsidRPr="00FE5A72" w:rsidDel="00F42F82" w:rsidRDefault="00F42F82" w:rsidP="00FE5A72">
            <w:pPr>
              <w:spacing w:before="20" w:after="20"/>
              <w:rPr>
                <w:rFonts w:cs="Arial"/>
                <w:b/>
                <w:sz w:val="20"/>
                <w:szCs w:val="20"/>
              </w:rPr>
            </w:pPr>
            <w:r w:rsidRPr="001035AB">
              <w:rPr>
                <w:rFonts w:cs="Arial"/>
                <w:b/>
                <w:sz w:val="20"/>
                <w:szCs w:val="20"/>
              </w:rPr>
              <w:t xml:space="preserve">Services average annual growth (2010/11-2015/16) </w:t>
            </w:r>
          </w:p>
        </w:tc>
        <w:tc>
          <w:tcPr>
            <w:tcW w:w="1217" w:type="dxa"/>
            <w:shd w:val="clear" w:color="auto" w:fill="EEECE1" w:themeFill="background2"/>
            <w:vAlign w:val="bottom"/>
          </w:tcPr>
          <w:p w14:paraId="5F39BDE0" w14:textId="77777777" w:rsidR="00F42F82" w:rsidRPr="00FE5A72" w:rsidRDefault="00F42F82" w:rsidP="00FE5A72">
            <w:pPr>
              <w:spacing w:before="20" w:after="20"/>
              <w:rPr>
                <w:rFonts w:cs="Arial"/>
                <w:b/>
                <w:sz w:val="20"/>
                <w:szCs w:val="20"/>
              </w:rPr>
            </w:pPr>
            <w:r w:rsidRPr="001035AB">
              <w:rPr>
                <w:rFonts w:cs="Arial"/>
                <w:b/>
                <w:sz w:val="20"/>
                <w:szCs w:val="20"/>
              </w:rPr>
              <w:t>Benefits (2015/16)</w:t>
            </w:r>
          </w:p>
        </w:tc>
      </w:tr>
      <w:tr w:rsidR="0099749C" w:rsidRPr="001035AB" w14:paraId="44C7BA72" w14:textId="77777777" w:rsidTr="005668FD">
        <w:tc>
          <w:tcPr>
            <w:tcW w:w="984" w:type="dxa"/>
          </w:tcPr>
          <w:p w14:paraId="47648BA2" w14:textId="77777777" w:rsidR="0099749C" w:rsidRPr="001035AB" w:rsidRDefault="0099749C" w:rsidP="00FE5A72">
            <w:pPr>
              <w:jc w:val="right"/>
              <w:rPr>
                <w:rFonts w:cs="Arial"/>
                <w:sz w:val="20"/>
                <w:szCs w:val="20"/>
              </w:rPr>
            </w:pPr>
            <w:r w:rsidRPr="001035AB">
              <w:rPr>
                <w:rFonts w:cs="Arial"/>
                <w:sz w:val="20"/>
                <w:szCs w:val="20"/>
              </w:rPr>
              <w:lastRenderedPageBreak/>
              <w:t>72848</w:t>
            </w:r>
          </w:p>
        </w:tc>
        <w:tc>
          <w:tcPr>
            <w:tcW w:w="3384" w:type="dxa"/>
          </w:tcPr>
          <w:p w14:paraId="774DAC47" w14:textId="77777777" w:rsidR="0099749C" w:rsidRPr="001035AB" w:rsidRDefault="0099749C" w:rsidP="005668FD">
            <w:pPr>
              <w:rPr>
                <w:rFonts w:cs="Arial"/>
                <w:sz w:val="20"/>
                <w:szCs w:val="20"/>
              </w:rPr>
            </w:pPr>
            <w:r w:rsidRPr="001035AB">
              <w:rPr>
                <w:rFonts w:cs="Arial"/>
                <w:sz w:val="20"/>
                <w:szCs w:val="20"/>
              </w:rPr>
              <w:t xml:space="preserve">Immunohistochemical examination of biopsy material by immunofluorescence, </w:t>
            </w:r>
            <w:proofErr w:type="spellStart"/>
            <w:r w:rsidRPr="001035AB">
              <w:rPr>
                <w:rFonts w:cs="Arial"/>
                <w:sz w:val="20"/>
                <w:szCs w:val="20"/>
              </w:rPr>
              <w:t>immunoperoxidase</w:t>
            </w:r>
            <w:proofErr w:type="spellEnd"/>
            <w:r w:rsidRPr="001035AB">
              <w:rPr>
                <w:rFonts w:cs="Arial"/>
                <w:sz w:val="20"/>
                <w:szCs w:val="20"/>
              </w:rPr>
              <w:t xml:space="preserve"> or other labelled antibody techniques with multiple antigenic specificities per specimen - 1 to 3 of the following antibodies - oestrogen, progesterone and c-erb-b2 (</w:t>
            </w:r>
            <w:r w:rsidR="004568D8">
              <w:rPr>
                <w:rFonts w:cs="Arial"/>
                <w:sz w:val="20"/>
                <w:szCs w:val="20"/>
              </w:rPr>
              <w:t>H</w:t>
            </w:r>
            <w:r w:rsidRPr="001035AB">
              <w:rPr>
                <w:rFonts w:cs="Arial"/>
                <w:sz w:val="20"/>
                <w:szCs w:val="20"/>
              </w:rPr>
              <w:t>er2) (Item is subject to rule 13)"</w:t>
            </w:r>
          </w:p>
        </w:tc>
        <w:tc>
          <w:tcPr>
            <w:tcW w:w="1106" w:type="dxa"/>
          </w:tcPr>
          <w:p w14:paraId="79D7053E" w14:textId="77777777" w:rsidR="0099749C" w:rsidRPr="001035AB" w:rsidRDefault="0099749C" w:rsidP="00FE5A72">
            <w:pPr>
              <w:jc w:val="right"/>
              <w:rPr>
                <w:rFonts w:cs="Arial"/>
                <w:sz w:val="20"/>
                <w:szCs w:val="20"/>
              </w:rPr>
            </w:pPr>
            <w:r w:rsidRPr="001035AB">
              <w:rPr>
                <w:rFonts w:cs="Arial"/>
                <w:sz w:val="20"/>
                <w:szCs w:val="20"/>
              </w:rPr>
              <w:t>74.50</w:t>
            </w:r>
          </w:p>
        </w:tc>
        <w:tc>
          <w:tcPr>
            <w:tcW w:w="1163" w:type="dxa"/>
          </w:tcPr>
          <w:p w14:paraId="48F119A1" w14:textId="77777777" w:rsidR="0099749C" w:rsidRPr="001035AB" w:rsidRDefault="0099749C" w:rsidP="00FE5A72">
            <w:pPr>
              <w:jc w:val="right"/>
              <w:rPr>
                <w:rFonts w:cs="Arial"/>
                <w:sz w:val="20"/>
                <w:szCs w:val="20"/>
              </w:rPr>
            </w:pPr>
            <w:r w:rsidRPr="001035AB">
              <w:rPr>
                <w:rFonts w:cs="Arial"/>
                <w:sz w:val="20"/>
                <w:szCs w:val="20"/>
              </w:rPr>
              <w:t>5</w:t>
            </w:r>
            <w:r w:rsidR="00F42F82">
              <w:rPr>
                <w:rFonts w:cs="Arial"/>
                <w:sz w:val="20"/>
                <w:szCs w:val="20"/>
              </w:rPr>
              <w:t xml:space="preserve"> </w:t>
            </w:r>
            <w:r w:rsidRPr="001035AB">
              <w:rPr>
                <w:rFonts w:cs="Arial"/>
                <w:sz w:val="20"/>
                <w:szCs w:val="20"/>
              </w:rPr>
              <w:t>908</w:t>
            </w:r>
          </w:p>
        </w:tc>
        <w:tc>
          <w:tcPr>
            <w:tcW w:w="1163" w:type="dxa"/>
          </w:tcPr>
          <w:p w14:paraId="647103F0" w14:textId="77777777" w:rsidR="0099749C" w:rsidRPr="001035AB" w:rsidRDefault="00F42F82" w:rsidP="00FE5A72">
            <w:pPr>
              <w:jc w:val="right"/>
              <w:rPr>
                <w:rFonts w:cs="Arial"/>
                <w:sz w:val="20"/>
                <w:szCs w:val="20"/>
              </w:rPr>
            </w:pPr>
            <w:r>
              <w:rPr>
                <w:rFonts w:cs="Arial"/>
                <w:sz w:val="20"/>
                <w:szCs w:val="20"/>
              </w:rPr>
              <w:t>–</w:t>
            </w:r>
            <w:r w:rsidR="0099749C" w:rsidRPr="001035AB">
              <w:rPr>
                <w:rFonts w:cs="Arial"/>
                <w:sz w:val="20"/>
                <w:szCs w:val="20"/>
              </w:rPr>
              <w:t>1.7%</w:t>
            </w:r>
          </w:p>
        </w:tc>
        <w:tc>
          <w:tcPr>
            <w:tcW w:w="1217" w:type="dxa"/>
          </w:tcPr>
          <w:p w14:paraId="5EB0EED8" w14:textId="77777777" w:rsidR="0099749C" w:rsidRPr="001035AB" w:rsidRDefault="0099749C" w:rsidP="00FE5A72">
            <w:pPr>
              <w:jc w:val="right"/>
              <w:rPr>
                <w:rFonts w:cs="Arial"/>
                <w:sz w:val="20"/>
                <w:szCs w:val="20"/>
              </w:rPr>
            </w:pPr>
            <w:r w:rsidRPr="001035AB">
              <w:rPr>
                <w:rFonts w:cs="Arial"/>
                <w:sz w:val="20"/>
                <w:szCs w:val="20"/>
              </w:rPr>
              <w:t>$360</w:t>
            </w:r>
            <w:r w:rsidR="00F42F82">
              <w:rPr>
                <w:rFonts w:cs="Arial"/>
                <w:sz w:val="20"/>
                <w:szCs w:val="20"/>
              </w:rPr>
              <w:t xml:space="preserve"> </w:t>
            </w:r>
            <w:r w:rsidRPr="001035AB">
              <w:rPr>
                <w:rFonts w:cs="Arial"/>
                <w:sz w:val="20"/>
                <w:szCs w:val="20"/>
              </w:rPr>
              <w:t>162</w:t>
            </w:r>
          </w:p>
        </w:tc>
      </w:tr>
      <w:tr w:rsidR="007C2A8E" w:rsidRPr="00901139" w14:paraId="6B87486D" w14:textId="77777777" w:rsidTr="00634F21">
        <w:tc>
          <w:tcPr>
            <w:tcW w:w="984" w:type="dxa"/>
          </w:tcPr>
          <w:p w14:paraId="3D48896C" w14:textId="77777777" w:rsidR="00634F21" w:rsidRPr="00D645C9" w:rsidRDefault="00634F21" w:rsidP="00FE5A72">
            <w:pPr>
              <w:jc w:val="right"/>
              <w:rPr>
                <w:rFonts w:cs="Arial"/>
                <w:sz w:val="20"/>
                <w:szCs w:val="20"/>
              </w:rPr>
            </w:pPr>
            <w:r w:rsidRPr="00D645C9">
              <w:rPr>
                <w:rFonts w:cs="Arial"/>
                <w:sz w:val="20"/>
                <w:szCs w:val="20"/>
              </w:rPr>
              <w:t>73061</w:t>
            </w:r>
          </w:p>
        </w:tc>
        <w:tc>
          <w:tcPr>
            <w:tcW w:w="3384" w:type="dxa"/>
          </w:tcPr>
          <w:p w14:paraId="22CCBE31" w14:textId="77777777" w:rsidR="00634F21" w:rsidRPr="00D645C9" w:rsidRDefault="00747B91" w:rsidP="005668FD">
            <w:pPr>
              <w:rPr>
                <w:rFonts w:cs="Arial"/>
                <w:sz w:val="20"/>
                <w:szCs w:val="20"/>
              </w:rPr>
            </w:pPr>
            <w:r w:rsidRPr="00D645C9">
              <w:rPr>
                <w:rFonts w:cs="Arial"/>
                <w:sz w:val="20"/>
                <w:szCs w:val="20"/>
              </w:rPr>
              <w:t>I</w:t>
            </w:r>
            <w:r w:rsidR="00634F21" w:rsidRPr="00D645C9">
              <w:rPr>
                <w:rFonts w:cs="Arial"/>
                <w:sz w:val="20"/>
                <w:szCs w:val="20"/>
              </w:rPr>
              <w:t xml:space="preserve">mmunocytochemical examination of material obtained by procedures described in items 73045, 73047, 73049, 73051, 73062, 73063, 73066 and 73067 for the characterisation of a malignancy by immunofluorescence, </w:t>
            </w:r>
            <w:proofErr w:type="spellStart"/>
            <w:r w:rsidR="00634F21" w:rsidRPr="00D645C9">
              <w:rPr>
                <w:rFonts w:cs="Arial"/>
                <w:sz w:val="20"/>
                <w:szCs w:val="20"/>
              </w:rPr>
              <w:t>immunoperoxidase</w:t>
            </w:r>
            <w:proofErr w:type="spellEnd"/>
            <w:r w:rsidR="00634F21" w:rsidRPr="00D645C9">
              <w:rPr>
                <w:rFonts w:cs="Arial"/>
                <w:sz w:val="20"/>
                <w:szCs w:val="20"/>
              </w:rPr>
              <w:t xml:space="preserve"> or other labelled antibody techniques with multiple antigenic specificities per specimen - 1 to 3 of the following antibodies - oestrogen, progesterone and c-erb-b2 (her2)(item is subject to rule 13)</w:t>
            </w:r>
          </w:p>
        </w:tc>
        <w:tc>
          <w:tcPr>
            <w:tcW w:w="1106" w:type="dxa"/>
          </w:tcPr>
          <w:p w14:paraId="23A91BFE" w14:textId="77777777" w:rsidR="00634F21" w:rsidRPr="00D645C9" w:rsidRDefault="00634F21" w:rsidP="00FE5A72">
            <w:pPr>
              <w:jc w:val="right"/>
              <w:rPr>
                <w:rFonts w:cs="Arial"/>
                <w:sz w:val="20"/>
                <w:szCs w:val="20"/>
              </w:rPr>
            </w:pPr>
            <w:r w:rsidRPr="00D645C9">
              <w:rPr>
                <w:rFonts w:cs="Arial"/>
                <w:sz w:val="20"/>
                <w:szCs w:val="20"/>
              </w:rPr>
              <w:t>51.20</w:t>
            </w:r>
          </w:p>
        </w:tc>
        <w:tc>
          <w:tcPr>
            <w:tcW w:w="1163" w:type="dxa"/>
          </w:tcPr>
          <w:p w14:paraId="29A3AFF9" w14:textId="77777777" w:rsidR="00634F21" w:rsidRPr="00D645C9" w:rsidRDefault="00634F21" w:rsidP="00FE5A72">
            <w:pPr>
              <w:jc w:val="right"/>
              <w:rPr>
                <w:rFonts w:cs="Arial"/>
                <w:sz w:val="20"/>
                <w:szCs w:val="20"/>
              </w:rPr>
            </w:pPr>
            <w:r w:rsidRPr="00D645C9">
              <w:rPr>
                <w:rFonts w:cs="Arial"/>
                <w:sz w:val="20"/>
                <w:szCs w:val="20"/>
              </w:rPr>
              <w:t>93</w:t>
            </w:r>
          </w:p>
        </w:tc>
        <w:tc>
          <w:tcPr>
            <w:tcW w:w="1163" w:type="dxa"/>
          </w:tcPr>
          <w:p w14:paraId="07A2AEFD" w14:textId="77777777" w:rsidR="00634F21" w:rsidRPr="00D645C9" w:rsidRDefault="00634F21" w:rsidP="00FE5A72">
            <w:pPr>
              <w:jc w:val="right"/>
              <w:rPr>
                <w:rFonts w:cs="Arial"/>
                <w:sz w:val="20"/>
                <w:szCs w:val="20"/>
              </w:rPr>
            </w:pPr>
            <w:r w:rsidRPr="00D645C9">
              <w:rPr>
                <w:rFonts w:cs="Arial"/>
                <w:sz w:val="20"/>
                <w:szCs w:val="20"/>
              </w:rPr>
              <w:t>-1.4%</w:t>
            </w:r>
          </w:p>
        </w:tc>
        <w:tc>
          <w:tcPr>
            <w:tcW w:w="1217" w:type="dxa"/>
          </w:tcPr>
          <w:p w14:paraId="071FD6FC" w14:textId="77777777" w:rsidR="00634F21" w:rsidRPr="00D645C9" w:rsidRDefault="00634F21" w:rsidP="00FE5A72">
            <w:pPr>
              <w:jc w:val="right"/>
              <w:rPr>
                <w:rFonts w:cs="Arial"/>
                <w:sz w:val="20"/>
                <w:szCs w:val="20"/>
              </w:rPr>
            </w:pPr>
            <w:r w:rsidRPr="00D645C9">
              <w:rPr>
                <w:rFonts w:cs="Arial"/>
                <w:sz w:val="20"/>
                <w:szCs w:val="20"/>
              </w:rPr>
              <w:t>$3</w:t>
            </w:r>
            <w:r w:rsidR="00F42F82" w:rsidRPr="00D645C9">
              <w:rPr>
                <w:rFonts w:cs="Arial"/>
                <w:sz w:val="20"/>
                <w:szCs w:val="20"/>
              </w:rPr>
              <w:t xml:space="preserve"> </w:t>
            </w:r>
            <w:r w:rsidRPr="00D645C9">
              <w:rPr>
                <w:rFonts w:cs="Arial"/>
                <w:sz w:val="20"/>
                <w:szCs w:val="20"/>
              </w:rPr>
              <w:t>972</w:t>
            </w:r>
          </w:p>
        </w:tc>
      </w:tr>
    </w:tbl>
    <w:p w14:paraId="3FF2775B" w14:textId="77777777" w:rsidR="00124901" w:rsidRDefault="00381EC6" w:rsidP="00BF051E">
      <w:pPr>
        <w:pStyle w:val="NormalBulleted"/>
      </w:pPr>
      <w:r w:rsidRPr="00F87134">
        <w:t xml:space="preserve">The misalignment between the rebates is demonstrated graphically in </w:t>
      </w:r>
      <w:r w:rsidRPr="00807634">
        <w:rPr>
          <w:i/>
        </w:rPr>
        <w:t xml:space="preserve">Figure </w:t>
      </w:r>
      <w:r w:rsidR="00040C79" w:rsidRPr="00807634">
        <w:rPr>
          <w:i/>
        </w:rPr>
        <w:t>1</w:t>
      </w:r>
      <w:r w:rsidR="00807634">
        <w:rPr>
          <w:i/>
        </w:rPr>
        <w:t>0</w:t>
      </w:r>
      <w:r w:rsidRPr="00F87134">
        <w:t>, along with the perverse effect of tiering</w:t>
      </w:r>
      <w:r w:rsidR="006C321B">
        <w:t>,</w:t>
      </w:r>
      <w:r w:rsidRPr="00F87134">
        <w:t xml:space="preserve"> which determines that the effective rebate per assay is actually </w:t>
      </w:r>
      <w:r w:rsidRPr="00FE5A72">
        <w:t>greater</w:t>
      </w:r>
      <w:r w:rsidRPr="00F87134">
        <w:t xml:space="preserve"> if </w:t>
      </w:r>
      <w:r w:rsidR="006C321B">
        <w:t>four</w:t>
      </w:r>
      <w:r w:rsidR="006C321B" w:rsidRPr="00F87134">
        <w:t xml:space="preserve"> </w:t>
      </w:r>
      <w:r w:rsidRPr="00F87134">
        <w:t xml:space="preserve">IHC assays are done instead of </w:t>
      </w:r>
      <w:r w:rsidR="006C321B">
        <w:t>three</w:t>
      </w:r>
      <w:r w:rsidRPr="00F87134">
        <w:t xml:space="preserve">, if </w:t>
      </w:r>
      <w:r w:rsidR="006C321B">
        <w:t>seven</w:t>
      </w:r>
      <w:r w:rsidR="006C321B" w:rsidRPr="00F87134">
        <w:t xml:space="preserve"> </w:t>
      </w:r>
      <w:r w:rsidRPr="00F87134">
        <w:t xml:space="preserve">assays are done instead of </w:t>
      </w:r>
      <w:r w:rsidR="006C321B">
        <w:t>six</w:t>
      </w:r>
      <w:r w:rsidRPr="00F87134">
        <w:t>, or if 11 are</w:t>
      </w:r>
      <w:r>
        <w:t xml:space="preserve"> done instead of 10. For ICC there is similarly a higher effective rebate </w:t>
      </w:r>
      <w:r w:rsidR="007C2A8E">
        <w:t xml:space="preserve">per test </w:t>
      </w:r>
      <w:r>
        <w:t xml:space="preserve">if </w:t>
      </w:r>
      <w:r w:rsidR="000174E5">
        <w:t>7</w:t>
      </w:r>
      <w:r w:rsidR="006C321B">
        <w:t xml:space="preserve"> </w:t>
      </w:r>
      <w:r w:rsidR="007C2A8E">
        <w:t>assays</w:t>
      </w:r>
      <w:r>
        <w:t xml:space="preserve"> are done instead of </w:t>
      </w:r>
      <w:r w:rsidR="000174E5">
        <w:t>6</w:t>
      </w:r>
      <w:r w:rsidR="007C2A8E">
        <w:t>,</w:t>
      </w:r>
      <w:r>
        <w:t xml:space="preserve"> or 11 </w:t>
      </w:r>
      <w:r w:rsidR="007C2A8E">
        <w:t>assays</w:t>
      </w:r>
      <w:r>
        <w:t xml:space="preserve"> are done instead of 10. </w:t>
      </w:r>
    </w:p>
    <w:p w14:paraId="53D9BE57" w14:textId="77777777" w:rsidR="00807634" w:rsidRDefault="00807634" w:rsidP="00FE5A72">
      <w:pPr>
        <w:pStyle w:val="Caption"/>
      </w:pPr>
      <w:bookmarkStart w:id="74" w:name="_Toc482213885"/>
    </w:p>
    <w:p w14:paraId="6367F91A" w14:textId="77777777" w:rsidR="00040C79" w:rsidRPr="005413F6" w:rsidRDefault="00040C79" w:rsidP="00FE5A72">
      <w:pPr>
        <w:pStyle w:val="Caption"/>
      </w:pPr>
      <w:r>
        <w:t xml:space="preserve">Figure </w:t>
      </w:r>
      <w:r w:rsidR="00807634">
        <w:t>10</w:t>
      </w:r>
      <w:r>
        <w:t xml:space="preserve">. </w:t>
      </w:r>
      <w:r w:rsidRPr="008E3741">
        <w:t>Effective rebate per Immunohistochemistry/Immunocytochemistry assay when additional assays are performed.</w:t>
      </w:r>
      <w:bookmarkEnd w:id="74"/>
    </w:p>
    <w:p w14:paraId="26CC510F" w14:textId="77777777" w:rsidR="00AE72F1" w:rsidRDefault="00901139" w:rsidP="005668FD">
      <w:pPr>
        <w:rPr>
          <w:b/>
          <w:i/>
          <w:color w:val="4F6228" w:themeColor="accent3" w:themeShade="80"/>
          <w:sz w:val="24"/>
        </w:rPr>
      </w:pPr>
      <w:r>
        <w:rPr>
          <w:noProof/>
          <w:lang w:val="en-AU"/>
        </w:rPr>
        <w:drawing>
          <wp:inline distT="0" distB="0" distL="0" distR="0" wp14:anchorId="45A3868D" wp14:editId="25163A1E">
            <wp:extent cx="5731510" cy="4109085"/>
            <wp:effectExtent l="0" t="0" r="2540" b="5715"/>
            <wp:docPr id="7" name="Chart 7" descr="This is a line chart showing the effective rebate per Immunohistochemistry/Immunocytochemistry assay when additional assays are perform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4E7489" w14:textId="77777777" w:rsidR="00447FEF" w:rsidRDefault="00447FEF" w:rsidP="00447FEF">
      <w:pPr>
        <w:pStyle w:val="NormalBulleted"/>
        <w:numPr>
          <w:ilvl w:val="0"/>
          <w:numId w:val="0"/>
        </w:numPr>
        <w:ind w:left="357"/>
      </w:pPr>
    </w:p>
    <w:p w14:paraId="67D95534" w14:textId="77777777" w:rsidR="00447FEF" w:rsidRPr="00901139" w:rsidRDefault="00447FEF" w:rsidP="00447FEF">
      <w:pPr>
        <w:pStyle w:val="NormalBulleted"/>
      </w:pPr>
      <w:r>
        <w:t xml:space="preserve">As in other areas of Histopathology and Cytology, there are negligible economies of scale related to the performance of multiple immunohistochemistry assays on a specimen, with fixed reagent costs and similar labour. </w:t>
      </w:r>
    </w:p>
    <w:p w14:paraId="17A696E4" w14:textId="77777777" w:rsidR="00807634" w:rsidRDefault="00807634" w:rsidP="000174E5">
      <w:pPr>
        <w:pStyle w:val="NormalBulleted"/>
      </w:pPr>
      <w:r>
        <w:t>The cost of each particular assay might vary with the particular antibody clone, staining platform and necessity for signal amplification, but it would be generally true of all Australian laboratories that performance of more than two IHC assays incurs a financial loss, with very heavy financial penalties involved in performing the multiple assays</w:t>
      </w:r>
      <w:r w:rsidR="000174E5">
        <w:t>.</w:t>
      </w:r>
    </w:p>
    <w:p w14:paraId="6CF76AFD" w14:textId="77777777" w:rsidR="00447FEF" w:rsidRDefault="00447FEF" w:rsidP="00447FEF">
      <w:pPr>
        <w:pStyle w:val="NormalBulleted"/>
      </w:pPr>
      <w:r>
        <w:t xml:space="preserve">The current tiering rules are inequitable and unfair to laboratories undertaking complex diagnostic work (in particular, lymphoma characterisation), which involves a substantial financial loss due to the numbers of </w:t>
      </w:r>
      <w:proofErr w:type="spellStart"/>
      <w:r>
        <w:t>immunostains</w:t>
      </w:r>
      <w:proofErr w:type="spellEnd"/>
      <w:r>
        <w:t xml:space="preserve"> required.</w:t>
      </w:r>
    </w:p>
    <w:p w14:paraId="6AD054A8" w14:textId="77777777" w:rsidR="00447FEF" w:rsidRDefault="00447FEF" w:rsidP="00447FEF">
      <w:pPr>
        <w:pStyle w:val="NormalBulleted"/>
      </w:pPr>
      <w:r>
        <w:t xml:space="preserve">Pressure to limit the number of </w:t>
      </w:r>
      <w:proofErr w:type="spellStart"/>
      <w:r>
        <w:t>immunostains</w:t>
      </w:r>
      <w:proofErr w:type="spellEnd"/>
      <w:r>
        <w:t xml:space="preserve"> is impacting on the ability of smaller laboratories to adequately investigate complex malignancies, leading to additional costs and delays associated with referrals and second opinions.</w:t>
      </w:r>
    </w:p>
    <w:p w14:paraId="554CAED6" w14:textId="77777777" w:rsidR="000E5E9A" w:rsidRDefault="000E5E9A" w:rsidP="000E5E9A">
      <w:pPr>
        <w:pStyle w:val="NormalBulleted"/>
      </w:pPr>
      <w:r w:rsidRPr="0001385F">
        <w:t xml:space="preserve">Currently, separate items are in place for the performance of breast receptor </w:t>
      </w:r>
      <w:proofErr w:type="spellStart"/>
      <w:r w:rsidRPr="0001385F">
        <w:t>immunostains</w:t>
      </w:r>
      <w:proofErr w:type="spellEnd"/>
      <w:r w:rsidRPr="0001385F">
        <w:t xml:space="preserve"> (72848: histology, and 73061: cytology). These items were introduced in recognition of the additional difficult</w:t>
      </w:r>
      <w:r>
        <w:t xml:space="preserve">y or </w:t>
      </w:r>
      <w:r w:rsidRPr="0001385F">
        <w:t>time involved in assessing these markers (numeric scoring</w:t>
      </w:r>
      <w:r>
        <w:t xml:space="preserve"> or grading</w:t>
      </w:r>
      <w:r w:rsidRPr="0001385F">
        <w:t xml:space="preserve"> is required).</w:t>
      </w:r>
      <w:r>
        <w:t xml:space="preserve"> </w:t>
      </w:r>
      <w:r w:rsidRPr="0001385F">
        <w:t xml:space="preserve">However, the rebate is the same whether one or three stains are performed, and the item is subject to </w:t>
      </w:r>
      <w:r w:rsidR="00322862">
        <w:t>R</w:t>
      </w:r>
      <w:r w:rsidRPr="0001385F">
        <w:t>ule 13, meaning that if this item</w:t>
      </w:r>
      <w:r>
        <w:t xml:space="preserve"> used</w:t>
      </w:r>
      <w:r w:rsidRPr="0001385F">
        <w:t xml:space="preserve">, it </w:t>
      </w:r>
      <w:r>
        <w:t>‘</w:t>
      </w:r>
      <w:r w:rsidRPr="0001385F">
        <w:t>trumps</w:t>
      </w:r>
      <w:r>
        <w:t>’</w:t>
      </w:r>
      <w:r w:rsidRPr="0001385F">
        <w:t xml:space="preserve"> an</w:t>
      </w:r>
      <w:r>
        <w:t>y other</w:t>
      </w:r>
      <w:r w:rsidRPr="0001385F">
        <w:t xml:space="preserve"> </w:t>
      </w:r>
      <w:r>
        <w:t xml:space="preserve">IHC </w:t>
      </w:r>
      <w:r w:rsidRPr="0001385F">
        <w:t xml:space="preserve">item of lesser </w:t>
      </w:r>
      <w:r w:rsidRPr="00AE72F1">
        <w:t>value.</w:t>
      </w:r>
    </w:p>
    <w:p w14:paraId="79DC20AE" w14:textId="77777777" w:rsidR="000E5E9A" w:rsidRDefault="000E5E9A" w:rsidP="000E5E9A">
      <w:pPr>
        <w:pStyle w:val="NormalBulleted"/>
      </w:pPr>
      <w:r w:rsidRPr="00AE72F1">
        <w:t>This could mean that in a breast cancer case (where oestrogen receptor</w:t>
      </w:r>
      <w:r>
        <w:t xml:space="preserve"> (ER)</w:t>
      </w:r>
      <w:r w:rsidRPr="00AE72F1">
        <w:t>, progesterone receptor</w:t>
      </w:r>
      <w:r>
        <w:t xml:space="preserve"> (PR) </w:t>
      </w:r>
      <w:r w:rsidRPr="00AE72F1">
        <w:t xml:space="preserve">and HER2 testing is normally done: item 72848), staining on the same case for e-cadherin (to confirm whether the tumour is lobular or ductal cancer), Ki67 (to assess proliferation) and a cytokeratin stain (to assess the sentinel node for </w:t>
      </w:r>
      <w:proofErr w:type="spellStart"/>
      <w:r w:rsidRPr="00AE72F1">
        <w:t>micrometastases</w:t>
      </w:r>
      <w:proofErr w:type="spellEnd"/>
      <w:r w:rsidRPr="00AE72F1">
        <w:t xml:space="preserve">) all go unfunded (since they add up to item 72846, of lesser value). However, if four (not three) other stains were </w:t>
      </w:r>
      <w:r>
        <w:t>performed</w:t>
      </w:r>
      <w:r w:rsidRPr="00AE72F1">
        <w:t xml:space="preserve"> (</w:t>
      </w:r>
      <w:r>
        <w:t>item</w:t>
      </w:r>
      <w:r w:rsidRPr="00AE72F1">
        <w:t xml:space="preserve"> 72847), this is rebated higher than 72848, </w:t>
      </w:r>
      <w:r>
        <w:t>therefore</w:t>
      </w:r>
      <w:r w:rsidRPr="00AE72F1">
        <w:t xml:space="preserve"> the </w:t>
      </w:r>
      <w:r w:rsidRPr="00AE72F1">
        <w:lastRenderedPageBreak/>
        <w:t>ER/PR/HER2 stains would go unfunded.</w:t>
      </w:r>
      <w:r>
        <w:t xml:space="preserve"> </w:t>
      </w:r>
      <w:r w:rsidRPr="00AE72F1">
        <w:t xml:space="preserve">This was certainly not the intention when the item was </w:t>
      </w:r>
      <w:proofErr w:type="gramStart"/>
      <w:r w:rsidRPr="00AE72F1">
        <w:t>introduced, and</w:t>
      </w:r>
      <w:proofErr w:type="gramEnd"/>
      <w:r w:rsidRPr="00AE72F1">
        <w:t xml:space="preserve"> needs to be resolved.</w:t>
      </w:r>
    </w:p>
    <w:p w14:paraId="0CDEA45B" w14:textId="77777777" w:rsidR="000E5E9A" w:rsidRPr="00AE72F1" w:rsidRDefault="000E5E9A" w:rsidP="000E5E9A">
      <w:pPr>
        <w:pStyle w:val="NormalBulleted"/>
      </w:pPr>
      <w:r w:rsidRPr="00DE06B5">
        <w:t>The necessity for ongoing additional item for higher complexity IHC stains (ER/PR/HER2) was considered. In view of the necessity for additional effort in the analysis of these stains, and the requirement for involvement in QAP programs, it was thought be the Committee that retention of the higher</w:t>
      </w:r>
      <w:r>
        <w:t>-</w:t>
      </w:r>
      <w:r w:rsidRPr="00DE06B5">
        <w:t xml:space="preserve">complexity item was justified, allowing the possibility that additional targets may be added to the higher complexity group in future. </w:t>
      </w:r>
    </w:p>
    <w:p w14:paraId="5453F553" w14:textId="77777777" w:rsidR="000E5E9A" w:rsidRDefault="000E5E9A" w:rsidP="000E5E9A">
      <w:pPr>
        <w:pStyle w:val="NormalBulleted"/>
      </w:pPr>
      <w:r w:rsidRPr="004568D8">
        <w:t xml:space="preserve">Certain other IHC currently in use as predictive biomarkers (or soon to be required) could also </w:t>
      </w:r>
      <w:proofErr w:type="gramStart"/>
      <w:r w:rsidRPr="004568D8">
        <w:t>be considered to be</w:t>
      </w:r>
      <w:proofErr w:type="gramEnd"/>
      <w:r w:rsidRPr="004568D8">
        <w:t xml:space="preserve"> </w:t>
      </w:r>
      <w:r>
        <w:t>‘</w:t>
      </w:r>
      <w:r w:rsidRPr="004568D8">
        <w:t>complex</w:t>
      </w:r>
      <w:r>
        <w:t>’</w:t>
      </w:r>
      <w:r w:rsidRPr="004568D8">
        <w:t xml:space="preserve"> IHC stains, requiring enumeration or scoring and requiring additional specific training and/or involvement in quality assurance programs. These include Ki67, ALK and PD-L1.</w:t>
      </w:r>
    </w:p>
    <w:p w14:paraId="33F748D2" w14:textId="77777777" w:rsidR="004F1023" w:rsidRPr="00F73114" w:rsidRDefault="00447FEF" w:rsidP="000E5E9A">
      <w:pPr>
        <w:pStyle w:val="NormalBulleted"/>
      </w:pPr>
      <w:r w:rsidRPr="00F73114">
        <w:t>Furthermore, the Committee considered that an additional 3</w:t>
      </w:r>
      <w:r w:rsidRPr="00F73114">
        <w:rPr>
          <w:vertAlign w:val="superscript"/>
        </w:rPr>
        <w:t>rd</w:t>
      </w:r>
      <w:r w:rsidRPr="00F73114">
        <w:t xml:space="preserve"> tier higher complexity item </w:t>
      </w:r>
      <w:r w:rsidR="000174E5" w:rsidRPr="00F73114">
        <w:t xml:space="preserve">should </w:t>
      </w:r>
      <w:r w:rsidRPr="00F73114">
        <w:t>be introduced for the performance of chromogenic</w:t>
      </w:r>
      <w:r w:rsidR="004D080F" w:rsidRPr="00F73114">
        <w:t xml:space="preserve"> in situ hybridization (ISH)</w:t>
      </w:r>
      <w:r w:rsidR="000174E5" w:rsidRPr="00F73114">
        <w:t xml:space="preserve"> for detection of nucleic </w:t>
      </w:r>
      <w:r w:rsidR="004D080F" w:rsidRPr="00F73114">
        <w:t xml:space="preserve">acid targets in tissue sections, exclusive of the current ISH biomarker assays for HER2 oncogene on the Genetics schedule (73332 &amp; 73342). The detection of Epstein Barr virus (EBV) mRNA by ISH is necessary for the </w:t>
      </w:r>
      <w:r w:rsidR="00322862" w:rsidRPr="00F73114">
        <w:t xml:space="preserve">accurate </w:t>
      </w:r>
      <w:r w:rsidR="004D080F" w:rsidRPr="00F73114">
        <w:t>classification of many lymphomas, and the detection of integrated oncogenic human papillomavirus (HPV) has recently been recognised as of critical prognostic importance in head and neck squamous cell carcinomas. Currently these automated assays are generally billed as IHC tests (as they involve immunohistochemical detection of the labelled target), but they are more costly and time consuming to perform than routine immunohistochemistry, and this should be recognised by an appropriately higher rebate.</w:t>
      </w:r>
    </w:p>
    <w:p w14:paraId="30B167B2" w14:textId="77777777" w:rsidR="000174E5" w:rsidRDefault="00322862" w:rsidP="000174E5">
      <w:pPr>
        <w:pStyle w:val="NormalBulleted"/>
      </w:pPr>
      <w:r>
        <w:t>Lastly</w:t>
      </w:r>
      <w:r w:rsidR="000174E5" w:rsidRPr="004F476E">
        <w:t xml:space="preserve">, it is noted that currently immunocytochemistry is not permitted in association with cytology </w:t>
      </w:r>
      <w:proofErr w:type="spellStart"/>
      <w:r w:rsidR="000174E5" w:rsidRPr="004F476E">
        <w:t>tem</w:t>
      </w:r>
      <w:proofErr w:type="spellEnd"/>
      <w:r w:rsidR="000174E5" w:rsidRPr="004F476E">
        <w:t xml:space="preserve"> 73043 (mucosal smear). The logic of this is not clear and there are circumstances </w:t>
      </w:r>
      <w:r w:rsidR="000174E5">
        <w:t xml:space="preserve">in which </w:t>
      </w:r>
      <w:r w:rsidR="000174E5" w:rsidRPr="004F476E">
        <w:t>this may be unfair to the patient.</w:t>
      </w:r>
    </w:p>
    <w:p w14:paraId="20E3F57A" w14:textId="77777777" w:rsidR="000174E5" w:rsidRPr="004D080F" w:rsidRDefault="000174E5" w:rsidP="000174E5">
      <w:pPr>
        <w:pStyle w:val="NormalBulleted"/>
        <w:numPr>
          <w:ilvl w:val="0"/>
          <w:numId w:val="0"/>
        </w:numPr>
        <w:ind w:left="357" w:hanging="357"/>
      </w:pPr>
    </w:p>
    <w:p w14:paraId="644D0CAE" w14:textId="77777777" w:rsidR="00901139" w:rsidRPr="00807634" w:rsidRDefault="00901139" w:rsidP="00FE5A72">
      <w:pPr>
        <w:keepNext/>
        <w:rPr>
          <w:b/>
          <w:i/>
          <w:sz w:val="24"/>
        </w:rPr>
      </w:pPr>
      <w:r w:rsidRPr="00807634">
        <w:rPr>
          <w:b/>
          <w:i/>
          <w:sz w:val="24"/>
        </w:rPr>
        <w:t xml:space="preserve">Data </w:t>
      </w:r>
      <w:r w:rsidR="00040C79" w:rsidRPr="00807634">
        <w:rPr>
          <w:b/>
          <w:i/>
          <w:sz w:val="24"/>
        </w:rPr>
        <w:t>modelling</w:t>
      </w:r>
    </w:p>
    <w:p w14:paraId="7AEC545C" w14:textId="77777777" w:rsidR="00AE72F1" w:rsidRDefault="00864431" w:rsidP="00FE5A72">
      <w:pPr>
        <w:rPr>
          <w:i/>
          <w:sz w:val="24"/>
        </w:rPr>
      </w:pPr>
      <w:r w:rsidRPr="0001385F">
        <w:rPr>
          <w:szCs w:val="22"/>
        </w:rPr>
        <w:t>Immunocytochemical analysis on cytology specimens is a relatively low</w:t>
      </w:r>
      <w:r w:rsidR="00040C79">
        <w:rPr>
          <w:szCs w:val="22"/>
        </w:rPr>
        <w:t>-</w:t>
      </w:r>
      <w:r w:rsidRPr="0001385F">
        <w:rPr>
          <w:szCs w:val="22"/>
        </w:rPr>
        <w:t>volume test (&lt;</w:t>
      </w:r>
      <w:r w:rsidR="00040C79">
        <w:rPr>
          <w:szCs w:val="22"/>
        </w:rPr>
        <w:t xml:space="preserve"> </w:t>
      </w:r>
      <w:r w:rsidRPr="0001385F">
        <w:rPr>
          <w:szCs w:val="22"/>
        </w:rPr>
        <w:t>6000 usages in 2014</w:t>
      </w:r>
      <w:r w:rsidR="00040C79">
        <w:rPr>
          <w:szCs w:val="22"/>
        </w:rPr>
        <w:t>–1</w:t>
      </w:r>
      <w:r w:rsidRPr="0001385F">
        <w:rPr>
          <w:szCs w:val="22"/>
        </w:rPr>
        <w:t xml:space="preserve">5). </w:t>
      </w:r>
      <w:r w:rsidR="00040C79">
        <w:rPr>
          <w:szCs w:val="22"/>
        </w:rPr>
        <w:t>T</w:t>
      </w:r>
      <w:r w:rsidR="00040C79" w:rsidRPr="0001385F">
        <w:rPr>
          <w:szCs w:val="22"/>
        </w:rPr>
        <w:t xml:space="preserve">he </w:t>
      </w:r>
      <w:r w:rsidR="00792D34" w:rsidRPr="0001385F">
        <w:rPr>
          <w:szCs w:val="22"/>
        </w:rPr>
        <w:t xml:space="preserve">effect </w:t>
      </w:r>
      <w:r w:rsidR="00040C79" w:rsidRPr="0001385F">
        <w:rPr>
          <w:szCs w:val="22"/>
        </w:rPr>
        <w:t>on expected rebates</w:t>
      </w:r>
      <w:r w:rsidR="00040C79">
        <w:rPr>
          <w:szCs w:val="22"/>
        </w:rPr>
        <w:t xml:space="preserve"> o</w:t>
      </w:r>
      <w:r w:rsidR="00040C79" w:rsidRPr="0001385F">
        <w:rPr>
          <w:szCs w:val="22"/>
        </w:rPr>
        <w:t xml:space="preserve">f cytology and histology </w:t>
      </w:r>
      <w:proofErr w:type="spellStart"/>
      <w:r w:rsidR="00040C79" w:rsidRPr="0001385F">
        <w:rPr>
          <w:szCs w:val="22"/>
        </w:rPr>
        <w:t>immunohisto</w:t>
      </w:r>
      <w:proofErr w:type="spellEnd"/>
      <w:r w:rsidR="00040C79" w:rsidRPr="0001385F">
        <w:rPr>
          <w:szCs w:val="22"/>
        </w:rPr>
        <w:t xml:space="preserve">/cytochemistry items </w:t>
      </w:r>
      <w:r w:rsidR="00040C79">
        <w:rPr>
          <w:szCs w:val="22"/>
        </w:rPr>
        <w:t xml:space="preserve">being </w:t>
      </w:r>
      <w:r w:rsidR="00040C79" w:rsidRPr="0001385F">
        <w:rPr>
          <w:szCs w:val="22"/>
        </w:rPr>
        <w:t xml:space="preserve">aligned without other adjustment </w:t>
      </w:r>
      <w:r w:rsidR="009579A8">
        <w:rPr>
          <w:szCs w:val="22"/>
        </w:rPr>
        <w:t>(based on MBS data 2014</w:t>
      </w:r>
      <w:r w:rsidR="00040C79">
        <w:rPr>
          <w:szCs w:val="22"/>
        </w:rPr>
        <w:t>–</w:t>
      </w:r>
      <w:r w:rsidR="009579A8">
        <w:rPr>
          <w:szCs w:val="22"/>
        </w:rPr>
        <w:t>15)</w:t>
      </w:r>
      <w:r w:rsidR="00792D34" w:rsidRPr="0001385F">
        <w:rPr>
          <w:szCs w:val="22"/>
        </w:rPr>
        <w:t xml:space="preserve"> </w:t>
      </w:r>
      <w:r w:rsidR="00BF051E" w:rsidRPr="0001385F">
        <w:rPr>
          <w:szCs w:val="22"/>
        </w:rPr>
        <w:t xml:space="preserve">is </w:t>
      </w:r>
      <w:r w:rsidRPr="0001385F">
        <w:rPr>
          <w:szCs w:val="22"/>
        </w:rPr>
        <w:t xml:space="preserve">shown in </w:t>
      </w:r>
      <w:r w:rsidR="00040C79" w:rsidRPr="0001385F">
        <w:rPr>
          <w:i/>
          <w:szCs w:val="22"/>
        </w:rPr>
        <w:t>Table</w:t>
      </w:r>
      <w:r w:rsidR="00040C79">
        <w:rPr>
          <w:i/>
          <w:szCs w:val="22"/>
        </w:rPr>
        <w:t> 1</w:t>
      </w:r>
      <w:r w:rsidR="000E5E9A">
        <w:rPr>
          <w:i/>
          <w:szCs w:val="22"/>
        </w:rPr>
        <w:t>2</w:t>
      </w:r>
      <w:r w:rsidRPr="0001385F">
        <w:rPr>
          <w:szCs w:val="22"/>
        </w:rPr>
        <w:t>.</w:t>
      </w:r>
    </w:p>
    <w:p w14:paraId="576D55DD" w14:textId="77777777" w:rsidR="00040C79" w:rsidRPr="00B45D06" w:rsidRDefault="00040C79" w:rsidP="00FE5A72">
      <w:pPr>
        <w:pStyle w:val="Caption"/>
      </w:pPr>
      <w:bookmarkStart w:id="75" w:name="_Toc482213839"/>
      <w:r>
        <w:t>Table</w:t>
      </w:r>
      <w:r w:rsidR="000E5E9A">
        <w:t xml:space="preserve"> 12</w:t>
      </w:r>
      <w:r>
        <w:t xml:space="preserve">. </w:t>
      </w:r>
      <w:r w:rsidRPr="001A4098">
        <w:t>Financial effects of aligning cytology and histology IHC rebates</w:t>
      </w:r>
      <w:bookmarkEnd w:id="75"/>
    </w:p>
    <w:tbl>
      <w:tblPr>
        <w:tblW w:w="8804" w:type="dxa"/>
        <w:tblInd w:w="93" w:type="dxa"/>
        <w:tblLayout w:type="fixed"/>
        <w:tblLook w:val="04A0" w:firstRow="1" w:lastRow="0" w:firstColumn="1" w:lastColumn="0" w:noHBand="0" w:noVBand="1"/>
      </w:tblPr>
      <w:tblGrid>
        <w:gridCol w:w="1008"/>
        <w:gridCol w:w="992"/>
        <w:gridCol w:w="992"/>
        <w:gridCol w:w="992"/>
        <w:gridCol w:w="1134"/>
        <w:gridCol w:w="1134"/>
        <w:gridCol w:w="1418"/>
        <w:gridCol w:w="1134"/>
      </w:tblGrid>
      <w:tr w:rsidR="00087BB4" w:rsidRPr="00864431" w14:paraId="7342FE0A" w14:textId="77777777" w:rsidTr="00774742">
        <w:trPr>
          <w:trHeight w:val="860"/>
        </w:trPr>
        <w:tc>
          <w:tcPr>
            <w:tcW w:w="10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883F6A6" w14:textId="77777777" w:rsidR="00864431" w:rsidRPr="00FE5A72" w:rsidRDefault="00040C79" w:rsidP="00FE5A72">
            <w:pPr>
              <w:spacing w:before="20" w:after="20"/>
              <w:rPr>
                <w:rFonts w:cs="Arial"/>
                <w:b/>
                <w:sz w:val="20"/>
                <w:szCs w:val="20"/>
              </w:rPr>
            </w:pPr>
            <w:r>
              <w:rPr>
                <w:rFonts w:cs="Arial"/>
                <w:b/>
                <w:sz w:val="20"/>
                <w:szCs w:val="20"/>
              </w:rPr>
              <w:t>Number of items</w:t>
            </w:r>
          </w:p>
        </w:tc>
        <w:tc>
          <w:tcPr>
            <w:tcW w:w="992" w:type="dxa"/>
            <w:tcBorders>
              <w:top w:val="single" w:sz="4" w:space="0" w:color="auto"/>
              <w:left w:val="nil"/>
              <w:bottom w:val="single" w:sz="4" w:space="0" w:color="auto"/>
              <w:right w:val="nil"/>
            </w:tcBorders>
            <w:shd w:val="clear" w:color="auto" w:fill="EEECE1" w:themeFill="background2"/>
            <w:vAlign w:val="bottom"/>
            <w:hideMark/>
          </w:tcPr>
          <w:p w14:paraId="1999FF58" w14:textId="77777777" w:rsidR="00864431" w:rsidRPr="00FE5A72" w:rsidRDefault="00864431" w:rsidP="00FE5A72">
            <w:pPr>
              <w:spacing w:before="20" w:after="20"/>
              <w:rPr>
                <w:rFonts w:cs="Arial"/>
                <w:b/>
                <w:sz w:val="20"/>
                <w:szCs w:val="20"/>
              </w:rPr>
            </w:pPr>
            <w:proofErr w:type="spellStart"/>
            <w:r w:rsidRPr="00FE5A72">
              <w:rPr>
                <w:rFonts w:cs="Arial"/>
                <w:b/>
                <w:sz w:val="20"/>
                <w:szCs w:val="20"/>
              </w:rPr>
              <w:t>Histo</w:t>
            </w:r>
            <w:proofErr w:type="spellEnd"/>
            <w:r w:rsidR="00087BB4">
              <w:rPr>
                <w:rFonts w:cs="Arial"/>
                <w:b/>
                <w:sz w:val="20"/>
                <w:szCs w:val="20"/>
              </w:rPr>
              <w:t>.</w:t>
            </w:r>
            <w:r w:rsidRPr="00FE5A72">
              <w:rPr>
                <w:rFonts w:cs="Arial"/>
                <w:b/>
                <w:sz w:val="20"/>
                <w:szCs w:val="20"/>
              </w:rPr>
              <w:t xml:space="preserve"> item</w:t>
            </w:r>
          </w:p>
        </w:tc>
        <w:tc>
          <w:tcPr>
            <w:tcW w:w="992" w:type="dxa"/>
            <w:tcBorders>
              <w:top w:val="single" w:sz="4" w:space="0" w:color="auto"/>
              <w:left w:val="nil"/>
              <w:bottom w:val="single" w:sz="4" w:space="0" w:color="auto"/>
              <w:right w:val="single" w:sz="4" w:space="0" w:color="auto"/>
            </w:tcBorders>
            <w:shd w:val="clear" w:color="auto" w:fill="EEECE1" w:themeFill="background2"/>
            <w:vAlign w:val="bottom"/>
            <w:hideMark/>
          </w:tcPr>
          <w:p w14:paraId="43E59FEC" w14:textId="77777777" w:rsidR="00864431" w:rsidRPr="00FE5A72" w:rsidRDefault="00864431" w:rsidP="00FE5A72">
            <w:pPr>
              <w:spacing w:before="20" w:after="20"/>
              <w:rPr>
                <w:rFonts w:cs="Arial"/>
                <w:b/>
                <w:sz w:val="20"/>
                <w:szCs w:val="20"/>
              </w:rPr>
            </w:pPr>
            <w:proofErr w:type="spellStart"/>
            <w:r w:rsidRPr="00FE5A72">
              <w:rPr>
                <w:rFonts w:cs="Arial"/>
                <w:b/>
                <w:sz w:val="20"/>
                <w:szCs w:val="20"/>
              </w:rPr>
              <w:t>Hist</w:t>
            </w:r>
            <w:r w:rsidR="00087BB4">
              <w:rPr>
                <w:rFonts w:cs="Arial"/>
                <w:b/>
                <w:sz w:val="20"/>
                <w:szCs w:val="20"/>
              </w:rPr>
              <w:t>o</w:t>
            </w:r>
            <w:proofErr w:type="spellEnd"/>
            <w:r w:rsidR="00087BB4">
              <w:rPr>
                <w:rFonts w:cs="Arial"/>
                <w:b/>
                <w:sz w:val="20"/>
                <w:szCs w:val="20"/>
              </w:rPr>
              <w:t xml:space="preserve">. </w:t>
            </w:r>
            <w:r w:rsidR="00040C79">
              <w:rPr>
                <w:rFonts w:cs="Arial"/>
                <w:b/>
                <w:sz w:val="20"/>
                <w:szCs w:val="20"/>
              </w:rPr>
              <w:t>r</w:t>
            </w:r>
            <w:r w:rsidR="00040C79" w:rsidRPr="00FE5A72">
              <w:rPr>
                <w:rFonts w:cs="Arial"/>
                <w:b/>
                <w:sz w:val="20"/>
                <w:szCs w:val="20"/>
              </w:rPr>
              <w:t>ebate</w:t>
            </w:r>
            <w:r w:rsidR="00087BB4">
              <w:rPr>
                <w:rFonts w:cs="Arial"/>
                <w:b/>
                <w:sz w:val="20"/>
                <w:szCs w:val="20"/>
              </w:rPr>
              <w:t xml:space="preserve"> (</w:t>
            </w:r>
            <w:r w:rsidRPr="00FE5A72">
              <w:rPr>
                <w:rFonts w:cs="Arial"/>
                <w:b/>
                <w:sz w:val="20"/>
                <w:szCs w:val="20"/>
              </w:rPr>
              <w:t>$</w:t>
            </w:r>
            <w:r w:rsidR="00087BB4">
              <w:rPr>
                <w:rFonts w:cs="Arial"/>
                <w:b/>
                <w:sz w:val="20"/>
                <w:szCs w:val="20"/>
              </w:rPr>
              <w:t>)</w:t>
            </w:r>
          </w:p>
        </w:tc>
        <w:tc>
          <w:tcPr>
            <w:tcW w:w="992" w:type="dxa"/>
            <w:tcBorders>
              <w:top w:val="single" w:sz="4" w:space="0" w:color="auto"/>
              <w:left w:val="nil"/>
              <w:bottom w:val="single" w:sz="4" w:space="0" w:color="auto"/>
              <w:right w:val="nil"/>
            </w:tcBorders>
            <w:shd w:val="clear" w:color="auto" w:fill="EEECE1" w:themeFill="background2"/>
            <w:vAlign w:val="bottom"/>
            <w:hideMark/>
          </w:tcPr>
          <w:p w14:paraId="5B34E91D" w14:textId="77777777" w:rsidR="00864431" w:rsidRPr="00FE5A72" w:rsidRDefault="00864431" w:rsidP="00FE5A72">
            <w:pPr>
              <w:spacing w:before="20" w:after="20"/>
              <w:rPr>
                <w:rFonts w:cs="Arial"/>
                <w:b/>
                <w:sz w:val="20"/>
                <w:szCs w:val="20"/>
              </w:rPr>
            </w:pPr>
            <w:r w:rsidRPr="00FE5A72">
              <w:rPr>
                <w:rFonts w:cs="Arial"/>
                <w:b/>
                <w:sz w:val="20"/>
                <w:szCs w:val="20"/>
              </w:rPr>
              <w:t>Cyto</w:t>
            </w:r>
            <w:r w:rsidR="00040C79">
              <w:rPr>
                <w:rFonts w:cs="Arial"/>
                <w:b/>
                <w:sz w:val="20"/>
                <w:szCs w:val="20"/>
              </w:rPr>
              <w:t>logy</w:t>
            </w:r>
            <w:r w:rsidRPr="00FE5A72">
              <w:rPr>
                <w:rFonts w:cs="Arial"/>
                <w:b/>
                <w:sz w:val="20"/>
                <w:szCs w:val="20"/>
              </w:rPr>
              <w:t xml:space="preserve"> item</w:t>
            </w:r>
          </w:p>
        </w:tc>
        <w:tc>
          <w:tcPr>
            <w:tcW w:w="1134" w:type="dxa"/>
            <w:tcBorders>
              <w:top w:val="single" w:sz="4" w:space="0" w:color="auto"/>
              <w:left w:val="nil"/>
              <w:bottom w:val="single" w:sz="4" w:space="0" w:color="auto"/>
              <w:right w:val="single" w:sz="4" w:space="0" w:color="auto"/>
            </w:tcBorders>
            <w:shd w:val="clear" w:color="auto" w:fill="EEECE1" w:themeFill="background2"/>
            <w:vAlign w:val="bottom"/>
            <w:hideMark/>
          </w:tcPr>
          <w:p w14:paraId="17DFE936" w14:textId="77777777" w:rsidR="00864431" w:rsidRPr="00FE5A72" w:rsidRDefault="00864431" w:rsidP="00FE5A72">
            <w:pPr>
              <w:spacing w:before="20" w:after="20"/>
              <w:rPr>
                <w:rFonts w:cs="Arial"/>
                <w:b/>
                <w:sz w:val="20"/>
                <w:szCs w:val="20"/>
              </w:rPr>
            </w:pPr>
            <w:r w:rsidRPr="00FE5A72">
              <w:rPr>
                <w:rFonts w:cs="Arial"/>
                <w:b/>
                <w:sz w:val="20"/>
                <w:szCs w:val="20"/>
              </w:rPr>
              <w:t>Cyto</w:t>
            </w:r>
            <w:r w:rsidR="00040C79">
              <w:rPr>
                <w:rFonts w:cs="Arial"/>
                <w:b/>
                <w:sz w:val="20"/>
                <w:szCs w:val="20"/>
              </w:rPr>
              <w:t>logy</w:t>
            </w:r>
            <w:r w:rsidRPr="00FE5A72">
              <w:rPr>
                <w:rFonts w:cs="Arial"/>
                <w:b/>
                <w:sz w:val="20"/>
                <w:szCs w:val="20"/>
              </w:rPr>
              <w:t xml:space="preserve"> rebate </w:t>
            </w:r>
            <w:r w:rsidR="00087BB4">
              <w:rPr>
                <w:rFonts w:cs="Arial"/>
                <w:b/>
                <w:sz w:val="20"/>
                <w:szCs w:val="20"/>
              </w:rPr>
              <w:t>(</w:t>
            </w:r>
            <w:r w:rsidRPr="00FE5A72">
              <w:rPr>
                <w:rFonts w:cs="Arial"/>
                <w:b/>
                <w:sz w:val="20"/>
                <w:szCs w:val="20"/>
              </w:rPr>
              <w:t>$</w:t>
            </w:r>
            <w:r w:rsidR="00087BB4">
              <w:rPr>
                <w:rFonts w:cs="Arial"/>
                <w:b/>
                <w:sz w:val="20"/>
                <w:szCs w:val="20"/>
              </w:rPr>
              <w:t>)</w:t>
            </w:r>
          </w:p>
        </w:tc>
        <w:tc>
          <w:tcPr>
            <w:tcW w:w="1134" w:type="dxa"/>
            <w:tcBorders>
              <w:top w:val="single" w:sz="4" w:space="0" w:color="auto"/>
              <w:left w:val="nil"/>
              <w:bottom w:val="single" w:sz="4" w:space="0" w:color="auto"/>
              <w:right w:val="single" w:sz="4" w:space="0" w:color="auto"/>
            </w:tcBorders>
            <w:shd w:val="clear" w:color="auto" w:fill="EEECE1" w:themeFill="background2"/>
            <w:vAlign w:val="bottom"/>
            <w:hideMark/>
          </w:tcPr>
          <w:p w14:paraId="040270C5" w14:textId="77777777" w:rsidR="00864431" w:rsidRPr="00FE5A72" w:rsidRDefault="00864431" w:rsidP="00FE5A72">
            <w:pPr>
              <w:spacing w:before="20" w:after="20"/>
              <w:rPr>
                <w:rFonts w:cs="Arial"/>
                <w:b/>
                <w:sz w:val="20"/>
                <w:szCs w:val="20"/>
              </w:rPr>
            </w:pPr>
            <w:r w:rsidRPr="00FE5A72">
              <w:rPr>
                <w:rFonts w:cs="Arial"/>
                <w:b/>
                <w:sz w:val="20"/>
                <w:szCs w:val="20"/>
              </w:rPr>
              <w:t>Cyto</w:t>
            </w:r>
            <w:r w:rsidR="00040C79">
              <w:rPr>
                <w:rFonts w:cs="Arial"/>
                <w:b/>
                <w:sz w:val="20"/>
                <w:szCs w:val="20"/>
              </w:rPr>
              <w:t>logy</w:t>
            </w:r>
            <w:r w:rsidRPr="00FE5A72">
              <w:rPr>
                <w:rFonts w:cs="Arial"/>
                <w:b/>
                <w:sz w:val="20"/>
                <w:szCs w:val="20"/>
              </w:rPr>
              <w:t xml:space="preserve"> usage MBS 14-15</w:t>
            </w:r>
          </w:p>
        </w:tc>
        <w:tc>
          <w:tcPr>
            <w:tcW w:w="1418" w:type="dxa"/>
            <w:tcBorders>
              <w:top w:val="single" w:sz="4" w:space="0" w:color="auto"/>
              <w:left w:val="nil"/>
              <w:bottom w:val="single" w:sz="4" w:space="0" w:color="auto"/>
              <w:right w:val="nil"/>
            </w:tcBorders>
            <w:shd w:val="clear" w:color="auto" w:fill="EEECE1" w:themeFill="background2"/>
            <w:vAlign w:val="bottom"/>
            <w:hideMark/>
          </w:tcPr>
          <w:p w14:paraId="6CACF939" w14:textId="77777777" w:rsidR="00864431" w:rsidRPr="00FE5A72" w:rsidRDefault="006B2E8A" w:rsidP="00FE5A72">
            <w:pPr>
              <w:spacing w:before="20" w:after="20"/>
              <w:rPr>
                <w:rFonts w:cs="Arial"/>
                <w:b/>
                <w:sz w:val="20"/>
                <w:szCs w:val="20"/>
              </w:rPr>
            </w:pPr>
            <w:r w:rsidRPr="00FE5A72">
              <w:rPr>
                <w:rFonts w:cs="Arial"/>
                <w:b/>
                <w:sz w:val="20"/>
                <w:szCs w:val="20"/>
              </w:rPr>
              <w:t xml:space="preserve">Current </w:t>
            </w:r>
            <w:r w:rsidR="00087BB4">
              <w:rPr>
                <w:rFonts w:cs="Arial"/>
                <w:b/>
                <w:sz w:val="20"/>
                <w:szCs w:val="20"/>
              </w:rPr>
              <w:t>t</w:t>
            </w:r>
            <w:r w:rsidR="00087BB4" w:rsidRPr="00FE5A72">
              <w:rPr>
                <w:rFonts w:cs="Arial"/>
                <w:b/>
                <w:sz w:val="20"/>
                <w:szCs w:val="20"/>
              </w:rPr>
              <w:t xml:space="preserve">otal </w:t>
            </w:r>
            <w:r w:rsidR="00864431" w:rsidRPr="00FE5A72">
              <w:rPr>
                <w:rFonts w:cs="Arial"/>
                <w:b/>
                <w:sz w:val="20"/>
                <w:szCs w:val="20"/>
              </w:rPr>
              <w:t xml:space="preserve">MBS </w:t>
            </w:r>
            <w:proofErr w:type="spellStart"/>
            <w:r w:rsidR="00864431" w:rsidRPr="00FE5A72">
              <w:rPr>
                <w:rFonts w:cs="Arial"/>
                <w:b/>
                <w:sz w:val="20"/>
                <w:szCs w:val="20"/>
              </w:rPr>
              <w:t>Cyto</w:t>
            </w:r>
            <w:proofErr w:type="spellEnd"/>
            <w:r w:rsidR="00864431" w:rsidRPr="00FE5A72">
              <w:rPr>
                <w:rFonts w:cs="Arial"/>
                <w:b/>
                <w:sz w:val="20"/>
                <w:szCs w:val="20"/>
              </w:rPr>
              <w:t xml:space="preserve"> IHC rebate</w:t>
            </w:r>
          </w:p>
        </w:tc>
        <w:tc>
          <w:tcPr>
            <w:tcW w:w="1134" w:type="dxa"/>
            <w:tcBorders>
              <w:top w:val="single" w:sz="4" w:space="0" w:color="auto"/>
              <w:left w:val="nil"/>
              <w:bottom w:val="single" w:sz="4" w:space="0" w:color="auto"/>
              <w:right w:val="single" w:sz="4" w:space="0" w:color="auto"/>
            </w:tcBorders>
            <w:shd w:val="clear" w:color="auto" w:fill="EEECE1" w:themeFill="background2"/>
            <w:vAlign w:val="bottom"/>
            <w:hideMark/>
          </w:tcPr>
          <w:p w14:paraId="42E200BC" w14:textId="77777777" w:rsidR="00864431" w:rsidRPr="00FE5A72" w:rsidRDefault="00864431" w:rsidP="00FE5A72">
            <w:pPr>
              <w:spacing w:before="20" w:after="20"/>
              <w:rPr>
                <w:rFonts w:cs="Arial"/>
                <w:b/>
                <w:sz w:val="20"/>
                <w:szCs w:val="20"/>
              </w:rPr>
            </w:pPr>
            <w:r w:rsidRPr="00FE5A72">
              <w:rPr>
                <w:rFonts w:cs="Arial"/>
                <w:b/>
                <w:sz w:val="20"/>
                <w:szCs w:val="20"/>
              </w:rPr>
              <w:t xml:space="preserve">Nominal </w:t>
            </w:r>
            <w:proofErr w:type="spellStart"/>
            <w:r w:rsidRPr="00FE5A72">
              <w:rPr>
                <w:rFonts w:cs="Arial"/>
                <w:b/>
                <w:sz w:val="20"/>
                <w:szCs w:val="20"/>
              </w:rPr>
              <w:t>Cyto</w:t>
            </w:r>
            <w:proofErr w:type="spellEnd"/>
            <w:r w:rsidRPr="00FE5A72">
              <w:rPr>
                <w:rFonts w:cs="Arial"/>
                <w:b/>
                <w:sz w:val="20"/>
                <w:szCs w:val="20"/>
              </w:rPr>
              <w:t xml:space="preserve"> MBS rebate if aligned</w:t>
            </w:r>
          </w:p>
        </w:tc>
      </w:tr>
      <w:tr w:rsidR="00087BB4" w:rsidRPr="00864431" w14:paraId="5AB7F26C" w14:textId="77777777" w:rsidTr="00FE5A72">
        <w:trPr>
          <w:trHeight w:val="315"/>
        </w:trPr>
        <w:tc>
          <w:tcPr>
            <w:tcW w:w="1008" w:type="dxa"/>
            <w:tcBorders>
              <w:top w:val="single" w:sz="4" w:space="0" w:color="auto"/>
              <w:left w:val="single" w:sz="4" w:space="0" w:color="auto"/>
              <w:bottom w:val="nil"/>
              <w:right w:val="single" w:sz="4" w:space="0" w:color="auto"/>
            </w:tcBorders>
            <w:shd w:val="clear" w:color="000000" w:fill="FFFFFF"/>
            <w:vAlign w:val="center"/>
            <w:hideMark/>
          </w:tcPr>
          <w:p w14:paraId="6C18CC5A" w14:textId="77777777" w:rsidR="00864431" w:rsidRPr="00FE5A72" w:rsidRDefault="00864431" w:rsidP="00FE5A72">
            <w:pPr>
              <w:rPr>
                <w:rFonts w:cs="Arial"/>
                <w:sz w:val="20"/>
                <w:szCs w:val="20"/>
              </w:rPr>
            </w:pPr>
            <w:r w:rsidRPr="00FE5A72">
              <w:rPr>
                <w:rFonts w:cs="Arial"/>
                <w:sz w:val="20"/>
                <w:szCs w:val="20"/>
                <w:lang w:val="en-US"/>
              </w:rPr>
              <w:t>1 to 3</w:t>
            </w:r>
          </w:p>
        </w:tc>
        <w:tc>
          <w:tcPr>
            <w:tcW w:w="992" w:type="dxa"/>
            <w:tcBorders>
              <w:top w:val="single" w:sz="4" w:space="0" w:color="auto"/>
              <w:left w:val="nil"/>
              <w:bottom w:val="nil"/>
              <w:right w:val="nil"/>
            </w:tcBorders>
            <w:shd w:val="clear" w:color="000000" w:fill="FFFFFF"/>
            <w:vAlign w:val="center"/>
            <w:hideMark/>
          </w:tcPr>
          <w:p w14:paraId="0E648951" w14:textId="77777777" w:rsidR="00864431" w:rsidRPr="00FE5A72" w:rsidRDefault="00864431" w:rsidP="00FE5A72">
            <w:pPr>
              <w:jc w:val="center"/>
              <w:rPr>
                <w:rFonts w:cs="Arial"/>
                <w:sz w:val="20"/>
                <w:szCs w:val="20"/>
              </w:rPr>
            </w:pPr>
            <w:r w:rsidRPr="00FE5A72">
              <w:rPr>
                <w:rFonts w:cs="Arial"/>
                <w:sz w:val="20"/>
                <w:szCs w:val="20"/>
                <w:lang w:val="en-US"/>
              </w:rPr>
              <w:t>72846</w:t>
            </w:r>
          </w:p>
        </w:tc>
        <w:tc>
          <w:tcPr>
            <w:tcW w:w="992" w:type="dxa"/>
            <w:tcBorders>
              <w:top w:val="single" w:sz="4" w:space="0" w:color="auto"/>
              <w:left w:val="nil"/>
              <w:bottom w:val="nil"/>
              <w:right w:val="single" w:sz="4" w:space="0" w:color="auto"/>
            </w:tcBorders>
            <w:shd w:val="clear" w:color="000000" w:fill="FFFFFF"/>
            <w:vAlign w:val="center"/>
            <w:hideMark/>
          </w:tcPr>
          <w:p w14:paraId="41F49C34" w14:textId="77777777" w:rsidR="00864431" w:rsidRPr="00FE5A72" w:rsidRDefault="00864431" w:rsidP="00FE5A72">
            <w:pPr>
              <w:jc w:val="right"/>
              <w:rPr>
                <w:rFonts w:cs="Arial"/>
                <w:sz w:val="20"/>
                <w:szCs w:val="20"/>
              </w:rPr>
            </w:pPr>
            <w:r w:rsidRPr="00FE5A72">
              <w:rPr>
                <w:rFonts w:cs="Arial"/>
                <w:sz w:val="20"/>
                <w:szCs w:val="20"/>
                <w:lang w:val="en-US"/>
              </w:rPr>
              <w:t>59.6</w:t>
            </w:r>
          </w:p>
        </w:tc>
        <w:tc>
          <w:tcPr>
            <w:tcW w:w="992" w:type="dxa"/>
            <w:tcBorders>
              <w:top w:val="single" w:sz="4" w:space="0" w:color="auto"/>
              <w:left w:val="nil"/>
              <w:bottom w:val="nil"/>
              <w:right w:val="nil"/>
            </w:tcBorders>
            <w:shd w:val="clear" w:color="000000" w:fill="FFFFFF"/>
            <w:vAlign w:val="center"/>
            <w:hideMark/>
          </w:tcPr>
          <w:p w14:paraId="60193E12" w14:textId="77777777" w:rsidR="00864431" w:rsidRPr="00FE5A72" w:rsidRDefault="00864431" w:rsidP="00FE5A72">
            <w:pPr>
              <w:jc w:val="right"/>
              <w:rPr>
                <w:rFonts w:cs="Arial"/>
                <w:sz w:val="20"/>
                <w:szCs w:val="20"/>
              </w:rPr>
            </w:pPr>
            <w:r w:rsidRPr="00FE5A72">
              <w:rPr>
                <w:rFonts w:cs="Arial"/>
                <w:sz w:val="20"/>
                <w:szCs w:val="20"/>
                <w:lang w:val="en-US"/>
              </w:rPr>
              <w:t>73059</w:t>
            </w:r>
          </w:p>
        </w:tc>
        <w:tc>
          <w:tcPr>
            <w:tcW w:w="1134" w:type="dxa"/>
            <w:tcBorders>
              <w:top w:val="single" w:sz="4" w:space="0" w:color="auto"/>
              <w:left w:val="nil"/>
              <w:bottom w:val="nil"/>
              <w:right w:val="single" w:sz="4" w:space="0" w:color="auto"/>
            </w:tcBorders>
            <w:shd w:val="clear" w:color="000000" w:fill="FFFFFF"/>
            <w:vAlign w:val="center"/>
            <w:hideMark/>
          </w:tcPr>
          <w:p w14:paraId="436F27CF" w14:textId="77777777" w:rsidR="00864431" w:rsidRPr="00FE5A72" w:rsidRDefault="00864431" w:rsidP="00FE5A72">
            <w:pPr>
              <w:jc w:val="right"/>
              <w:rPr>
                <w:rFonts w:cs="Arial"/>
                <w:sz w:val="20"/>
                <w:szCs w:val="20"/>
              </w:rPr>
            </w:pPr>
            <w:r w:rsidRPr="00FE5A72">
              <w:rPr>
                <w:rFonts w:cs="Arial"/>
                <w:sz w:val="20"/>
                <w:szCs w:val="20"/>
                <w:lang w:val="en-US"/>
              </w:rPr>
              <w:t>43</w:t>
            </w:r>
          </w:p>
        </w:tc>
        <w:tc>
          <w:tcPr>
            <w:tcW w:w="1134" w:type="dxa"/>
            <w:tcBorders>
              <w:top w:val="single" w:sz="4" w:space="0" w:color="auto"/>
              <w:left w:val="nil"/>
              <w:bottom w:val="nil"/>
              <w:right w:val="single" w:sz="4" w:space="0" w:color="auto"/>
            </w:tcBorders>
            <w:shd w:val="clear" w:color="000000" w:fill="FFFFFF"/>
            <w:vAlign w:val="center"/>
            <w:hideMark/>
          </w:tcPr>
          <w:p w14:paraId="1A56FFED" w14:textId="77777777" w:rsidR="00864431" w:rsidRPr="00FE5A72" w:rsidRDefault="00864431" w:rsidP="00FE5A72">
            <w:pPr>
              <w:jc w:val="right"/>
              <w:rPr>
                <w:rFonts w:cs="Arial"/>
                <w:sz w:val="20"/>
                <w:szCs w:val="20"/>
              </w:rPr>
            </w:pPr>
            <w:r w:rsidRPr="00FE5A72">
              <w:rPr>
                <w:rFonts w:cs="Arial"/>
                <w:sz w:val="20"/>
                <w:szCs w:val="20"/>
                <w:lang w:val="en-US"/>
              </w:rPr>
              <w:t>1749</w:t>
            </w:r>
          </w:p>
        </w:tc>
        <w:tc>
          <w:tcPr>
            <w:tcW w:w="1418" w:type="dxa"/>
            <w:tcBorders>
              <w:top w:val="single" w:sz="4" w:space="0" w:color="auto"/>
              <w:left w:val="nil"/>
              <w:bottom w:val="nil"/>
              <w:right w:val="nil"/>
            </w:tcBorders>
            <w:shd w:val="clear" w:color="000000" w:fill="FFFFFF"/>
            <w:vAlign w:val="center"/>
            <w:hideMark/>
          </w:tcPr>
          <w:p w14:paraId="16A4E4C4" w14:textId="77777777" w:rsidR="00864431" w:rsidRPr="00FE5A72" w:rsidRDefault="00864431" w:rsidP="00FE5A72">
            <w:pPr>
              <w:jc w:val="right"/>
              <w:rPr>
                <w:rFonts w:cs="Arial"/>
                <w:sz w:val="20"/>
                <w:szCs w:val="20"/>
              </w:rPr>
            </w:pPr>
            <w:r w:rsidRPr="00FE5A72">
              <w:rPr>
                <w:rFonts w:cs="Arial"/>
                <w:sz w:val="20"/>
                <w:szCs w:val="20"/>
                <w:lang w:val="en-US"/>
              </w:rPr>
              <w:t>75</w:t>
            </w:r>
            <w:r w:rsidR="00040C79">
              <w:rPr>
                <w:rFonts w:cs="Arial"/>
                <w:sz w:val="20"/>
                <w:szCs w:val="20"/>
                <w:lang w:val="en-US"/>
              </w:rPr>
              <w:t xml:space="preserve"> </w:t>
            </w:r>
            <w:r w:rsidRPr="00FE5A72">
              <w:rPr>
                <w:rFonts w:cs="Arial"/>
                <w:sz w:val="20"/>
                <w:szCs w:val="20"/>
                <w:lang w:val="en-US"/>
              </w:rPr>
              <w:t>207</w:t>
            </w:r>
            <w:r w:rsidR="00040C79">
              <w:rPr>
                <w:rFonts w:cs="Arial"/>
                <w:sz w:val="20"/>
                <w:szCs w:val="20"/>
                <w:lang w:val="en-US"/>
              </w:rPr>
              <w:t>.00</w:t>
            </w:r>
          </w:p>
        </w:tc>
        <w:tc>
          <w:tcPr>
            <w:tcW w:w="1134" w:type="dxa"/>
            <w:tcBorders>
              <w:top w:val="single" w:sz="4" w:space="0" w:color="auto"/>
              <w:left w:val="nil"/>
              <w:bottom w:val="nil"/>
              <w:right w:val="single" w:sz="4" w:space="0" w:color="auto"/>
            </w:tcBorders>
            <w:shd w:val="clear" w:color="000000" w:fill="FFFFFF"/>
            <w:vAlign w:val="center"/>
            <w:hideMark/>
          </w:tcPr>
          <w:p w14:paraId="4EE8F97C" w14:textId="77777777" w:rsidR="00864431" w:rsidRPr="00FE5A72" w:rsidRDefault="00864431" w:rsidP="00FE5A72">
            <w:pPr>
              <w:jc w:val="right"/>
              <w:rPr>
                <w:rFonts w:cs="Arial"/>
                <w:sz w:val="20"/>
                <w:szCs w:val="20"/>
              </w:rPr>
            </w:pPr>
            <w:r w:rsidRPr="00FE5A72">
              <w:rPr>
                <w:rFonts w:cs="Arial"/>
                <w:sz w:val="20"/>
                <w:szCs w:val="20"/>
                <w:lang w:val="en-US"/>
              </w:rPr>
              <w:t>104</w:t>
            </w:r>
            <w:r w:rsidR="00087BB4">
              <w:rPr>
                <w:rFonts w:cs="Arial"/>
                <w:sz w:val="20"/>
                <w:szCs w:val="20"/>
                <w:lang w:val="en-US"/>
              </w:rPr>
              <w:t xml:space="preserve"> </w:t>
            </w:r>
            <w:r w:rsidRPr="00FE5A72">
              <w:rPr>
                <w:rFonts w:cs="Arial"/>
                <w:sz w:val="20"/>
                <w:szCs w:val="20"/>
                <w:lang w:val="en-US"/>
              </w:rPr>
              <w:t>240.4</w:t>
            </w:r>
            <w:r w:rsidR="00087BB4">
              <w:rPr>
                <w:rFonts w:cs="Arial"/>
                <w:sz w:val="20"/>
                <w:szCs w:val="20"/>
                <w:lang w:val="en-US"/>
              </w:rPr>
              <w:t>0</w:t>
            </w:r>
          </w:p>
        </w:tc>
      </w:tr>
      <w:tr w:rsidR="00087BB4" w:rsidRPr="00864431" w14:paraId="15CF167D" w14:textId="77777777" w:rsidTr="00FE5A72">
        <w:trPr>
          <w:trHeight w:val="300"/>
        </w:trPr>
        <w:tc>
          <w:tcPr>
            <w:tcW w:w="1008" w:type="dxa"/>
            <w:tcBorders>
              <w:top w:val="nil"/>
              <w:left w:val="single" w:sz="4" w:space="0" w:color="auto"/>
              <w:bottom w:val="nil"/>
              <w:right w:val="single" w:sz="4" w:space="0" w:color="auto"/>
            </w:tcBorders>
            <w:shd w:val="clear" w:color="000000" w:fill="FFFFFF"/>
            <w:vAlign w:val="center"/>
            <w:hideMark/>
          </w:tcPr>
          <w:p w14:paraId="5DDBF40C" w14:textId="77777777" w:rsidR="00864431" w:rsidRPr="00FE5A72" w:rsidRDefault="00864431" w:rsidP="00FE5A72">
            <w:pPr>
              <w:rPr>
                <w:rFonts w:cs="Arial"/>
                <w:sz w:val="20"/>
                <w:szCs w:val="20"/>
              </w:rPr>
            </w:pPr>
            <w:r w:rsidRPr="00FE5A72">
              <w:rPr>
                <w:rFonts w:cs="Arial"/>
                <w:sz w:val="20"/>
                <w:szCs w:val="20"/>
                <w:lang w:val="en-US"/>
              </w:rPr>
              <w:t>4 to 6</w:t>
            </w:r>
          </w:p>
        </w:tc>
        <w:tc>
          <w:tcPr>
            <w:tcW w:w="992" w:type="dxa"/>
            <w:tcBorders>
              <w:top w:val="nil"/>
              <w:left w:val="nil"/>
              <w:bottom w:val="nil"/>
              <w:right w:val="nil"/>
            </w:tcBorders>
            <w:shd w:val="clear" w:color="000000" w:fill="FFFFFF"/>
            <w:vAlign w:val="center"/>
            <w:hideMark/>
          </w:tcPr>
          <w:p w14:paraId="5A2E4FE4" w14:textId="77777777" w:rsidR="00864431" w:rsidRPr="00FE5A72" w:rsidRDefault="00864431" w:rsidP="00FE5A72">
            <w:pPr>
              <w:jc w:val="center"/>
              <w:rPr>
                <w:rFonts w:cs="Arial"/>
                <w:sz w:val="20"/>
                <w:szCs w:val="20"/>
              </w:rPr>
            </w:pPr>
            <w:r w:rsidRPr="00FE5A72">
              <w:rPr>
                <w:rFonts w:cs="Arial"/>
                <w:sz w:val="20"/>
                <w:szCs w:val="20"/>
                <w:lang w:val="en-US"/>
              </w:rPr>
              <w:t>72847</w:t>
            </w:r>
          </w:p>
        </w:tc>
        <w:tc>
          <w:tcPr>
            <w:tcW w:w="992" w:type="dxa"/>
            <w:tcBorders>
              <w:top w:val="nil"/>
              <w:left w:val="nil"/>
              <w:bottom w:val="nil"/>
              <w:right w:val="single" w:sz="4" w:space="0" w:color="auto"/>
            </w:tcBorders>
            <w:shd w:val="clear" w:color="000000" w:fill="FFFFFF"/>
            <w:vAlign w:val="center"/>
            <w:hideMark/>
          </w:tcPr>
          <w:p w14:paraId="3DBBCE5F" w14:textId="77777777" w:rsidR="00864431" w:rsidRPr="00FE5A72" w:rsidRDefault="00864431" w:rsidP="00FE5A72">
            <w:pPr>
              <w:jc w:val="right"/>
              <w:rPr>
                <w:rFonts w:cs="Arial"/>
                <w:sz w:val="20"/>
                <w:szCs w:val="20"/>
              </w:rPr>
            </w:pPr>
            <w:r w:rsidRPr="00FE5A72">
              <w:rPr>
                <w:rFonts w:cs="Arial"/>
                <w:sz w:val="20"/>
                <w:szCs w:val="20"/>
                <w:lang w:val="en-US"/>
              </w:rPr>
              <w:t>89.4</w:t>
            </w:r>
          </w:p>
        </w:tc>
        <w:tc>
          <w:tcPr>
            <w:tcW w:w="992" w:type="dxa"/>
            <w:tcBorders>
              <w:top w:val="nil"/>
              <w:left w:val="nil"/>
              <w:bottom w:val="nil"/>
              <w:right w:val="nil"/>
            </w:tcBorders>
            <w:shd w:val="clear" w:color="000000" w:fill="FFFFFF"/>
            <w:vAlign w:val="center"/>
            <w:hideMark/>
          </w:tcPr>
          <w:p w14:paraId="68E8E59B" w14:textId="77777777" w:rsidR="00864431" w:rsidRPr="00FE5A72" w:rsidRDefault="00864431" w:rsidP="00FE5A72">
            <w:pPr>
              <w:jc w:val="right"/>
              <w:rPr>
                <w:rFonts w:cs="Arial"/>
                <w:sz w:val="20"/>
                <w:szCs w:val="20"/>
              </w:rPr>
            </w:pPr>
            <w:r w:rsidRPr="00FE5A72">
              <w:rPr>
                <w:rFonts w:cs="Arial"/>
                <w:sz w:val="20"/>
                <w:szCs w:val="20"/>
                <w:lang w:val="en-US"/>
              </w:rPr>
              <w:t>73060</w:t>
            </w:r>
          </w:p>
        </w:tc>
        <w:tc>
          <w:tcPr>
            <w:tcW w:w="1134" w:type="dxa"/>
            <w:tcBorders>
              <w:top w:val="nil"/>
              <w:left w:val="nil"/>
              <w:bottom w:val="nil"/>
              <w:right w:val="single" w:sz="4" w:space="0" w:color="auto"/>
            </w:tcBorders>
            <w:shd w:val="clear" w:color="000000" w:fill="FFFFFF"/>
            <w:vAlign w:val="center"/>
            <w:hideMark/>
          </w:tcPr>
          <w:p w14:paraId="49BD5602" w14:textId="77777777" w:rsidR="00864431" w:rsidRPr="00FE5A72" w:rsidRDefault="00864431" w:rsidP="00FE5A72">
            <w:pPr>
              <w:jc w:val="right"/>
              <w:rPr>
                <w:rFonts w:cs="Arial"/>
                <w:sz w:val="20"/>
                <w:szCs w:val="20"/>
              </w:rPr>
            </w:pPr>
            <w:r w:rsidRPr="00FE5A72">
              <w:rPr>
                <w:rFonts w:cs="Arial"/>
                <w:sz w:val="20"/>
                <w:szCs w:val="20"/>
                <w:lang w:val="en-US"/>
              </w:rPr>
              <w:t>57.35</w:t>
            </w:r>
          </w:p>
        </w:tc>
        <w:tc>
          <w:tcPr>
            <w:tcW w:w="1134" w:type="dxa"/>
            <w:tcBorders>
              <w:top w:val="nil"/>
              <w:left w:val="nil"/>
              <w:bottom w:val="nil"/>
              <w:right w:val="single" w:sz="4" w:space="0" w:color="auto"/>
            </w:tcBorders>
            <w:shd w:val="clear" w:color="000000" w:fill="FFFFFF"/>
            <w:vAlign w:val="center"/>
            <w:hideMark/>
          </w:tcPr>
          <w:p w14:paraId="7F995760" w14:textId="77777777" w:rsidR="00864431" w:rsidRPr="00FE5A72" w:rsidRDefault="00864431" w:rsidP="00FE5A72">
            <w:pPr>
              <w:jc w:val="right"/>
              <w:rPr>
                <w:rFonts w:cs="Arial"/>
                <w:sz w:val="20"/>
                <w:szCs w:val="20"/>
              </w:rPr>
            </w:pPr>
            <w:r w:rsidRPr="00FE5A72">
              <w:rPr>
                <w:rFonts w:cs="Arial"/>
                <w:sz w:val="20"/>
                <w:szCs w:val="20"/>
                <w:lang w:val="en-US"/>
              </w:rPr>
              <w:t>2175</w:t>
            </w:r>
          </w:p>
        </w:tc>
        <w:tc>
          <w:tcPr>
            <w:tcW w:w="1418" w:type="dxa"/>
            <w:tcBorders>
              <w:top w:val="nil"/>
              <w:left w:val="nil"/>
              <w:bottom w:val="nil"/>
              <w:right w:val="nil"/>
            </w:tcBorders>
            <w:shd w:val="clear" w:color="000000" w:fill="FFFFFF"/>
            <w:vAlign w:val="center"/>
            <w:hideMark/>
          </w:tcPr>
          <w:p w14:paraId="38B9F71C" w14:textId="77777777" w:rsidR="00864431" w:rsidRPr="00FE5A72" w:rsidRDefault="00864431" w:rsidP="00FE5A72">
            <w:pPr>
              <w:jc w:val="right"/>
              <w:rPr>
                <w:rFonts w:cs="Arial"/>
                <w:sz w:val="20"/>
                <w:szCs w:val="20"/>
              </w:rPr>
            </w:pPr>
            <w:r w:rsidRPr="00FE5A72">
              <w:rPr>
                <w:rFonts w:cs="Arial"/>
                <w:sz w:val="20"/>
                <w:szCs w:val="20"/>
                <w:lang w:val="en-US"/>
              </w:rPr>
              <w:t>124</w:t>
            </w:r>
            <w:r w:rsidR="00087BB4">
              <w:rPr>
                <w:rFonts w:cs="Arial"/>
                <w:sz w:val="20"/>
                <w:szCs w:val="20"/>
                <w:lang w:val="en-US"/>
              </w:rPr>
              <w:t xml:space="preserve"> </w:t>
            </w:r>
            <w:r w:rsidRPr="00FE5A72">
              <w:rPr>
                <w:rFonts w:cs="Arial"/>
                <w:sz w:val="20"/>
                <w:szCs w:val="20"/>
                <w:lang w:val="en-US"/>
              </w:rPr>
              <w:t>736.3</w:t>
            </w:r>
            <w:r w:rsidR="00040C79">
              <w:rPr>
                <w:rFonts w:cs="Arial"/>
                <w:sz w:val="20"/>
                <w:szCs w:val="20"/>
                <w:lang w:val="en-US"/>
              </w:rPr>
              <w:t>0</w:t>
            </w:r>
          </w:p>
        </w:tc>
        <w:tc>
          <w:tcPr>
            <w:tcW w:w="1134" w:type="dxa"/>
            <w:tcBorders>
              <w:top w:val="nil"/>
              <w:left w:val="nil"/>
              <w:bottom w:val="nil"/>
              <w:right w:val="single" w:sz="4" w:space="0" w:color="auto"/>
            </w:tcBorders>
            <w:shd w:val="clear" w:color="000000" w:fill="FFFFFF"/>
            <w:vAlign w:val="center"/>
            <w:hideMark/>
          </w:tcPr>
          <w:p w14:paraId="5149C31D" w14:textId="77777777" w:rsidR="00864431" w:rsidRPr="00FE5A72" w:rsidRDefault="00864431" w:rsidP="00FE5A72">
            <w:pPr>
              <w:jc w:val="right"/>
              <w:rPr>
                <w:rFonts w:cs="Arial"/>
                <w:sz w:val="20"/>
                <w:szCs w:val="20"/>
              </w:rPr>
            </w:pPr>
            <w:r w:rsidRPr="00FE5A72">
              <w:rPr>
                <w:rFonts w:cs="Arial"/>
                <w:sz w:val="20"/>
                <w:szCs w:val="20"/>
                <w:lang w:val="en-US"/>
              </w:rPr>
              <w:t>194</w:t>
            </w:r>
            <w:r w:rsidR="00087BB4">
              <w:rPr>
                <w:rFonts w:cs="Arial"/>
                <w:sz w:val="20"/>
                <w:szCs w:val="20"/>
                <w:lang w:val="en-US"/>
              </w:rPr>
              <w:t xml:space="preserve"> </w:t>
            </w:r>
            <w:r w:rsidRPr="00FE5A72">
              <w:rPr>
                <w:rFonts w:cs="Arial"/>
                <w:sz w:val="20"/>
                <w:szCs w:val="20"/>
                <w:lang w:val="en-US"/>
              </w:rPr>
              <w:t>445</w:t>
            </w:r>
            <w:r w:rsidR="00087BB4">
              <w:rPr>
                <w:rFonts w:cs="Arial"/>
                <w:sz w:val="20"/>
                <w:szCs w:val="20"/>
                <w:lang w:val="en-US"/>
              </w:rPr>
              <w:t>.00</w:t>
            </w:r>
          </w:p>
        </w:tc>
      </w:tr>
      <w:tr w:rsidR="00087BB4" w:rsidRPr="00864431" w14:paraId="21695E7D" w14:textId="77777777" w:rsidTr="00FE5A72">
        <w:trPr>
          <w:trHeight w:val="300"/>
        </w:trPr>
        <w:tc>
          <w:tcPr>
            <w:tcW w:w="1008" w:type="dxa"/>
            <w:tcBorders>
              <w:top w:val="nil"/>
              <w:left w:val="single" w:sz="4" w:space="0" w:color="auto"/>
              <w:bottom w:val="nil"/>
              <w:right w:val="single" w:sz="4" w:space="0" w:color="auto"/>
            </w:tcBorders>
            <w:shd w:val="clear" w:color="000000" w:fill="FFFFFF"/>
            <w:vAlign w:val="center"/>
            <w:hideMark/>
          </w:tcPr>
          <w:p w14:paraId="449E82EA" w14:textId="77777777" w:rsidR="00864431" w:rsidRPr="00FE5A72" w:rsidRDefault="00864431" w:rsidP="00FE5A72">
            <w:pPr>
              <w:rPr>
                <w:rFonts w:cs="Arial"/>
                <w:sz w:val="20"/>
                <w:szCs w:val="20"/>
              </w:rPr>
            </w:pPr>
            <w:r w:rsidRPr="00FE5A72">
              <w:rPr>
                <w:rFonts w:cs="Arial"/>
                <w:sz w:val="20"/>
                <w:szCs w:val="20"/>
                <w:lang w:val="en-US"/>
              </w:rPr>
              <w:t>7 to 10</w:t>
            </w:r>
          </w:p>
        </w:tc>
        <w:tc>
          <w:tcPr>
            <w:tcW w:w="992" w:type="dxa"/>
            <w:tcBorders>
              <w:top w:val="nil"/>
              <w:left w:val="nil"/>
              <w:bottom w:val="nil"/>
              <w:right w:val="nil"/>
            </w:tcBorders>
            <w:shd w:val="clear" w:color="000000" w:fill="FFFFFF"/>
            <w:vAlign w:val="center"/>
            <w:hideMark/>
          </w:tcPr>
          <w:p w14:paraId="10112C1E" w14:textId="77777777" w:rsidR="00864431" w:rsidRPr="00FE5A72" w:rsidRDefault="00864431" w:rsidP="00FE5A72">
            <w:pPr>
              <w:jc w:val="center"/>
              <w:rPr>
                <w:rFonts w:cs="Arial"/>
                <w:sz w:val="20"/>
                <w:szCs w:val="20"/>
              </w:rPr>
            </w:pPr>
            <w:r w:rsidRPr="00FE5A72">
              <w:rPr>
                <w:rFonts w:cs="Arial"/>
                <w:sz w:val="20"/>
                <w:szCs w:val="20"/>
                <w:lang w:val="en-US"/>
              </w:rPr>
              <w:t>72849</w:t>
            </w:r>
          </w:p>
        </w:tc>
        <w:tc>
          <w:tcPr>
            <w:tcW w:w="992" w:type="dxa"/>
            <w:tcBorders>
              <w:top w:val="nil"/>
              <w:left w:val="nil"/>
              <w:bottom w:val="nil"/>
              <w:right w:val="single" w:sz="4" w:space="0" w:color="auto"/>
            </w:tcBorders>
            <w:shd w:val="clear" w:color="000000" w:fill="FFFFFF"/>
            <w:vAlign w:val="center"/>
            <w:hideMark/>
          </w:tcPr>
          <w:p w14:paraId="7DD63DF5" w14:textId="77777777" w:rsidR="00864431" w:rsidRPr="00FE5A72" w:rsidRDefault="00864431" w:rsidP="00FE5A72">
            <w:pPr>
              <w:jc w:val="right"/>
              <w:rPr>
                <w:rFonts w:cs="Arial"/>
                <w:sz w:val="20"/>
                <w:szCs w:val="20"/>
              </w:rPr>
            </w:pPr>
            <w:r w:rsidRPr="00FE5A72">
              <w:rPr>
                <w:rFonts w:cs="Arial"/>
                <w:sz w:val="20"/>
                <w:szCs w:val="20"/>
                <w:lang w:val="en-US"/>
              </w:rPr>
              <w:t>104.3</w:t>
            </w:r>
          </w:p>
        </w:tc>
        <w:tc>
          <w:tcPr>
            <w:tcW w:w="992" w:type="dxa"/>
            <w:tcBorders>
              <w:top w:val="nil"/>
              <w:left w:val="nil"/>
              <w:bottom w:val="nil"/>
              <w:right w:val="nil"/>
            </w:tcBorders>
            <w:shd w:val="clear" w:color="000000" w:fill="FFFFFF"/>
            <w:vAlign w:val="center"/>
            <w:hideMark/>
          </w:tcPr>
          <w:p w14:paraId="1F13CFA6" w14:textId="77777777" w:rsidR="00864431" w:rsidRPr="00FE5A72" w:rsidRDefault="00864431" w:rsidP="00FE5A72">
            <w:pPr>
              <w:jc w:val="right"/>
              <w:rPr>
                <w:rFonts w:cs="Arial"/>
                <w:sz w:val="20"/>
                <w:szCs w:val="20"/>
              </w:rPr>
            </w:pPr>
            <w:r w:rsidRPr="00FE5A72">
              <w:rPr>
                <w:rFonts w:cs="Arial"/>
                <w:sz w:val="20"/>
                <w:szCs w:val="20"/>
                <w:lang w:val="en-US"/>
              </w:rPr>
              <w:t>73064</w:t>
            </w:r>
          </w:p>
        </w:tc>
        <w:tc>
          <w:tcPr>
            <w:tcW w:w="1134" w:type="dxa"/>
            <w:tcBorders>
              <w:top w:val="nil"/>
              <w:left w:val="nil"/>
              <w:bottom w:val="nil"/>
              <w:right w:val="single" w:sz="4" w:space="0" w:color="auto"/>
            </w:tcBorders>
            <w:shd w:val="clear" w:color="000000" w:fill="FFFFFF"/>
            <w:vAlign w:val="center"/>
            <w:hideMark/>
          </w:tcPr>
          <w:p w14:paraId="5611DFA8" w14:textId="77777777" w:rsidR="00864431" w:rsidRPr="00FE5A72" w:rsidRDefault="00864431" w:rsidP="00FE5A72">
            <w:pPr>
              <w:jc w:val="right"/>
              <w:rPr>
                <w:rFonts w:cs="Arial"/>
                <w:sz w:val="20"/>
                <w:szCs w:val="20"/>
              </w:rPr>
            </w:pPr>
            <w:r w:rsidRPr="00FE5A72">
              <w:rPr>
                <w:rFonts w:cs="Arial"/>
                <w:sz w:val="20"/>
                <w:szCs w:val="20"/>
                <w:lang w:val="en-US"/>
              </w:rPr>
              <w:t>71.7</w:t>
            </w:r>
          </w:p>
        </w:tc>
        <w:tc>
          <w:tcPr>
            <w:tcW w:w="1134" w:type="dxa"/>
            <w:tcBorders>
              <w:top w:val="nil"/>
              <w:left w:val="nil"/>
              <w:bottom w:val="nil"/>
              <w:right w:val="single" w:sz="4" w:space="0" w:color="auto"/>
            </w:tcBorders>
            <w:shd w:val="clear" w:color="000000" w:fill="FFFFFF"/>
            <w:vAlign w:val="center"/>
            <w:hideMark/>
          </w:tcPr>
          <w:p w14:paraId="06BE0D65" w14:textId="77777777" w:rsidR="00864431" w:rsidRPr="00FE5A72" w:rsidRDefault="00864431" w:rsidP="00FE5A72">
            <w:pPr>
              <w:jc w:val="right"/>
              <w:rPr>
                <w:rFonts w:cs="Arial"/>
                <w:sz w:val="20"/>
                <w:szCs w:val="20"/>
              </w:rPr>
            </w:pPr>
            <w:r w:rsidRPr="00FE5A72">
              <w:rPr>
                <w:rFonts w:cs="Arial"/>
                <w:sz w:val="20"/>
                <w:szCs w:val="20"/>
                <w:lang w:val="en-US"/>
              </w:rPr>
              <w:t>1278</w:t>
            </w:r>
          </w:p>
        </w:tc>
        <w:tc>
          <w:tcPr>
            <w:tcW w:w="1418" w:type="dxa"/>
            <w:tcBorders>
              <w:top w:val="nil"/>
              <w:left w:val="nil"/>
              <w:bottom w:val="nil"/>
              <w:right w:val="nil"/>
            </w:tcBorders>
            <w:shd w:val="clear" w:color="000000" w:fill="FFFFFF"/>
            <w:vAlign w:val="center"/>
            <w:hideMark/>
          </w:tcPr>
          <w:p w14:paraId="44149B9B" w14:textId="77777777" w:rsidR="00864431" w:rsidRPr="00FE5A72" w:rsidRDefault="00864431" w:rsidP="00FE5A72">
            <w:pPr>
              <w:jc w:val="right"/>
              <w:rPr>
                <w:rFonts w:cs="Arial"/>
                <w:sz w:val="20"/>
                <w:szCs w:val="20"/>
              </w:rPr>
            </w:pPr>
            <w:r w:rsidRPr="00FE5A72">
              <w:rPr>
                <w:rFonts w:cs="Arial"/>
                <w:sz w:val="20"/>
                <w:szCs w:val="20"/>
                <w:lang w:val="en-US"/>
              </w:rPr>
              <w:t>91</w:t>
            </w:r>
            <w:r w:rsidR="00087BB4">
              <w:rPr>
                <w:rFonts w:cs="Arial"/>
                <w:sz w:val="20"/>
                <w:szCs w:val="20"/>
                <w:lang w:val="en-US"/>
              </w:rPr>
              <w:t xml:space="preserve"> </w:t>
            </w:r>
            <w:r w:rsidRPr="00FE5A72">
              <w:rPr>
                <w:rFonts w:cs="Arial"/>
                <w:sz w:val="20"/>
                <w:szCs w:val="20"/>
                <w:lang w:val="en-US"/>
              </w:rPr>
              <w:t>632.6</w:t>
            </w:r>
            <w:r w:rsidR="00040C79">
              <w:rPr>
                <w:rFonts w:cs="Arial"/>
                <w:sz w:val="20"/>
                <w:szCs w:val="20"/>
                <w:lang w:val="en-US"/>
              </w:rPr>
              <w:t>0</w:t>
            </w:r>
          </w:p>
        </w:tc>
        <w:tc>
          <w:tcPr>
            <w:tcW w:w="1134" w:type="dxa"/>
            <w:tcBorders>
              <w:top w:val="nil"/>
              <w:left w:val="nil"/>
              <w:bottom w:val="nil"/>
              <w:right w:val="single" w:sz="4" w:space="0" w:color="auto"/>
            </w:tcBorders>
            <w:shd w:val="clear" w:color="000000" w:fill="FFFFFF"/>
            <w:vAlign w:val="center"/>
            <w:hideMark/>
          </w:tcPr>
          <w:p w14:paraId="65A260D3" w14:textId="77777777" w:rsidR="00864431" w:rsidRPr="00FE5A72" w:rsidRDefault="00864431" w:rsidP="00FE5A72">
            <w:pPr>
              <w:jc w:val="right"/>
              <w:rPr>
                <w:rFonts w:cs="Arial"/>
                <w:sz w:val="20"/>
                <w:szCs w:val="20"/>
              </w:rPr>
            </w:pPr>
            <w:r w:rsidRPr="00FE5A72">
              <w:rPr>
                <w:rFonts w:cs="Arial"/>
                <w:sz w:val="20"/>
                <w:szCs w:val="20"/>
                <w:lang w:val="en-US"/>
              </w:rPr>
              <w:t>133</w:t>
            </w:r>
            <w:r w:rsidR="00087BB4">
              <w:rPr>
                <w:rFonts w:cs="Arial"/>
                <w:sz w:val="20"/>
                <w:szCs w:val="20"/>
                <w:lang w:val="en-US"/>
              </w:rPr>
              <w:t xml:space="preserve"> </w:t>
            </w:r>
            <w:r w:rsidRPr="00FE5A72">
              <w:rPr>
                <w:rFonts w:cs="Arial"/>
                <w:sz w:val="20"/>
                <w:szCs w:val="20"/>
                <w:lang w:val="en-US"/>
              </w:rPr>
              <w:t>295.4</w:t>
            </w:r>
            <w:r w:rsidR="00087BB4">
              <w:rPr>
                <w:rFonts w:cs="Arial"/>
                <w:sz w:val="20"/>
                <w:szCs w:val="20"/>
                <w:lang w:val="en-US"/>
              </w:rPr>
              <w:t>0</w:t>
            </w:r>
          </w:p>
        </w:tc>
      </w:tr>
      <w:tr w:rsidR="00087BB4" w:rsidRPr="00864431" w14:paraId="6E924AAD" w14:textId="77777777" w:rsidTr="00FE5A72">
        <w:trPr>
          <w:trHeight w:val="300"/>
        </w:trPr>
        <w:tc>
          <w:tcPr>
            <w:tcW w:w="1008" w:type="dxa"/>
            <w:tcBorders>
              <w:top w:val="nil"/>
              <w:left w:val="single" w:sz="4" w:space="0" w:color="auto"/>
              <w:bottom w:val="nil"/>
              <w:right w:val="single" w:sz="4" w:space="0" w:color="auto"/>
            </w:tcBorders>
            <w:shd w:val="clear" w:color="000000" w:fill="FFFFFF"/>
            <w:vAlign w:val="center"/>
            <w:hideMark/>
          </w:tcPr>
          <w:p w14:paraId="625AA119" w14:textId="77777777" w:rsidR="00864431" w:rsidRPr="00FE5A72" w:rsidRDefault="00864431" w:rsidP="00FE5A72">
            <w:pPr>
              <w:rPr>
                <w:rFonts w:cs="Arial"/>
                <w:sz w:val="20"/>
                <w:szCs w:val="20"/>
              </w:rPr>
            </w:pPr>
            <w:r w:rsidRPr="00FE5A72">
              <w:rPr>
                <w:rFonts w:cs="Arial"/>
                <w:sz w:val="20"/>
                <w:szCs w:val="20"/>
                <w:lang w:val="en-US"/>
              </w:rPr>
              <w:t>11+</w:t>
            </w:r>
          </w:p>
        </w:tc>
        <w:tc>
          <w:tcPr>
            <w:tcW w:w="992" w:type="dxa"/>
            <w:tcBorders>
              <w:top w:val="nil"/>
              <w:left w:val="nil"/>
              <w:bottom w:val="nil"/>
              <w:right w:val="nil"/>
            </w:tcBorders>
            <w:shd w:val="clear" w:color="000000" w:fill="FFFFFF"/>
            <w:vAlign w:val="center"/>
            <w:hideMark/>
          </w:tcPr>
          <w:p w14:paraId="49E3250E" w14:textId="77777777" w:rsidR="00864431" w:rsidRPr="00FE5A72" w:rsidRDefault="00864431" w:rsidP="00FE5A72">
            <w:pPr>
              <w:jc w:val="center"/>
              <w:rPr>
                <w:rFonts w:cs="Arial"/>
                <w:sz w:val="20"/>
                <w:szCs w:val="20"/>
              </w:rPr>
            </w:pPr>
            <w:r w:rsidRPr="00FE5A72">
              <w:rPr>
                <w:rFonts w:cs="Arial"/>
                <w:sz w:val="20"/>
                <w:szCs w:val="20"/>
                <w:lang w:val="en-US"/>
              </w:rPr>
              <w:t>72850</w:t>
            </w:r>
          </w:p>
        </w:tc>
        <w:tc>
          <w:tcPr>
            <w:tcW w:w="992" w:type="dxa"/>
            <w:tcBorders>
              <w:top w:val="nil"/>
              <w:left w:val="nil"/>
              <w:bottom w:val="nil"/>
              <w:right w:val="single" w:sz="4" w:space="0" w:color="auto"/>
            </w:tcBorders>
            <w:shd w:val="clear" w:color="000000" w:fill="FFFFFF"/>
            <w:vAlign w:val="center"/>
            <w:hideMark/>
          </w:tcPr>
          <w:p w14:paraId="2A117649" w14:textId="77777777" w:rsidR="00864431" w:rsidRPr="00FE5A72" w:rsidRDefault="00864431" w:rsidP="00FE5A72">
            <w:pPr>
              <w:jc w:val="right"/>
              <w:rPr>
                <w:rFonts w:cs="Arial"/>
                <w:sz w:val="20"/>
                <w:szCs w:val="20"/>
              </w:rPr>
            </w:pPr>
            <w:r w:rsidRPr="00FE5A72">
              <w:rPr>
                <w:rFonts w:cs="Arial"/>
                <w:sz w:val="20"/>
                <w:szCs w:val="20"/>
                <w:lang w:val="en-US"/>
              </w:rPr>
              <w:t>119.2</w:t>
            </w:r>
          </w:p>
        </w:tc>
        <w:tc>
          <w:tcPr>
            <w:tcW w:w="992" w:type="dxa"/>
            <w:tcBorders>
              <w:top w:val="nil"/>
              <w:left w:val="nil"/>
              <w:bottom w:val="nil"/>
              <w:right w:val="nil"/>
            </w:tcBorders>
            <w:shd w:val="clear" w:color="000000" w:fill="FFFFFF"/>
            <w:vAlign w:val="center"/>
            <w:hideMark/>
          </w:tcPr>
          <w:p w14:paraId="7AF38D15" w14:textId="77777777" w:rsidR="00864431" w:rsidRPr="00FE5A72" w:rsidRDefault="00864431" w:rsidP="00FE5A72">
            <w:pPr>
              <w:jc w:val="right"/>
              <w:rPr>
                <w:rFonts w:cs="Arial"/>
                <w:sz w:val="20"/>
                <w:szCs w:val="20"/>
              </w:rPr>
            </w:pPr>
            <w:r w:rsidRPr="00FE5A72">
              <w:rPr>
                <w:rFonts w:cs="Arial"/>
                <w:sz w:val="20"/>
                <w:szCs w:val="20"/>
                <w:lang w:val="en-US"/>
              </w:rPr>
              <w:t>73065</w:t>
            </w:r>
          </w:p>
        </w:tc>
        <w:tc>
          <w:tcPr>
            <w:tcW w:w="1134" w:type="dxa"/>
            <w:tcBorders>
              <w:top w:val="nil"/>
              <w:left w:val="nil"/>
              <w:bottom w:val="nil"/>
              <w:right w:val="single" w:sz="4" w:space="0" w:color="auto"/>
            </w:tcBorders>
            <w:shd w:val="clear" w:color="000000" w:fill="FFFFFF"/>
            <w:vAlign w:val="center"/>
            <w:hideMark/>
          </w:tcPr>
          <w:p w14:paraId="6C78522A" w14:textId="77777777" w:rsidR="00864431" w:rsidRPr="00FE5A72" w:rsidRDefault="00864431" w:rsidP="00FE5A72">
            <w:pPr>
              <w:jc w:val="right"/>
              <w:rPr>
                <w:rFonts w:cs="Arial"/>
                <w:sz w:val="20"/>
                <w:szCs w:val="20"/>
              </w:rPr>
            </w:pPr>
            <w:r w:rsidRPr="00FE5A72">
              <w:rPr>
                <w:rFonts w:cs="Arial"/>
                <w:sz w:val="20"/>
                <w:szCs w:val="20"/>
                <w:lang w:val="en-US"/>
              </w:rPr>
              <w:t>86</w:t>
            </w:r>
          </w:p>
        </w:tc>
        <w:tc>
          <w:tcPr>
            <w:tcW w:w="1134" w:type="dxa"/>
            <w:tcBorders>
              <w:top w:val="nil"/>
              <w:left w:val="nil"/>
              <w:bottom w:val="nil"/>
              <w:right w:val="single" w:sz="4" w:space="0" w:color="auto"/>
            </w:tcBorders>
            <w:shd w:val="clear" w:color="000000" w:fill="FFFFFF"/>
            <w:vAlign w:val="center"/>
            <w:hideMark/>
          </w:tcPr>
          <w:p w14:paraId="5EF5190E" w14:textId="77777777" w:rsidR="00864431" w:rsidRPr="00FE5A72" w:rsidRDefault="00864431" w:rsidP="00FE5A72">
            <w:pPr>
              <w:jc w:val="right"/>
              <w:rPr>
                <w:rFonts w:cs="Arial"/>
                <w:sz w:val="20"/>
                <w:szCs w:val="20"/>
              </w:rPr>
            </w:pPr>
            <w:r w:rsidRPr="00FE5A72">
              <w:rPr>
                <w:rFonts w:cs="Arial"/>
                <w:sz w:val="20"/>
                <w:szCs w:val="20"/>
                <w:lang w:val="en-US"/>
              </w:rPr>
              <w:t>616</w:t>
            </w:r>
          </w:p>
        </w:tc>
        <w:tc>
          <w:tcPr>
            <w:tcW w:w="1418" w:type="dxa"/>
            <w:tcBorders>
              <w:top w:val="nil"/>
              <w:left w:val="nil"/>
              <w:bottom w:val="nil"/>
              <w:right w:val="nil"/>
            </w:tcBorders>
            <w:shd w:val="clear" w:color="000000" w:fill="FFFFFF"/>
            <w:vAlign w:val="center"/>
            <w:hideMark/>
          </w:tcPr>
          <w:p w14:paraId="7BCF1B67" w14:textId="77777777" w:rsidR="00864431" w:rsidRPr="00FE5A72" w:rsidRDefault="00864431" w:rsidP="00FE5A72">
            <w:pPr>
              <w:jc w:val="right"/>
              <w:rPr>
                <w:rFonts w:cs="Arial"/>
                <w:sz w:val="20"/>
                <w:szCs w:val="20"/>
              </w:rPr>
            </w:pPr>
            <w:r w:rsidRPr="00FE5A72">
              <w:rPr>
                <w:rFonts w:cs="Arial"/>
                <w:sz w:val="20"/>
                <w:szCs w:val="20"/>
                <w:lang w:val="en-US"/>
              </w:rPr>
              <w:t>52</w:t>
            </w:r>
            <w:r w:rsidR="00040C79">
              <w:rPr>
                <w:rFonts w:cs="Arial"/>
                <w:sz w:val="20"/>
                <w:szCs w:val="20"/>
                <w:lang w:val="en-US"/>
              </w:rPr>
              <w:t xml:space="preserve"> </w:t>
            </w:r>
            <w:r w:rsidRPr="00FE5A72">
              <w:rPr>
                <w:rFonts w:cs="Arial"/>
                <w:sz w:val="20"/>
                <w:szCs w:val="20"/>
                <w:lang w:val="en-US"/>
              </w:rPr>
              <w:t>976</w:t>
            </w:r>
          </w:p>
        </w:tc>
        <w:tc>
          <w:tcPr>
            <w:tcW w:w="1134" w:type="dxa"/>
            <w:tcBorders>
              <w:top w:val="nil"/>
              <w:left w:val="nil"/>
              <w:bottom w:val="nil"/>
              <w:right w:val="single" w:sz="4" w:space="0" w:color="auto"/>
            </w:tcBorders>
            <w:shd w:val="clear" w:color="000000" w:fill="FFFFFF"/>
            <w:vAlign w:val="center"/>
            <w:hideMark/>
          </w:tcPr>
          <w:p w14:paraId="535B3F25" w14:textId="77777777" w:rsidR="00864431" w:rsidRPr="00FE5A72" w:rsidRDefault="00864431" w:rsidP="00FE5A72">
            <w:pPr>
              <w:jc w:val="right"/>
              <w:rPr>
                <w:rFonts w:cs="Arial"/>
                <w:sz w:val="20"/>
                <w:szCs w:val="20"/>
              </w:rPr>
            </w:pPr>
            <w:r w:rsidRPr="00FE5A72">
              <w:rPr>
                <w:rFonts w:cs="Arial"/>
                <w:sz w:val="20"/>
                <w:szCs w:val="20"/>
                <w:lang w:val="en-US"/>
              </w:rPr>
              <w:t>73</w:t>
            </w:r>
            <w:r w:rsidR="00087BB4">
              <w:rPr>
                <w:rFonts w:cs="Arial"/>
                <w:sz w:val="20"/>
                <w:szCs w:val="20"/>
                <w:lang w:val="en-US"/>
              </w:rPr>
              <w:t xml:space="preserve"> </w:t>
            </w:r>
            <w:r w:rsidRPr="00FE5A72">
              <w:rPr>
                <w:rFonts w:cs="Arial"/>
                <w:sz w:val="20"/>
                <w:szCs w:val="20"/>
                <w:lang w:val="en-US"/>
              </w:rPr>
              <w:t>427.2</w:t>
            </w:r>
            <w:r w:rsidR="00087BB4">
              <w:rPr>
                <w:rFonts w:cs="Arial"/>
                <w:sz w:val="20"/>
                <w:szCs w:val="20"/>
                <w:lang w:val="en-US"/>
              </w:rPr>
              <w:t>0</w:t>
            </w:r>
          </w:p>
        </w:tc>
      </w:tr>
      <w:tr w:rsidR="00087BB4" w:rsidRPr="00864431" w14:paraId="6C3C090B" w14:textId="77777777" w:rsidTr="00FE5A72">
        <w:trPr>
          <w:trHeight w:hRule="exact" w:val="653"/>
        </w:trPr>
        <w:tc>
          <w:tcPr>
            <w:tcW w:w="1008" w:type="dxa"/>
            <w:tcBorders>
              <w:top w:val="nil"/>
              <w:left w:val="single" w:sz="4" w:space="0" w:color="auto"/>
              <w:bottom w:val="single" w:sz="4" w:space="0" w:color="auto"/>
              <w:right w:val="single" w:sz="4" w:space="0" w:color="auto"/>
            </w:tcBorders>
            <w:shd w:val="clear" w:color="000000" w:fill="FFFFFF"/>
            <w:vAlign w:val="center"/>
            <w:hideMark/>
          </w:tcPr>
          <w:p w14:paraId="7D47BFB0" w14:textId="77777777" w:rsidR="00864431" w:rsidRPr="00FE5A72" w:rsidRDefault="00864431" w:rsidP="00FE5A72">
            <w:pPr>
              <w:rPr>
                <w:rFonts w:cs="Arial"/>
                <w:sz w:val="20"/>
                <w:szCs w:val="20"/>
              </w:rPr>
            </w:pPr>
            <w:r w:rsidRPr="00FE5A72">
              <w:rPr>
                <w:rFonts w:cs="Arial"/>
                <w:sz w:val="20"/>
                <w:szCs w:val="20"/>
                <w:lang w:val="en-US"/>
              </w:rPr>
              <w:t>1 to 3</w:t>
            </w:r>
            <w:r w:rsidR="00254AAD" w:rsidRPr="00FE5A72">
              <w:rPr>
                <w:rFonts w:cs="Arial"/>
                <w:sz w:val="20"/>
                <w:szCs w:val="20"/>
                <w:lang w:val="en-US"/>
              </w:rPr>
              <w:t>br</w:t>
            </w:r>
            <w:r w:rsidRPr="00FE5A72">
              <w:rPr>
                <w:rFonts w:cs="Arial"/>
                <w:sz w:val="20"/>
                <w:szCs w:val="20"/>
                <w:lang w:val="en-US"/>
              </w:rPr>
              <w:t xml:space="preserve"> BR</w:t>
            </w:r>
          </w:p>
        </w:tc>
        <w:tc>
          <w:tcPr>
            <w:tcW w:w="992" w:type="dxa"/>
            <w:tcBorders>
              <w:top w:val="nil"/>
              <w:left w:val="nil"/>
              <w:bottom w:val="single" w:sz="4" w:space="0" w:color="auto"/>
              <w:right w:val="nil"/>
            </w:tcBorders>
            <w:shd w:val="clear" w:color="000000" w:fill="FFFFFF"/>
            <w:vAlign w:val="center"/>
            <w:hideMark/>
          </w:tcPr>
          <w:p w14:paraId="4491B20E" w14:textId="77777777" w:rsidR="00864431" w:rsidRPr="00FE5A72" w:rsidRDefault="00864431" w:rsidP="00FE5A72">
            <w:pPr>
              <w:jc w:val="center"/>
              <w:rPr>
                <w:rFonts w:cs="Arial"/>
                <w:sz w:val="20"/>
                <w:szCs w:val="20"/>
              </w:rPr>
            </w:pPr>
            <w:r w:rsidRPr="00FE5A72">
              <w:rPr>
                <w:rFonts w:cs="Arial"/>
                <w:sz w:val="20"/>
                <w:szCs w:val="20"/>
                <w:lang w:val="en-US"/>
              </w:rPr>
              <w:t>72848</w:t>
            </w:r>
          </w:p>
        </w:tc>
        <w:tc>
          <w:tcPr>
            <w:tcW w:w="992" w:type="dxa"/>
            <w:tcBorders>
              <w:top w:val="nil"/>
              <w:left w:val="nil"/>
              <w:bottom w:val="single" w:sz="4" w:space="0" w:color="auto"/>
              <w:right w:val="single" w:sz="4" w:space="0" w:color="auto"/>
            </w:tcBorders>
            <w:shd w:val="clear" w:color="000000" w:fill="FFFFFF"/>
            <w:vAlign w:val="center"/>
            <w:hideMark/>
          </w:tcPr>
          <w:p w14:paraId="2468AB50" w14:textId="77777777" w:rsidR="00864431" w:rsidRPr="00FE5A72" w:rsidRDefault="00864431" w:rsidP="00FE5A72">
            <w:pPr>
              <w:jc w:val="right"/>
              <w:rPr>
                <w:rFonts w:cs="Arial"/>
                <w:sz w:val="20"/>
                <w:szCs w:val="20"/>
              </w:rPr>
            </w:pPr>
            <w:r w:rsidRPr="00FE5A72">
              <w:rPr>
                <w:rFonts w:cs="Arial"/>
                <w:sz w:val="20"/>
                <w:szCs w:val="20"/>
                <w:lang w:val="en-US"/>
              </w:rPr>
              <w:t>74.5</w:t>
            </w:r>
          </w:p>
        </w:tc>
        <w:tc>
          <w:tcPr>
            <w:tcW w:w="992" w:type="dxa"/>
            <w:tcBorders>
              <w:top w:val="nil"/>
              <w:left w:val="nil"/>
              <w:bottom w:val="single" w:sz="4" w:space="0" w:color="auto"/>
              <w:right w:val="nil"/>
            </w:tcBorders>
            <w:shd w:val="clear" w:color="000000" w:fill="FFFFFF"/>
            <w:vAlign w:val="center"/>
            <w:hideMark/>
          </w:tcPr>
          <w:p w14:paraId="5E80E8F0" w14:textId="77777777" w:rsidR="00864431" w:rsidRPr="00FE5A72" w:rsidRDefault="00864431" w:rsidP="00FE5A72">
            <w:pPr>
              <w:jc w:val="right"/>
              <w:rPr>
                <w:rFonts w:cs="Arial"/>
                <w:sz w:val="20"/>
                <w:szCs w:val="20"/>
              </w:rPr>
            </w:pPr>
            <w:r w:rsidRPr="00FE5A72">
              <w:rPr>
                <w:rFonts w:cs="Arial"/>
                <w:sz w:val="20"/>
                <w:szCs w:val="20"/>
                <w:lang w:val="en-US"/>
              </w:rPr>
              <w:t>73061</w:t>
            </w:r>
          </w:p>
        </w:tc>
        <w:tc>
          <w:tcPr>
            <w:tcW w:w="1134" w:type="dxa"/>
            <w:tcBorders>
              <w:top w:val="nil"/>
              <w:left w:val="nil"/>
              <w:bottom w:val="single" w:sz="4" w:space="0" w:color="auto"/>
              <w:right w:val="single" w:sz="4" w:space="0" w:color="auto"/>
            </w:tcBorders>
            <w:shd w:val="clear" w:color="000000" w:fill="FFFFFF"/>
            <w:vAlign w:val="center"/>
            <w:hideMark/>
          </w:tcPr>
          <w:p w14:paraId="127526F7" w14:textId="77777777" w:rsidR="00864431" w:rsidRPr="00FE5A72" w:rsidRDefault="00864431" w:rsidP="00FE5A72">
            <w:pPr>
              <w:jc w:val="right"/>
              <w:rPr>
                <w:rFonts w:cs="Arial"/>
                <w:sz w:val="20"/>
                <w:szCs w:val="20"/>
              </w:rPr>
            </w:pPr>
            <w:r w:rsidRPr="00FE5A72">
              <w:rPr>
                <w:rFonts w:cs="Arial"/>
                <w:sz w:val="20"/>
                <w:szCs w:val="20"/>
                <w:lang w:val="en-US"/>
              </w:rPr>
              <w:t>51.2</w:t>
            </w:r>
          </w:p>
        </w:tc>
        <w:tc>
          <w:tcPr>
            <w:tcW w:w="1134" w:type="dxa"/>
            <w:tcBorders>
              <w:top w:val="nil"/>
              <w:left w:val="nil"/>
              <w:bottom w:val="single" w:sz="4" w:space="0" w:color="auto"/>
              <w:right w:val="single" w:sz="4" w:space="0" w:color="auto"/>
            </w:tcBorders>
            <w:shd w:val="clear" w:color="000000" w:fill="FFFFFF"/>
            <w:vAlign w:val="center"/>
            <w:hideMark/>
          </w:tcPr>
          <w:p w14:paraId="33649B29" w14:textId="77777777" w:rsidR="00864431" w:rsidRPr="00FE5A72" w:rsidRDefault="00864431" w:rsidP="00FE5A72">
            <w:pPr>
              <w:jc w:val="right"/>
              <w:rPr>
                <w:rFonts w:cs="Arial"/>
                <w:sz w:val="20"/>
                <w:szCs w:val="20"/>
              </w:rPr>
            </w:pPr>
            <w:r w:rsidRPr="00FE5A72">
              <w:rPr>
                <w:rFonts w:cs="Arial"/>
                <w:sz w:val="20"/>
                <w:szCs w:val="20"/>
                <w:lang w:val="en-US"/>
              </w:rPr>
              <w:t>93</w:t>
            </w:r>
          </w:p>
        </w:tc>
        <w:tc>
          <w:tcPr>
            <w:tcW w:w="1418" w:type="dxa"/>
            <w:tcBorders>
              <w:top w:val="nil"/>
              <w:left w:val="nil"/>
              <w:bottom w:val="single" w:sz="4" w:space="0" w:color="auto"/>
              <w:right w:val="nil"/>
            </w:tcBorders>
            <w:shd w:val="clear" w:color="000000" w:fill="FFFFFF"/>
            <w:vAlign w:val="center"/>
            <w:hideMark/>
          </w:tcPr>
          <w:p w14:paraId="35A14E09" w14:textId="77777777" w:rsidR="00864431" w:rsidRPr="00FE5A72" w:rsidRDefault="00864431" w:rsidP="00FE5A72">
            <w:pPr>
              <w:jc w:val="right"/>
              <w:rPr>
                <w:rFonts w:cs="Arial"/>
                <w:sz w:val="20"/>
                <w:szCs w:val="20"/>
              </w:rPr>
            </w:pPr>
            <w:r w:rsidRPr="00FE5A72">
              <w:rPr>
                <w:rFonts w:cs="Arial"/>
                <w:sz w:val="20"/>
                <w:szCs w:val="20"/>
                <w:lang w:val="en-US"/>
              </w:rPr>
              <w:t>4761.6</w:t>
            </w:r>
            <w:r w:rsidR="00040C79">
              <w:rPr>
                <w:rFonts w:cs="Arial"/>
                <w:sz w:val="20"/>
                <w:szCs w:val="20"/>
                <w:lang w:val="en-US"/>
              </w:rPr>
              <w:t>0</w:t>
            </w:r>
          </w:p>
        </w:tc>
        <w:tc>
          <w:tcPr>
            <w:tcW w:w="1134" w:type="dxa"/>
            <w:tcBorders>
              <w:top w:val="nil"/>
              <w:left w:val="nil"/>
              <w:bottom w:val="single" w:sz="4" w:space="0" w:color="auto"/>
              <w:right w:val="single" w:sz="4" w:space="0" w:color="auto"/>
            </w:tcBorders>
            <w:shd w:val="clear" w:color="000000" w:fill="FFFFFF"/>
            <w:vAlign w:val="center"/>
            <w:hideMark/>
          </w:tcPr>
          <w:p w14:paraId="083B7675" w14:textId="77777777" w:rsidR="00864431" w:rsidRPr="00FE5A72" w:rsidRDefault="00864431" w:rsidP="00FE5A72">
            <w:pPr>
              <w:jc w:val="right"/>
              <w:rPr>
                <w:rFonts w:cs="Arial"/>
                <w:sz w:val="20"/>
                <w:szCs w:val="20"/>
              </w:rPr>
            </w:pPr>
            <w:r w:rsidRPr="00FE5A72">
              <w:rPr>
                <w:rFonts w:cs="Arial"/>
                <w:sz w:val="20"/>
                <w:szCs w:val="20"/>
                <w:lang w:val="en-US"/>
              </w:rPr>
              <w:t>6</w:t>
            </w:r>
            <w:r w:rsidR="00087BB4">
              <w:rPr>
                <w:rFonts w:cs="Arial"/>
                <w:sz w:val="20"/>
                <w:szCs w:val="20"/>
                <w:lang w:val="en-US"/>
              </w:rPr>
              <w:t xml:space="preserve"> </w:t>
            </w:r>
            <w:r w:rsidRPr="00FE5A72">
              <w:rPr>
                <w:rFonts w:cs="Arial"/>
                <w:sz w:val="20"/>
                <w:szCs w:val="20"/>
                <w:lang w:val="en-US"/>
              </w:rPr>
              <w:t>928.5</w:t>
            </w:r>
            <w:r w:rsidR="00087BB4">
              <w:rPr>
                <w:rFonts w:cs="Arial"/>
                <w:sz w:val="20"/>
                <w:szCs w:val="20"/>
                <w:lang w:val="en-US"/>
              </w:rPr>
              <w:t>0</w:t>
            </w:r>
          </w:p>
        </w:tc>
      </w:tr>
      <w:tr w:rsidR="00087BB4" w:rsidRPr="00864431" w14:paraId="0BE84889" w14:textId="77777777" w:rsidTr="00FE5A72">
        <w:trPr>
          <w:trHeight w:val="690"/>
        </w:trPr>
        <w:tc>
          <w:tcPr>
            <w:tcW w:w="1008" w:type="dxa"/>
            <w:tcBorders>
              <w:top w:val="nil"/>
              <w:left w:val="single" w:sz="4" w:space="0" w:color="auto"/>
              <w:bottom w:val="single" w:sz="4" w:space="0" w:color="auto"/>
              <w:right w:val="single" w:sz="4" w:space="0" w:color="auto"/>
            </w:tcBorders>
            <w:shd w:val="clear" w:color="000000" w:fill="FFFFFF"/>
            <w:vAlign w:val="center"/>
            <w:hideMark/>
          </w:tcPr>
          <w:p w14:paraId="5633E115" w14:textId="77777777" w:rsidR="00864431" w:rsidRPr="00FE5A72" w:rsidRDefault="00864431" w:rsidP="00FE5A72">
            <w:pPr>
              <w:rPr>
                <w:rFonts w:cs="Arial"/>
                <w:b/>
                <w:sz w:val="20"/>
                <w:szCs w:val="20"/>
              </w:rPr>
            </w:pPr>
            <w:r w:rsidRPr="00FE5A72">
              <w:rPr>
                <w:rFonts w:cs="Arial"/>
                <w:b/>
                <w:sz w:val="20"/>
                <w:szCs w:val="20"/>
              </w:rPr>
              <w:t>Totals</w:t>
            </w:r>
          </w:p>
        </w:tc>
        <w:tc>
          <w:tcPr>
            <w:tcW w:w="992" w:type="dxa"/>
            <w:tcBorders>
              <w:top w:val="nil"/>
              <w:left w:val="nil"/>
              <w:bottom w:val="single" w:sz="4" w:space="0" w:color="auto"/>
              <w:right w:val="nil"/>
            </w:tcBorders>
            <w:shd w:val="clear" w:color="auto" w:fill="auto"/>
            <w:noWrap/>
            <w:vAlign w:val="bottom"/>
            <w:hideMark/>
          </w:tcPr>
          <w:p w14:paraId="1F4EC6A9" w14:textId="77777777" w:rsidR="00864431" w:rsidRPr="00FE5A72" w:rsidRDefault="00864431" w:rsidP="00FE5A72">
            <w:pPr>
              <w:rPr>
                <w:rFonts w:cs="Arial"/>
                <w:b/>
                <w:sz w:val="20"/>
                <w:szCs w:val="20"/>
              </w:rPr>
            </w:pPr>
            <w:r w:rsidRPr="00FE5A72">
              <w:rPr>
                <w:rFonts w:cs="Arial"/>
                <w:b/>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C2807AE" w14:textId="77777777" w:rsidR="00864431" w:rsidRPr="00FE5A72" w:rsidRDefault="00864431" w:rsidP="00FE5A72">
            <w:pPr>
              <w:rPr>
                <w:rFonts w:cs="Arial"/>
                <w:b/>
                <w:sz w:val="20"/>
                <w:szCs w:val="20"/>
              </w:rPr>
            </w:pPr>
            <w:r w:rsidRPr="00FE5A72">
              <w:rPr>
                <w:rFonts w:cs="Arial"/>
                <w:b/>
                <w:sz w:val="20"/>
                <w:szCs w:val="20"/>
              </w:rPr>
              <w:t> </w:t>
            </w:r>
          </w:p>
        </w:tc>
        <w:tc>
          <w:tcPr>
            <w:tcW w:w="992" w:type="dxa"/>
            <w:tcBorders>
              <w:top w:val="nil"/>
              <w:left w:val="nil"/>
              <w:bottom w:val="single" w:sz="4" w:space="0" w:color="auto"/>
              <w:right w:val="nil"/>
            </w:tcBorders>
            <w:shd w:val="clear" w:color="auto" w:fill="auto"/>
            <w:noWrap/>
            <w:vAlign w:val="bottom"/>
            <w:hideMark/>
          </w:tcPr>
          <w:p w14:paraId="16BB603A" w14:textId="77777777" w:rsidR="00864431" w:rsidRPr="00FE5A72" w:rsidRDefault="00864431" w:rsidP="00FE5A72">
            <w:pPr>
              <w:rPr>
                <w:rFonts w:cs="Arial"/>
                <w:b/>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2D674586" w14:textId="77777777" w:rsidR="00864431" w:rsidRPr="00FE5A72" w:rsidRDefault="00864431" w:rsidP="00FE5A72">
            <w:pPr>
              <w:rPr>
                <w:rFonts w:cs="Arial"/>
                <w:b/>
                <w:sz w:val="20"/>
                <w:szCs w:val="20"/>
              </w:rPr>
            </w:pPr>
            <w:r w:rsidRPr="00FE5A72">
              <w:rPr>
                <w:rFonts w:cs="Arial"/>
                <w:b/>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E2DED9" w14:textId="77777777" w:rsidR="00864431" w:rsidRPr="00FE5A72" w:rsidRDefault="00864431" w:rsidP="00FE5A72">
            <w:pPr>
              <w:jc w:val="right"/>
              <w:rPr>
                <w:rFonts w:cs="Arial"/>
                <w:b/>
                <w:sz w:val="20"/>
                <w:szCs w:val="20"/>
              </w:rPr>
            </w:pPr>
            <w:r w:rsidRPr="00FE5A72">
              <w:rPr>
                <w:rFonts w:cs="Arial"/>
                <w:b/>
                <w:sz w:val="20"/>
                <w:szCs w:val="20"/>
                <w:lang w:val="en-US"/>
              </w:rPr>
              <w:t>5911</w:t>
            </w:r>
          </w:p>
        </w:tc>
        <w:tc>
          <w:tcPr>
            <w:tcW w:w="1418" w:type="dxa"/>
            <w:tcBorders>
              <w:top w:val="nil"/>
              <w:left w:val="nil"/>
              <w:bottom w:val="single" w:sz="4" w:space="0" w:color="auto"/>
              <w:right w:val="nil"/>
            </w:tcBorders>
            <w:shd w:val="clear" w:color="auto" w:fill="auto"/>
            <w:noWrap/>
            <w:vAlign w:val="bottom"/>
            <w:hideMark/>
          </w:tcPr>
          <w:p w14:paraId="338C1B60" w14:textId="77777777" w:rsidR="00864431" w:rsidRPr="00FE5A72" w:rsidRDefault="00864431" w:rsidP="00FE5A72">
            <w:pPr>
              <w:jc w:val="right"/>
              <w:rPr>
                <w:rFonts w:cs="Arial"/>
                <w:b/>
                <w:sz w:val="20"/>
                <w:szCs w:val="20"/>
              </w:rPr>
            </w:pPr>
            <w:r w:rsidRPr="00FE5A72">
              <w:rPr>
                <w:rFonts w:cs="Arial"/>
                <w:b/>
                <w:sz w:val="20"/>
                <w:szCs w:val="20"/>
                <w:lang w:val="en-US"/>
              </w:rPr>
              <w:t>349</w:t>
            </w:r>
            <w:r w:rsidR="00087BB4">
              <w:rPr>
                <w:rFonts w:cs="Arial"/>
                <w:b/>
                <w:sz w:val="20"/>
                <w:szCs w:val="20"/>
                <w:lang w:val="en-US"/>
              </w:rPr>
              <w:t xml:space="preserve"> </w:t>
            </w:r>
            <w:r w:rsidRPr="00FE5A72">
              <w:rPr>
                <w:rFonts w:cs="Arial"/>
                <w:b/>
                <w:sz w:val="20"/>
                <w:szCs w:val="20"/>
                <w:lang w:val="en-US"/>
              </w:rPr>
              <w:t>313.5</w:t>
            </w:r>
            <w:r w:rsidR="00087BB4">
              <w:rPr>
                <w:rFonts w:cs="Arial"/>
                <w:b/>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03051F" w14:textId="77777777" w:rsidR="00864431" w:rsidRPr="00FE5A72" w:rsidRDefault="00864431" w:rsidP="00FE5A72">
            <w:pPr>
              <w:jc w:val="right"/>
              <w:rPr>
                <w:rFonts w:cs="Arial"/>
                <w:b/>
                <w:sz w:val="20"/>
                <w:szCs w:val="20"/>
              </w:rPr>
            </w:pPr>
            <w:r w:rsidRPr="00FE5A72">
              <w:rPr>
                <w:rFonts w:cs="Arial"/>
                <w:b/>
                <w:sz w:val="20"/>
                <w:szCs w:val="20"/>
                <w:lang w:val="en-US"/>
              </w:rPr>
              <w:t>512</w:t>
            </w:r>
            <w:r w:rsidR="00087BB4">
              <w:rPr>
                <w:rFonts w:cs="Arial"/>
                <w:b/>
                <w:sz w:val="20"/>
                <w:szCs w:val="20"/>
                <w:lang w:val="en-US"/>
              </w:rPr>
              <w:t xml:space="preserve"> </w:t>
            </w:r>
            <w:r w:rsidRPr="00FE5A72">
              <w:rPr>
                <w:rFonts w:cs="Arial"/>
                <w:b/>
                <w:sz w:val="20"/>
                <w:szCs w:val="20"/>
                <w:lang w:val="en-US"/>
              </w:rPr>
              <w:t>336.5</w:t>
            </w:r>
            <w:r w:rsidR="00087BB4">
              <w:rPr>
                <w:rFonts w:cs="Arial"/>
                <w:b/>
                <w:sz w:val="20"/>
                <w:szCs w:val="20"/>
                <w:lang w:val="en-US"/>
              </w:rPr>
              <w:t>0</w:t>
            </w:r>
          </w:p>
        </w:tc>
      </w:tr>
    </w:tbl>
    <w:p w14:paraId="6933742D" w14:textId="77777777" w:rsidR="000174E5" w:rsidRDefault="000174E5" w:rsidP="001F743D">
      <w:pPr>
        <w:rPr>
          <w:szCs w:val="22"/>
        </w:rPr>
      </w:pPr>
    </w:p>
    <w:p w14:paraId="75FCDC54" w14:textId="77777777" w:rsidR="00792D34" w:rsidRPr="0001385F" w:rsidRDefault="006B2E8A" w:rsidP="001F743D">
      <w:pPr>
        <w:rPr>
          <w:szCs w:val="22"/>
        </w:rPr>
      </w:pPr>
      <w:r w:rsidRPr="0001385F">
        <w:rPr>
          <w:szCs w:val="22"/>
        </w:rPr>
        <w:t xml:space="preserve">Data from Laboratory A (8 months period, 2011) compares the coned rebates for Histological and Cytological </w:t>
      </w:r>
      <w:proofErr w:type="spellStart"/>
      <w:r w:rsidRPr="0001385F">
        <w:rPr>
          <w:szCs w:val="22"/>
        </w:rPr>
        <w:t>immun</w:t>
      </w:r>
      <w:r w:rsidR="00D135DC" w:rsidRPr="0001385F">
        <w:rPr>
          <w:szCs w:val="22"/>
        </w:rPr>
        <w:t>o</w:t>
      </w:r>
      <w:r w:rsidRPr="0001385F">
        <w:rPr>
          <w:szCs w:val="22"/>
        </w:rPr>
        <w:t>stains</w:t>
      </w:r>
      <w:proofErr w:type="spellEnd"/>
      <w:r w:rsidRPr="0001385F">
        <w:rPr>
          <w:szCs w:val="22"/>
        </w:rPr>
        <w:t xml:space="preserve"> v</w:t>
      </w:r>
      <w:r w:rsidR="00087BB4">
        <w:rPr>
          <w:szCs w:val="22"/>
        </w:rPr>
        <w:t>ersu</w:t>
      </w:r>
      <w:r w:rsidRPr="0001385F">
        <w:rPr>
          <w:szCs w:val="22"/>
        </w:rPr>
        <w:t xml:space="preserve">s the nominal </w:t>
      </w:r>
      <w:proofErr w:type="spellStart"/>
      <w:r w:rsidRPr="0001385F">
        <w:rPr>
          <w:szCs w:val="22"/>
        </w:rPr>
        <w:t>unconed</w:t>
      </w:r>
      <w:proofErr w:type="spellEnd"/>
      <w:r w:rsidRPr="0001385F">
        <w:rPr>
          <w:szCs w:val="22"/>
        </w:rPr>
        <w:t xml:space="preserve"> rebate if all tests were received singly </w:t>
      </w:r>
      <w:r w:rsidRPr="0001385F">
        <w:rPr>
          <w:szCs w:val="22"/>
        </w:rPr>
        <w:lastRenderedPageBreak/>
        <w:t>(</w:t>
      </w:r>
      <w:r w:rsidR="00087BB4" w:rsidRPr="0001385F">
        <w:rPr>
          <w:i/>
          <w:szCs w:val="22"/>
        </w:rPr>
        <w:t>Table</w:t>
      </w:r>
      <w:r w:rsidR="00087BB4">
        <w:rPr>
          <w:i/>
          <w:szCs w:val="22"/>
        </w:rPr>
        <w:t> </w:t>
      </w:r>
      <w:r w:rsidR="00087BB4" w:rsidRPr="0001385F">
        <w:rPr>
          <w:i/>
          <w:szCs w:val="22"/>
        </w:rPr>
        <w:t>1</w:t>
      </w:r>
      <w:r w:rsidR="000936CA">
        <w:rPr>
          <w:i/>
          <w:szCs w:val="22"/>
        </w:rPr>
        <w:t>3</w:t>
      </w:r>
      <w:r w:rsidRPr="0001385F">
        <w:rPr>
          <w:szCs w:val="22"/>
        </w:rPr>
        <w:t>).</w:t>
      </w:r>
      <w:r w:rsidR="00E11BC0">
        <w:rPr>
          <w:szCs w:val="22"/>
        </w:rPr>
        <w:t xml:space="preserve"> </w:t>
      </w:r>
      <w:r w:rsidRPr="0001385F">
        <w:rPr>
          <w:szCs w:val="22"/>
        </w:rPr>
        <w:t>Substantial numbers</w:t>
      </w:r>
      <w:r w:rsidR="00D135DC" w:rsidRPr="0001385F">
        <w:rPr>
          <w:szCs w:val="22"/>
        </w:rPr>
        <w:t xml:space="preserve"> (7.5%)</w:t>
      </w:r>
      <w:r w:rsidRPr="0001385F">
        <w:rPr>
          <w:szCs w:val="22"/>
        </w:rPr>
        <w:t xml:space="preserve"> of cases</w:t>
      </w:r>
      <w:r w:rsidR="00D135DC" w:rsidRPr="0001385F">
        <w:rPr>
          <w:szCs w:val="22"/>
        </w:rPr>
        <w:t xml:space="preserve"> </w:t>
      </w:r>
      <w:r w:rsidR="00D445CE" w:rsidRPr="0001385F">
        <w:rPr>
          <w:szCs w:val="22"/>
        </w:rPr>
        <w:t>involving</w:t>
      </w:r>
      <w:r w:rsidR="00D135DC" w:rsidRPr="0001385F">
        <w:rPr>
          <w:szCs w:val="22"/>
        </w:rPr>
        <w:t xml:space="preserve"> immunohistochemistry</w:t>
      </w:r>
      <w:r w:rsidRPr="0001385F">
        <w:rPr>
          <w:szCs w:val="22"/>
        </w:rPr>
        <w:t xml:space="preserve"> required </w:t>
      </w:r>
      <w:r w:rsidR="00087BB4">
        <w:rPr>
          <w:szCs w:val="22"/>
        </w:rPr>
        <w:t xml:space="preserve">more than </w:t>
      </w:r>
      <w:r w:rsidR="00087BB4" w:rsidRPr="0001385F">
        <w:rPr>
          <w:szCs w:val="22"/>
        </w:rPr>
        <w:t>11</w:t>
      </w:r>
      <w:r w:rsidR="00087BB4">
        <w:rPr>
          <w:szCs w:val="22"/>
        </w:rPr>
        <w:t> </w:t>
      </w:r>
      <w:proofErr w:type="spellStart"/>
      <w:r w:rsidR="00D445CE" w:rsidRPr="0001385F">
        <w:rPr>
          <w:szCs w:val="22"/>
        </w:rPr>
        <w:t>immunostains</w:t>
      </w:r>
      <w:proofErr w:type="spellEnd"/>
      <w:r w:rsidR="00D135DC" w:rsidRPr="0001385F">
        <w:rPr>
          <w:szCs w:val="22"/>
        </w:rPr>
        <w:t xml:space="preserve">. If each assay were received as a single test, the overall rebate would have been almost </w:t>
      </w:r>
      <w:r w:rsidR="00087BB4">
        <w:rPr>
          <w:szCs w:val="22"/>
        </w:rPr>
        <w:t>five</w:t>
      </w:r>
      <w:r w:rsidR="00D135DC" w:rsidRPr="0001385F">
        <w:rPr>
          <w:szCs w:val="22"/>
        </w:rPr>
        <w:t>fold higher.</w:t>
      </w:r>
    </w:p>
    <w:p w14:paraId="009D77A2" w14:textId="77777777" w:rsidR="00A81809" w:rsidRPr="00FE5A72" w:rsidRDefault="00A81809" w:rsidP="00FE5A72">
      <w:pPr>
        <w:pStyle w:val="Caption"/>
        <w:rPr>
          <w:i/>
        </w:rPr>
      </w:pPr>
      <w:bookmarkStart w:id="76" w:name="_Toc482213840"/>
      <w:r>
        <w:t xml:space="preserve">Table </w:t>
      </w:r>
      <w:r w:rsidR="00555C4C">
        <w:fldChar w:fldCharType="begin"/>
      </w:r>
      <w:r w:rsidR="00D84161">
        <w:instrText xml:space="preserve"> SEQ Table \* ARABIC </w:instrText>
      </w:r>
      <w:r w:rsidR="00555C4C">
        <w:fldChar w:fldCharType="separate"/>
      </w:r>
      <w:r w:rsidR="00FC06F1">
        <w:rPr>
          <w:noProof/>
        </w:rPr>
        <w:t>1</w:t>
      </w:r>
      <w:r w:rsidR="000936CA">
        <w:rPr>
          <w:noProof/>
        </w:rPr>
        <w:t>3</w:t>
      </w:r>
      <w:r w:rsidR="00555C4C">
        <w:rPr>
          <w:noProof/>
        </w:rPr>
        <w:fldChar w:fldCharType="end"/>
      </w:r>
      <w:r>
        <w:t xml:space="preserve">. </w:t>
      </w:r>
      <w:r w:rsidRPr="00213A75">
        <w:t xml:space="preserve">Laboratory A data on coned and nominal </w:t>
      </w:r>
      <w:proofErr w:type="spellStart"/>
      <w:r w:rsidRPr="00213A75">
        <w:t>unconed</w:t>
      </w:r>
      <w:proofErr w:type="spellEnd"/>
      <w:r w:rsidRPr="00213A75">
        <w:t xml:space="preserve"> IHC rebates, 8 months 2011</w:t>
      </w:r>
      <w:bookmarkEnd w:id="76"/>
    </w:p>
    <w:tbl>
      <w:tblPr>
        <w:tblW w:w="7214" w:type="dxa"/>
        <w:tblInd w:w="93" w:type="dxa"/>
        <w:tblLook w:val="04A0" w:firstRow="1" w:lastRow="0" w:firstColumn="1" w:lastColumn="0" w:noHBand="0" w:noVBand="1"/>
      </w:tblPr>
      <w:tblGrid>
        <w:gridCol w:w="1671"/>
        <w:gridCol w:w="1053"/>
        <w:gridCol w:w="1306"/>
        <w:gridCol w:w="1306"/>
        <w:gridCol w:w="1878"/>
      </w:tblGrid>
      <w:tr w:rsidR="005A559B" w:rsidRPr="005A559B" w14:paraId="3F152E39" w14:textId="77777777" w:rsidTr="00774742">
        <w:trPr>
          <w:trHeight w:val="304"/>
        </w:trPr>
        <w:tc>
          <w:tcPr>
            <w:tcW w:w="1671" w:type="dxa"/>
            <w:tcBorders>
              <w:top w:val="single" w:sz="4" w:space="0" w:color="auto"/>
              <w:left w:val="single" w:sz="4" w:space="0" w:color="auto"/>
              <w:bottom w:val="single" w:sz="4" w:space="0" w:color="auto"/>
              <w:right w:val="nil"/>
            </w:tcBorders>
            <w:shd w:val="clear" w:color="auto" w:fill="EEECE1" w:themeFill="background2"/>
            <w:noWrap/>
            <w:hideMark/>
          </w:tcPr>
          <w:p w14:paraId="340331BB" w14:textId="77777777" w:rsidR="00A55CA5" w:rsidRPr="00FE5A72" w:rsidRDefault="00A55CA5" w:rsidP="00FE5A72">
            <w:pPr>
              <w:spacing w:before="20" w:after="20"/>
              <w:rPr>
                <w:rFonts w:cs="Arial"/>
                <w:b/>
                <w:sz w:val="20"/>
                <w:szCs w:val="20"/>
              </w:rPr>
            </w:pPr>
            <w:r w:rsidRPr="00FE5A72">
              <w:rPr>
                <w:rFonts w:cs="Arial"/>
                <w:b/>
                <w:sz w:val="20"/>
                <w:szCs w:val="20"/>
              </w:rPr>
              <w:t>CONED</w:t>
            </w:r>
          </w:p>
        </w:tc>
        <w:tc>
          <w:tcPr>
            <w:tcW w:w="1053" w:type="dxa"/>
            <w:tcBorders>
              <w:top w:val="single" w:sz="4" w:space="0" w:color="auto"/>
              <w:left w:val="nil"/>
              <w:bottom w:val="single" w:sz="4" w:space="0" w:color="auto"/>
              <w:right w:val="nil"/>
            </w:tcBorders>
            <w:shd w:val="clear" w:color="auto" w:fill="EEECE1" w:themeFill="background2"/>
            <w:noWrap/>
            <w:hideMark/>
          </w:tcPr>
          <w:p w14:paraId="7997AF65" w14:textId="77777777" w:rsidR="00A55CA5" w:rsidRPr="00FE5A72" w:rsidRDefault="00A55CA5" w:rsidP="00FE5A72">
            <w:pPr>
              <w:spacing w:before="20" w:after="20"/>
              <w:rPr>
                <w:rFonts w:cs="Arial"/>
                <w:b/>
                <w:sz w:val="20"/>
                <w:szCs w:val="20"/>
              </w:rPr>
            </w:pPr>
            <w:r w:rsidRPr="00FE5A72">
              <w:rPr>
                <w:rFonts w:cs="Arial"/>
                <w:b/>
                <w:sz w:val="20"/>
                <w:szCs w:val="20"/>
              </w:rPr>
              <w:t> </w:t>
            </w:r>
          </w:p>
        </w:tc>
        <w:tc>
          <w:tcPr>
            <w:tcW w:w="1306"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4B30A094" w14:textId="77777777" w:rsidR="00A55CA5" w:rsidRPr="00FE5A72" w:rsidRDefault="00A55CA5" w:rsidP="00FE5A72">
            <w:pPr>
              <w:spacing w:before="20" w:after="20"/>
              <w:rPr>
                <w:rFonts w:cs="Arial"/>
                <w:b/>
                <w:sz w:val="20"/>
                <w:szCs w:val="20"/>
              </w:rPr>
            </w:pPr>
            <w:r w:rsidRPr="00FE5A72">
              <w:rPr>
                <w:rFonts w:cs="Arial"/>
                <w:b/>
                <w:sz w:val="20"/>
                <w:szCs w:val="20"/>
              </w:rPr>
              <w:t xml:space="preserve">No. </w:t>
            </w:r>
            <w:r w:rsidR="004B390F">
              <w:rPr>
                <w:rFonts w:cs="Arial"/>
                <w:b/>
                <w:sz w:val="20"/>
                <w:szCs w:val="20"/>
              </w:rPr>
              <w:t>of i</w:t>
            </w:r>
            <w:r w:rsidRPr="00FE5A72">
              <w:rPr>
                <w:rFonts w:cs="Arial"/>
                <w:b/>
                <w:sz w:val="20"/>
                <w:szCs w:val="20"/>
              </w:rPr>
              <w:t>tems</w:t>
            </w:r>
          </w:p>
        </w:tc>
        <w:tc>
          <w:tcPr>
            <w:tcW w:w="1306" w:type="dxa"/>
            <w:tcBorders>
              <w:top w:val="single" w:sz="4" w:space="0" w:color="auto"/>
              <w:left w:val="nil"/>
              <w:bottom w:val="single" w:sz="4" w:space="0" w:color="auto"/>
              <w:right w:val="single" w:sz="4" w:space="0" w:color="auto"/>
            </w:tcBorders>
            <w:shd w:val="clear" w:color="auto" w:fill="EEECE1" w:themeFill="background2"/>
            <w:noWrap/>
            <w:hideMark/>
          </w:tcPr>
          <w:p w14:paraId="238D18C5" w14:textId="77777777" w:rsidR="00A55CA5" w:rsidRPr="00FE5A72" w:rsidRDefault="00A55CA5" w:rsidP="00FE5A72">
            <w:pPr>
              <w:spacing w:before="20" w:after="20"/>
              <w:rPr>
                <w:rFonts w:cs="Arial"/>
                <w:b/>
                <w:sz w:val="20"/>
                <w:szCs w:val="20"/>
              </w:rPr>
            </w:pPr>
            <w:r w:rsidRPr="00FE5A72">
              <w:rPr>
                <w:rFonts w:cs="Arial"/>
                <w:b/>
                <w:sz w:val="20"/>
                <w:szCs w:val="20"/>
              </w:rPr>
              <w:t>Rebate</w:t>
            </w:r>
            <w:r w:rsidR="004B390F">
              <w:rPr>
                <w:rFonts w:cs="Arial"/>
                <w:b/>
                <w:sz w:val="20"/>
                <w:szCs w:val="20"/>
              </w:rPr>
              <w:t xml:space="preserve"> ($)</w:t>
            </w:r>
          </w:p>
        </w:tc>
        <w:tc>
          <w:tcPr>
            <w:tcW w:w="1878" w:type="dxa"/>
            <w:tcBorders>
              <w:top w:val="single" w:sz="4" w:space="0" w:color="auto"/>
              <w:left w:val="nil"/>
              <w:bottom w:val="single" w:sz="4" w:space="0" w:color="auto"/>
              <w:right w:val="single" w:sz="4" w:space="0" w:color="auto"/>
            </w:tcBorders>
            <w:shd w:val="clear" w:color="auto" w:fill="EEECE1" w:themeFill="background2"/>
            <w:noWrap/>
            <w:hideMark/>
          </w:tcPr>
          <w:p w14:paraId="76FC1095" w14:textId="77777777" w:rsidR="00A55CA5" w:rsidRPr="00FE5A72" w:rsidRDefault="00A55CA5" w:rsidP="00FE5A72">
            <w:pPr>
              <w:spacing w:before="20" w:after="20"/>
              <w:rPr>
                <w:rFonts w:cs="Arial"/>
                <w:b/>
                <w:sz w:val="20"/>
                <w:szCs w:val="20"/>
              </w:rPr>
            </w:pPr>
            <w:r w:rsidRPr="00FE5A72">
              <w:rPr>
                <w:rFonts w:cs="Arial"/>
                <w:b/>
                <w:sz w:val="20"/>
                <w:szCs w:val="20"/>
              </w:rPr>
              <w:t>Total</w:t>
            </w:r>
          </w:p>
        </w:tc>
      </w:tr>
      <w:tr w:rsidR="005A559B" w:rsidRPr="005A559B" w14:paraId="5DAAFBD7" w14:textId="77777777" w:rsidTr="008C727D">
        <w:trPr>
          <w:trHeight w:val="304"/>
        </w:trPr>
        <w:tc>
          <w:tcPr>
            <w:tcW w:w="1671" w:type="dxa"/>
            <w:tcBorders>
              <w:top w:val="nil"/>
              <w:left w:val="single" w:sz="4" w:space="0" w:color="auto"/>
              <w:bottom w:val="nil"/>
              <w:right w:val="nil"/>
            </w:tcBorders>
            <w:shd w:val="clear" w:color="auto" w:fill="auto"/>
            <w:noWrap/>
            <w:hideMark/>
          </w:tcPr>
          <w:p w14:paraId="2A9B118E" w14:textId="77777777" w:rsidR="00A55CA5" w:rsidRPr="00FE5A72" w:rsidRDefault="00A55CA5" w:rsidP="00FE5A72">
            <w:pPr>
              <w:rPr>
                <w:rFonts w:cs="Arial"/>
                <w:sz w:val="20"/>
                <w:szCs w:val="20"/>
                <w:lang w:val="en-US"/>
              </w:rPr>
            </w:pPr>
            <w:r w:rsidRPr="00FE5A72">
              <w:rPr>
                <w:rFonts w:cs="Arial"/>
                <w:sz w:val="20"/>
                <w:szCs w:val="20"/>
                <w:lang w:val="en-US"/>
              </w:rPr>
              <w:t>IPX 1-3</w:t>
            </w:r>
          </w:p>
        </w:tc>
        <w:tc>
          <w:tcPr>
            <w:tcW w:w="1053" w:type="dxa"/>
            <w:tcBorders>
              <w:top w:val="nil"/>
              <w:left w:val="nil"/>
              <w:bottom w:val="nil"/>
              <w:right w:val="nil"/>
            </w:tcBorders>
            <w:shd w:val="clear" w:color="auto" w:fill="auto"/>
            <w:noWrap/>
            <w:hideMark/>
          </w:tcPr>
          <w:p w14:paraId="19FD4E0E" w14:textId="77777777" w:rsidR="00A55CA5" w:rsidRPr="00FE5A72" w:rsidRDefault="00A55CA5" w:rsidP="00FE5A72">
            <w:pPr>
              <w:rPr>
                <w:rFonts w:cs="Arial"/>
                <w:sz w:val="20"/>
                <w:szCs w:val="20"/>
                <w:lang w:val="en-US"/>
              </w:rPr>
            </w:pPr>
            <w:r w:rsidRPr="00FE5A72">
              <w:rPr>
                <w:rFonts w:cs="Arial"/>
                <w:sz w:val="20"/>
                <w:szCs w:val="20"/>
                <w:lang w:val="en-US"/>
              </w:rPr>
              <w:t>72846</w:t>
            </w:r>
          </w:p>
        </w:tc>
        <w:tc>
          <w:tcPr>
            <w:tcW w:w="1306" w:type="dxa"/>
            <w:tcBorders>
              <w:top w:val="nil"/>
              <w:left w:val="single" w:sz="4" w:space="0" w:color="auto"/>
              <w:bottom w:val="nil"/>
              <w:right w:val="single" w:sz="4" w:space="0" w:color="auto"/>
            </w:tcBorders>
            <w:shd w:val="clear" w:color="auto" w:fill="auto"/>
            <w:noWrap/>
            <w:hideMark/>
          </w:tcPr>
          <w:p w14:paraId="25A81DEB" w14:textId="77777777" w:rsidR="00A55CA5" w:rsidRPr="00FE5A72" w:rsidRDefault="00A55CA5" w:rsidP="00FE5A72">
            <w:pPr>
              <w:jc w:val="right"/>
              <w:rPr>
                <w:rFonts w:cs="Arial"/>
                <w:sz w:val="20"/>
                <w:szCs w:val="20"/>
                <w:lang w:val="en-US"/>
              </w:rPr>
            </w:pPr>
            <w:r w:rsidRPr="00FE5A72">
              <w:rPr>
                <w:rFonts w:cs="Arial"/>
                <w:sz w:val="20"/>
                <w:szCs w:val="20"/>
                <w:lang w:val="en-US"/>
              </w:rPr>
              <w:t>807</w:t>
            </w:r>
          </w:p>
        </w:tc>
        <w:tc>
          <w:tcPr>
            <w:tcW w:w="1306" w:type="dxa"/>
            <w:tcBorders>
              <w:top w:val="nil"/>
              <w:left w:val="nil"/>
              <w:bottom w:val="nil"/>
              <w:right w:val="single" w:sz="4" w:space="0" w:color="auto"/>
            </w:tcBorders>
            <w:shd w:val="clear" w:color="auto" w:fill="auto"/>
            <w:noWrap/>
            <w:hideMark/>
          </w:tcPr>
          <w:p w14:paraId="3D908801" w14:textId="77777777" w:rsidR="00A55CA5" w:rsidRPr="00FE5A72" w:rsidRDefault="00A55CA5" w:rsidP="00FE5A72">
            <w:pPr>
              <w:jc w:val="right"/>
              <w:rPr>
                <w:rFonts w:cs="Arial"/>
                <w:sz w:val="20"/>
                <w:szCs w:val="20"/>
                <w:lang w:val="en-US"/>
              </w:rPr>
            </w:pPr>
            <w:r w:rsidRPr="00FE5A72">
              <w:rPr>
                <w:rFonts w:cs="Arial"/>
                <w:sz w:val="20"/>
                <w:szCs w:val="20"/>
                <w:lang w:val="en-US"/>
              </w:rPr>
              <w:t>59.6</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6CBE5AB6" w14:textId="77777777" w:rsidR="00A55CA5" w:rsidRPr="00FE5A72" w:rsidRDefault="00A55CA5" w:rsidP="00FE5A72">
            <w:pPr>
              <w:jc w:val="right"/>
              <w:rPr>
                <w:rFonts w:cs="Arial"/>
                <w:sz w:val="20"/>
                <w:szCs w:val="20"/>
                <w:lang w:val="en-US"/>
              </w:rPr>
            </w:pPr>
            <w:r w:rsidRPr="00FE5A72">
              <w:rPr>
                <w:rFonts w:cs="Arial"/>
                <w:sz w:val="20"/>
                <w:szCs w:val="20"/>
                <w:lang w:val="en-US"/>
              </w:rPr>
              <w:t>48</w:t>
            </w:r>
            <w:r w:rsidR="004B390F">
              <w:rPr>
                <w:rFonts w:cs="Arial"/>
                <w:sz w:val="20"/>
                <w:szCs w:val="20"/>
                <w:lang w:val="en-US"/>
              </w:rPr>
              <w:t xml:space="preserve"> </w:t>
            </w:r>
            <w:r w:rsidRPr="00FE5A72">
              <w:rPr>
                <w:rFonts w:cs="Arial"/>
                <w:sz w:val="20"/>
                <w:szCs w:val="20"/>
                <w:lang w:val="en-US"/>
              </w:rPr>
              <w:t>097.20</w:t>
            </w:r>
          </w:p>
        </w:tc>
      </w:tr>
      <w:tr w:rsidR="005A559B" w:rsidRPr="005A559B" w14:paraId="3F7DB553" w14:textId="77777777" w:rsidTr="008C727D">
        <w:trPr>
          <w:trHeight w:val="304"/>
        </w:trPr>
        <w:tc>
          <w:tcPr>
            <w:tcW w:w="1671" w:type="dxa"/>
            <w:tcBorders>
              <w:top w:val="nil"/>
              <w:left w:val="single" w:sz="4" w:space="0" w:color="auto"/>
              <w:bottom w:val="nil"/>
              <w:right w:val="nil"/>
            </w:tcBorders>
            <w:shd w:val="clear" w:color="auto" w:fill="auto"/>
            <w:noWrap/>
            <w:hideMark/>
          </w:tcPr>
          <w:p w14:paraId="038C4D89" w14:textId="77777777" w:rsidR="00A55CA5" w:rsidRPr="00FE5A72" w:rsidRDefault="00A55CA5" w:rsidP="00FE5A72">
            <w:pPr>
              <w:rPr>
                <w:rFonts w:cs="Arial"/>
                <w:sz w:val="20"/>
                <w:szCs w:val="20"/>
                <w:lang w:val="en-US"/>
              </w:rPr>
            </w:pPr>
            <w:r w:rsidRPr="00FE5A72">
              <w:rPr>
                <w:rFonts w:cs="Arial"/>
                <w:sz w:val="20"/>
                <w:szCs w:val="20"/>
                <w:lang w:val="en-US"/>
              </w:rPr>
              <w:t>IPX 4-6</w:t>
            </w:r>
          </w:p>
        </w:tc>
        <w:tc>
          <w:tcPr>
            <w:tcW w:w="1053" w:type="dxa"/>
            <w:tcBorders>
              <w:top w:val="nil"/>
              <w:left w:val="nil"/>
              <w:bottom w:val="nil"/>
              <w:right w:val="nil"/>
            </w:tcBorders>
            <w:shd w:val="clear" w:color="auto" w:fill="auto"/>
            <w:noWrap/>
            <w:hideMark/>
          </w:tcPr>
          <w:p w14:paraId="38873FDC" w14:textId="77777777" w:rsidR="00A55CA5" w:rsidRPr="00FE5A72" w:rsidRDefault="00A55CA5" w:rsidP="00FE5A72">
            <w:pPr>
              <w:rPr>
                <w:rFonts w:cs="Arial"/>
                <w:sz w:val="20"/>
                <w:szCs w:val="20"/>
                <w:lang w:val="en-US"/>
              </w:rPr>
            </w:pPr>
            <w:r w:rsidRPr="00FE5A72">
              <w:rPr>
                <w:rFonts w:cs="Arial"/>
                <w:sz w:val="20"/>
                <w:szCs w:val="20"/>
                <w:lang w:val="en-US"/>
              </w:rPr>
              <w:t>72847</w:t>
            </w:r>
          </w:p>
        </w:tc>
        <w:tc>
          <w:tcPr>
            <w:tcW w:w="1306" w:type="dxa"/>
            <w:tcBorders>
              <w:top w:val="nil"/>
              <w:left w:val="single" w:sz="4" w:space="0" w:color="auto"/>
              <w:bottom w:val="nil"/>
              <w:right w:val="single" w:sz="4" w:space="0" w:color="auto"/>
            </w:tcBorders>
            <w:shd w:val="clear" w:color="auto" w:fill="auto"/>
            <w:noWrap/>
            <w:hideMark/>
          </w:tcPr>
          <w:p w14:paraId="37A9B284" w14:textId="77777777" w:rsidR="00A55CA5" w:rsidRPr="00FE5A72" w:rsidRDefault="00A55CA5" w:rsidP="00FE5A72">
            <w:pPr>
              <w:jc w:val="right"/>
              <w:rPr>
                <w:rFonts w:cs="Arial"/>
                <w:sz w:val="20"/>
                <w:szCs w:val="20"/>
                <w:lang w:val="en-US"/>
              </w:rPr>
            </w:pPr>
            <w:r w:rsidRPr="00FE5A72">
              <w:rPr>
                <w:rFonts w:cs="Arial"/>
                <w:sz w:val="20"/>
                <w:szCs w:val="20"/>
                <w:lang w:val="en-US"/>
              </w:rPr>
              <w:t>658</w:t>
            </w:r>
          </w:p>
        </w:tc>
        <w:tc>
          <w:tcPr>
            <w:tcW w:w="1306" w:type="dxa"/>
            <w:tcBorders>
              <w:top w:val="nil"/>
              <w:left w:val="nil"/>
              <w:bottom w:val="nil"/>
              <w:right w:val="single" w:sz="4" w:space="0" w:color="auto"/>
            </w:tcBorders>
            <w:shd w:val="clear" w:color="auto" w:fill="auto"/>
            <w:noWrap/>
            <w:hideMark/>
          </w:tcPr>
          <w:p w14:paraId="04323265" w14:textId="77777777" w:rsidR="00A55CA5" w:rsidRPr="00FE5A72" w:rsidRDefault="00A55CA5" w:rsidP="00FE5A72">
            <w:pPr>
              <w:jc w:val="right"/>
              <w:rPr>
                <w:rFonts w:cs="Arial"/>
                <w:sz w:val="20"/>
                <w:szCs w:val="20"/>
                <w:lang w:val="en-US"/>
              </w:rPr>
            </w:pPr>
            <w:r w:rsidRPr="00FE5A72">
              <w:rPr>
                <w:rFonts w:cs="Arial"/>
                <w:sz w:val="20"/>
                <w:szCs w:val="20"/>
                <w:lang w:val="en-US"/>
              </w:rPr>
              <w:t>89.4</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14C40843" w14:textId="77777777" w:rsidR="00A55CA5" w:rsidRPr="00FE5A72" w:rsidRDefault="00A55CA5" w:rsidP="00FE5A72">
            <w:pPr>
              <w:jc w:val="right"/>
              <w:rPr>
                <w:rFonts w:cs="Arial"/>
                <w:sz w:val="20"/>
                <w:szCs w:val="20"/>
                <w:lang w:val="en-US"/>
              </w:rPr>
            </w:pPr>
            <w:r w:rsidRPr="00FE5A72">
              <w:rPr>
                <w:rFonts w:cs="Arial"/>
                <w:sz w:val="20"/>
                <w:szCs w:val="20"/>
                <w:lang w:val="en-US"/>
              </w:rPr>
              <w:t>58</w:t>
            </w:r>
            <w:r w:rsidR="004B390F">
              <w:rPr>
                <w:rFonts w:cs="Arial"/>
                <w:sz w:val="20"/>
                <w:szCs w:val="20"/>
                <w:lang w:val="en-US"/>
              </w:rPr>
              <w:t xml:space="preserve"> </w:t>
            </w:r>
            <w:r w:rsidRPr="00FE5A72">
              <w:rPr>
                <w:rFonts w:cs="Arial"/>
                <w:sz w:val="20"/>
                <w:szCs w:val="20"/>
                <w:lang w:val="en-US"/>
              </w:rPr>
              <w:t>825.20</w:t>
            </w:r>
          </w:p>
        </w:tc>
      </w:tr>
      <w:tr w:rsidR="005A559B" w:rsidRPr="005A559B" w14:paraId="2D2E69A1" w14:textId="77777777" w:rsidTr="008C727D">
        <w:trPr>
          <w:trHeight w:val="304"/>
        </w:trPr>
        <w:tc>
          <w:tcPr>
            <w:tcW w:w="1671" w:type="dxa"/>
            <w:tcBorders>
              <w:top w:val="nil"/>
              <w:left w:val="single" w:sz="4" w:space="0" w:color="auto"/>
              <w:bottom w:val="nil"/>
              <w:right w:val="nil"/>
            </w:tcBorders>
            <w:shd w:val="clear" w:color="auto" w:fill="auto"/>
            <w:noWrap/>
            <w:hideMark/>
          </w:tcPr>
          <w:p w14:paraId="54A219D4" w14:textId="77777777" w:rsidR="00A55CA5" w:rsidRPr="00FE5A72" w:rsidRDefault="00A55CA5" w:rsidP="00FE5A72">
            <w:pPr>
              <w:rPr>
                <w:rFonts w:cs="Arial"/>
                <w:sz w:val="20"/>
                <w:szCs w:val="20"/>
                <w:lang w:val="en-US"/>
              </w:rPr>
            </w:pPr>
            <w:r w:rsidRPr="00FE5A72">
              <w:rPr>
                <w:rFonts w:cs="Arial"/>
                <w:sz w:val="20"/>
                <w:szCs w:val="20"/>
                <w:lang w:val="en-US"/>
              </w:rPr>
              <w:t>IPX-BR</w:t>
            </w:r>
          </w:p>
        </w:tc>
        <w:tc>
          <w:tcPr>
            <w:tcW w:w="1053" w:type="dxa"/>
            <w:tcBorders>
              <w:top w:val="nil"/>
              <w:left w:val="nil"/>
              <w:bottom w:val="nil"/>
              <w:right w:val="nil"/>
            </w:tcBorders>
            <w:shd w:val="clear" w:color="auto" w:fill="auto"/>
            <w:noWrap/>
            <w:hideMark/>
          </w:tcPr>
          <w:p w14:paraId="69C5AA56" w14:textId="77777777" w:rsidR="00A55CA5" w:rsidRPr="00FE5A72" w:rsidRDefault="00A55CA5" w:rsidP="00FE5A72">
            <w:pPr>
              <w:rPr>
                <w:rFonts w:cs="Arial"/>
                <w:sz w:val="20"/>
                <w:szCs w:val="20"/>
                <w:lang w:val="en-US"/>
              </w:rPr>
            </w:pPr>
            <w:r w:rsidRPr="00FE5A72">
              <w:rPr>
                <w:rFonts w:cs="Arial"/>
                <w:sz w:val="20"/>
                <w:szCs w:val="20"/>
                <w:lang w:val="en-US"/>
              </w:rPr>
              <w:t>72848</w:t>
            </w:r>
          </w:p>
        </w:tc>
        <w:tc>
          <w:tcPr>
            <w:tcW w:w="1306" w:type="dxa"/>
            <w:tcBorders>
              <w:top w:val="nil"/>
              <w:left w:val="single" w:sz="4" w:space="0" w:color="auto"/>
              <w:bottom w:val="nil"/>
              <w:right w:val="single" w:sz="4" w:space="0" w:color="auto"/>
            </w:tcBorders>
            <w:shd w:val="clear" w:color="auto" w:fill="auto"/>
            <w:noWrap/>
            <w:hideMark/>
          </w:tcPr>
          <w:p w14:paraId="5F249AA7" w14:textId="77777777" w:rsidR="00A55CA5" w:rsidRPr="00FE5A72" w:rsidRDefault="00A55CA5" w:rsidP="00FE5A72">
            <w:pPr>
              <w:jc w:val="right"/>
              <w:rPr>
                <w:rFonts w:cs="Arial"/>
                <w:sz w:val="20"/>
                <w:szCs w:val="20"/>
                <w:lang w:val="en-US"/>
              </w:rPr>
            </w:pPr>
            <w:r w:rsidRPr="00FE5A72">
              <w:rPr>
                <w:rFonts w:cs="Arial"/>
                <w:sz w:val="20"/>
                <w:szCs w:val="20"/>
                <w:lang w:val="en-US"/>
              </w:rPr>
              <w:t>51</w:t>
            </w:r>
          </w:p>
        </w:tc>
        <w:tc>
          <w:tcPr>
            <w:tcW w:w="1306" w:type="dxa"/>
            <w:tcBorders>
              <w:top w:val="nil"/>
              <w:left w:val="nil"/>
              <w:bottom w:val="nil"/>
              <w:right w:val="single" w:sz="4" w:space="0" w:color="auto"/>
            </w:tcBorders>
            <w:shd w:val="clear" w:color="auto" w:fill="auto"/>
            <w:noWrap/>
            <w:hideMark/>
          </w:tcPr>
          <w:p w14:paraId="1A4DEAB6" w14:textId="77777777" w:rsidR="00A55CA5" w:rsidRPr="00FE5A72" w:rsidRDefault="00A55CA5" w:rsidP="00FE5A72">
            <w:pPr>
              <w:jc w:val="right"/>
              <w:rPr>
                <w:rFonts w:cs="Arial"/>
                <w:sz w:val="20"/>
                <w:szCs w:val="20"/>
                <w:lang w:val="en-US"/>
              </w:rPr>
            </w:pPr>
            <w:r w:rsidRPr="00FE5A72">
              <w:rPr>
                <w:rFonts w:cs="Arial"/>
                <w:sz w:val="20"/>
                <w:szCs w:val="20"/>
                <w:lang w:val="en-US"/>
              </w:rPr>
              <w:t>74.5</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3A320D20" w14:textId="77777777" w:rsidR="00A55CA5" w:rsidRPr="00FE5A72" w:rsidRDefault="00A55CA5" w:rsidP="00FE5A72">
            <w:pPr>
              <w:jc w:val="right"/>
              <w:rPr>
                <w:rFonts w:cs="Arial"/>
                <w:sz w:val="20"/>
                <w:szCs w:val="20"/>
                <w:lang w:val="en-US"/>
              </w:rPr>
            </w:pPr>
            <w:r w:rsidRPr="00FE5A72">
              <w:rPr>
                <w:rFonts w:cs="Arial"/>
                <w:sz w:val="20"/>
                <w:szCs w:val="20"/>
                <w:lang w:val="en-US"/>
              </w:rPr>
              <w:t>3</w:t>
            </w:r>
            <w:r w:rsidR="004B390F">
              <w:rPr>
                <w:rFonts w:cs="Arial"/>
                <w:sz w:val="20"/>
                <w:szCs w:val="20"/>
                <w:lang w:val="en-US"/>
              </w:rPr>
              <w:t xml:space="preserve"> </w:t>
            </w:r>
            <w:r w:rsidRPr="00FE5A72">
              <w:rPr>
                <w:rFonts w:cs="Arial"/>
                <w:sz w:val="20"/>
                <w:szCs w:val="20"/>
                <w:lang w:val="en-US"/>
              </w:rPr>
              <w:t>799.50</w:t>
            </w:r>
          </w:p>
        </w:tc>
      </w:tr>
      <w:tr w:rsidR="005A559B" w:rsidRPr="005A559B" w14:paraId="4D01C8E1" w14:textId="77777777" w:rsidTr="008C727D">
        <w:trPr>
          <w:trHeight w:val="289"/>
        </w:trPr>
        <w:tc>
          <w:tcPr>
            <w:tcW w:w="1671" w:type="dxa"/>
            <w:tcBorders>
              <w:top w:val="nil"/>
              <w:left w:val="single" w:sz="4" w:space="0" w:color="auto"/>
              <w:bottom w:val="nil"/>
              <w:right w:val="nil"/>
            </w:tcBorders>
            <w:shd w:val="clear" w:color="auto" w:fill="auto"/>
            <w:noWrap/>
            <w:hideMark/>
          </w:tcPr>
          <w:p w14:paraId="689719A1" w14:textId="77777777" w:rsidR="00A55CA5" w:rsidRPr="00FE5A72" w:rsidRDefault="00A55CA5" w:rsidP="00FE5A72">
            <w:pPr>
              <w:rPr>
                <w:rFonts w:cs="Arial"/>
                <w:sz w:val="20"/>
                <w:szCs w:val="20"/>
                <w:lang w:val="en-US"/>
              </w:rPr>
            </w:pPr>
            <w:r w:rsidRPr="00FE5A72">
              <w:rPr>
                <w:rFonts w:cs="Arial"/>
                <w:sz w:val="20"/>
                <w:szCs w:val="20"/>
                <w:lang w:val="en-US"/>
              </w:rPr>
              <w:t>IPX 7-10</w:t>
            </w:r>
          </w:p>
        </w:tc>
        <w:tc>
          <w:tcPr>
            <w:tcW w:w="1053" w:type="dxa"/>
            <w:tcBorders>
              <w:top w:val="nil"/>
              <w:left w:val="nil"/>
              <w:bottom w:val="nil"/>
              <w:right w:val="nil"/>
            </w:tcBorders>
            <w:shd w:val="clear" w:color="auto" w:fill="auto"/>
            <w:noWrap/>
            <w:hideMark/>
          </w:tcPr>
          <w:p w14:paraId="07BF3505" w14:textId="77777777" w:rsidR="00A55CA5" w:rsidRPr="00FE5A72" w:rsidRDefault="00A55CA5" w:rsidP="00FE5A72">
            <w:pPr>
              <w:rPr>
                <w:rFonts w:cs="Arial"/>
                <w:sz w:val="20"/>
                <w:szCs w:val="20"/>
                <w:lang w:val="en-US"/>
              </w:rPr>
            </w:pPr>
            <w:r w:rsidRPr="00FE5A72">
              <w:rPr>
                <w:rFonts w:cs="Arial"/>
                <w:sz w:val="20"/>
                <w:szCs w:val="20"/>
                <w:lang w:val="en-US"/>
              </w:rPr>
              <w:t>72849</w:t>
            </w:r>
          </w:p>
        </w:tc>
        <w:tc>
          <w:tcPr>
            <w:tcW w:w="1306" w:type="dxa"/>
            <w:tcBorders>
              <w:top w:val="nil"/>
              <w:left w:val="single" w:sz="4" w:space="0" w:color="auto"/>
              <w:bottom w:val="nil"/>
              <w:right w:val="single" w:sz="4" w:space="0" w:color="auto"/>
            </w:tcBorders>
            <w:shd w:val="clear" w:color="auto" w:fill="auto"/>
            <w:noWrap/>
            <w:hideMark/>
          </w:tcPr>
          <w:p w14:paraId="4D61BA23" w14:textId="77777777" w:rsidR="00A55CA5" w:rsidRPr="00FE5A72" w:rsidRDefault="00A55CA5" w:rsidP="00FE5A72">
            <w:pPr>
              <w:jc w:val="right"/>
              <w:rPr>
                <w:rFonts w:cs="Arial"/>
                <w:sz w:val="20"/>
                <w:szCs w:val="20"/>
                <w:lang w:val="en-US"/>
              </w:rPr>
            </w:pPr>
            <w:r w:rsidRPr="00FE5A72">
              <w:rPr>
                <w:rFonts w:cs="Arial"/>
                <w:sz w:val="20"/>
                <w:szCs w:val="20"/>
                <w:lang w:val="en-US"/>
              </w:rPr>
              <w:t>246</w:t>
            </w:r>
          </w:p>
        </w:tc>
        <w:tc>
          <w:tcPr>
            <w:tcW w:w="1306" w:type="dxa"/>
            <w:tcBorders>
              <w:top w:val="nil"/>
              <w:left w:val="nil"/>
              <w:bottom w:val="nil"/>
              <w:right w:val="single" w:sz="4" w:space="0" w:color="auto"/>
            </w:tcBorders>
            <w:shd w:val="clear" w:color="auto" w:fill="auto"/>
            <w:noWrap/>
            <w:hideMark/>
          </w:tcPr>
          <w:p w14:paraId="392EA8D5" w14:textId="77777777" w:rsidR="00A55CA5" w:rsidRPr="00FE5A72" w:rsidRDefault="00A55CA5" w:rsidP="00FE5A72">
            <w:pPr>
              <w:jc w:val="right"/>
              <w:rPr>
                <w:rFonts w:cs="Arial"/>
                <w:sz w:val="20"/>
                <w:szCs w:val="20"/>
                <w:lang w:val="en-US"/>
              </w:rPr>
            </w:pPr>
            <w:r w:rsidRPr="00FE5A72">
              <w:rPr>
                <w:rFonts w:cs="Arial"/>
                <w:sz w:val="20"/>
                <w:szCs w:val="20"/>
                <w:lang w:val="en-US"/>
              </w:rPr>
              <w:t>104.3</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4E0FBE3B" w14:textId="77777777" w:rsidR="00A55CA5" w:rsidRPr="00FE5A72" w:rsidRDefault="00A55CA5" w:rsidP="00FE5A72">
            <w:pPr>
              <w:jc w:val="right"/>
              <w:rPr>
                <w:rFonts w:cs="Arial"/>
                <w:sz w:val="20"/>
                <w:szCs w:val="20"/>
                <w:lang w:val="en-US"/>
              </w:rPr>
            </w:pPr>
            <w:r w:rsidRPr="00FE5A72">
              <w:rPr>
                <w:rFonts w:cs="Arial"/>
                <w:sz w:val="20"/>
                <w:szCs w:val="20"/>
                <w:lang w:val="en-US"/>
              </w:rPr>
              <w:t>25</w:t>
            </w:r>
            <w:r w:rsidR="004B390F">
              <w:rPr>
                <w:rFonts w:cs="Arial"/>
                <w:sz w:val="20"/>
                <w:szCs w:val="20"/>
                <w:lang w:val="en-US"/>
              </w:rPr>
              <w:t xml:space="preserve"> </w:t>
            </w:r>
            <w:r w:rsidRPr="00FE5A72">
              <w:rPr>
                <w:rFonts w:cs="Arial"/>
                <w:sz w:val="20"/>
                <w:szCs w:val="20"/>
                <w:lang w:val="en-US"/>
              </w:rPr>
              <w:t>657.80</w:t>
            </w:r>
          </w:p>
        </w:tc>
      </w:tr>
      <w:tr w:rsidR="005A559B" w:rsidRPr="005A559B" w14:paraId="11513262" w14:textId="77777777" w:rsidTr="008C727D">
        <w:trPr>
          <w:trHeight w:val="304"/>
        </w:trPr>
        <w:tc>
          <w:tcPr>
            <w:tcW w:w="1671" w:type="dxa"/>
            <w:tcBorders>
              <w:top w:val="nil"/>
              <w:left w:val="single" w:sz="4" w:space="0" w:color="auto"/>
              <w:bottom w:val="nil"/>
              <w:right w:val="nil"/>
            </w:tcBorders>
            <w:shd w:val="clear" w:color="auto" w:fill="auto"/>
            <w:noWrap/>
            <w:hideMark/>
          </w:tcPr>
          <w:p w14:paraId="58844BB5" w14:textId="77777777" w:rsidR="00A55CA5" w:rsidRPr="00FE5A72" w:rsidRDefault="00A55CA5" w:rsidP="00FE5A72">
            <w:pPr>
              <w:rPr>
                <w:rFonts w:cs="Arial"/>
                <w:sz w:val="20"/>
                <w:szCs w:val="20"/>
                <w:lang w:val="en-US"/>
              </w:rPr>
            </w:pPr>
            <w:r w:rsidRPr="00FE5A72">
              <w:rPr>
                <w:rFonts w:cs="Arial"/>
                <w:sz w:val="20"/>
                <w:szCs w:val="20"/>
                <w:lang w:val="en-US"/>
              </w:rPr>
              <w:t>IPX 11+</w:t>
            </w:r>
          </w:p>
        </w:tc>
        <w:tc>
          <w:tcPr>
            <w:tcW w:w="1053" w:type="dxa"/>
            <w:tcBorders>
              <w:top w:val="nil"/>
              <w:left w:val="nil"/>
              <w:bottom w:val="nil"/>
              <w:right w:val="nil"/>
            </w:tcBorders>
            <w:shd w:val="clear" w:color="auto" w:fill="auto"/>
            <w:noWrap/>
            <w:hideMark/>
          </w:tcPr>
          <w:p w14:paraId="66595523" w14:textId="77777777" w:rsidR="00A55CA5" w:rsidRPr="00FE5A72" w:rsidRDefault="00A55CA5" w:rsidP="00FE5A72">
            <w:pPr>
              <w:rPr>
                <w:rFonts w:cs="Arial"/>
                <w:sz w:val="20"/>
                <w:szCs w:val="20"/>
                <w:lang w:val="en-US"/>
              </w:rPr>
            </w:pPr>
            <w:r w:rsidRPr="00FE5A72">
              <w:rPr>
                <w:rFonts w:cs="Arial"/>
                <w:sz w:val="20"/>
                <w:szCs w:val="20"/>
                <w:lang w:val="en-US"/>
              </w:rPr>
              <w:t>72850</w:t>
            </w:r>
          </w:p>
        </w:tc>
        <w:tc>
          <w:tcPr>
            <w:tcW w:w="1306" w:type="dxa"/>
            <w:tcBorders>
              <w:top w:val="nil"/>
              <w:left w:val="single" w:sz="4" w:space="0" w:color="auto"/>
              <w:bottom w:val="nil"/>
              <w:right w:val="single" w:sz="4" w:space="0" w:color="auto"/>
            </w:tcBorders>
            <w:shd w:val="clear" w:color="auto" w:fill="auto"/>
            <w:noWrap/>
            <w:hideMark/>
          </w:tcPr>
          <w:p w14:paraId="0C241F9F" w14:textId="77777777" w:rsidR="00A55CA5" w:rsidRPr="00FE5A72" w:rsidRDefault="00A55CA5" w:rsidP="00FE5A72">
            <w:pPr>
              <w:jc w:val="right"/>
              <w:rPr>
                <w:rFonts w:cs="Arial"/>
                <w:sz w:val="20"/>
                <w:szCs w:val="20"/>
                <w:lang w:val="en-US"/>
              </w:rPr>
            </w:pPr>
            <w:r w:rsidRPr="00FE5A72">
              <w:rPr>
                <w:rFonts w:cs="Arial"/>
                <w:sz w:val="20"/>
                <w:szCs w:val="20"/>
                <w:lang w:val="en-US"/>
              </w:rPr>
              <w:t>151</w:t>
            </w:r>
          </w:p>
        </w:tc>
        <w:tc>
          <w:tcPr>
            <w:tcW w:w="1306" w:type="dxa"/>
            <w:tcBorders>
              <w:top w:val="nil"/>
              <w:left w:val="nil"/>
              <w:bottom w:val="nil"/>
              <w:right w:val="single" w:sz="4" w:space="0" w:color="auto"/>
            </w:tcBorders>
            <w:shd w:val="clear" w:color="auto" w:fill="auto"/>
            <w:noWrap/>
            <w:hideMark/>
          </w:tcPr>
          <w:p w14:paraId="60DDCC8F" w14:textId="77777777" w:rsidR="00A55CA5" w:rsidRPr="00FE5A72" w:rsidRDefault="00A55CA5" w:rsidP="00FE5A72">
            <w:pPr>
              <w:jc w:val="right"/>
              <w:rPr>
                <w:rFonts w:cs="Arial"/>
                <w:sz w:val="20"/>
                <w:szCs w:val="20"/>
                <w:lang w:val="en-US"/>
              </w:rPr>
            </w:pPr>
            <w:r w:rsidRPr="00FE5A72">
              <w:rPr>
                <w:rFonts w:cs="Arial"/>
                <w:sz w:val="20"/>
                <w:szCs w:val="20"/>
                <w:lang w:val="en-US"/>
              </w:rPr>
              <w:t>119.2</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37FD73D3" w14:textId="77777777" w:rsidR="00A55CA5" w:rsidRPr="00FE5A72" w:rsidRDefault="00A55CA5" w:rsidP="00FE5A72">
            <w:pPr>
              <w:jc w:val="right"/>
              <w:rPr>
                <w:rFonts w:cs="Arial"/>
                <w:sz w:val="20"/>
                <w:szCs w:val="20"/>
                <w:lang w:val="en-US"/>
              </w:rPr>
            </w:pPr>
            <w:r w:rsidRPr="00FE5A72">
              <w:rPr>
                <w:rFonts w:cs="Arial"/>
                <w:sz w:val="20"/>
                <w:szCs w:val="20"/>
                <w:lang w:val="en-US"/>
              </w:rPr>
              <w:t>17</w:t>
            </w:r>
            <w:r w:rsidR="004B390F">
              <w:rPr>
                <w:rFonts w:cs="Arial"/>
                <w:sz w:val="20"/>
                <w:szCs w:val="20"/>
                <w:lang w:val="en-US"/>
              </w:rPr>
              <w:t xml:space="preserve"> </w:t>
            </w:r>
            <w:r w:rsidRPr="00FE5A72">
              <w:rPr>
                <w:rFonts w:cs="Arial"/>
                <w:sz w:val="20"/>
                <w:szCs w:val="20"/>
                <w:lang w:val="en-US"/>
              </w:rPr>
              <w:t>999.20</w:t>
            </w:r>
          </w:p>
        </w:tc>
      </w:tr>
      <w:tr w:rsidR="005A559B" w:rsidRPr="005A559B" w14:paraId="2837E101" w14:textId="77777777" w:rsidTr="008C727D">
        <w:trPr>
          <w:trHeight w:val="289"/>
        </w:trPr>
        <w:tc>
          <w:tcPr>
            <w:tcW w:w="1671" w:type="dxa"/>
            <w:tcBorders>
              <w:top w:val="nil"/>
              <w:left w:val="single" w:sz="4" w:space="0" w:color="auto"/>
              <w:bottom w:val="nil"/>
              <w:right w:val="nil"/>
            </w:tcBorders>
            <w:shd w:val="clear" w:color="auto" w:fill="auto"/>
            <w:noWrap/>
            <w:hideMark/>
          </w:tcPr>
          <w:p w14:paraId="73068D13" w14:textId="77777777" w:rsidR="00A55CA5" w:rsidRPr="00FE5A72" w:rsidRDefault="00A55CA5" w:rsidP="00FE5A72">
            <w:pPr>
              <w:rPr>
                <w:rFonts w:cs="Arial"/>
                <w:sz w:val="20"/>
                <w:szCs w:val="20"/>
                <w:lang w:val="en-US"/>
              </w:rPr>
            </w:pPr>
            <w:r w:rsidRPr="00FE5A72">
              <w:rPr>
                <w:rFonts w:cs="Arial"/>
                <w:sz w:val="20"/>
                <w:szCs w:val="20"/>
                <w:lang w:val="en-US"/>
              </w:rPr>
              <w:t>C-IHC 1-3</w:t>
            </w:r>
          </w:p>
        </w:tc>
        <w:tc>
          <w:tcPr>
            <w:tcW w:w="1053" w:type="dxa"/>
            <w:tcBorders>
              <w:top w:val="nil"/>
              <w:left w:val="nil"/>
              <w:bottom w:val="nil"/>
              <w:right w:val="nil"/>
            </w:tcBorders>
            <w:shd w:val="clear" w:color="auto" w:fill="auto"/>
            <w:noWrap/>
            <w:hideMark/>
          </w:tcPr>
          <w:p w14:paraId="5D5F09F0" w14:textId="77777777" w:rsidR="00A55CA5" w:rsidRPr="00FE5A72" w:rsidRDefault="00A55CA5" w:rsidP="00FE5A72">
            <w:pPr>
              <w:rPr>
                <w:rFonts w:cs="Arial"/>
                <w:sz w:val="20"/>
                <w:szCs w:val="20"/>
                <w:lang w:val="en-US"/>
              </w:rPr>
            </w:pPr>
            <w:r w:rsidRPr="00FE5A72">
              <w:rPr>
                <w:rFonts w:cs="Arial"/>
                <w:sz w:val="20"/>
                <w:szCs w:val="20"/>
                <w:lang w:val="en-US"/>
              </w:rPr>
              <w:t>73059</w:t>
            </w:r>
          </w:p>
        </w:tc>
        <w:tc>
          <w:tcPr>
            <w:tcW w:w="1306" w:type="dxa"/>
            <w:tcBorders>
              <w:top w:val="nil"/>
              <w:left w:val="single" w:sz="4" w:space="0" w:color="auto"/>
              <w:bottom w:val="nil"/>
              <w:right w:val="single" w:sz="4" w:space="0" w:color="auto"/>
            </w:tcBorders>
            <w:shd w:val="clear" w:color="auto" w:fill="auto"/>
            <w:noWrap/>
            <w:hideMark/>
          </w:tcPr>
          <w:p w14:paraId="220D15BB" w14:textId="77777777" w:rsidR="00A55CA5" w:rsidRPr="00FE5A72" w:rsidRDefault="00A55CA5" w:rsidP="00FE5A72">
            <w:pPr>
              <w:jc w:val="right"/>
              <w:rPr>
                <w:rFonts w:cs="Arial"/>
                <w:sz w:val="20"/>
                <w:szCs w:val="20"/>
                <w:lang w:val="en-US"/>
              </w:rPr>
            </w:pPr>
            <w:r w:rsidRPr="00FE5A72">
              <w:rPr>
                <w:rFonts w:cs="Arial"/>
                <w:sz w:val="20"/>
                <w:szCs w:val="20"/>
                <w:lang w:val="en-US"/>
              </w:rPr>
              <w:t>37</w:t>
            </w:r>
          </w:p>
        </w:tc>
        <w:tc>
          <w:tcPr>
            <w:tcW w:w="1306" w:type="dxa"/>
            <w:tcBorders>
              <w:top w:val="nil"/>
              <w:left w:val="nil"/>
              <w:bottom w:val="nil"/>
              <w:right w:val="single" w:sz="4" w:space="0" w:color="auto"/>
            </w:tcBorders>
            <w:shd w:val="clear" w:color="auto" w:fill="auto"/>
            <w:noWrap/>
            <w:hideMark/>
          </w:tcPr>
          <w:p w14:paraId="6B075CBB" w14:textId="77777777" w:rsidR="00A55CA5" w:rsidRPr="00FE5A72" w:rsidRDefault="00A55CA5" w:rsidP="00FE5A72">
            <w:pPr>
              <w:jc w:val="right"/>
              <w:rPr>
                <w:rFonts w:cs="Arial"/>
                <w:sz w:val="20"/>
                <w:szCs w:val="20"/>
                <w:lang w:val="en-US"/>
              </w:rPr>
            </w:pPr>
            <w:r w:rsidRPr="00FE5A72">
              <w:rPr>
                <w:rFonts w:cs="Arial"/>
                <w:sz w:val="20"/>
                <w:szCs w:val="20"/>
                <w:lang w:val="en-US"/>
              </w:rPr>
              <w:t>43</w:t>
            </w:r>
            <w:r w:rsidR="004B390F">
              <w:rPr>
                <w:rFonts w:cs="Arial"/>
                <w:sz w:val="20"/>
                <w:szCs w:val="20"/>
                <w:lang w:val="en-US"/>
              </w:rPr>
              <w:t>.00</w:t>
            </w:r>
          </w:p>
        </w:tc>
        <w:tc>
          <w:tcPr>
            <w:tcW w:w="1878" w:type="dxa"/>
            <w:tcBorders>
              <w:top w:val="nil"/>
              <w:left w:val="nil"/>
              <w:bottom w:val="nil"/>
              <w:right w:val="single" w:sz="4" w:space="0" w:color="auto"/>
            </w:tcBorders>
            <w:shd w:val="clear" w:color="auto" w:fill="auto"/>
            <w:noWrap/>
            <w:hideMark/>
          </w:tcPr>
          <w:p w14:paraId="147D5BCF" w14:textId="77777777" w:rsidR="00A55CA5" w:rsidRPr="00FE5A72" w:rsidRDefault="00A55CA5" w:rsidP="00FE5A72">
            <w:pPr>
              <w:jc w:val="right"/>
              <w:rPr>
                <w:rFonts w:cs="Arial"/>
                <w:sz w:val="20"/>
                <w:szCs w:val="20"/>
                <w:lang w:val="en-US"/>
              </w:rPr>
            </w:pPr>
            <w:r w:rsidRPr="00FE5A72">
              <w:rPr>
                <w:rFonts w:cs="Arial"/>
                <w:sz w:val="20"/>
                <w:szCs w:val="20"/>
                <w:lang w:val="en-US"/>
              </w:rPr>
              <w:t>1</w:t>
            </w:r>
            <w:r w:rsidR="004B390F">
              <w:rPr>
                <w:rFonts w:cs="Arial"/>
                <w:sz w:val="20"/>
                <w:szCs w:val="20"/>
                <w:lang w:val="en-US"/>
              </w:rPr>
              <w:t xml:space="preserve"> </w:t>
            </w:r>
            <w:r w:rsidRPr="00FE5A72">
              <w:rPr>
                <w:rFonts w:cs="Arial"/>
                <w:sz w:val="20"/>
                <w:szCs w:val="20"/>
                <w:lang w:val="en-US"/>
              </w:rPr>
              <w:t>591.00</w:t>
            </w:r>
          </w:p>
        </w:tc>
      </w:tr>
      <w:tr w:rsidR="005A559B" w:rsidRPr="005A559B" w14:paraId="366FE798" w14:textId="77777777" w:rsidTr="008C727D">
        <w:trPr>
          <w:trHeight w:val="289"/>
        </w:trPr>
        <w:tc>
          <w:tcPr>
            <w:tcW w:w="1671" w:type="dxa"/>
            <w:tcBorders>
              <w:top w:val="nil"/>
              <w:left w:val="single" w:sz="4" w:space="0" w:color="auto"/>
              <w:bottom w:val="nil"/>
              <w:right w:val="nil"/>
            </w:tcBorders>
            <w:shd w:val="clear" w:color="auto" w:fill="auto"/>
            <w:noWrap/>
            <w:hideMark/>
          </w:tcPr>
          <w:p w14:paraId="02BF9DD0" w14:textId="77777777" w:rsidR="00A55CA5" w:rsidRPr="00FE5A72" w:rsidRDefault="00A55CA5" w:rsidP="00FE5A72">
            <w:pPr>
              <w:rPr>
                <w:rFonts w:cs="Arial"/>
                <w:sz w:val="20"/>
                <w:szCs w:val="20"/>
                <w:lang w:val="en-US"/>
              </w:rPr>
            </w:pPr>
            <w:r w:rsidRPr="00FE5A72">
              <w:rPr>
                <w:rFonts w:cs="Arial"/>
                <w:sz w:val="20"/>
                <w:szCs w:val="20"/>
                <w:lang w:val="en-US"/>
              </w:rPr>
              <w:t>C-IHC 4-6</w:t>
            </w:r>
          </w:p>
        </w:tc>
        <w:tc>
          <w:tcPr>
            <w:tcW w:w="1053" w:type="dxa"/>
            <w:tcBorders>
              <w:top w:val="nil"/>
              <w:left w:val="nil"/>
              <w:bottom w:val="nil"/>
              <w:right w:val="nil"/>
            </w:tcBorders>
            <w:shd w:val="clear" w:color="auto" w:fill="auto"/>
            <w:noWrap/>
            <w:hideMark/>
          </w:tcPr>
          <w:p w14:paraId="0C15DBC1" w14:textId="77777777" w:rsidR="00A55CA5" w:rsidRPr="00FE5A72" w:rsidRDefault="00A55CA5" w:rsidP="00FE5A72">
            <w:pPr>
              <w:rPr>
                <w:rFonts w:cs="Arial"/>
                <w:sz w:val="20"/>
                <w:szCs w:val="20"/>
                <w:lang w:val="en-US"/>
              </w:rPr>
            </w:pPr>
            <w:r w:rsidRPr="00FE5A72">
              <w:rPr>
                <w:rFonts w:cs="Arial"/>
                <w:sz w:val="20"/>
                <w:szCs w:val="20"/>
                <w:lang w:val="en-US"/>
              </w:rPr>
              <w:t>73060</w:t>
            </w:r>
          </w:p>
        </w:tc>
        <w:tc>
          <w:tcPr>
            <w:tcW w:w="1306" w:type="dxa"/>
            <w:tcBorders>
              <w:top w:val="nil"/>
              <w:left w:val="single" w:sz="4" w:space="0" w:color="auto"/>
              <w:bottom w:val="nil"/>
              <w:right w:val="single" w:sz="4" w:space="0" w:color="auto"/>
            </w:tcBorders>
            <w:shd w:val="clear" w:color="auto" w:fill="auto"/>
            <w:noWrap/>
            <w:hideMark/>
          </w:tcPr>
          <w:p w14:paraId="3D9C2E84" w14:textId="77777777" w:rsidR="00A55CA5" w:rsidRPr="00FE5A72" w:rsidRDefault="00A55CA5" w:rsidP="00FE5A72">
            <w:pPr>
              <w:jc w:val="right"/>
              <w:rPr>
                <w:rFonts w:cs="Arial"/>
                <w:sz w:val="20"/>
                <w:szCs w:val="20"/>
                <w:lang w:val="en-US"/>
              </w:rPr>
            </w:pPr>
            <w:r w:rsidRPr="00FE5A72">
              <w:rPr>
                <w:rFonts w:cs="Arial"/>
                <w:sz w:val="20"/>
                <w:szCs w:val="20"/>
                <w:lang w:val="en-US"/>
              </w:rPr>
              <w:t>34</w:t>
            </w:r>
          </w:p>
        </w:tc>
        <w:tc>
          <w:tcPr>
            <w:tcW w:w="1306" w:type="dxa"/>
            <w:tcBorders>
              <w:top w:val="nil"/>
              <w:left w:val="nil"/>
              <w:bottom w:val="nil"/>
              <w:right w:val="single" w:sz="4" w:space="0" w:color="auto"/>
            </w:tcBorders>
            <w:shd w:val="clear" w:color="auto" w:fill="auto"/>
            <w:noWrap/>
            <w:hideMark/>
          </w:tcPr>
          <w:p w14:paraId="2BB15FA7" w14:textId="77777777" w:rsidR="00A55CA5" w:rsidRPr="00FE5A72" w:rsidRDefault="00A55CA5" w:rsidP="00FE5A72">
            <w:pPr>
              <w:jc w:val="right"/>
              <w:rPr>
                <w:rFonts w:cs="Arial"/>
                <w:sz w:val="20"/>
                <w:szCs w:val="20"/>
                <w:lang w:val="en-US"/>
              </w:rPr>
            </w:pPr>
            <w:r w:rsidRPr="00FE5A72">
              <w:rPr>
                <w:rFonts w:cs="Arial"/>
                <w:sz w:val="20"/>
                <w:szCs w:val="20"/>
                <w:lang w:val="en-US"/>
              </w:rPr>
              <w:t>57.35</w:t>
            </w:r>
          </w:p>
        </w:tc>
        <w:tc>
          <w:tcPr>
            <w:tcW w:w="1878" w:type="dxa"/>
            <w:tcBorders>
              <w:top w:val="nil"/>
              <w:left w:val="nil"/>
              <w:bottom w:val="nil"/>
              <w:right w:val="single" w:sz="4" w:space="0" w:color="auto"/>
            </w:tcBorders>
            <w:shd w:val="clear" w:color="auto" w:fill="auto"/>
            <w:noWrap/>
            <w:hideMark/>
          </w:tcPr>
          <w:p w14:paraId="4EAF4ED4" w14:textId="77777777" w:rsidR="00A55CA5" w:rsidRPr="00FE5A72" w:rsidRDefault="00A55CA5" w:rsidP="00FE5A72">
            <w:pPr>
              <w:jc w:val="right"/>
              <w:rPr>
                <w:rFonts w:cs="Arial"/>
                <w:sz w:val="20"/>
                <w:szCs w:val="20"/>
                <w:lang w:val="en-US"/>
              </w:rPr>
            </w:pPr>
            <w:r w:rsidRPr="00FE5A72">
              <w:rPr>
                <w:rFonts w:cs="Arial"/>
                <w:sz w:val="20"/>
                <w:szCs w:val="20"/>
                <w:lang w:val="en-US"/>
              </w:rPr>
              <w:t>1</w:t>
            </w:r>
            <w:r w:rsidR="004B390F">
              <w:rPr>
                <w:rFonts w:cs="Arial"/>
                <w:sz w:val="20"/>
                <w:szCs w:val="20"/>
                <w:lang w:val="en-US"/>
              </w:rPr>
              <w:t xml:space="preserve"> </w:t>
            </w:r>
            <w:r w:rsidRPr="00FE5A72">
              <w:rPr>
                <w:rFonts w:cs="Arial"/>
                <w:sz w:val="20"/>
                <w:szCs w:val="20"/>
                <w:lang w:val="en-US"/>
              </w:rPr>
              <w:t>949.90</w:t>
            </w:r>
          </w:p>
        </w:tc>
      </w:tr>
      <w:tr w:rsidR="005A559B" w:rsidRPr="005A559B" w14:paraId="02687030" w14:textId="77777777" w:rsidTr="008C727D">
        <w:trPr>
          <w:trHeight w:val="289"/>
        </w:trPr>
        <w:tc>
          <w:tcPr>
            <w:tcW w:w="1671" w:type="dxa"/>
            <w:tcBorders>
              <w:top w:val="nil"/>
              <w:left w:val="single" w:sz="4" w:space="0" w:color="auto"/>
              <w:bottom w:val="nil"/>
              <w:right w:val="nil"/>
            </w:tcBorders>
            <w:shd w:val="clear" w:color="auto" w:fill="auto"/>
            <w:noWrap/>
            <w:hideMark/>
          </w:tcPr>
          <w:p w14:paraId="7E147E1E" w14:textId="77777777" w:rsidR="00A55CA5" w:rsidRPr="00FE5A72" w:rsidRDefault="00A55CA5" w:rsidP="00FE5A72">
            <w:pPr>
              <w:rPr>
                <w:rFonts w:cs="Arial"/>
                <w:sz w:val="20"/>
                <w:szCs w:val="20"/>
                <w:lang w:val="en-US"/>
              </w:rPr>
            </w:pPr>
            <w:r w:rsidRPr="00FE5A72">
              <w:rPr>
                <w:rFonts w:cs="Arial"/>
                <w:sz w:val="20"/>
                <w:szCs w:val="20"/>
                <w:lang w:val="en-US"/>
              </w:rPr>
              <w:t>C-IHC-BR</w:t>
            </w:r>
          </w:p>
        </w:tc>
        <w:tc>
          <w:tcPr>
            <w:tcW w:w="1053" w:type="dxa"/>
            <w:tcBorders>
              <w:top w:val="nil"/>
              <w:left w:val="nil"/>
              <w:bottom w:val="nil"/>
              <w:right w:val="nil"/>
            </w:tcBorders>
            <w:shd w:val="clear" w:color="auto" w:fill="auto"/>
            <w:noWrap/>
            <w:hideMark/>
          </w:tcPr>
          <w:p w14:paraId="7337452C" w14:textId="77777777" w:rsidR="00A55CA5" w:rsidRPr="00FE5A72" w:rsidRDefault="00A55CA5" w:rsidP="00FE5A72">
            <w:pPr>
              <w:rPr>
                <w:rFonts w:cs="Arial"/>
                <w:sz w:val="20"/>
                <w:szCs w:val="20"/>
                <w:lang w:val="en-US"/>
              </w:rPr>
            </w:pPr>
            <w:r w:rsidRPr="00FE5A72">
              <w:rPr>
                <w:rFonts w:cs="Arial"/>
                <w:sz w:val="20"/>
                <w:szCs w:val="20"/>
                <w:lang w:val="en-US"/>
              </w:rPr>
              <w:t>73061</w:t>
            </w:r>
          </w:p>
        </w:tc>
        <w:tc>
          <w:tcPr>
            <w:tcW w:w="1306" w:type="dxa"/>
            <w:tcBorders>
              <w:top w:val="nil"/>
              <w:left w:val="single" w:sz="4" w:space="0" w:color="auto"/>
              <w:bottom w:val="nil"/>
              <w:right w:val="single" w:sz="4" w:space="0" w:color="auto"/>
            </w:tcBorders>
            <w:shd w:val="clear" w:color="auto" w:fill="auto"/>
            <w:noWrap/>
            <w:hideMark/>
          </w:tcPr>
          <w:p w14:paraId="2A65A7FD" w14:textId="77777777" w:rsidR="00A55CA5" w:rsidRPr="00FE5A72" w:rsidRDefault="00A55CA5" w:rsidP="00FE5A72">
            <w:pPr>
              <w:jc w:val="right"/>
              <w:rPr>
                <w:rFonts w:cs="Arial"/>
                <w:sz w:val="20"/>
                <w:szCs w:val="20"/>
                <w:lang w:val="en-US"/>
              </w:rPr>
            </w:pPr>
            <w:r w:rsidRPr="00FE5A72">
              <w:rPr>
                <w:rFonts w:cs="Arial"/>
                <w:sz w:val="20"/>
                <w:szCs w:val="20"/>
                <w:lang w:val="en-US"/>
              </w:rPr>
              <w:t>5</w:t>
            </w:r>
          </w:p>
        </w:tc>
        <w:tc>
          <w:tcPr>
            <w:tcW w:w="1306" w:type="dxa"/>
            <w:tcBorders>
              <w:top w:val="nil"/>
              <w:left w:val="nil"/>
              <w:bottom w:val="nil"/>
              <w:right w:val="single" w:sz="4" w:space="0" w:color="auto"/>
            </w:tcBorders>
            <w:shd w:val="clear" w:color="auto" w:fill="auto"/>
            <w:noWrap/>
            <w:hideMark/>
          </w:tcPr>
          <w:p w14:paraId="18EA6A42" w14:textId="77777777" w:rsidR="00A55CA5" w:rsidRPr="00FE5A72" w:rsidRDefault="00A55CA5" w:rsidP="00FE5A72">
            <w:pPr>
              <w:jc w:val="right"/>
              <w:rPr>
                <w:rFonts w:cs="Arial"/>
                <w:sz w:val="20"/>
                <w:szCs w:val="20"/>
                <w:lang w:val="en-US"/>
              </w:rPr>
            </w:pPr>
            <w:r w:rsidRPr="00FE5A72">
              <w:rPr>
                <w:rFonts w:cs="Arial"/>
                <w:sz w:val="20"/>
                <w:szCs w:val="20"/>
                <w:lang w:val="en-US"/>
              </w:rPr>
              <w:t>51.2</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73FB152E" w14:textId="77777777" w:rsidR="00A55CA5" w:rsidRPr="00FE5A72" w:rsidRDefault="00A55CA5" w:rsidP="00FE5A72">
            <w:pPr>
              <w:jc w:val="right"/>
              <w:rPr>
                <w:rFonts w:cs="Arial"/>
                <w:sz w:val="20"/>
                <w:szCs w:val="20"/>
                <w:lang w:val="en-US"/>
              </w:rPr>
            </w:pPr>
            <w:r w:rsidRPr="00FE5A72">
              <w:rPr>
                <w:rFonts w:cs="Arial"/>
                <w:sz w:val="20"/>
                <w:szCs w:val="20"/>
                <w:lang w:val="en-US"/>
              </w:rPr>
              <w:t>256.00</w:t>
            </w:r>
          </w:p>
        </w:tc>
      </w:tr>
      <w:tr w:rsidR="005A559B" w:rsidRPr="005A559B" w14:paraId="2063BA8E" w14:textId="77777777" w:rsidTr="008C727D">
        <w:trPr>
          <w:trHeight w:val="289"/>
        </w:trPr>
        <w:tc>
          <w:tcPr>
            <w:tcW w:w="1671" w:type="dxa"/>
            <w:tcBorders>
              <w:top w:val="nil"/>
              <w:left w:val="single" w:sz="4" w:space="0" w:color="auto"/>
              <w:bottom w:val="nil"/>
              <w:right w:val="nil"/>
            </w:tcBorders>
            <w:shd w:val="clear" w:color="auto" w:fill="auto"/>
            <w:noWrap/>
            <w:hideMark/>
          </w:tcPr>
          <w:p w14:paraId="7BA49941" w14:textId="77777777" w:rsidR="00A55CA5" w:rsidRPr="00FE5A72" w:rsidRDefault="00A55CA5" w:rsidP="00FE5A72">
            <w:pPr>
              <w:rPr>
                <w:rFonts w:cs="Arial"/>
                <w:sz w:val="20"/>
                <w:szCs w:val="20"/>
                <w:lang w:val="en-US"/>
              </w:rPr>
            </w:pPr>
            <w:r w:rsidRPr="00FE5A72">
              <w:rPr>
                <w:rFonts w:cs="Arial"/>
                <w:sz w:val="20"/>
                <w:szCs w:val="20"/>
                <w:lang w:val="en-US"/>
              </w:rPr>
              <w:t>C-IHC 7-10</w:t>
            </w:r>
          </w:p>
        </w:tc>
        <w:tc>
          <w:tcPr>
            <w:tcW w:w="1053" w:type="dxa"/>
            <w:tcBorders>
              <w:top w:val="nil"/>
              <w:left w:val="nil"/>
              <w:bottom w:val="nil"/>
              <w:right w:val="nil"/>
            </w:tcBorders>
            <w:shd w:val="clear" w:color="auto" w:fill="auto"/>
            <w:noWrap/>
            <w:hideMark/>
          </w:tcPr>
          <w:p w14:paraId="74985F2E" w14:textId="77777777" w:rsidR="00A55CA5" w:rsidRPr="00FE5A72" w:rsidRDefault="00A55CA5" w:rsidP="00FE5A72">
            <w:pPr>
              <w:rPr>
                <w:rFonts w:cs="Arial"/>
                <w:sz w:val="20"/>
                <w:szCs w:val="20"/>
                <w:lang w:val="en-US"/>
              </w:rPr>
            </w:pPr>
            <w:r w:rsidRPr="00FE5A72">
              <w:rPr>
                <w:rFonts w:cs="Arial"/>
                <w:sz w:val="20"/>
                <w:szCs w:val="20"/>
                <w:lang w:val="en-US"/>
              </w:rPr>
              <w:t>73064</w:t>
            </w:r>
          </w:p>
        </w:tc>
        <w:tc>
          <w:tcPr>
            <w:tcW w:w="1306" w:type="dxa"/>
            <w:tcBorders>
              <w:top w:val="nil"/>
              <w:left w:val="single" w:sz="4" w:space="0" w:color="auto"/>
              <w:bottom w:val="nil"/>
              <w:right w:val="single" w:sz="4" w:space="0" w:color="auto"/>
            </w:tcBorders>
            <w:shd w:val="clear" w:color="auto" w:fill="auto"/>
            <w:noWrap/>
            <w:hideMark/>
          </w:tcPr>
          <w:p w14:paraId="14884F57" w14:textId="77777777" w:rsidR="00A55CA5" w:rsidRPr="00FE5A72" w:rsidRDefault="00A55CA5" w:rsidP="00FE5A72">
            <w:pPr>
              <w:jc w:val="right"/>
              <w:rPr>
                <w:rFonts w:cs="Arial"/>
                <w:sz w:val="20"/>
                <w:szCs w:val="20"/>
                <w:lang w:val="en-US"/>
              </w:rPr>
            </w:pPr>
            <w:r w:rsidRPr="00FE5A72">
              <w:rPr>
                <w:rFonts w:cs="Arial"/>
                <w:sz w:val="20"/>
                <w:szCs w:val="20"/>
                <w:lang w:val="en-US"/>
              </w:rPr>
              <w:t>18</w:t>
            </w:r>
          </w:p>
        </w:tc>
        <w:tc>
          <w:tcPr>
            <w:tcW w:w="1306" w:type="dxa"/>
            <w:tcBorders>
              <w:top w:val="nil"/>
              <w:left w:val="nil"/>
              <w:bottom w:val="nil"/>
              <w:right w:val="single" w:sz="4" w:space="0" w:color="auto"/>
            </w:tcBorders>
            <w:shd w:val="clear" w:color="auto" w:fill="auto"/>
            <w:noWrap/>
            <w:hideMark/>
          </w:tcPr>
          <w:p w14:paraId="4C58782C" w14:textId="77777777" w:rsidR="00A55CA5" w:rsidRPr="00FE5A72" w:rsidRDefault="00A55CA5" w:rsidP="00FE5A72">
            <w:pPr>
              <w:jc w:val="right"/>
              <w:rPr>
                <w:rFonts w:cs="Arial"/>
                <w:sz w:val="20"/>
                <w:szCs w:val="20"/>
                <w:lang w:val="en-US"/>
              </w:rPr>
            </w:pPr>
            <w:r w:rsidRPr="00FE5A72">
              <w:rPr>
                <w:rFonts w:cs="Arial"/>
                <w:sz w:val="20"/>
                <w:szCs w:val="20"/>
                <w:lang w:val="en-US"/>
              </w:rPr>
              <w:t>71.7</w:t>
            </w:r>
            <w:r w:rsidR="004B390F">
              <w:rPr>
                <w:rFonts w:cs="Arial"/>
                <w:sz w:val="20"/>
                <w:szCs w:val="20"/>
                <w:lang w:val="en-US"/>
              </w:rPr>
              <w:t>0</w:t>
            </w:r>
          </w:p>
        </w:tc>
        <w:tc>
          <w:tcPr>
            <w:tcW w:w="1878" w:type="dxa"/>
            <w:tcBorders>
              <w:top w:val="nil"/>
              <w:left w:val="nil"/>
              <w:bottom w:val="nil"/>
              <w:right w:val="single" w:sz="4" w:space="0" w:color="auto"/>
            </w:tcBorders>
            <w:shd w:val="clear" w:color="auto" w:fill="auto"/>
            <w:noWrap/>
            <w:hideMark/>
          </w:tcPr>
          <w:p w14:paraId="79071955" w14:textId="77777777" w:rsidR="00A55CA5" w:rsidRPr="00FE5A72" w:rsidRDefault="00A55CA5" w:rsidP="00FE5A72">
            <w:pPr>
              <w:jc w:val="right"/>
              <w:rPr>
                <w:rFonts w:cs="Arial"/>
                <w:sz w:val="20"/>
                <w:szCs w:val="20"/>
                <w:lang w:val="en-US"/>
              </w:rPr>
            </w:pPr>
            <w:r w:rsidRPr="00FE5A72">
              <w:rPr>
                <w:rFonts w:cs="Arial"/>
                <w:sz w:val="20"/>
                <w:szCs w:val="20"/>
                <w:lang w:val="en-US"/>
              </w:rPr>
              <w:t>1</w:t>
            </w:r>
            <w:r w:rsidR="004B390F">
              <w:rPr>
                <w:rFonts w:cs="Arial"/>
                <w:sz w:val="20"/>
                <w:szCs w:val="20"/>
                <w:lang w:val="en-US"/>
              </w:rPr>
              <w:t xml:space="preserve"> </w:t>
            </w:r>
            <w:r w:rsidRPr="00FE5A72">
              <w:rPr>
                <w:rFonts w:cs="Arial"/>
                <w:sz w:val="20"/>
                <w:szCs w:val="20"/>
                <w:lang w:val="en-US"/>
              </w:rPr>
              <w:t>290.60</w:t>
            </w:r>
          </w:p>
        </w:tc>
      </w:tr>
      <w:tr w:rsidR="005A559B" w:rsidRPr="005A559B" w14:paraId="2224EE72" w14:textId="77777777" w:rsidTr="008C727D">
        <w:trPr>
          <w:trHeight w:val="289"/>
        </w:trPr>
        <w:tc>
          <w:tcPr>
            <w:tcW w:w="1671" w:type="dxa"/>
            <w:tcBorders>
              <w:top w:val="nil"/>
              <w:left w:val="single" w:sz="4" w:space="0" w:color="auto"/>
              <w:bottom w:val="single" w:sz="4" w:space="0" w:color="auto"/>
              <w:right w:val="nil"/>
            </w:tcBorders>
            <w:shd w:val="clear" w:color="auto" w:fill="auto"/>
            <w:noWrap/>
            <w:hideMark/>
          </w:tcPr>
          <w:p w14:paraId="2CF8A9FC" w14:textId="77777777" w:rsidR="00A55CA5" w:rsidRPr="00FE5A72" w:rsidRDefault="00A55CA5" w:rsidP="00FE5A72">
            <w:pPr>
              <w:rPr>
                <w:rFonts w:cs="Arial"/>
                <w:sz w:val="20"/>
                <w:szCs w:val="20"/>
                <w:lang w:val="en-US"/>
              </w:rPr>
            </w:pPr>
            <w:r w:rsidRPr="00FE5A72">
              <w:rPr>
                <w:rFonts w:cs="Arial"/>
                <w:sz w:val="20"/>
                <w:szCs w:val="20"/>
                <w:lang w:val="en-US"/>
              </w:rPr>
              <w:t>C-IHC 11+</w:t>
            </w:r>
          </w:p>
        </w:tc>
        <w:tc>
          <w:tcPr>
            <w:tcW w:w="1053" w:type="dxa"/>
            <w:tcBorders>
              <w:top w:val="nil"/>
              <w:left w:val="nil"/>
              <w:bottom w:val="single" w:sz="4" w:space="0" w:color="auto"/>
              <w:right w:val="nil"/>
            </w:tcBorders>
            <w:shd w:val="clear" w:color="auto" w:fill="auto"/>
            <w:noWrap/>
            <w:hideMark/>
          </w:tcPr>
          <w:p w14:paraId="5A9DFE90" w14:textId="77777777" w:rsidR="00A55CA5" w:rsidRPr="00FE5A72" w:rsidRDefault="00A55CA5" w:rsidP="00FE5A72">
            <w:pPr>
              <w:rPr>
                <w:rFonts w:cs="Arial"/>
                <w:sz w:val="20"/>
                <w:szCs w:val="20"/>
                <w:lang w:val="en-US"/>
              </w:rPr>
            </w:pPr>
            <w:r w:rsidRPr="00FE5A72">
              <w:rPr>
                <w:rFonts w:cs="Arial"/>
                <w:sz w:val="20"/>
                <w:szCs w:val="20"/>
                <w:lang w:val="en-US"/>
              </w:rPr>
              <w:t>73065</w:t>
            </w:r>
          </w:p>
        </w:tc>
        <w:tc>
          <w:tcPr>
            <w:tcW w:w="1306" w:type="dxa"/>
            <w:tcBorders>
              <w:top w:val="nil"/>
              <w:left w:val="single" w:sz="4" w:space="0" w:color="auto"/>
              <w:bottom w:val="single" w:sz="4" w:space="0" w:color="auto"/>
              <w:right w:val="single" w:sz="4" w:space="0" w:color="auto"/>
            </w:tcBorders>
            <w:shd w:val="clear" w:color="auto" w:fill="auto"/>
            <w:noWrap/>
            <w:hideMark/>
          </w:tcPr>
          <w:p w14:paraId="7A3BC83B" w14:textId="77777777" w:rsidR="00A55CA5" w:rsidRPr="00FE5A72" w:rsidRDefault="00A55CA5" w:rsidP="00FE5A72">
            <w:pPr>
              <w:jc w:val="right"/>
              <w:rPr>
                <w:rFonts w:cs="Arial"/>
                <w:sz w:val="20"/>
                <w:szCs w:val="20"/>
                <w:lang w:val="en-US"/>
              </w:rPr>
            </w:pPr>
            <w:r w:rsidRPr="00FE5A72">
              <w:rPr>
                <w:rFonts w:cs="Arial"/>
                <w:sz w:val="20"/>
                <w:szCs w:val="20"/>
                <w:lang w:val="en-US"/>
              </w:rPr>
              <w:t>10</w:t>
            </w:r>
          </w:p>
        </w:tc>
        <w:tc>
          <w:tcPr>
            <w:tcW w:w="1306" w:type="dxa"/>
            <w:tcBorders>
              <w:top w:val="nil"/>
              <w:left w:val="nil"/>
              <w:bottom w:val="single" w:sz="4" w:space="0" w:color="auto"/>
              <w:right w:val="single" w:sz="4" w:space="0" w:color="auto"/>
            </w:tcBorders>
            <w:shd w:val="clear" w:color="auto" w:fill="auto"/>
            <w:noWrap/>
            <w:hideMark/>
          </w:tcPr>
          <w:p w14:paraId="627D6B2E" w14:textId="77777777" w:rsidR="00A55CA5" w:rsidRPr="00FE5A72" w:rsidRDefault="00A55CA5" w:rsidP="00FE5A72">
            <w:pPr>
              <w:jc w:val="right"/>
              <w:rPr>
                <w:rFonts w:cs="Arial"/>
                <w:sz w:val="20"/>
                <w:szCs w:val="20"/>
                <w:lang w:val="en-US"/>
              </w:rPr>
            </w:pPr>
            <w:r w:rsidRPr="00FE5A72">
              <w:rPr>
                <w:rFonts w:cs="Arial"/>
                <w:sz w:val="20"/>
                <w:szCs w:val="20"/>
                <w:lang w:val="en-US"/>
              </w:rPr>
              <w:t>86</w:t>
            </w:r>
            <w:r w:rsidR="004B390F">
              <w:rPr>
                <w:rFonts w:cs="Arial"/>
                <w:sz w:val="20"/>
                <w:szCs w:val="20"/>
                <w:lang w:val="en-US"/>
              </w:rPr>
              <w:t>.00</w:t>
            </w:r>
          </w:p>
        </w:tc>
        <w:tc>
          <w:tcPr>
            <w:tcW w:w="1878" w:type="dxa"/>
            <w:tcBorders>
              <w:top w:val="nil"/>
              <w:left w:val="nil"/>
              <w:bottom w:val="single" w:sz="4" w:space="0" w:color="auto"/>
              <w:right w:val="single" w:sz="4" w:space="0" w:color="auto"/>
            </w:tcBorders>
            <w:shd w:val="clear" w:color="auto" w:fill="auto"/>
            <w:noWrap/>
            <w:hideMark/>
          </w:tcPr>
          <w:p w14:paraId="0085A559" w14:textId="77777777" w:rsidR="00A55CA5" w:rsidRPr="00FE5A72" w:rsidRDefault="00A55CA5" w:rsidP="00FE5A72">
            <w:pPr>
              <w:jc w:val="right"/>
              <w:rPr>
                <w:rFonts w:cs="Arial"/>
                <w:sz w:val="20"/>
                <w:szCs w:val="20"/>
                <w:lang w:val="en-US"/>
              </w:rPr>
            </w:pPr>
            <w:r w:rsidRPr="00FE5A72">
              <w:rPr>
                <w:rFonts w:cs="Arial"/>
                <w:sz w:val="20"/>
                <w:szCs w:val="20"/>
                <w:lang w:val="en-US"/>
              </w:rPr>
              <w:t>860.00</w:t>
            </w:r>
          </w:p>
        </w:tc>
      </w:tr>
      <w:tr w:rsidR="005A559B" w:rsidRPr="005A559B" w14:paraId="357A2838" w14:textId="77777777" w:rsidTr="008C727D">
        <w:trPr>
          <w:trHeight w:val="289"/>
        </w:trPr>
        <w:tc>
          <w:tcPr>
            <w:tcW w:w="1671" w:type="dxa"/>
            <w:tcBorders>
              <w:top w:val="nil"/>
              <w:left w:val="single" w:sz="4" w:space="0" w:color="auto"/>
              <w:bottom w:val="single" w:sz="4" w:space="0" w:color="auto"/>
              <w:right w:val="nil"/>
            </w:tcBorders>
            <w:shd w:val="clear" w:color="auto" w:fill="auto"/>
            <w:noWrap/>
            <w:hideMark/>
          </w:tcPr>
          <w:p w14:paraId="7DDC5E35" w14:textId="77777777" w:rsidR="00A55CA5" w:rsidRPr="00FE5A72" w:rsidRDefault="004B390F" w:rsidP="00FE5A72">
            <w:pPr>
              <w:rPr>
                <w:rFonts w:cs="Arial"/>
                <w:b/>
                <w:sz w:val="20"/>
                <w:szCs w:val="20"/>
                <w:lang w:val="en-US"/>
              </w:rPr>
            </w:pPr>
            <w:r>
              <w:rPr>
                <w:rFonts w:cs="Arial"/>
                <w:b/>
                <w:sz w:val="20"/>
                <w:szCs w:val="20"/>
                <w:lang w:val="en-US"/>
              </w:rPr>
              <w:t>Totals</w:t>
            </w:r>
          </w:p>
        </w:tc>
        <w:tc>
          <w:tcPr>
            <w:tcW w:w="1053" w:type="dxa"/>
            <w:tcBorders>
              <w:top w:val="nil"/>
              <w:left w:val="nil"/>
              <w:bottom w:val="single" w:sz="4" w:space="0" w:color="auto"/>
              <w:right w:val="nil"/>
            </w:tcBorders>
            <w:shd w:val="clear" w:color="auto" w:fill="auto"/>
            <w:noWrap/>
            <w:hideMark/>
          </w:tcPr>
          <w:p w14:paraId="0A1717F2" w14:textId="77777777" w:rsidR="00A55CA5" w:rsidRPr="00FE5A72" w:rsidRDefault="00A55CA5" w:rsidP="00FE5A72">
            <w:pPr>
              <w:rPr>
                <w:rFonts w:cs="Arial"/>
                <w:b/>
                <w:sz w:val="20"/>
                <w:szCs w:val="20"/>
                <w:lang w:val="en-US"/>
              </w:rPr>
            </w:pPr>
          </w:p>
        </w:tc>
        <w:tc>
          <w:tcPr>
            <w:tcW w:w="1306" w:type="dxa"/>
            <w:tcBorders>
              <w:top w:val="nil"/>
              <w:left w:val="single" w:sz="4" w:space="0" w:color="auto"/>
              <w:bottom w:val="single" w:sz="4" w:space="0" w:color="auto"/>
              <w:right w:val="single" w:sz="4" w:space="0" w:color="auto"/>
            </w:tcBorders>
            <w:shd w:val="clear" w:color="auto" w:fill="auto"/>
            <w:noWrap/>
            <w:hideMark/>
          </w:tcPr>
          <w:p w14:paraId="32FE6460" w14:textId="77777777" w:rsidR="00A55CA5" w:rsidRPr="00FE5A72" w:rsidRDefault="00A55CA5" w:rsidP="00FE5A72">
            <w:pPr>
              <w:jc w:val="right"/>
              <w:rPr>
                <w:rFonts w:cs="Arial"/>
                <w:b/>
                <w:sz w:val="20"/>
                <w:szCs w:val="20"/>
                <w:lang w:val="en-US"/>
              </w:rPr>
            </w:pPr>
            <w:r w:rsidRPr="00FE5A72">
              <w:rPr>
                <w:rFonts w:cs="Arial"/>
                <w:b/>
                <w:sz w:val="20"/>
                <w:szCs w:val="20"/>
                <w:lang w:val="en-US"/>
              </w:rPr>
              <w:t>2017</w:t>
            </w:r>
          </w:p>
        </w:tc>
        <w:tc>
          <w:tcPr>
            <w:tcW w:w="1306" w:type="dxa"/>
            <w:tcBorders>
              <w:top w:val="nil"/>
              <w:left w:val="nil"/>
              <w:bottom w:val="single" w:sz="4" w:space="0" w:color="auto"/>
              <w:right w:val="single" w:sz="4" w:space="0" w:color="auto"/>
            </w:tcBorders>
            <w:shd w:val="clear" w:color="auto" w:fill="auto"/>
            <w:noWrap/>
            <w:hideMark/>
          </w:tcPr>
          <w:p w14:paraId="645D78F6" w14:textId="77777777" w:rsidR="00A55CA5" w:rsidRPr="00FE5A72" w:rsidRDefault="00A55CA5" w:rsidP="00FE5A72">
            <w:pPr>
              <w:rPr>
                <w:rFonts w:cs="Arial"/>
                <w:b/>
                <w:sz w:val="20"/>
                <w:szCs w:val="20"/>
                <w:lang w:val="en-US"/>
              </w:rPr>
            </w:pPr>
          </w:p>
        </w:tc>
        <w:tc>
          <w:tcPr>
            <w:tcW w:w="1878" w:type="dxa"/>
            <w:tcBorders>
              <w:top w:val="nil"/>
              <w:left w:val="nil"/>
              <w:bottom w:val="single" w:sz="4" w:space="0" w:color="auto"/>
              <w:right w:val="single" w:sz="4" w:space="0" w:color="auto"/>
            </w:tcBorders>
            <w:shd w:val="clear" w:color="auto" w:fill="auto"/>
            <w:noWrap/>
            <w:hideMark/>
          </w:tcPr>
          <w:p w14:paraId="70F65725" w14:textId="77777777" w:rsidR="00A55CA5" w:rsidRPr="00FE5A72" w:rsidRDefault="00A55CA5" w:rsidP="00FE5A72">
            <w:pPr>
              <w:jc w:val="right"/>
              <w:rPr>
                <w:rFonts w:cs="Arial"/>
                <w:b/>
                <w:sz w:val="20"/>
                <w:szCs w:val="20"/>
                <w:lang w:val="en-US"/>
              </w:rPr>
            </w:pPr>
            <w:r w:rsidRPr="00FE5A72">
              <w:rPr>
                <w:rFonts w:cs="Arial"/>
                <w:b/>
                <w:sz w:val="20"/>
                <w:szCs w:val="20"/>
                <w:lang w:val="en-US"/>
              </w:rPr>
              <w:t>160</w:t>
            </w:r>
            <w:r w:rsidR="004B390F">
              <w:rPr>
                <w:rFonts w:cs="Arial"/>
                <w:b/>
                <w:sz w:val="20"/>
                <w:szCs w:val="20"/>
                <w:lang w:val="en-US"/>
              </w:rPr>
              <w:t xml:space="preserve"> </w:t>
            </w:r>
            <w:r w:rsidRPr="00FE5A72">
              <w:rPr>
                <w:rFonts w:cs="Arial"/>
                <w:b/>
                <w:sz w:val="20"/>
                <w:szCs w:val="20"/>
                <w:lang w:val="en-US"/>
              </w:rPr>
              <w:t>326.40</w:t>
            </w:r>
          </w:p>
        </w:tc>
      </w:tr>
      <w:tr w:rsidR="005A559B" w:rsidRPr="005A559B" w14:paraId="4C93A19A" w14:textId="77777777" w:rsidTr="00774742">
        <w:trPr>
          <w:trHeight w:val="289"/>
        </w:trPr>
        <w:tc>
          <w:tcPr>
            <w:tcW w:w="1671" w:type="dxa"/>
            <w:tcBorders>
              <w:top w:val="nil"/>
              <w:left w:val="single" w:sz="4" w:space="0" w:color="auto"/>
              <w:bottom w:val="single" w:sz="4" w:space="0" w:color="auto"/>
              <w:right w:val="nil"/>
            </w:tcBorders>
            <w:shd w:val="clear" w:color="auto" w:fill="EEECE1" w:themeFill="background2"/>
            <w:noWrap/>
            <w:hideMark/>
          </w:tcPr>
          <w:p w14:paraId="2A65B6E6" w14:textId="77777777" w:rsidR="00A55CA5" w:rsidRPr="00FE5A72" w:rsidRDefault="00A55CA5" w:rsidP="00FE5A72">
            <w:pPr>
              <w:spacing w:before="20" w:after="20"/>
              <w:rPr>
                <w:rFonts w:cs="Arial"/>
                <w:b/>
                <w:sz w:val="20"/>
                <w:szCs w:val="20"/>
              </w:rPr>
            </w:pPr>
            <w:r w:rsidRPr="00FE5A72">
              <w:rPr>
                <w:rFonts w:cs="Arial"/>
                <w:b/>
                <w:sz w:val="20"/>
                <w:szCs w:val="20"/>
              </w:rPr>
              <w:t>UNCONED</w:t>
            </w:r>
          </w:p>
        </w:tc>
        <w:tc>
          <w:tcPr>
            <w:tcW w:w="1053" w:type="dxa"/>
            <w:tcBorders>
              <w:top w:val="nil"/>
              <w:left w:val="nil"/>
              <w:bottom w:val="single" w:sz="4" w:space="0" w:color="auto"/>
              <w:right w:val="nil"/>
            </w:tcBorders>
            <w:shd w:val="clear" w:color="auto" w:fill="EEECE1" w:themeFill="background2"/>
            <w:noWrap/>
            <w:hideMark/>
          </w:tcPr>
          <w:p w14:paraId="1B266522" w14:textId="77777777" w:rsidR="00A55CA5" w:rsidRPr="00FE5A72" w:rsidRDefault="00A55CA5" w:rsidP="00FE5A72">
            <w:pPr>
              <w:spacing w:before="20" w:after="20"/>
              <w:rPr>
                <w:rFonts w:cs="Arial"/>
                <w:b/>
                <w:sz w:val="20"/>
                <w:szCs w:val="20"/>
              </w:rPr>
            </w:pPr>
          </w:p>
        </w:tc>
        <w:tc>
          <w:tcPr>
            <w:tcW w:w="1306" w:type="dxa"/>
            <w:tcBorders>
              <w:top w:val="nil"/>
              <w:left w:val="single" w:sz="4" w:space="0" w:color="auto"/>
              <w:bottom w:val="single" w:sz="4" w:space="0" w:color="auto"/>
              <w:right w:val="single" w:sz="4" w:space="0" w:color="auto"/>
            </w:tcBorders>
            <w:shd w:val="clear" w:color="auto" w:fill="EEECE1" w:themeFill="background2"/>
            <w:noWrap/>
            <w:hideMark/>
          </w:tcPr>
          <w:p w14:paraId="2B027915" w14:textId="77777777" w:rsidR="00A55CA5" w:rsidRPr="00FE5A72" w:rsidRDefault="00A55CA5" w:rsidP="00FE5A72">
            <w:pPr>
              <w:spacing w:before="20" w:after="20"/>
              <w:rPr>
                <w:rFonts w:cs="Arial"/>
                <w:b/>
                <w:sz w:val="20"/>
                <w:szCs w:val="20"/>
              </w:rPr>
            </w:pPr>
            <w:r w:rsidRPr="00FE5A72">
              <w:rPr>
                <w:rFonts w:cs="Arial"/>
                <w:b/>
                <w:sz w:val="20"/>
                <w:szCs w:val="20"/>
              </w:rPr>
              <w:t xml:space="preserve">No. </w:t>
            </w:r>
            <w:r w:rsidR="004B390F">
              <w:rPr>
                <w:rFonts w:cs="Arial"/>
                <w:b/>
                <w:sz w:val="20"/>
                <w:szCs w:val="20"/>
              </w:rPr>
              <w:t>of t</w:t>
            </w:r>
            <w:r w:rsidRPr="00FE5A72">
              <w:rPr>
                <w:rFonts w:cs="Arial"/>
                <w:b/>
                <w:sz w:val="20"/>
                <w:szCs w:val="20"/>
              </w:rPr>
              <w:t>ests</w:t>
            </w:r>
          </w:p>
        </w:tc>
        <w:tc>
          <w:tcPr>
            <w:tcW w:w="1306" w:type="dxa"/>
            <w:tcBorders>
              <w:top w:val="nil"/>
              <w:left w:val="nil"/>
              <w:bottom w:val="single" w:sz="4" w:space="0" w:color="auto"/>
              <w:right w:val="single" w:sz="4" w:space="0" w:color="auto"/>
            </w:tcBorders>
            <w:shd w:val="clear" w:color="auto" w:fill="EEECE1" w:themeFill="background2"/>
            <w:noWrap/>
            <w:hideMark/>
          </w:tcPr>
          <w:p w14:paraId="18EBE928" w14:textId="77777777" w:rsidR="00A55CA5" w:rsidRPr="00FE5A72" w:rsidRDefault="00A55CA5" w:rsidP="00FE5A72">
            <w:pPr>
              <w:spacing w:before="20" w:after="20"/>
              <w:rPr>
                <w:rFonts w:cs="Arial"/>
                <w:b/>
                <w:sz w:val="20"/>
                <w:szCs w:val="20"/>
              </w:rPr>
            </w:pPr>
            <w:r w:rsidRPr="00FE5A72">
              <w:rPr>
                <w:rFonts w:cs="Arial"/>
                <w:b/>
                <w:sz w:val="20"/>
                <w:szCs w:val="20"/>
              </w:rPr>
              <w:t>Rebate</w:t>
            </w:r>
          </w:p>
        </w:tc>
        <w:tc>
          <w:tcPr>
            <w:tcW w:w="1878" w:type="dxa"/>
            <w:tcBorders>
              <w:top w:val="nil"/>
              <w:left w:val="nil"/>
              <w:bottom w:val="single" w:sz="4" w:space="0" w:color="auto"/>
              <w:right w:val="single" w:sz="4" w:space="0" w:color="auto"/>
            </w:tcBorders>
            <w:shd w:val="clear" w:color="auto" w:fill="EEECE1" w:themeFill="background2"/>
            <w:noWrap/>
            <w:hideMark/>
          </w:tcPr>
          <w:p w14:paraId="2D5C64CC" w14:textId="77777777" w:rsidR="00A55CA5" w:rsidRPr="00FE5A72" w:rsidRDefault="00A55CA5" w:rsidP="00FE5A72">
            <w:pPr>
              <w:spacing w:before="20" w:after="20"/>
              <w:rPr>
                <w:rFonts w:cs="Arial"/>
                <w:b/>
                <w:sz w:val="20"/>
                <w:szCs w:val="20"/>
              </w:rPr>
            </w:pPr>
            <w:r w:rsidRPr="00FE5A72">
              <w:rPr>
                <w:rFonts w:cs="Arial"/>
                <w:b/>
                <w:sz w:val="20"/>
                <w:szCs w:val="20"/>
              </w:rPr>
              <w:t xml:space="preserve">Nominal </w:t>
            </w:r>
            <w:r w:rsidR="004B390F">
              <w:rPr>
                <w:rFonts w:cs="Arial"/>
                <w:b/>
                <w:sz w:val="20"/>
                <w:szCs w:val="20"/>
              </w:rPr>
              <w:t>t</w:t>
            </w:r>
            <w:r w:rsidR="004B390F" w:rsidRPr="00FE5A72">
              <w:rPr>
                <w:rFonts w:cs="Arial"/>
                <w:b/>
                <w:sz w:val="20"/>
                <w:szCs w:val="20"/>
              </w:rPr>
              <w:t>otal</w:t>
            </w:r>
          </w:p>
        </w:tc>
      </w:tr>
      <w:tr w:rsidR="005A559B" w:rsidRPr="005A559B" w14:paraId="57A1386B" w14:textId="77777777" w:rsidTr="008C727D">
        <w:trPr>
          <w:trHeight w:val="333"/>
        </w:trPr>
        <w:tc>
          <w:tcPr>
            <w:tcW w:w="1671" w:type="dxa"/>
            <w:tcBorders>
              <w:top w:val="nil"/>
              <w:left w:val="single" w:sz="4" w:space="0" w:color="auto"/>
              <w:bottom w:val="nil"/>
              <w:right w:val="nil"/>
            </w:tcBorders>
            <w:shd w:val="clear" w:color="auto" w:fill="auto"/>
            <w:noWrap/>
            <w:hideMark/>
          </w:tcPr>
          <w:p w14:paraId="56AB7353" w14:textId="77777777" w:rsidR="00A55CA5" w:rsidRPr="00FE5A72" w:rsidRDefault="00A55CA5" w:rsidP="00FE5A72">
            <w:pPr>
              <w:rPr>
                <w:rFonts w:cs="Arial"/>
                <w:sz w:val="20"/>
                <w:szCs w:val="20"/>
                <w:lang w:val="en-US"/>
              </w:rPr>
            </w:pPr>
            <w:r w:rsidRPr="00FE5A72">
              <w:rPr>
                <w:rFonts w:cs="Arial"/>
                <w:sz w:val="20"/>
                <w:szCs w:val="20"/>
                <w:lang w:val="en-US"/>
              </w:rPr>
              <w:t>IPX</w:t>
            </w:r>
          </w:p>
        </w:tc>
        <w:tc>
          <w:tcPr>
            <w:tcW w:w="1053" w:type="dxa"/>
            <w:tcBorders>
              <w:top w:val="nil"/>
              <w:left w:val="nil"/>
              <w:bottom w:val="nil"/>
              <w:right w:val="nil"/>
            </w:tcBorders>
            <w:shd w:val="clear" w:color="auto" w:fill="auto"/>
            <w:noWrap/>
            <w:hideMark/>
          </w:tcPr>
          <w:p w14:paraId="0A7423F4" w14:textId="77777777" w:rsidR="00A55CA5" w:rsidRPr="00FE5A72" w:rsidRDefault="00A55CA5" w:rsidP="00FE5A72">
            <w:pPr>
              <w:rPr>
                <w:rFonts w:cs="Arial"/>
                <w:sz w:val="20"/>
                <w:szCs w:val="20"/>
                <w:lang w:val="en-US"/>
              </w:rPr>
            </w:pPr>
            <w:r w:rsidRPr="00FE5A72">
              <w:rPr>
                <w:rFonts w:cs="Arial"/>
                <w:sz w:val="20"/>
                <w:szCs w:val="20"/>
                <w:lang w:val="en-US"/>
              </w:rPr>
              <w:t>72846</w:t>
            </w:r>
          </w:p>
        </w:tc>
        <w:tc>
          <w:tcPr>
            <w:tcW w:w="1306" w:type="dxa"/>
            <w:tcBorders>
              <w:top w:val="nil"/>
              <w:left w:val="single" w:sz="4" w:space="0" w:color="auto"/>
              <w:bottom w:val="nil"/>
              <w:right w:val="single" w:sz="4" w:space="0" w:color="auto"/>
            </w:tcBorders>
            <w:shd w:val="clear" w:color="auto" w:fill="auto"/>
            <w:noWrap/>
            <w:hideMark/>
          </w:tcPr>
          <w:p w14:paraId="2493F13A" w14:textId="77777777" w:rsidR="00A55CA5" w:rsidRPr="00FE5A72" w:rsidRDefault="00A55CA5" w:rsidP="00FE5A72">
            <w:pPr>
              <w:jc w:val="right"/>
              <w:rPr>
                <w:rFonts w:cs="Arial"/>
                <w:sz w:val="20"/>
                <w:szCs w:val="20"/>
                <w:lang w:val="en-US"/>
              </w:rPr>
            </w:pPr>
            <w:r w:rsidRPr="00FE5A72">
              <w:rPr>
                <w:rFonts w:cs="Arial"/>
                <w:sz w:val="20"/>
                <w:szCs w:val="20"/>
                <w:lang w:val="en-US"/>
              </w:rPr>
              <w:t>11,255</w:t>
            </w:r>
          </w:p>
        </w:tc>
        <w:tc>
          <w:tcPr>
            <w:tcW w:w="1306" w:type="dxa"/>
            <w:tcBorders>
              <w:top w:val="nil"/>
              <w:left w:val="nil"/>
              <w:bottom w:val="nil"/>
              <w:right w:val="single" w:sz="4" w:space="0" w:color="auto"/>
            </w:tcBorders>
            <w:shd w:val="clear" w:color="auto" w:fill="auto"/>
            <w:noWrap/>
            <w:hideMark/>
          </w:tcPr>
          <w:p w14:paraId="5A9A10A4" w14:textId="77777777" w:rsidR="00A55CA5" w:rsidRPr="00FE5A72" w:rsidRDefault="00A55CA5" w:rsidP="00FE5A72">
            <w:pPr>
              <w:jc w:val="right"/>
              <w:rPr>
                <w:rFonts w:cs="Arial"/>
                <w:sz w:val="20"/>
                <w:szCs w:val="20"/>
                <w:lang w:val="en-US"/>
              </w:rPr>
            </w:pPr>
            <w:r w:rsidRPr="00FE5A72">
              <w:rPr>
                <w:rFonts w:cs="Arial"/>
                <w:sz w:val="20"/>
                <w:szCs w:val="20"/>
                <w:lang w:val="en-US"/>
              </w:rPr>
              <w:t>59.6</w:t>
            </w:r>
          </w:p>
        </w:tc>
        <w:tc>
          <w:tcPr>
            <w:tcW w:w="1878" w:type="dxa"/>
            <w:tcBorders>
              <w:top w:val="nil"/>
              <w:left w:val="nil"/>
              <w:bottom w:val="nil"/>
              <w:right w:val="single" w:sz="4" w:space="0" w:color="auto"/>
            </w:tcBorders>
            <w:shd w:val="clear" w:color="auto" w:fill="auto"/>
            <w:noWrap/>
            <w:hideMark/>
          </w:tcPr>
          <w:p w14:paraId="637D43DC" w14:textId="77777777" w:rsidR="00A55CA5" w:rsidRPr="00FE5A72" w:rsidRDefault="00A55CA5" w:rsidP="00FE5A72">
            <w:pPr>
              <w:jc w:val="right"/>
              <w:rPr>
                <w:rFonts w:cs="Arial"/>
                <w:sz w:val="20"/>
                <w:szCs w:val="20"/>
                <w:lang w:val="en-US"/>
              </w:rPr>
            </w:pPr>
            <w:r w:rsidRPr="00FE5A72">
              <w:rPr>
                <w:rFonts w:cs="Arial"/>
                <w:sz w:val="20"/>
                <w:szCs w:val="20"/>
                <w:lang w:val="en-US"/>
              </w:rPr>
              <w:t>670</w:t>
            </w:r>
            <w:r w:rsidR="004B390F">
              <w:rPr>
                <w:rFonts w:cs="Arial"/>
                <w:sz w:val="20"/>
                <w:szCs w:val="20"/>
                <w:lang w:val="en-US"/>
              </w:rPr>
              <w:t xml:space="preserve"> </w:t>
            </w:r>
            <w:r w:rsidRPr="00FE5A72">
              <w:rPr>
                <w:rFonts w:cs="Arial"/>
                <w:sz w:val="20"/>
                <w:szCs w:val="20"/>
                <w:lang w:val="en-US"/>
              </w:rPr>
              <w:t>798.00</w:t>
            </w:r>
          </w:p>
        </w:tc>
      </w:tr>
      <w:tr w:rsidR="005A559B" w:rsidRPr="005A559B" w14:paraId="38EE5392" w14:textId="77777777" w:rsidTr="008C727D">
        <w:trPr>
          <w:trHeight w:val="304"/>
        </w:trPr>
        <w:tc>
          <w:tcPr>
            <w:tcW w:w="1671" w:type="dxa"/>
            <w:tcBorders>
              <w:top w:val="nil"/>
              <w:left w:val="single" w:sz="4" w:space="0" w:color="auto"/>
              <w:bottom w:val="nil"/>
              <w:right w:val="nil"/>
            </w:tcBorders>
            <w:shd w:val="clear" w:color="auto" w:fill="auto"/>
            <w:noWrap/>
            <w:hideMark/>
          </w:tcPr>
          <w:p w14:paraId="5EFE577B" w14:textId="77777777" w:rsidR="00A55CA5" w:rsidRPr="00FE5A72" w:rsidRDefault="00A55CA5" w:rsidP="00FE5A72">
            <w:pPr>
              <w:rPr>
                <w:rFonts w:cs="Arial"/>
                <w:sz w:val="20"/>
                <w:szCs w:val="20"/>
                <w:lang w:val="en-US"/>
              </w:rPr>
            </w:pPr>
            <w:r w:rsidRPr="00FE5A72">
              <w:rPr>
                <w:rFonts w:cs="Arial"/>
                <w:sz w:val="20"/>
                <w:szCs w:val="20"/>
                <w:lang w:val="en-US"/>
              </w:rPr>
              <w:t>IPX-BR</w:t>
            </w:r>
          </w:p>
        </w:tc>
        <w:tc>
          <w:tcPr>
            <w:tcW w:w="1053" w:type="dxa"/>
            <w:tcBorders>
              <w:top w:val="nil"/>
              <w:left w:val="nil"/>
              <w:bottom w:val="nil"/>
              <w:right w:val="nil"/>
            </w:tcBorders>
            <w:shd w:val="clear" w:color="auto" w:fill="auto"/>
            <w:noWrap/>
            <w:hideMark/>
          </w:tcPr>
          <w:p w14:paraId="5E6EF820" w14:textId="77777777" w:rsidR="00A55CA5" w:rsidRPr="00FE5A72" w:rsidRDefault="00A55CA5" w:rsidP="00FE5A72">
            <w:pPr>
              <w:rPr>
                <w:rFonts w:cs="Arial"/>
                <w:sz w:val="20"/>
                <w:szCs w:val="20"/>
                <w:lang w:val="en-US"/>
              </w:rPr>
            </w:pPr>
            <w:r w:rsidRPr="00FE5A72">
              <w:rPr>
                <w:rFonts w:cs="Arial"/>
                <w:sz w:val="20"/>
                <w:szCs w:val="20"/>
                <w:lang w:val="en-US"/>
              </w:rPr>
              <w:t>72848</w:t>
            </w:r>
          </w:p>
        </w:tc>
        <w:tc>
          <w:tcPr>
            <w:tcW w:w="1306" w:type="dxa"/>
            <w:tcBorders>
              <w:top w:val="nil"/>
              <w:left w:val="single" w:sz="4" w:space="0" w:color="auto"/>
              <w:bottom w:val="nil"/>
              <w:right w:val="single" w:sz="4" w:space="0" w:color="auto"/>
            </w:tcBorders>
            <w:shd w:val="clear" w:color="auto" w:fill="auto"/>
            <w:noWrap/>
            <w:hideMark/>
          </w:tcPr>
          <w:p w14:paraId="6231D9C9" w14:textId="77777777" w:rsidR="00A55CA5" w:rsidRPr="00FE5A72" w:rsidRDefault="00A55CA5" w:rsidP="00FE5A72">
            <w:pPr>
              <w:jc w:val="right"/>
              <w:rPr>
                <w:rFonts w:cs="Arial"/>
                <w:sz w:val="20"/>
                <w:szCs w:val="20"/>
                <w:lang w:val="en-US"/>
              </w:rPr>
            </w:pPr>
            <w:r w:rsidRPr="00FE5A72">
              <w:rPr>
                <w:rFonts w:cs="Arial"/>
                <w:sz w:val="20"/>
                <w:szCs w:val="20"/>
                <w:lang w:val="en-US"/>
              </w:rPr>
              <w:t>1,137</w:t>
            </w:r>
          </w:p>
        </w:tc>
        <w:tc>
          <w:tcPr>
            <w:tcW w:w="1306" w:type="dxa"/>
            <w:tcBorders>
              <w:top w:val="nil"/>
              <w:left w:val="nil"/>
              <w:bottom w:val="nil"/>
              <w:right w:val="single" w:sz="4" w:space="0" w:color="auto"/>
            </w:tcBorders>
            <w:shd w:val="clear" w:color="auto" w:fill="auto"/>
            <w:noWrap/>
            <w:hideMark/>
          </w:tcPr>
          <w:p w14:paraId="2D7CDF05" w14:textId="77777777" w:rsidR="00A55CA5" w:rsidRPr="00FE5A72" w:rsidRDefault="00A55CA5" w:rsidP="00FE5A72">
            <w:pPr>
              <w:jc w:val="right"/>
              <w:rPr>
                <w:rFonts w:cs="Arial"/>
                <w:sz w:val="20"/>
                <w:szCs w:val="20"/>
                <w:lang w:val="en-US"/>
              </w:rPr>
            </w:pPr>
            <w:r w:rsidRPr="00FE5A72">
              <w:rPr>
                <w:rFonts w:cs="Arial"/>
                <w:sz w:val="20"/>
                <w:szCs w:val="20"/>
                <w:lang w:val="en-US"/>
              </w:rPr>
              <w:t>74.5</w:t>
            </w:r>
          </w:p>
        </w:tc>
        <w:tc>
          <w:tcPr>
            <w:tcW w:w="1878" w:type="dxa"/>
            <w:tcBorders>
              <w:top w:val="nil"/>
              <w:left w:val="nil"/>
              <w:bottom w:val="nil"/>
              <w:right w:val="single" w:sz="4" w:space="0" w:color="auto"/>
            </w:tcBorders>
            <w:shd w:val="clear" w:color="auto" w:fill="auto"/>
            <w:noWrap/>
            <w:hideMark/>
          </w:tcPr>
          <w:p w14:paraId="2A8484FB" w14:textId="77777777" w:rsidR="00A55CA5" w:rsidRPr="00FE5A72" w:rsidRDefault="00A55CA5" w:rsidP="00FE5A72">
            <w:pPr>
              <w:jc w:val="right"/>
              <w:rPr>
                <w:rFonts w:cs="Arial"/>
                <w:sz w:val="20"/>
                <w:szCs w:val="20"/>
                <w:lang w:val="en-US"/>
              </w:rPr>
            </w:pPr>
            <w:r w:rsidRPr="00FE5A72">
              <w:rPr>
                <w:rFonts w:cs="Arial"/>
                <w:sz w:val="20"/>
                <w:szCs w:val="20"/>
                <w:lang w:val="en-US"/>
              </w:rPr>
              <w:t>84</w:t>
            </w:r>
            <w:r w:rsidR="004B390F">
              <w:rPr>
                <w:rFonts w:cs="Arial"/>
                <w:sz w:val="20"/>
                <w:szCs w:val="20"/>
                <w:lang w:val="en-US"/>
              </w:rPr>
              <w:t xml:space="preserve"> </w:t>
            </w:r>
            <w:r w:rsidRPr="00FE5A72">
              <w:rPr>
                <w:rFonts w:cs="Arial"/>
                <w:sz w:val="20"/>
                <w:szCs w:val="20"/>
                <w:lang w:val="en-US"/>
              </w:rPr>
              <w:t>706.50</w:t>
            </w:r>
          </w:p>
        </w:tc>
      </w:tr>
      <w:tr w:rsidR="005A559B" w:rsidRPr="005A559B" w14:paraId="57CF6B7C" w14:textId="77777777" w:rsidTr="008C727D">
        <w:trPr>
          <w:trHeight w:val="289"/>
        </w:trPr>
        <w:tc>
          <w:tcPr>
            <w:tcW w:w="1671" w:type="dxa"/>
            <w:tcBorders>
              <w:top w:val="nil"/>
              <w:left w:val="single" w:sz="4" w:space="0" w:color="auto"/>
              <w:bottom w:val="nil"/>
              <w:right w:val="nil"/>
            </w:tcBorders>
            <w:shd w:val="clear" w:color="auto" w:fill="auto"/>
            <w:noWrap/>
            <w:hideMark/>
          </w:tcPr>
          <w:p w14:paraId="2A08DF55" w14:textId="77777777" w:rsidR="00A55CA5" w:rsidRPr="00FE5A72" w:rsidRDefault="00A55CA5" w:rsidP="00FE5A72">
            <w:pPr>
              <w:rPr>
                <w:rFonts w:cs="Arial"/>
                <w:sz w:val="20"/>
                <w:szCs w:val="20"/>
                <w:lang w:val="en-US"/>
              </w:rPr>
            </w:pPr>
            <w:r w:rsidRPr="00FE5A72">
              <w:rPr>
                <w:rFonts w:cs="Arial"/>
                <w:sz w:val="20"/>
                <w:szCs w:val="20"/>
                <w:lang w:val="en-US"/>
              </w:rPr>
              <w:t>C-IHC</w:t>
            </w:r>
          </w:p>
        </w:tc>
        <w:tc>
          <w:tcPr>
            <w:tcW w:w="1053" w:type="dxa"/>
            <w:tcBorders>
              <w:top w:val="nil"/>
              <w:left w:val="nil"/>
              <w:bottom w:val="nil"/>
              <w:right w:val="nil"/>
            </w:tcBorders>
            <w:shd w:val="clear" w:color="auto" w:fill="auto"/>
            <w:noWrap/>
            <w:hideMark/>
          </w:tcPr>
          <w:p w14:paraId="316C8ACF" w14:textId="77777777" w:rsidR="00A55CA5" w:rsidRPr="00FE5A72" w:rsidRDefault="00A55CA5" w:rsidP="00FE5A72">
            <w:pPr>
              <w:rPr>
                <w:rFonts w:cs="Arial"/>
                <w:sz w:val="20"/>
                <w:szCs w:val="20"/>
                <w:lang w:val="en-US"/>
              </w:rPr>
            </w:pPr>
            <w:r w:rsidRPr="00FE5A72">
              <w:rPr>
                <w:rFonts w:cs="Arial"/>
                <w:sz w:val="20"/>
                <w:szCs w:val="20"/>
                <w:lang w:val="en-US"/>
              </w:rPr>
              <w:t>73059</w:t>
            </w:r>
          </w:p>
        </w:tc>
        <w:tc>
          <w:tcPr>
            <w:tcW w:w="1306" w:type="dxa"/>
            <w:tcBorders>
              <w:top w:val="nil"/>
              <w:left w:val="single" w:sz="4" w:space="0" w:color="auto"/>
              <w:bottom w:val="nil"/>
              <w:right w:val="single" w:sz="4" w:space="0" w:color="auto"/>
            </w:tcBorders>
            <w:shd w:val="clear" w:color="auto" w:fill="auto"/>
            <w:noWrap/>
            <w:hideMark/>
          </w:tcPr>
          <w:p w14:paraId="2C15F341" w14:textId="77777777" w:rsidR="00A55CA5" w:rsidRPr="00FE5A72" w:rsidRDefault="00A55CA5" w:rsidP="00FE5A72">
            <w:pPr>
              <w:jc w:val="right"/>
              <w:rPr>
                <w:rFonts w:cs="Arial"/>
                <w:sz w:val="20"/>
                <w:szCs w:val="20"/>
                <w:lang w:val="en-US"/>
              </w:rPr>
            </w:pPr>
            <w:r w:rsidRPr="00FE5A72">
              <w:rPr>
                <w:rFonts w:cs="Arial"/>
                <w:sz w:val="20"/>
                <w:szCs w:val="20"/>
                <w:lang w:val="en-US"/>
              </w:rPr>
              <w:t>834</w:t>
            </w:r>
          </w:p>
        </w:tc>
        <w:tc>
          <w:tcPr>
            <w:tcW w:w="1306" w:type="dxa"/>
            <w:tcBorders>
              <w:top w:val="nil"/>
              <w:left w:val="nil"/>
              <w:bottom w:val="nil"/>
              <w:right w:val="single" w:sz="4" w:space="0" w:color="auto"/>
            </w:tcBorders>
            <w:shd w:val="clear" w:color="auto" w:fill="auto"/>
            <w:noWrap/>
            <w:hideMark/>
          </w:tcPr>
          <w:p w14:paraId="6121C619" w14:textId="77777777" w:rsidR="00A55CA5" w:rsidRPr="00FE5A72" w:rsidRDefault="00A55CA5" w:rsidP="00FE5A72">
            <w:pPr>
              <w:jc w:val="right"/>
              <w:rPr>
                <w:rFonts w:cs="Arial"/>
                <w:sz w:val="20"/>
                <w:szCs w:val="20"/>
                <w:lang w:val="en-US"/>
              </w:rPr>
            </w:pPr>
            <w:r w:rsidRPr="00FE5A72">
              <w:rPr>
                <w:rFonts w:cs="Arial"/>
                <w:sz w:val="20"/>
                <w:szCs w:val="20"/>
                <w:lang w:val="en-US"/>
              </w:rPr>
              <w:t>43</w:t>
            </w:r>
          </w:p>
        </w:tc>
        <w:tc>
          <w:tcPr>
            <w:tcW w:w="1878" w:type="dxa"/>
            <w:tcBorders>
              <w:top w:val="nil"/>
              <w:left w:val="nil"/>
              <w:bottom w:val="nil"/>
              <w:right w:val="single" w:sz="4" w:space="0" w:color="auto"/>
            </w:tcBorders>
            <w:shd w:val="clear" w:color="auto" w:fill="auto"/>
            <w:noWrap/>
            <w:hideMark/>
          </w:tcPr>
          <w:p w14:paraId="67B9A3D7" w14:textId="77777777" w:rsidR="00A55CA5" w:rsidRPr="00FE5A72" w:rsidRDefault="00A55CA5" w:rsidP="00FE5A72">
            <w:pPr>
              <w:jc w:val="right"/>
              <w:rPr>
                <w:rFonts w:cs="Arial"/>
                <w:sz w:val="20"/>
                <w:szCs w:val="20"/>
                <w:lang w:val="en-US"/>
              </w:rPr>
            </w:pPr>
            <w:r w:rsidRPr="00FE5A72">
              <w:rPr>
                <w:rFonts w:cs="Arial"/>
                <w:sz w:val="20"/>
                <w:szCs w:val="20"/>
                <w:lang w:val="en-US"/>
              </w:rPr>
              <w:t>35</w:t>
            </w:r>
            <w:r w:rsidR="004B390F">
              <w:rPr>
                <w:rFonts w:cs="Arial"/>
                <w:sz w:val="20"/>
                <w:szCs w:val="20"/>
                <w:lang w:val="en-US"/>
              </w:rPr>
              <w:t xml:space="preserve"> </w:t>
            </w:r>
            <w:r w:rsidRPr="00FE5A72">
              <w:rPr>
                <w:rFonts w:cs="Arial"/>
                <w:sz w:val="20"/>
                <w:szCs w:val="20"/>
                <w:lang w:val="en-US"/>
              </w:rPr>
              <w:t>862.00</w:t>
            </w:r>
          </w:p>
        </w:tc>
      </w:tr>
      <w:tr w:rsidR="005A559B" w:rsidRPr="005A559B" w14:paraId="0C6DCF29" w14:textId="77777777" w:rsidTr="008C727D">
        <w:trPr>
          <w:trHeight w:val="289"/>
        </w:trPr>
        <w:tc>
          <w:tcPr>
            <w:tcW w:w="1671" w:type="dxa"/>
            <w:tcBorders>
              <w:top w:val="nil"/>
              <w:left w:val="single" w:sz="4" w:space="0" w:color="auto"/>
              <w:bottom w:val="single" w:sz="4" w:space="0" w:color="auto"/>
              <w:right w:val="nil"/>
            </w:tcBorders>
            <w:shd w:val="clear" w:color="auto" w:fill="auto"/>
            <w:noWrap/>
            <w:hideMark/>
          </w:tcPr>
          <w:p w14:paraId="4B5B61F7" w14:textId="77777777" w:rsidR="00A55CA5" w:rsidRPr="00FE5A72" w:rsidRDefault="00A55CA5" w:rsidP="00FE5A72">
            <w:pPr>
              <w:rPr>
                <w:rFonts w:cs="Arial"/>
                <w:sz w:val="20"/>
                <w:szCs w:val="20"/>
                <w:lang w:val="en-US"/>
              </w:rPr>
            </w:pPr>
            <w:r w:rsidRPr="00FE5A72">
              <w:rPr>
                <w:rFonts w:cs="Arial"/>
                <w:sz w:val="20"/>
                <w:szCs w:val="20"/>
                <w:lang w:val="en-US"/>
              </w:rPr>
              <w:t>C-IHC-BR</w:t>
            </w:r>
          </w:p>
        </w:tc>
        <w:tc>
          <w:tcPr>
            <w:tcW w:w="1053" w:type="dxa"/>
            <w:tcBorders>
              <w:top w:val="nil"/>
              <w:left w:val="nil"/>
              <w:bottom w:val="single" w:sz="4" w:space="0" w:color="auto"/>
              <w:right w:val="nil"/>
            </w:tcBorders>
            <w:shd w:val="clear" w:color="auto" w:fill="auto"/>
            <w:noWrap/>
            <w:hideMark/>
          </w:tcPr>
          <w:p w14:paraId="0BCA2C7B" w14:textId="77777777" w:rsidR="00A55CA5" w:rsidRPr="00FE5A72" w:rsidRDefault="00A55CA5" w:rsidP="00FE5A72">
            <w:pPr>
              <w:rPr>
                <w:rFonts w:cs="Arial"/>
                <w:sz w:val="20"/>
                <w:szCs w:val="20"/>
                <w:lang w:val="en-US"/>
              </w:rPr>
            </w:pPr>
            <w:r w:rsidRPr="00FE5A72">
              <w:rPr>
                <w:rFonts w:cs="Arial"/>
                <w:sz w:val="20"/>
                <w:szCs w:val="20"/>
                <w:lang w:val="en-US"/>
              </w:rPr>
              <w:t>73061</w:t>
            </w:r>
          </w:p>
        </w:tc>
        <w:tc>
          <w:tcPr>
            <w:tcW w:w="1306" w:type="dxa"/>
            <w:tcBorders>
              <w:top w:val="nil"/>
              <w:left w:val="single" w:sz="4" w:space="0" w:color="auto"/>
              <w:bottom w:val="single" w:sz="4" w:space="0" w:color="auto"/>
              <w:right w:val="single" w:sz="4" w:space="0" w:color="auto"/>
            </w:tcBorders>
            <w:shd w:val="clear" w:color="auto" w:fill="auto"/>
            <w:noWrap/>
            <w:hideMark/>
          </w:tcPr>
          <w:p w14:paraId="661925CD" w14:textId="77777777" w:rsidR="00A55CA5" w:rsidRPr="00FE5A72" w:rsidRDefault="00A55CA5" w:rsidP="00FE5A72">
            <w:pPr>
              <w:jc w:val="right"/>
              <w:rPr>
                <w:rFonts w:cs="Arial"/>
                <w:sz w:val="20"/>
                <w:szCs w:val="20"/>
                <w:lang w:val="en-US"/>
              </w:rPr>
            </w:pPr>
            <w:r w:rsidRPr="00FE5A72">
              <w:rPr>
                <w:rFonts w:cs="Arial"/>
                <w:sz w:val="20"/>
                <w:szCs w:val="20"/>
                <w:lang w:val="en-US"/>
              </w:rPr>
              <w:t>67</w:t>
            </w:r>
          </w:p>
        </w:tc>
        <w:tc>
          <w:tcPr>
            <w:tcW w:w="1306" w:type="dxa"/>
            <w:tcBorders>
              <w:top w:val="nil"/>
              <w:left w:val="nil"/>
              <w:bottom w:val="single" w:sz="4" w:space="0" w:color="auto"/>
              <w:right w:val="single" w:sz="4" w:space="0" w:color="auto"/>
            </w:tcBorders>
            <w:shd w:val="clear" w:color="auto" w:fill="auto"/>
            <w:noWrap/>
            <w:hideMark/>
          </w:tcPr>
          <w:p w14:paraId="6DCC0F5F" w14:textId="77777777" w:rsidR="00A55CA5" w:rsidRPr="00FE5A72" w:rsidRDefault="00A55CA5" w:rsidP="00FE5A72">
            <w:pPr>
              <w:jc w:val="right"/>
              <w:rPr>
                <w:rFonts w:cs="Arial"/>
                <w:sz w:val="20"/>
                <w:szCs w:val="20"/>
                <w:lang w:val="en-US"/>
              </w:rPr>
            </w:pPr>
            <w:r w:rsidRPr="00FE5A72">
              <w:rPr>
                <w:rFonts w:cs="Arial"/>
                <w:sz w:val="20"/>
                <w:szCs w:val="20"/>
                <w:lang w:val="en-US"/>
              </w:rPr>
              <w:t>51.2</w:t>
            </w:r>
          </w:p>
        </w:tc>
        <w:tc>
          <w:tcPr>
            <w:tcW w:w="1878" w:type="dxa"/>
            <w:tcBorders>
              <w:top w:val="nil"/>
              <w:left w:val="nil"/>
              <w:bottom w:val="single" w:sz="4" w:space="0" w:color="auto"/>
              <w:right w:val="single" w:sz="4" w:space="0" w:color="auto"/>
            </w:tcBorders>
            <w:shd w:val="clear" w:color="auto" w:fill="auto"/>
            <w:noWrap/>
            <w:hideMark/>
          </w:tcPr>
          <w:p w14:paraId="4876B0EA" w14:textId="77777777" w:rsidR="00A55CA5" w:rsidRPr="00FE5A72" w:rsidRDefault="00A55CA5" w:rsidP="00FE5A72">
            <w:pPr>
              <w:jc w:val="right"/>
              <w:rPr>
                <w:rFonts w:cs="Arial"/>
                <w:sz w:val="20"/>
                <w:szCs w:val="20"/>
                <w:lang w:val="en-US"/>
              </w:rPr>
            </w:pPr>
            <w:r w:rsidRPr="00FE5A72">
              <w:rPr>
                <w:rFonts w:cs="Arial"/>
                <w:sz w:val="20"/>
                <w:szCs w:val="20"/>
                <w:lang w:val="en-US"/>
              </w:rPr>
              <w:t>3</w:t>
            </w:r>
            <w:r w:rsidR="004B390F">
              <w:rPr>
                <w:rFonts w:cs="Arial"/>
                <w:sz w:val="20"/>
                <w:szCs w:val="20"/>
                <w:lang w:val="en-US"/>
              </w:rPr>
              <w:t xml:space="preserve"> </w:t>
            </w:r>
            <w:r w:rsidRPr="00FE5A72">
              <w:rPr>
                <w:rFonts w:cs="Arial"/>
                <w:sz w:val="20"/>
                <w:szCs w:val="20"/>
                <w:lang w:val="en-US"/>
              </w:rPr>
              <w:t>430.40</w:t>
            </w:r>
          </w:p>
        </w:tc>
      </w:tr>
      <w:tr w:rsidR="005A559B" w:rsidRPr="004B390F" w14:paraId="45C1EF8B" w14:textId="77777777" w:rsidTr="008C727D">
        <w:trPr>
          <w:trHeight w:val="289"/>
        </w:trPr>
        <w:tc>
          <w:tcPr>
            <w:tcW w:w="1671" w:type="dxa"/>
            <w:tcBorders>
              <w:top w:val="nil"/>
              <w:left w:val="single" w:sz="4" w:space="0" w:color="auto"/>
              <w:bottom w:val="single" w:sz="4" w:space="0" w:color="auto"/>
              <w:right w:val="nil"/>
            </w:tcBorders>
            <w:shd w:val="clear" w:color="auto" w:fill="auto"/>
            <w:noWrap/>
            <w:hideMark/>
          </w:tcPr>
          <w:p w14:paraId="6BB11CAD" w14:textId="77777777" w:rsidR="00A55CA5" w:rsidRPr="00FE5A72" w:rsidRDefault="004B390F" w:rsidP="00FE5A72">
            <w:pPr>
              <w:jc w:val="right"/>
              <w:rPr>
                <w:rFonts w:cs="Arial"/>
                <w:b/>
                <w:sz w:val="20"/>
                <w:szCs w:val="20"/>
                <w:lang w:val="en-US"/>
              </w:rPr>
            </w:pPr>
            <w:r w:rsidRPr="00FE5A72">
              <w:rPr>
                <w:rFonts w:cs="Arial"/>
                <w:b/>
                <w:sz w:val="20"/>
                <w:szCs w:val="20"/>
                <w:lang w:val="en-US"/>
              </w:rPr>
              <w:t>Totals</w:t>
            </w:r>
          </w:p>
        </w:tc>
        <w:tc>
          <w:tcPr>
            <w:tcW w:w="1053" w:type="dxa"/>
            <w:tcBorders>
              <w:top w:val="nil"/>
              <w:left w:val="nil"/>
              <w:bottom w:val="single" w:sz="4" w:space="0" w:color="auto"/>
              <w:right w:val="nil"/>
            </w:tcBorders>
            <w:shd w:val="clear" w:color="auto" w:fill="auto"/>
            <w:noWrap/>
            <w:hideMark/>
          </w:tcPr>
          <w:p w14:paraId="04A60F50" w14:textId="77777777" w:rsidR="00A55CA5" w:rsidRPr="00FE5A72" w:rsidRDefault="00A55CA5" w:rsidP="00FE5A72">
            <w:pPr>
              <w:jc w:val="right"/>
              <w:rPr>
                <w:rFonts w:cs="Arial"/>
                <w:b/>
                <w:sz w:val="20"/>
                <w:szCs w:val="20"/>
                <w:lang w:val="en-US"/>
              </w:rPr>
            </w:pPr>
          </w:p>
        </w:tc>
        <w:tc>
          <w:tcPr>
            <w:tcW w:w="1306" w:type="dxa"/>
            <w:tcBorders>
              <w:top w:val="nil"/>
              <w:left w:val="single" w:sz="4" w:space="0" w:color="auto"/>
              <w:bottom w:val="single" w:sz="4" w:space="0" w:color="auto"/>
              <w:right w:val="single" w:sz="4" w:space="0" w:color="auto"/>
            </w:tcBorders>
            <w:shd w:val="clear" w:color="auto" w:fill="auto"/>
            <w:noWrap/>
            <w:hideMark/>
          </w:tcPr>
          <w:p w14:paraId="71A62A47" w14:textId="77777777" w:rsidR="00A55CA5" w:rsidRPr="00FE5A72" w:rsidRDefault="00A55CA5" w:rsidP="00FE5A72">
            <w:pPr>
              <w:jc w:val="right"/>
              <w:rPr>
                <w:rFonts w:cs="Arial"/>
                <w:b/>
                <w:sz w:val="20"/>
                <w:szCs w:val="20"/>
                <w:lang w:val="en-US"/>
              </w:rPr>
            </w:pPr>
            <w:r w:rsidRPr="00FE5A72">
              <w:rPr>
                <w:rFonts w:cs="Arial"/>
                <w:b/>
                <w:sz w:val="20"/>
                <w:szCs w:val="20"/>
                <w:lang w:val="en-US"/>
              </w:rPr>
              <w:t>13</w:t>
            </w:r>
            <w:r w:rsidR="004B390F">
              <w:rPr>
                <w:rFonts w:cs="Arial"/>
                <w:b/>
                <w:sz w:val="20"/>
                <w:szCs w:val="20"/>
                <w:lang w:val="en-US"/>
              </w:rPr>
              <w:t xml:space="preserve"> </w:t>
            </w:r>
            <w:r w:rsidRPr="00FE5A72">
              <w:rPr>
                <w:rFonts w:cs="Arial"/>
                <w:b/>
                <w:sz w:val="20"/>
                <w:szCs w:val="20"/>
                <w:lang w:val="en-US"/>
              </w:rPr>
              <w:t>293</w:t>
            </w:r>
          </w:p>
        </w:tc>
        <w:tc>
          <w:tcPr>
            <w:tcW w:w="1306" w:type="dxa"/>
            <w:tcBorders>
              <w:top w:val="nil"/>
              <w:left w:val="nil"/>
              <w:bottom w:val="single" w:sz="4" w:space="0" w:color="auto"/>
              <w:right w:val="single" w:sz="4" w:space="0" w:color="auto"/>
            </w:tcBorders>
            <w:shd w:val="clear" w:color="auto" w:fill="auto"/>
            <w:noWrap/>
            <w:hideMark/>
          </w:tcPr>
          <w:p w14:paraId="0EB0EB2B" w14:textId="77777777" w:rsidR="00A55CA5" w:rsidRPr="00FE5A72" w:rsidRDefault="00A55CA5" w:rsidP="00FE5A72">
            <w:pPr>
              <w:jc w:val="right"/>
              <w:rPr>
                <w:rFonts w:cs="Arial"/>
                <w:b/>
                <w:sz w:val="20"/>
                <w:szCs w:val="20"/>
                <w:lang w:val="en-US"/>
              </w:rPr>
            </w:pPr>
          </w:p>
        </w:tc>
        <w:tc>
          <w:tcPr>
            <w:tcW w:w="1878" w:type="dxa"/>
            <w:tcBorders>
              <w:top w:val="nil"/>
              <w:left w:val="nil"/>
              <w:bottom w:val="single" w:sz="4" w:space="0" w:color="auto"/>
              <w:right w:val="single" w:sz="4" w:space="0" w:color="auto"/>
            </w:tcBorders>
            <w:shd w:val="clear" w:color="auto" w:fill="auto"/>
            <w:noWrap/>
            <w:hideMark/>
          </w:tcPr>
          <w:p w14:paraId="343A9063" w14:textId="77777777" w:rsidR="00A55CA5" w:rsidRPr="00FE5A72" w:rsidRDefault="00A55CA5" w:rsidP="00FE5A72">
            <w:pPr>
              <w:jc w:val="right"/>
              <w:rPr>
                <w:rFonts w:cs="Arial"/>
                <w:b/>
                <w:sz w:val="20"/>
                <w:szCs w:val="20"/>
                <w:lang w:val="en-US"/>
              </w:rPr>
            </w:pPr>
            <w:r w:rsidRPr="00FE5A72">
              <w:rPr>
                <w:rFonts w:cs="Arial"/>
                <w:b/>
                <w:sz w:val="20"/>
                <w:szCs w:val="20"/>
                <w:lang w:val="en-US"/>
              </w:rPr>
              <w:t>794</w:t>
            </w:r>
            <w:r w:rsidR="004B390F">
              <w:rPr>
                <w:rFonts w:cs="Arial"/>
                <w:b/>
                <w:sz w:val="20"/>
                <w:szCs w:val="20"/>
                <w:lang w:val="en-US"/>
              </w:rPr>
              <w:t xml:space="preserve"> </w:t>
            </w:r>
            <w:r w:rsidRPr="00FE5A72">
              <w:rPr>
                <w:rFonts w:cs="Arial"/>
                <w:b/>
                <w:sz w:val="20"/>
                <w:szCs w:val="20"/>
                <w:lang w:val="en-US"/>
              </w:rPr>
              <w:t>796.90</w:t>
            </w:r>
          </w:p>
        </w:tc>
      </w:tr>
    </w:tbl>
    <w:p w14:paraId="3C0F8F92" w14:textId="77777777" w:rsidR="00901139" w:rsidRPr="00AE72F1" w:rsidRDefault="00901139" w:rsidP="00FE5A72">
      <w:r w:rsidRPr="00AE72F1">
        <w:t>Consideration was given to alternate reimbursement strategies for immunohistochemistry. One possibility would be a flat fee per assay</w:t>
      </w:r>
      <w:r w:rsidR="000E5E9A">
        <w:t xml:space="preserve"> of each complexity</w:t>
      </w:r>
      <w:r w:rsidRPr="00AE72F1">
        <w:t xml:space="preserve"> (for however many were required), set at a </w:t>
      </w:r>
      <w:r w:rsidR="00B21D4A">
        <w:t>level</w:t>
      </w:r>
      <w:r w:rsidRPr="00AE72F1">
        <w:t xml:space="preserve"> sufficient to cover costs but not induce an incentive to perform unnecessary tests.</w:t>
      </w:r>
    </w:p>
    <w:p w14:paraId="3C03B958" w14:textId="77777777" w:rsidR="00901139" w:rsidRPr="00AE72F1" w:rsidRDefault="00901139" w:rsidP="00FE5A72">
      <w:r w:rsidRPr="00AE72F1">
        <w:t xml:space="preserve">An alternate strategy would be to introduce a </w:t>
      </w:r>
      <w:r w:rsidR="00A81809">
        <w:t>‘</w:t>
      </w:r>
      <w:r w:rsidRPr="00AE72F1">
        <w:t>Surgical</w:t>
      </w:r>
      <w:r w:rsidR="00A81809">
        <w:t>’</w:t>
      </w:r>
      <w:r w:rsidR="00A81809" w:rsidRPr="00AE72F1">
        <w:t xml:space="preserve"> </w:t>
      </w:r>
      <w:r w:rsidRPr="00AE72F1">
        <w:t>model (100%/50%/25%</w:t>
      </w:r>
      <w:r w:rsidR="00A81809">
        <w:t>,</w:t>
      </w:r>
      <w:r w:rsidRPr="00AE72F1">
        <w:t xml:space="preserve"> etc</w:t>
      </w:r>
      <w:r w:rsidR="00A81809">
        <w:t>.</w:t>
      </w:r>
      <w:r w:rsidRPr="00AE72F1">
        <w:t xml:space="preserve">) </w:t>
      </w:r>
      <w:proofErr w:type="gramStart"/>
      <w:r w:rsidRPr="00AE72F1">
        <w:t>similar to</w:t>
      </w:r>
      <w:proofErr w:type="gramEnd"/>
      <w:r w:rsidRPr="00AE72F1">
        <w:t xml:space="preserve"> that considered for </w:t>
      </w:r>
      <w:r w:rsidR="00254AAD" w:rsidRPr="00AE72F1">
        <w:t xml:space="preserve">core </w:t>
      </w:r>
      <w:r w:rsidRPr="00AE72F1">
        <w:t xml:space="preserve">Histology </w:t>
      </w:r>
      <w:r w:rsidR="00254AAD" w:rsidRPr="00AE72F1">
        <w:t xml:space="preserve">and Cytology </w:t>
      </w:r>
      <w:r w:rsidRPr="00AE72F1">
        <w:t xml:space="preserve">reimbursement above. Comparison of the effects of the </w:t>
      </w:r>
      <w:r w:rsidR="00317CD3">
        <w:t>‘</w:t>
      </w:r>
      <w:r w:rsidRPr="00AE72F1">
        <w:t>Surgical</w:t>
      </w:r>
      <w:r w:rsidR="00317CD3">
        <w:t>’</w:t>
      </w:r>
      <w:r w:rsidRPr="00AE72F1">
        <w:t xml:space="preserve"> model compared </w:t>
      </w:r>
      <w:r w:rsidR="00A81809">
        <w:t xml:space="preserve">with </w:t>
      </w:r>
      <w:r w:rsidRPr="00AE72F1">
        <w:t xml:space="preserve">the status quo for IHC is shown in </w:t>
      </w:r>
      <w:r w:rsidRPr="000936CA">
        <w:rPr>
          <w:i/>
        </w:rPr>
        <w:t xml:space="preserve">Figure </w:t>
      </w:r>
      <w:r w:rsidR="00254AAD" w:rsidRPr="000936CA">
        <w:rPr>
          <w:i/>
        </w:rPr>
        <w:t>1</w:t>
      </w:r>
      <w:r w:rsidR="000936CA" w:rsidRPr="000936CA">
        <w:rPr>
          <w:i/>
        </w:rPr>
        <w:t>1</w:t>
      </w:r>
      <w:r w:rsidR="00254AAD" w:rsidRPr="00AE72F1">
        <w:t xml:space="preserve"> </w:t>
      </w:r>
      <w:r w:rsidRPr="00AE72F1">
        <w:t>below.</w:t>
      </w:r>
    </w:p>
    <w:p w14:paraId="75EA2E9F" w14:textId="77777777" w:rsidR="00A81809" w:rsidRPr="004D17CB" w:rsidRDefault="00A81809" w:rsidP="004D17CB">
      <w:pPr>
        <w:pStyle w:val="Caption"/>
        <w:rPr>
          <w:i/>
        </w:rPr>
      </w:pPr>
      <w:bookmarkStart w:id="77" w:name="_Toc482213886"/>
      <w:r w:rsidRPr="00B45D06">
        <w:lastRenderedPageBreak/>
        <w:t xml:space="preserve">Figure </w:t>
      </w:r>
      <w:r w:rsidR="00555C4C" w:rsidRPr="00DF7C6A">
        <w:fldChar w:fldCharType="begin"/>
      </w:r>
      <w:r w:rsidRPr="00BC4EDD">
        <w:instrText xml:space="preserve"> SEQ Figure \* ARABIC </w:instrText>
      </w:r>
      <w:r w:rsidR="00555C4C" w:rsidRPr="00DF7C6A">
        <w:fldChar w:fldCharType="separate"/>
      </w:r>
      <w:r w:rsidR="00FC06F1">
        <w:rPr>
          <w:noProof/>
        </w:rPr>
        <w:t>1</w:t>
      </w:r>
      <w:r w:rsidR="000936CA">
        <w:rPr>
          <w:noProof/>
        </w:rPr>
        <w:t>1</w:t>
      </w:r>
      <w:r w:rsidR="00555C4C" w:rsidRPr="00DF7C6A">
        <w:fldChar w:fldCharType="end"/>
      </w:r>
      <w:r w:rsidRPr="00DF7C6A">
        <w:t>. Comparison of current effective re</w:t>
      </w:r>
      <w:r w:rsidR="004D17CB">
        <w:t>bate per IHC assay compared to ‘S</w:t>
      </w:r>
      <w:r w:rsidRPr="00DF7C6A">
        <w:t>urgical</w:t>
      </w:r>
      <w:r w:rsidR="004D17CB">
        <w:t>’</w:t>
      </w:r>
      <w:r w:rsidRPr="00DF7C6A">
        <w:t xml:space="preserve"> rebate model of 100%/50%/25% thereafter</w:t>
      </w:r>
      <w:bookmarkEnd w:id="77"/>
    </w:p>
    <w:p w14:paraId="340B78CE" w14:textId="77777777" w:rsidR="00901139" w:rsidRPr="00AE72F1" w:rsidRDefault="00AE72F1" w:rsidP="00AE72F1">
      <w:pPr>
        <w:rPr>
          <w:i/>
          <w:szCs w:val="22"/>
        </w:rPr>
      </w:pPr>
      <w:r>
        <w:rPr>
          <w:noProof/>
          <w:lang w:val="en-AU"/>
        </w:rPr>
        <w:drawing>
          <wp:inline distT="0" distB="0" distL="0" distR="0" wp14:anchorId="618BAD09" wp14:editId="3F8E5DA6">
            <wp:extent cx="5191125" cy="3286125"/>
            <wp:effectExtent l="0" t="0" r="9525" b="9525"/>
            <wp:docPr id="5" name="Chart 5" descr="This is a line chart showing the comparison of current effective rebate per IHC assay compared to ‘Surgical’ rebate model of 100%/50%/25% thereaf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26582B" w14:textId="77777777" w:rsidR="00254AAD" w:rsidRPr="00DE06B5" w:rsidRDefault="00254AAD" w:rsidP="004D17CB">
      <w:pPr>
        <w:spacing w:before="360"/>
      </w:pPr>
      <w:r w:rsidRPr="00DE06B5">
        <w:t>The incremental percentage rebate for multiple specimens using the 100/50/25 rule is easily summari</w:t>
      </w:r>
      <w:r w:rsidR="00A81809">
        <w:t>s</w:t>
      </w:r>
      <w:r w:rsidRPr="00DE06B5">
        <w:t xml:space="preserve">ed in </w:t>
      </w:r>
      <w:r w:rsidRPr="000936CA">
        <w:rPr>
          <w:i/>
        </w:rPr>
        <w:t xml:space="preserve">Table </w:t>
      </w:r>
      <w:r w:rsidR="00A81809" w:rsidRPr="000936CA">
        <w:rPr>
          <w:i/>
        </w:rPr>
        <w:t>1</w:t>
      </w:r>
      <w:r w:rsidR="000936CA" w:rsidRPr="000936CA">
        <w:rPr>
          <w:i/>
        </w:rPr>
        <w:t>4</w:t>
      </w:r>
      <w:r w:rsidRPr="00DE06B5">
        <w:t xml:space="preserve">. This could be </w:t>
      </w:r>
      <w:r w:rsidR="00A81809">
        <w:t xml:space="preserve">used </w:t>
      </w:r>
      <w:r w:rsidRPr="00DE06B5">
        <w:t>for calculatin</w:t>
      </w:r>
      <w:r w:rsidR="00A81809">
        <w:t>g</w:t>
      </w:r>
      <w:r w:rsidRPr="00DE06B5">
        <w:t xml:space="preserve"> IHC rebates or other situations with multiples of the same item using the </w:t>
      </w:r>
      <w:r w:rsidR="00A81809">
        <w:t>‘</w:t>
      </w:r>
      <w:r w:rsidRPr="00DE06B5">
        <w:t>Surgical</w:t>
      </w:r>
      <w:r w:rsidR="00A81809">
        <w:t>’</w:t>
      </w:r>
      <w:r w:rsidR="00A81809" w:rsidRPr="00DE06B5">
        <w:t xml:space="preserve"> </w:t>
      </w:r>
      <w:r w:rsidRPr="00DE06B5">
        <w:t>model.</w:t>
      </w:r>
    </w:p>
    <w:p w14:paraId="55114196" w14:textId="77777777" w:rsidR="00A81809" w:rsidRPr="00B45D06" w:rsidRDefault="00A81809" w:rsidP="004D17CB">
      <w:pPr>
        <w:pStyle w:val="Caption"/>
      </w:pPr>
      <w:bookmarkStart w:id="78" w:name="_Toc482213841"/>
      <w:r>
        <w:t xml:space="preserve">Table </w:t>
      </w:r>
      <w:r w:rsidR="000936CA">
        <w:t>14</w:t>
      </w:r>
      <w:r>
        <w:t xml:space="preserve">. </w:t>
      </w:r>
      <w:r w:rsidRPr="00711DA1">
        <w:t>Percentage multiplier of unit rebate with increasing numbers of the same assay</w:t>
      </w:r>
      <w:bookmarkEnd w:id="78"/>
    </w:p>
    <w:tbl>
      <w:tblPr>
        <w:tblW w:w="8108" w:type="dxa"/>
        <w:tblInd w:w="93" w:type="dxa"/>
        <w:tblLook w:val="04A0" w:firstRow="1" w:lastRow="0" w:firstColumn="1" w:lastColumn="0" w:noHBand="0" w:noVBand="1"/>
      </w:tblPr>
      <w:tblGrid>
        <w:gridCol w:w="1304"/>
        <w:gridCol w:w="630"/>
        <w:gridCol w:w="686"/>
        <w:gridCol w:w="686"/>
        <w:gridCol w:w="686"/>
        <w:gridCol w:w="686"/>
        <w:gridCol w:w="686"/>
        <w:gridCol w:w="686"/>
        <w:gridCol w:w="686"/>
        <w:gridCol w:w="686"/>
        <w:gridCol w:w="686"/>
      </w:tblGrid>
      <w:tr w:rsidR="00254AAD" w:rsidRPr="00864431" w14:paraId="2C12DA05" w14:textId="77777777" w:rsidTr="006D1776">
        <w:trPr>
          <w:trHeight w:val="342"/>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DFAC6" w14:textId="77777777" w:rsidR="00254AAD" w:rsidRPr="004D17CB" w:rsidRDefault="00254AAD" w:rsidP="004D17CB">
            <w:pPr>
              <w:rPr>
                <w:rFonts w:cs="Arial"/>
                <w:sz w:val="20"/>
                <w:szCs w:val="20"/>
                <w:lang w:val="en-US"/>
              </w:rPr>
            </w:pPr>
            <w:r w:rsidRPr="004D17CB">
              <w:rPr>
                <w:rFonts w:cs="Arial"/>
                <w:sz w:val="20"/>
                <w:szCs w:val="20"/>
                <w:lang w:val="en-US"/>
              </w:rPr>
              <w:t># assays</w:t>
            </w:r>
          </w:p>
        </w:tc>
        <w:tc>
          <w:tcPr>
            <w:tcW w:w="630" w:type="dxa"/>
            <w:tcBorders>
              <w:top w:val="single" w:sz="4" w:space="0" w:color="auto"/>
              <w:left w:val="nil"/>
              <w:bottom w:val="single" w:sz="4" w:space="0" w:color="auto"/>
              <w:right w:val="nil"/>
            </w:tcBorders>
            <w:shd w:val="clear" w:color="auto" w:fill="auto"/>
            <w:noWrap/>
            <w:vAlign w:val="bottom"/>
            <w:hideMark/>
          </w:tcPr>
          <w:p w14:paraId="3D5A4B42" w14:textId="77777777" w:rsidR="00254AAD" w:rsidRPr="004D17CB" w:rsidRDefault="00254AAD" w:rsidP="004D17CB">
            <w:pPr>
              <w:rPr>
                <w:rFonts w:cs="Arial"/>
                <w:b/>
                <w:sz w:val="20"/>
                <w:szCs w:val="20"/>
                <w:lang w:val="en-US"/>
              </w:rPr>
            </w:pPr>
            <w:r w:rsidRPr="004D17CB">
              <w:rPr>
                <w:rFonts w:cs="Arial"/>
                <w:b/>
                <w:sz w:val="20"/>
                <w:szCs w:val="20"/>
                <w:lang w:val="en-US"/>
              </w:rPr>
              <w:t>1</w:t>
            </w:r>
          </w:p>
        </w:tc>
        <w:tc>
          <w:tcPr>
            <w:tcW w:w="686" w:type="dxa"/>
            <w:tcBorders>
              <w:top w:val="single" w:sz="4" w:space="0" w:color="auto"/>
              <w:left w:val="nil"/>
              <w:bottom w:val="single" w:sz="4" w:space="0" w:color="auto"/>
              <w:right w:val="nil"/>
            </w:tcBorders>
            <w:shd w:val="clear" w:color="auto" w:fill="auto"/>
            <w:noWrap/>
            <w:vAlign w:val="bottom"/>
            <w:hideMark/>
          </w:tcPr>
          <w:p w14:paraId="4C05E7D6" w14:textId="77777777" w:rsidR="00254AAD" w:rsidRPr="004D17CB" w:rsidRDefault="00254AAD" w:rsidP="004D17CB">
            <w:pPr>
              <w:rPr>
                <w:rFonts w:cs="Arial"/>
                <w:b/>
                <w:sz w:val="20"/>
                <w:szCs w:val="20"/>
                <w:lang w:val="en-US"/>
              </w:rPr>
            </w:pPr>
            <w:r w:rsidRPr="004D17CB">
              <w:rPr>
                <w:rFonts w:cs="Arial"/>
                <w:b/>
                <w:sz w:val="20"/>
                <w:szCs w:val="20"/>
                <w:lang w:val="en-US"/>
              </w:rPr>
              <w:t>2</w:t>
            </w:r>
          </w:p>
        </w:tc>
        <w:tc>
          <w:tcPr>
            <w:tcW w:w="686" w:type="dxa"/>
            <w:tcBorders>
              <w:top w:val="single" w:sz="4" w:space="0" w:color="auto"/>
              <w:left w:val="nil"/>
              <w:bottom w:val="single" w:sz="4" w:space="0" w:color="auto"/>
              <w:right w:val="nil"/>
            </w:tcBorders>
            <w:shd w:val="clear" w:color="auto" w:fill="auto"/>
            <w:noWrap/>
            <w:vAlign w:val="bottom"/>
            <w:hideMark/>
          </w:tcPr>
          <w:p w14:paraId="199BD3D0" w14:textId="77777777" w:rsidR="00254AAD" w:rsidRPr="004D17CB" w:rsidRDefault="00254AAD" w:rsidP="004D17CB">
            <w:pPr>
              <w:rPr>
                <w:rFonts w:cs="Arial"/>
                <w:b/>
                <w:sz w:val="20"/>
                <w:szCs w:val="20"/>
                <w:lang w:val="en-US"/>
              </w:rPr>
            </w:pPr>
            <w:r w:rsidRPr="004D17CB">
              <w:rPr>
                <w:rFonts w:cs="Arial"/>
                <w:b/>
                <w:sz w:val="20"/>
                <w:szCs w:val="20"/>
                <w:lang w:val="en-US"/>
              </w:rPr>
              <w:t>3</w:t>
            </w:r>
          </w:p>
        </w:tc>
        <w:tc>
          <w:tcPr>
            <w:tcW w:w="686" w:type="dxa"/>
            <w:tcBorders>
              <w:top w:val="single" w:sz="4" w:space="0" w:color="auto"/>
              <w:left w:val="nil"/>
              <w:bottom w:val="single" w:sz="4" w:space="0" w:color="auto"/>
              <w:right w:val="nil"/>
            </w:tcBorders>
            <w:shd w:val="clear" w:color="auto" w:fill="auto"/>
            <w:noWrap/>
            <w:vAlign w:val="bottom"/>
            <w:hideMark/>
          </w:tcPr>
          <w:p w14:paraId="0A198897" w14:textId="77777777" w:rsidR="00254AAD" w:rsidRPr="004D17CB" w:rsidRDefault="00254AAD" w:rsidP="004D17CB">
            <w:pPr>
              <w:rPr>
                <w:rFonts w:cs="Arial"/>
                <w:b/>
                <w:sz w:val="20"/>
                <w:szCs w:val="20"/>
                <w:lang w:val="en-US"/>
              </w:rPr>
            </w:pPr>
            <w:r w:rsidRPr="004D17CB">
              <w:rPr>
                <w:rFonts w:cs="Arial"/>
                <w:b/>
                <w:sz w:val="20"/>
                <w:szCs w:val="20"/>
                <w:lang w:val="en-US"/>
              </w:rPr>
              <w:t>4</w:t>
            </w:r>
          </w:p>
        </w:tc>
        <w:tc>
          <w:tcPr>
            <w:tcW w:w="686" w:type="dxa"/>
            <w:tcBorders>
              <w:top w:val="single" w:sz="4" w:space="0" w:color="auto"/>
              <w:left w:val="nil"/>
              <w:bottom w:val="single" w:sz="4" w:space="0" w:color="auto"/>
              <w:right w:val="nil"/>
            </w:tcBorders>
            <w:shd w:val="clear" w:color="auto" w:fill="auto"/>
            <w:noWrap/>
            <w:vAlign w:val="bottom"/>
            <w:hideMark/>
          </w:tcPr>
          <w:p w14:paraId="1099BAE9" w14:textId="77777777" w:rsidR="00254AAD" w:rsidRPr="004D17CB" w:rsidRDefault="00254AAD" w:rsidP="004D17CB">
            <w:pPr>
              <w:rPr>
                <w:rFonts w:cs="Arial"/>
                <w:b/>
                <w:sz w:val="20"/>
                <w:szCs w:val="20"/>
                <w:lang w:val="en-US"/>
              </w:rPr>
            </w:pPr>
            <w:r w:rsidRPr="004D17CB">
              <w:rPr>
                <w:rFonts w:cs="Arial"/>
                <w:b/>
                <w:sz w:val="20"/>
                <w:szCs w:val="20"/>
                <w:lang w:val="en-US"/>
              </w:rPr>
              <w:t>5</w:t>
            </w:r>
          </w:p>
        </w:tc>
        <w:tc>
          <w:tcPr>
            <w:tcW w:w="686" w:type="dxa"/>
            <w:tcBorders>
              <w:top w:val="single" w:sz="4" w:space="0" w:color="auto"/>
              <w:left w:val="nil"/>
              <w:bottom w:val="single" w:sz="4" w:space="0" w:color="auto"/>
              <w:right w:val="nil"/>
            </w:tcBorders>
            <w:shd w:val="clear" w:color="auto" w:fill="auto"/>
            <w:noWrap/>
            <w:vAlign w:val="bottom"/>
            <w:hideMark/>
          </w:tcPr>
          <w:p w14:paraId="74A43D01" w14:textId="77777777" w:rsidR="00254AAD" w:rsidRPr="004D17CB" w:rsidRDefault="00254AAD" w:rsidP="004D17CB">
            <w:pPr>
              <w:rPr>
                <w:rFonts w:cs="Arial"/>
                <w:b/>
                <w:sz w:val="20"/>
                <w:szCs w:val="20"/>
                <w:lang w:val="en-US"/>
              </w:rPr>
            </w:pPr>
            <w:r w:rsidRPr="004D17CB">
              <w:rPr>
                <w:rFonts w:cs="Arial"/>
                <w:b/>
                <w:sz w:val="20"/>
                <w:szCs w:val="20"/>
                <w:lang w:val="en-US"/>
              </w:rPr>
              <w:t>6</w:t>
            </w:r>
          </w:p>
        </w:tc>
        <w:tc>
          <w:tcPr>
            <w:tcW w:w="686" w:type="dxa"/>
            <w:tcBorders>
              <w:top w:val="single" w:sz="4" w:space="0" w:color="auto"/>
              <w:left w:val="nil"/>
              <w:bottom w:val="single" w:sz="4" w:space="0" w:color="auto"/>
              <w:right w:val="nil"/>
            </w:tcBorders>
            <w:shd w:val="clear" w:color="auto" w:fill="auto"/>
            <w:noWrap/>
            <w:vAlign w:val="bottom"/>
            <w:hideMark/>
          </w:tcPr>
          <w:p w14:paraId="5BC550B0" w14:textId="77777777" w:rsidR="00254AAD" w:rsidRPr="004D17CB" w:rsidRDefault="00254AAD" w:rsidP="004D17CB">
            <w:pPr>
              <w:rPr>
                <w:rFonts w:cs="Arial"/>
                <w:b/>
                <w:sz w:val="20"/>
                <w:szCs w:val="20"/>
                <w:lang w:val="en-US"/>
              </w:rPr>
            </w:pPr>
            <w:r w:rsidRPr="004D17CB">
              <w:rPr>
                <w:rFonts w:cs="Arial"/>
                <w:b/>
                <w:sz w:val="20"/>
                <w:szCs w:val="20"/>
                <w:lang w:val="en-US"/>
              </w:rPr>
              <w:t>7</w:t>
            </w:r>
          </w:p>
        </w:tc>
        <w:tc>
          <w:tcPr>
            <w:tcW w:w="686" w:type="dxa"/>
            <w:tcBorders>
              <w:top w:val="single" w:sz="4" w:space="0" w:color="auto"/>
              <w:left w:val="nil"/>
              <w:bottom w:val="single" w:sz="4" w:space="0" w:color="auto"/>
              <w:right w:val="nil"/>
            </w:tcBorders>
            <w:shd w:val="clear" w:color="auto" w:fill="auto"/>
            <w:noWrap/>
            <w:vAlign w:val="bottom"/>
            <w:hideMark/>
          </w:tcPr>
          <w:p w14:paraId="3BB55D8F" w14:textId="77777777" w:rsidR="00254AAD" w:rsidRPr="004D17CB" w:rsidRDefault="00254AAD" w:rsidP="004D17CB">
            <w:pPr>
              <w:rPr>
                <w:rFonts w:cs="Arial"/>
                <w:b/>
                <w:sz w:val="20"/>
                <w:szCs w:val="20"/>
                <w:lang w:val="en-US"/>
              </w:rPr>
            </w:pPr>
            <w:r w:rsidRPr="004D17CB">
              <w:rPr>
                <w:rFonts w:cs="Arial"/>
                <w:b/>
                <w:sz w:val="20"/>
                <w:szCs w:val="20"/>
                <w:lang w:val="en-US"/>
              </w:rPr>
              <w:t>8</w:t>
            </w:r>
          </w:p>
        </w:tc>
        <w:tc>
          <w:tcPr>
            <w:tcW w:w="686" w:type="dxa"/>
            <w:tcBorders>
              <w:top w:val="single" w:sz="4" w:space="0" w:color="auto"/>
              <w:left w:val="nil"/>
              <w:bottom w:val="single" w:sz="4" w:space="0" w:color="auto"/>
              <w:right w:val="nil"/>
            </w:tcBorders>
            <w:shd w:val="clear" w:color="auto" w:fill="auto"/>
            <w:noWrap/>
            <w:vAlign w:val="bottom"/>
            <w:hideMark/>
          </w:tcPr>
          <w:p w14:paraId="37D306D3" w14:textId="77777777" w:rsidR="00254AAD" w:rsidRPr="004D17CB" w:rsidRDefault="00254AAD" w:rsidP="004D17CB">
            <w:pPr>
              <w:rPr>
                <w:rFonts w:cs="Arial"/>
                <w:b/>
                <w:sz w:val="20"/>
                <w:szCs w:val="20"/>
                <w:lang w:val="en-US"/>
              </w:rPr>
            </w:pPr>
            <w:r w:rsidRPr="004D17CB">
              <w:rPr>
                <w:rFonts w:cs="Arial"/>
                <w:b/>
                <w:sz w:val="20"/>
                <w:szCs w:val="20"/>
                <w:lang w:val="en-US"/>
              </w:rPr>
              <w:t>9</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35B99842" w14:textId="77777777" w:rsidR="00254AAD" w:rsidRPr="004D17CB" w:rsidRDefault="00254AAD" w:rsidP="004D17CB">
            <w:pPr>
              <w:rPr>
                <w:rFonts w:cs="Arial"/>
                <w:b/>
                <w:sz w:val="20"/>
                <w:szCs w:val="20"/>
                <w:lang w:val="en-US"/>
              </w:rPr>
            </w:pPr>
            <w:r w:rsidRPr="004D17CB">
              <w:rPr>
                <w:rFonts w:cs="Arial"/>
                <w:b/>
                <w:sz w:val="20"/>
                <w:szCs w:val="20"/>
                <w:lang w:val="en-US"/>
              </w:rPr>
              <w:t>10</w:t>
            </w:r>
          </w:p>
        </w:tc>
      </w:tr>
      <w:tr w:rsidR="00254AAD" w:rsidRPr="00864431" w14:paraId="73C824BA" w14:textId="77777777" w:rsidTr="006D1776">
        <w:trPr>
          <w:trHeight w:val="342"/>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2B493" w14:textId="77777777" w:rsidR="00254AAD" w:rsidRPr="004D17CB" w:rsidRDefault="00254AAD" w:rsidP="004D17CB">
            <w:pPr>
              <w:rPr>
                <w:rFonts w:cs="Arial"/>
                <w:sz w:val="20"/>
                <w:szCs w:val="20"/>
                <w:lang w:val="en-US"/>
              </w:rPr>
            </w:pPr>
            <w:r w:rsidRPr="004D17CB">
              <w:rPr>
                <w:rFonts w:cs="Arial"/>
                <w:sz w:val="20"/>
                <w:szCs w:val="20"/>
                <w:lang w:val="en-US"/>
              </w:rPr>
              <w:t>% rebate</w:t>
            </w:r>
          </w:p>
        </w:tc>
        <w:tc>
          <w:tcPr>
            <w:tcW w:w="630" w:type="dxa"/>
            <w:tcBorders>
              <w:top w:val="single" w:sz="4" w:space="0" w:color="auto"/>
              <w:left w:val="nil"/>
              <w:bottom w:val="single" w:sz="4" w:space="0" w:color="auto"/>
              <w:right w:val="nil"/>
            </w:tcBorders>
            <w:shd w:val="clear" w:color="auto" w:fill="auto"/>
            <w:noWrap/>
            <w:vAlign w:val="bottom"/>
            <w:hideMark/>
          </w:tcPr>
          <w:p w14:paraId="1C16658A" w14:textId="77777777" w:rsidR="00254AAD" w:rsidRPr="004D17CB" w:rsidRDefault="00254AAD" w:rsidP="004D17CB">
            <w:pPr>
              <w:rPr>
                <w:rFonts w:cs="Arial"/>
                <w:sz w:val="20"/>
                <w:szCs w:val="20"/>
                <w:lang w:val="en-US"/>
              </w:rPr>
            </w:pPr>
            <w:r w:rsidRPr="004D17CB">
              <w:rPr>
                <w:rFonts w:cs="Arial"/>
                <w:sz w:val="20"/>
                <w:szCs w:val="20"/>
                <w:lang w:val="en-US"/>
              </w:rPr>
              <w:t>100</w:t>
            </w:r>
          </w:p>
        </w:tc>
        <w:tc>
          <w:tcPr>
            <w:tcW w:w="686" w:type="dxa"/>
            <w:tcBorders>
              <w:top w:val="single" w:sz="4" w:space="0" w:color="auto"/>
              <w:left w:val="nil"/>
              <w:bottom w:val="single" w:sz="4" w:space="0" w:color="auto"/>
              <w:right w:val="nil"/>
            </w:tcBorders>
            <w:shd w:val="clear" w:color="auto" w:fill="auto"/>
            <w:noWrap/>
            <w:vAlign w:val="bottom"/>
            <w:hideMark/>
          </w:tcPr>
          <w:p w14:paraId="22421575" w14:textId="77777777" w:rsidR="00254AAD" w:rsidRPr="004D17CB" w:rsidRDefault="00254AAD" w:rsidP="004D17CB">
            <w:pPr>
              <w:rPr>
                <w:rFonts w:cs="Arial"/>
                <w:sz w:val="20"/>
                <w:szCs w:val="20"/>
                <w:lang w:val="en-US"/>
              </w:rPr>
            </w:pPr>
            <w:r w:rsidRPr="004D17CB">
              <w:rPr>
                <w:rFonts w:cs="Arial"/>
                <w:sz w:val="20"/>
                <w:szCs w:val="20"/>
                <w:lang w:val="en-US"/>
              </w:rPr>
              <w:t>150</w:t>
            </w:r>
          </w:p>
        </w:tc>
        <w:tc>
          <w:tcPr>
            <w:tcW w:w="686" w:type="dxa"/>
            <w:tcBorders>
              <w:top w:val="single" w:sz="4" w:space="0" w:color="auto"/>
              <w:left w:val="nil"/>
              <w:bottom w:val="single" w:sz="4" w:space="0" w:color="auto"/>
              <w:right w:val="nil"/>
            </w:tcBorders>
            <w:shd w:val="clear" w:color="auto" w:fill="auto"/>
            <w:noWrap/>
            <w:vAlign w:val="bottom"/>
            <w:hideMark/>
          </w:tcPr>
          <w:p w14:paraId="5C3DF76E" w14:textId="77777777" w:rsidR="00254AAD" w:rsidRPr="004D17CB" w:rsidRDefault="00254AAD" w:rsidP="004D17CB">
            <w:pPr>
              <w:rPr>
                <w:rFonts w:cs="Arial"/>
                <w:sz w:val="20"/>
                <w:szCs w:val="20"/>
                <w:lang w:val="en-US"/>
              </w:rPr>
            </w:pPr>
            <w:r w:rsidRPr="004D17CB">
              <w:rPr>
                <w:rFonts w:cs="Arial"/>
                <w:sz w:val="20"/>
                <w:szCs w:val="20"/>
                <w:lang w:val="en-US"/>
              </w:rPr>
              <w:t>175</w:t>
            </w:r>
          </w:p>
        </w:tc>
        <w:tc>
          <w:tcPr>
            <w:tcW w:w="686" w:type="dxa"/>
            <w:tcBorders>
              <w:top w:val="single" w:sz="4" w:space="0" w:color="auto"/>
              <w:left w:val="nil"/>
              <w:bottom w:val="single" w:sz="4" w:space="0" w:color="auto"/>
              <w:right w:val="nil"/>
            </w:tcBorders>
            <w:shd w:val="clear" w:color="auto" w:fill="auto"/>
            <w:noWrap/>
            <w:vAlign w:val="bottom"/>
            <w:hideMark/>
          </w:tcPr>
          <w:p w14:paraId="504A0D34" w14:textId="77777777" w:rsidR="00254AAD" w:rsidRPr="004D17CB" w:rsidRDefault="00254AAD" w:rsidP="004D17CB">
            <w:pPr>
              <w:rPr>
                <w:rFonts w:cs="Arial"/>
                <w:sz w:val="20"/>
                <w:szCs w:val="20"/>
                <w:lang w:val="en-US"/>
              </w:rPr>
            </w:pPr>
            <w:r w:rsidRPr="004D17CB">
              <w:rPr>
                <w:rFonts w:cs="Arial"/>
                <w:sz w:val="20"/>
                <w:szCs w:val="20"/>
                <w:lang w:val="en-US"/>
              </w:rPr>
              <w:t>200</w:t>
            </w:r>
          </w:p>
        </w:tc>
        <w:tc>
          <w:tcPr>
            <w:tcW w:w="686" w:type="dxa"/>
            <w:tcBorders>
              <w:top w:val="single" w:sz="4" w:space="0" w:color="auto"/>
              <w:left w:val="nil"/>
              <w:bottom w:val="single" w:sz="4" w:space="0" w:color="auto"/>
              <w:right w:val="nil"/>
            </w:tcBorders>
            <w:shd w:val="clear" w:color="auto" w:fill="auto"/>
            <w:noWrap/>
            <w:vAlign w:val="bottom"/>
            <w:hideMark/>
          </w:tcPr>
          <w:p w14:paraId="43E9605A" w14:textId="77777777" w:rsidR="00254AAD" w:rsidRPr="004D17CB" w:rsidRDefault="00254AAD" w:rsidP="004D17CB">
            <w:pPr>
              <w:rPr>
                <w:rFonts w:cs="Arial"/>
                <w:sz w:val="20"/>
                <w:szCs w:val="20"/>
                <w:lang w:val="en-US"/>
              </w:rPr>
            </w:pPr>
            <w:r w:rsidRPr="004D17CB">
              <w:rPr>
                <w:rFonts w:cs="Arial"/>
                <w:sz w:val="20"/>
                <w:szCs w:val="20"/>
                <w:lang w:val="en-US"/>
              </w:rPr>
              <w:t>225</w:t>
            </w:r>
          </w:p>
        </w:tc>
        <w:tc>
          <w:tcPr>
            <w:tcW w:w="686" w:type="dxa"/>
            <w:tcBorders>
              <w:top w:val="single" w:sz="4" w:space="0" w:color="auto"/>
              <w:left w:val="nil"/>
              <w:bottom w:val="single" w:sz="4" w:space="0" w:color="auto"/>
              <w:right w:val="nil"/>
            </w:tcBorders>
            <w:shd w:val="clear" w:color="auto" w:fill="auto"/>
            <w:noWrap/>
            <w:vAlign w:val="bottom"/>
            <w:hideMark/>
          </w:tcPr>
          <w:p w14:paraId="6B223C14" w14:textId="77777777" w:rsidR="00254AAD" w:rsidRPr="004D17CB" w:rsidRDefault="00254AAD" w:rsidP="004D17CB">
            <w:pPr>
              <w:rPr>
                <w:rFonts w:cs="Arial"/>
                <w:sz w:val="20"/>
                <w:szCs w:val="20"/>
                <w:lang w:val="en-US"/>
              </w:rPr>
            </w:pPr>
            <w:r w:rsidRPr="004D17CB">
              <w:rPr>
                <w:rFonts w:cs="Arial"/>
                <w:sz w:val="20"/>
                <w:szCs w:val="20"/>
                <w:lang w:val="en-US"/>
              </w:rPr>
              <w:t>250</w:t>
            </w:r>
          </w:p>
        </w:tc>
        <w:tc>
          <w:tcPr>
            <w:tcW w:w="686" w:type="dxa"/>
            <w:tcBorders>
              <w:top w:val="single" w:sz="4" w:space="0" w:color="auto"/>
              <w:left w:val="nil"/>
              <w:bottom w:val="single" w:sz="4" w:space="0" w:color="auto"/>
              <w:right w:val="nil"/>
            </w:tcBorders>
            <w:shd w:val="clear" w:color="auto" w:fill="auto"/>
            <w:noWrap/>
            <w:vAlign w:val="bottom"/>
            <w:hideMark/>
          </w:tcPr>
          <w:p w14:paraId="1B67ADE0" w14:textId="77777777" w:rsidR="00254AAD" w:rsidRPr="004D17CB" w:rsidRDefault="00254AAD" w:rsidP="004D17CB">
            <w:pPr>
              <w:rPr>
                <w:rFonts w:cs="Arial"/>
                <w:sz w:val="20"/>
                <w:szCs w:val="20"/>
                <w:lang w:val="en-US"/>
              </w:rPr>
            </w:pPr>
            <w:r w:rsidRPr="004D17CB">
              <w:rPr>
                <w:rFonts w:cs="Arial"/>
                <w:sz w:val="20"/>
                <w:szCs w:val="20"/>
                <w:lang w:val="en-US"/>
              </w:rPr>
              <w:t>275</w:t>
            </w:r>
          </w:p>
        </w:tc>
        <w:tc>
          <w:tcPr>
            <w:tcW w:w="686" w:type="dxa"/>
            <w:tcBorders>
              <w:top w:val="single" w:sz="4" w:space="0" w:color="auto"/>
              <w:left w:val="nil"/>
              <w:bottom w:val="single" w:sz="4" w:space="0" w:color="auto"/>
              <w:right w:val="nil"/>
            </w:tcBorders>
            <w:shd w:val="clear" w:color="auto" w:fill="auto"/>
            <w:noWrap/>
            <w:vAlign w:val="bottom"/>
            <w:hideMark/>
          </w:tcPr>
          <w:p w14:paraId="73861F59" w14:textId="77777777" w:rsidR="00254AAD" w:rsidRPr="004D17CB" w:rsidRDefault="00254AAD" w:rsidP="004D17CB">
            <w:pPr>
              <w:rPr>
                <w:rFonts w:cs="Arial"/>
                <w:sz w:val="20"/>
                <w:szCs w:val="20"/>
                <w:lang w:val="en-US"/>
              </w:rPr>
            </w:pPr>
            <w:r w:rsidRPr="004D17CB">
              <w:rPr>
                <w:rFonts w:cs="Arial"/>
                <w:sz w:val="20"/>
                <w:szCs w:val="20"/>
                <w:lang w:val="en-US"/>
              </w:rPr>
              <w:t>300</w:t>
            </w:r>
          </w:p>
        </w:tc>
        <w:tc>
          <w:tcPr>
            <w:tcW w:w="686" w:type="dxa"/>
            <w:tcBorders>
              <w:top w:val="single" w:sz="4" w:space="0" w:color="auto"/>
              <w:left w:val="nil"/>
              <w:bottom w:val="single" w:sz="4" w:space="0" w:color="auto"/>
              <w:right w:val="nil"/>
            </w:tcBorders>
            <w:shd w:val="clear" w:color="auto" w:fill="auto"/>
            <w:noWrap/>
            <w:vAlign w:val="bottom"/>
            <w:hideMark/>
          </w:tcPr>
          <w:p w14:paraId="7B6D8347" w14:textId="77777777" w:rsidR="00254AAD" w:rsidRPr="004D17CB" w:rsidRDefault="00254AAD" w:rsidP="004D17CB">
            <w:pPr>
              <w:rPr>
                <w:rFonts w:cs="Arial"/>
                <w:sz w:val="20"/>
                <w:szCs w:val="20"/>
                <w:lang w:val="en-US"/>
              </w:rPr>
            </w:pPr>
            <w:r w:rsidRPr="004D17CB">
              <w:rPr>
                <w:rFonts w:cs="Arial"/>
                <w:sz w:val="20"/>
                <w:szCs w:val="20"/>
                <w:lang w:val="en-US"/>
              </w:rPr>
              <w:t>325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33523501" w14:textId="77777777" w:rsidR="00254AAD" w:rsidRPr="004D17CB" w:rsidRDefault="00254AAD" w:rsidP="004D17CB">
            <w:pPr>
              <w:rPr>
                <w:rFonts w:cs="Arial"/>
                <w:sz w:val="20"/>
                <w:szCs w:val="20"/>
                <w:lang w:val="en-US"/>
              </w:rPr>
            </w:pPr>
            <w:r w:rsidRPr="004D17CB">
              <w:rPr>
                <w:rFonts w:cs="Arial"/>
                <w:sz w:val="20"/>
                <w:szCs w:val="20"/>
                <w:lang w:val="en-US"/>
              </w:rPr>
              <w:t>350</w:t>
            </w:r>
          </w:p>
        </w:tc>
      </w:tr>
      <w:tr w:rsidR="00254AAD" w:rsidRPr="00864431" w14:paraId="567B6397" w14:textId="77777777" w:rsidTr="006D1776">
        <w:trPr>
          <w:trHeight w:val="342"/>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EAB4" w14:textId="77777777" w:rsidR="00254AAD" w:rsidRPr="004D17CB" w:rsidRDefault="00254AAD" w:rsidP="004D17CB">
            <w:pPr>
              <w:rPr>
                <w:rFonts w:cs="Arial"/>
                <w:sz w:val="20"/>
                <w:szCs w:val="20"/>
                <w:lang w:val="en-US"/>
              </w:rPr>
            </w:pPr>
            <w:r w:rsidRPr="004D17CB">
              <w:rPr>
                <w:rFonts w:cs="Arial"/>
                <w:sz w:val="20"/>
                <w:szCs w:val="20"/>
                <w:lang w:val="en-US"/>
              </w:rPr>
              <w:t># assays</w:t>
            </w:r>
          </w:p>
        </w:tc>
        <w:tc>
          <w:tcPr>
            <w:tcW w:w="630" w:type="dxa"/>
            <w:tcBorders>
              <w:top w:val="single" w:sz="4" w:space="0" w:color="auto"/>
              <w:left w:val="nil"/>
              <w:bottom w:val="single" w:sz="4" w:space="0" w:color="auto"/>
              <w:right w:val="nil"/>
            </w:tcBorders>
            <w:shd w:val="clear" w:color="auto" w:fill="auto"/>
            <w:noWrap/>
            <w:vAlign w:val="bottom"/>
            <w:hideMark/>
          </w:tcPr>
          <w:p w14:paraId="0F79F467" w14:textId="77777777" w:rsidR="00254AAD" w:rsidRPr="004D17CB" w:rsidRDefault="00254AAD" w:rsidP="004D17CB">
            <w:pPr>
              <w:rPr>
                <w:rFonts w:cs="Arial"/>
                <w:b/>
                <w:sz w:val="20"/>
                <w:szCs w:val="20"/>
                <w:lang w:val="en-US"/>
              </w:rPr>
            </w:pPr>
            <w:r w:rsidRPr="004D17CB">
              <w:rPr>
                <w:rFonts w:cs="Arial"/>
                <w:b/>
                <w:sz w:val="20"/>
                <w:szCs w:val="20"/>
                <w:lang w:val="en-US"/>
              </w:rPr>
              <w:t>11</w:t>
            </w:r>
          </w:p>
        </w:tc>
        <w:tc>
          <w:tcPr>
            <w:tcW w:w="686" w:type="dxa"/>
            <w:tcBorders>
              <w:top w:val="single" w:sz="4" w:space="0" w:color="auto"/>
              <w:left w:val="nil"/>
              <w:bottom w:val="single" w:sz="4" w:space="0" w:color="auto"/>
              <w:right w:val="nil"/>
            </w:tcBorders>
            <w:shd w:val="clear" w:color="auto" w:fill="auto"/>
            <w:noWrap/>
            <w:vAlign w:val="bottom"/>
            <w:hideMark/>
          </w:tcPr>
          <w:p w14:paraId="54A1D44E" w14:textId="77777777" w:rsidR="00254AAD" w:rsidRPr="004D17CB" w:rsidRDefault="00254AAD" w:rsidP="004D17CB">
            <w:pPr>
              <w:rPr>
                <w:rFonts w:cs="Arial"/>
                <w:b/>
                <w:sz w:val="20"/>
                <w:szCs w:val="20"/>
                <w:lang w:val="en-US"/>
              </w:rPr>
            </w:pPr>
            <w:r w:rsidRPr="004D17CB">
              <w:rPr>
                <w:rFonts w:cs="Arial"/>
                <w:b/>
                <w:sz w:val="20"/>
                <w:szCs w:val="20"/>
                <w:lang w:val="en-US"/>
              </w:rPr>
              <w:t>12</w:t>
            </w:r>
          </w:p>
        </w:tc>
        <w:tc>
          <w:tcPr>
            <w:tcW w:w="686" w:type="dxa"/>
            <w:tcBorders>
              <w:top w:val="single" w:sz="4" w:space="0" w:color="auto"/>
              <w:left w:val="nil"/>
              <w:bottom w:val="single" w:sz="4" w:space="0" w:color="auto"/>
              <w:right w:val="nil"/>
            </w:tcBorders>
            <w:shd w:val="clear" w:color="auto" w:fill="auto"/>
            <w:noWrap/>
            <w:vAlign w:val="bottom"/>
            <w:hideMark/>
          </w:tcPr>
          <w:p w14:paraId="5F5A99B6" w14:textId="77777777" w:rsidR="00254AAD" w:rsidRPr="004D17CB" w:rsidRDefault="00254AAD" w:rsidP="004D17CB">
            <w:pPr>
              <w:rPr>
                <w:rFonts w:cs="Arial"/>
                <w:b/>
                <w:sz w:val="20"/>
                <w:szCs w:val="20"/>
                <w:lang w:val="en-US"/>
              </w:rPr>
            </w:pPr>
            <w:r w:rsidRPr="004D17CB">
              <w:rPr>
                <w:rFonts w:cs="Arial"/>
                <w:b/>
                <w:sz w:val="20"/>
                <w:szCs w:val="20"/>
                <w:lang w:val="en-US"/>
              </w:rPr>
              <w:t>13</w:t>
            </w:r>
          </w:p>
        </w:tc>
        <w:tc>
          <w:tcPr>
            <w:tcW w:w="686" w:type="dxa"/>
            <w:tcBorders>
              <w:top w:val="single" w:sz="4" w:space="0" w:color="auto"/>
              <w:left w:val="nil"/>
              <w:bottom w:val="single" w:sz="4" w:space="0" w:color="auto"/>
              <w:right w:val="nil"/>
            </w:tcBorders>
            <w:shd w:val="clear" w:color="auto" w:fill="auto"/>
            <w:noWrap/>
            <w:vAlign w:val="bottom"/>
            <w:hideMark/>
          </w:tcPr>
          <w:p w14:paraId="31C7D21B" w14:textId="77777777" w:rsidR="00254AAD" w:rsidRPr="004D17CB" w:rsidRDefault="00254AAD" w:rsidP="004D17CB">
            <w:pPr>
              <w:rPr>
                <w:rFonts w:cs="Arial"/>
                <w:b/>
                <w:sz w:val="20"/>
                <w:szCs w:val="20"/>
                <w:lang w:val="en-US"/>
              </w:rPr>
            </w:pPr>
            <w:r w:rsidRPr="004D17CB">
              <w:rPr>
                <w:rFonts w:cs="Arial"/>
                <w:b/>
                <w:sz w:val="20"/>
                <w:szCs w:val="20"/>
                <w:lang w:val="en-US"/>
              </w:rPr>
              <w:t>14</w:t>
            </w:r>
          </w:p>
        </w:tc>
        <w:tc>
          <w:tcPr>
            <w:tcW w:w="686" w:type="dxa"/>
            <w:tcBorders>
              <w:top w:val="single" w:sz="4" w:space="0" w:color="auto"/>
              <w:left w:val="nil"/>
              <w:bottom w:val="single" w:sz="4" w:space="0" w:color="auto"/>
              <w:right w:val="nil"/>
            </w:tcBorders>
            <w:shd w:val="clear" w:color="auto" w:fill="auto"/>
            <w:noWrap/>
            <w:vAlign w:val="bottom"/>
            <w:hideMark/>
          </w:tcPr>
          <w:p w14:paraId="59D41A5E" w14:textId="77777777" w:rsidR="00254AAD" w:rsidRPr="004D17CB" w:rsidRDefault="00254AAD" w:rsidP="004D17CB">
            <w:pPr>
              <w:rPr>
                <w:rFonts w:cs="Arial"/>
                <w:b/>
                <w:sz w:val="20"/>
                <w:szCs w:val="20"/>
                <w:lang w:val="en-US"/>
              </w:rPr>
            </w:pPr>
            <w:r w:rsidRPr="004D17CB">
              <w:rPr>
                <w:rFonts w:cs="Arial"/>
                <w:b/>
                <w:sz w:val="20"/>
                <w:szCs w:val="20"/>
                <w:lang w:val="en-US"/>
              </w:rPr>
              <w:t>15</w:t>
            </w:r>
          </w:p>
        </w:tc>
        <w:tc>
          <w:tcPr>
            <w:tcW w:w="686" w:type="dxa"/>
            <w:tcBorders>
              <w:top w:val="single" w:sz="4" w:space="0" w:color="auto"/>
              <w:left w:val="nil"/>
              <w:bottom w:val="single" w:sz="4" w:space="0" w:color="auto"/>
              <w:right w:val="nil"/>
            </w:tcBorders>
            <w:shd w:val="clear" w:color="auto" w:fill="auto"/>
            <w:noWrap/>
            <w:vAlign w:val="bottom"/>
            <w:hideMark/>
          </w:tcPr>
          <w:p w14:paraId="390469B5" w14:textId="77777777" w:rsidR="00254AAD" w:rsidRPr="004D17CB" w:rsidRDefault="00254AAD" w:rsidP="004D17CB">
            <w:pPr>
              <w:rPr>
                <w:rFonts w:cs="Arial"/>
                <w:b/>
                <w:sz w:val="20"/>
                <w:szCs w:val="20"/>
                <w:lang w:val="en-US"/>
              </w:rPr>
            </w:pPr>
            <w:r w:rsidRPr="004D17CB">
              <w:rPr>
                <w:rFonts w:cs="Arial"/>
                <w:b/>
                <w:sz w:val="20"/>
                <w:szCs w:val="20"/>
                <w:lang w:val="en-US"/>
              </w:rPr>
              <w:t>16</w:t>
            </w:r>
          </w:p>
        </w:tc>
        <w:tc>
          <w:tcPr>
            <w:tcW w:w="686" w:type="dxa"/>
            <w:tcBorders>
              <w:top w:val="single" w:sz="4" w:space="0" w:color="auto"/>
              <w:left w:val="nil"/>
              <w:bottom w:val="single" w:sz="4" w:space="0" w:color="auto"/>
              <w:right w:val="nil"/>
            </w:tcBorders>
            <w:shd w:val="clear" w:color="auto" w:fill="auto"/>
            <w:noWrap/>
            <w:vAlign w:val="bottom"/>
            <w:hideMark/>
          </w:tcPr>
          <w:p w14:paraId="79580B42" w14:textId="77777777" w:rsidR="00254AAD" w:rsidRPr="004D17CB" w:rsidRDefault="00254AAD" w:rsidP="004D17CB">
            <w:pPr>
              <w:rPr>
                <w:rFonts w:cs="Arial"/>
                <w:b/>
                <w:sz w:val="20"/>
                <w:szCs w:val="20"/>
                <w:lang w:val="en-US"/>
              </w:rPr>
            </w:pPr>
            <w:r w:rsidRPr="004D17CB">
              <w:rPr>
                <w:rFonts w:cs="Arial"/>
                <w:b/>
                <w:sz w:val="20"/>
                <w:szCs w:val="20"/>
                <w:lang w:val="en-US"/>
              </w:rPr>
              <w:t>17</w:t>
            </w:r>
          </w:p>
        </w:tc>
        <w:tc>
          <w:tcPr>
            <w:tcW w:w="686" w:type="dxa"/>
            <w:tcBorders>
              <w:top w:val="single" w:sz="4" w:space="0" w:color="auto"/>
              <w:left w:val="nil"/>
              <w:bottom w:val="single" w:sz="4" w:space="0" w:color="auto"/>
              <w:right w:val="nil"/>
            </w:tcBorders>
            <w:shd w:val="clear" w:color="auto" w:fill="auto"/>
            <w:noWrap/>
            <w:vAlign w:val="bottom"/>
            <w:hideMark/>
          </w:tcPr>
          <w:p w14:paraId="41B4E042" w14:textId="77777777" w:rsidR="00254AAD" w:rsidRPr="004D17CB" w:rsidRDefault="00254AAD" w:rsidP="004D17CB">
            <w:pPr>
              <w:rPr>
                <w:rFonts w:cs="Arial"/>
                <w:b/>
                <w:sz w:val="20"/>
                <w:szCs w:val="20"/>
                <w:lang w:val="en-US"/>
              </w:rPr>
            </w:pPr>
            <w:r w:rsidRPr="004D17CB">
              <w:rPr>
                <w:rFonts w:cs="Arial"/>
                <w:b/>
                <w:sz w:val="20"/>
                <w:szCs w:val="20"/>
                <w:lang w:val="en-US"/>
              </w:rPr>
              <w:t>18</w:t>
            </w:r>
          </w:p>
        </w:tc>
        <w:tc>
          <w:tcPr>
            <w:tcW w:w="686" w:type="dxa"/>
            <w:tcBorders>
              <w:top w:val="single" w:sz="4" w:space="0" w:color="auto"/>
              <w:left w:val="nil"/>
              <w:bottom w:val="single" w:sz="4" w:space="0" w:color="auto"/>
              <w:right w:val="nil"/>
            </w:tcBorders>
            <w:shd w:val="clear" w:color="auto" w:fill="auto"/>
            <w:noWrap/>
            <w:vAlign w:val="bottom"/>
            <w:hideMark/>
          </w:tcPr>
          <w:p w14:paraId="530C126D" w14:textId="77777777" w:rsidR="00254AAD" w:rsidRPr="004D17CB" w:rsidRDefault="00254AAD" w:rsidP="004D17CB">
            <w:pPr>
              <w:rPr>
                <w:rFonts w:cs="Arial"/>
                <w:b/>
                <w:sz w:val="20"/>
                <w:szCs w:val="20"/>
                <w:lang w:val="en-US"/>
              </w:rPr>
            </w:pPr>
            <w:r w:rsidRPr="004D17CB">
              <w:rPr>
                <w:rFonts w:cs="Arial"/>
                <w:b/>
                <w:sz w:val="20"/>
                <w:szCs w:val="20"/>
                <w:lang w:val="en-US"/>
              </w:rPr>
              <w:t>19</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112BC042" w14:textId="77777777" w:rsidR="00254AAD" w:rsidRPr="004D17CB" w:rsidRDefault="00254AAD" w:rsidP="004D17CB">
            <w:pPr>
              <w:rPr>
                <w:rFonts w:cs="Arial"/>
                <w:b/>
                <w:sz w:val="20"/>
                <w:szCs w:val="20"/>
                <w:lang w:val="en-US"/>
              </w:rPr>
            </w:pPr>
            <w:r w:rsidRPr="004D17CB">
              <w:rPr>
                <w:rFonts w:cs="Arial"/>
                <w:b/>
                <w:sz w:val="20"/>
                <w:szCs w:val="20"/>
                <w:lang w:val="en-US"/>
              </w:rPr>
              <w:t>20</w:t>
            </w:r>
          </w:p>
        </w:tc>
      </w:tr>
      <w:tr w:rsidR="00254AAD" w:rsidRPr="00864431" w14:paraId="4E52E495" w14:textId="77777777" w:rsidTr="006D1776">
        <w:trPr>
          <w:trHeight w:val="342"/>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79DC" w14:textId="77777777" w:rsidR="00254AAD" w:rsidRPr="004D17CB" w:rsidRDefault="00254AAD" w:rsidP="004D17CB">
            <w:pPr>
              <w:rPr>
                <w:rFonts w:cs="Arial"/>
                <w:sz w:val="20"/>
                <w:szCs w:val="20"/>
                <w:lang w:val="en-US"/>
              </w:rPr>
            </w:pPr>
            <w:r w:rsidRPr="004D17CB">
              <w:rPr>
                <w:rFonts w:cs="Arial"/>
                <w:sz w:val="20"/>
                <w:szCs w:val="20"/>
                <w:lang w:val="en-US"/>
              </w:rPr>
              <w:t>% rebate</w:t>
            </w:r>
          </w:p>
        </w:tc>
        <w:tc>
          <w:tcPr>
            <w:tcW w:w="630" w:type="dxa"/>
            <w:tcBorders>
              <w:top w:val="single" w:sz="4" w:space="0" w:color="auto"/>
              <w:left w:val="nil"/>
              <w:bottom w:val="single" w:sz="4" w:space="0" w:color="auto"/>
              <w:right w:val="nil"/>
            </w:tcBorders>
            <w:shd w:val="clear" w:color="auto" w:fill="auto"/>
            <w:noWrap/>
            <w:vAlign w:val="bottom"/>
            <w:hideMark/>
          </w:tcPr>
          <w:p w14:paraId="1857DD3E" w14:textId="77777777" w:rsidR="00254AAD" w:rsidRPr="004D17CB" w:rsidRDefault="00254AAD" w:rsidP="004D17CB">
            <w:pPr>
              <w:rPr>
                <w:rFonts w:cs="Arial"/>
                <w:sz w:val="20"/>
                <w:szCs w:val="20"/>
                <w:lang w:val="en-US"/>
              </w:rPr>
            </w:pPr>
            <w:r w:rsidRPr="004D17CB">
              <w:rPr>
                <w:rFonts w:cs="Arial"/>
                <w:sz w:val="20"/>
                <w:szCs w:val="20"/>
                <w:lang w:val="en-US"/>
              </w:rPr>
              <w:t>375</w:t>
            </w:r>
          </w:p>
        </w:tc>
        <w:tc>
          <w:tcPr>
            <w:tcW w:w="686" w:type="dxa"/>
            <w:tcBorders>
              <w:top w:val="single" w:sz="4" w:space="0" w:color="auto"/>
              <w:left w:val="nil"/>
              <w:bottom w:val="single" w:sz="4" w:space="0" w:color="auto"/>
              <w:right w:val="nil"/>
            </w:tcBorders>
            <w:shd w:val="clear" w:color="auto" w:fill="auto"/>
            <w:noWrap/>
            <w:vAlign w:val="bottom"/>
            <w:hideMark/>
          </w:tcPr>
          <w:p w14:paraId="7DCF51B6" w14:textId="77777777" w:rsidR="00254AAD" w:rsidRPr="004D17CB" w:rsidRDefault="00254AAD" w:rsidP="004D17CB">
            <w:pPr>
              <w:rPr>
                <w:rFonts w:cs="Arial"/>
                <w:sz w:val="20"/>
                <w:szCs w:val="20"/>
                <w:lang w:val="en-US"/>
              </w:rPr>
            </w:pPr>
            <w:r w:rsidRPr="004D17CB">
              <w:rPr>
                <w:rFonts w:cs="Arial"/>
                <w:sz w:val="20"/>
                <w:szCs w:val="20"/>
                <w:lang w:val="en-US"/>
              </w:rPr>
              <w:t>400</w:t>
            </w:r>
          </w:p>
        </w:tc>
        <w:tc>
          <w:tcPr>
            <w:tcW w:w="686" w:type="dxa"/>
            <w:tcBorders>
              <w:top w:val="single" w:sz="4" w:space="0" w:color="auto"/>
              <w:left w:val="nil"/>
              <w:bottom w:val="single" w:sz="4" w:space="0" w:color="auto"/>
              <w:right w:val="nil"/>
            </w:tcBorders>
            <w:shd w:val="clear" w:color="auto" w:fill="auto"/>
            <w:noWrap/>
            <w:vAlign w:val="bottom"/>
            <w:hideMark/>
          </w:tcPr>
          <w:p w14:paraId="157EAA2E" w14:textId="77777777" w:rsidR="00254AAD" w:rsidRPr="004D17CB" w:rsidRDefault="00254AAD" w:rsidP="004D17CB">
            <w:pPr>
              <w:rPr>
                <w:rFonts w:cs="Arial"/>
                <w:sz w:val="20"/>
                <w:szCs w:val="20"/>
                <w:lang w:val="en-US"/>
              </w:rPr>
            </w:pPr>
            <w:r w:rsidRPr="004D17CB">
              <w:rPr>
                <w:rFonts w:cs="Arial"/>
                <w:sz w:val="20"/>
                <w:szCs w:val="20"/>
                <w:lang w:val="en-US"/>
              </w:rPr>
              <w:t>425</w:t>
            </w:r>
          </w:p>
        </w:tc>
        <w:tc>
          <w:tcPr>
            <w:tcW w:w="686" w:type="dxa"/>
            <w:tcBorders>
              <w:top w:val="single" w:sz="4" w:space="0" w:color="auto"/>
              <w:left w:val="nil"/>
              <w:bottom w:val="single" w:sz="4" w:space="0" w:color="auto"/>
              <w:right w:val="nil"/>
            </w:tcBorders>
            <w:shd w:val="clear" w:color="auto" w:fill="auto"/>
            <w:noWrap/>
            <w:vAlign w:val="bottom"/>
            <w:hideMark/>
          </w:tcPr>
          <w:p w14:paraId="37537250" w14:textId="77777777" w:rsidR="00254AAD" w:rsidRPr="004D17CB" w:rsidRDefault="00254AAD" w:rsidP="004D17CB">
            <w:pPr>
              <w:rPr>
                <w:rFonts w:cs="Arial"/>
                <w:sz w:val="20"/>
                <w:szCs w:val="20"/>
                <w:lang w:val="en-US"/>
              </w:rPr>
            </w:pPr>
            <w:r w:rsidRPr="004D17CB">
              <w:rPr>
                <w:rFonts w:cs="Arial"/>
                <w:sz w:val="20"/>
                <w:szCs w:val="20"/>
                <w:lang w:val="en-US"/>
              </w:rPr>
              <w:t>450</w:t>
            </w:r>
          </w:p>
        </w:tc>
        <w:tc>
          <w:tcPr>
            <w:tcW w:w="686" w:type="dxa"/>
            <w:tcBorders>
              <w:top w:val="single" w:sz="4" w:space="0" w:color="auto"/>
              <w:left w:val="nil"/>
              <w:bottom w:val="single" w:sz="4" w:space="0" w:color="auto"/>
              <w:right w:val="nil"/>
            </w:tcBorders>
            <w:shd w:val="clear" w:color="auto" w:fill="auto"/>
            <w:noWrap/>
            <w:vAlign w:val="bottom"/>
            <w:hideMark/>
          </w:tcPr>
          <w:p w14:paraId="17554B78" w14:textId="77777777" w:rsidR="00254AAD" w:rsidRPr="004D17CB" w:rsidRDefault="00254AAD" w:rsidP="004D17CB">
            <w:pPr>
              <w:rPr>
                <w:rFonts w:cs="Arial"/>
                <w:sz w:val="20"/>
                <w:szCs w:val="20"/>
                <w:lang w:val="en-US"/>
              </w:rPr>
            </w:pPr>
            <w:r w:rsidRPr="004D17CB">
              <w:rPr>
                <w:rFonts w:cs="Arial"/>
                <w:sz w:val="20"/>
                <w:szCs w:val="20"/>
                <w:lang w:val="en-US"/>
              </w:rPr>
              <w:t>475</w:t>
            </w:r>
          </w:p>
        </w:tc>
        <w:tc>
          <w:tcPr>
            <w:tcW w:w="686" w:type="dxa"/>
            <w:tcBorders>
              <w:top w:val="single" w:sz="4" w:space="0" w:color="auto"/>
              <w:left w:val="nil"/>
              <w:bottom w:val="single" w:sz="4" w:space="0" w:color="auto"/>
              <w:right w:val="nil"/>
            </w:tcBorders>
            <w:shd w:val="clear" w:color="auto" w:fill="auto"/>
            <w:noWrap/>
            <w:vAlign w:val="bottom"/>
            <w:hideMark/>
          </w:tcPr>
          <w:p w14:paraId="3E3CFD5B" w14:textId="77777777" w:rsidR="00254AAD" w:rsidRPr="004D17CB" w:rsidRDefault="00254AAD" w:rsidP="004D17CB">
            <w:pPr>
              <w:rPr>
                <w:rFonts w:cs="Arial"/>
                <w:sz w:val="20"/>
                <w:szCs w:val="20"/>
                <w:lang w:val="en-US"/>
              </w:rPr>
            </w:pPr>
            <w:r w:rsidRPr="004D17CB">
              <w:rPr>
                <w:rFonts w:cs="Arial"/>
                <w:sz w:val="20"/>
                <w:szCs w:val="20"/>
                <w:lang w:val="en-US"/>
              </w:rPr>
              <w:t>500</w:t>
            </w:r>
          </w:p>
        </w:tc>
        <w:tc>
          <w:tcPr>
            <w:tcW w:w="686" w:type="dxa"/>
            <w:tcBorders>
              <w:top w:val="single" w:sz="4" w:space="0" w:color="auto"/>
              <w:left w:val="nil"/>
              <w:bottom w:val="single" w:sz="4" w:space="0" w:color="auto"/>
              <w:right w:val="nil"/>
            </w:tcBorders>
            <w:shd w:val="clear" w:color="auto" w:fill="auto"/>
            <w:noWrap/>
            <w:vAlign w:val="bottom"/>
            <w:hideMark/>
          </w:tcPr>
          <w:p w14:paraId="44D05FD4" w14:textId="77777777" w:rsidR="00254AAD" w:rsidRPr="004D17CB" w:rsidRDefault="00254AAD" w:rsidP="004D17CB">
            <w:pPr>
              <w:rPr>
                <w:rFonts w:cs="Arial"/>
                <w:sz w:val="20"/>
                <w:szCs w:val="20"/>
                <w:lang w:val="en-US"/>
              </w:rPr>
            </w:pPr>
            <w:r w:rsidRPr="004D17CB">
              <w:rPr>
                <w:rFonts w:cs="Arial"/>
                <w:sz w:val="20"/>
                <w:szCs w:val="20"/>
                <w:lang w:val="en-US"/>
              </w:rPr>
              <w:t>525</w:t>
            </w:r>
          </w:p>
        </w:tc>
        <w:tc>
          <w:tcPr>
            <w:tcW w:w="686" w:type="dxa"/>
            <w:tcBorders>
              <w:top w:val="single" w:sz="4" w:space="0" w:color="auto"/>
              <w:left w:val="nil"/>
              <w:bottom w:val="single" w:sz="4" w:space="0" w:color="auto"/>
              <w:right w:val="nil"/>
            </w:tcBorders>
            <w:shd w:val="clear" w:color="auto" w:fill="auto"/>
            <w:noWrap/>
            <w:vAlign w:val="bottom"/>
            <w:hideMark/>
          </w:tcPr>
          <w:p w14:paraId="08F924B5" w14:textId="77777777" w:rsidR="00254AAD" w:rsidRPr="004D17CB" w:rsidRDefault="00254AAD" w:rsidP="004D17CB">
            <w:pPr>
              <w:rPr>
                <w:rFonts w:cs="Arial"/>
                <w:sz w:val="20"/>
                <w:szCs w:val="20"/>
                <w:lang w:val="en-US"/>
              </w:rPr>
            </w:pPr>
            <w:r w:rsidRPr="004D17CB">
              <w:rPr>
                <w:rFonts w:cs="Arial"/>
                <w:sz w:val="20"/>
                <w:szCs w:val="20"/>
                <w:lang w:val="en-US"/>
              </w:rPr>
              <w:t>550</w:t>
            </w:r>
          </w:p>
        </w:tc>
        <w:tc>
          <w:tcPr>
            <w:tcW w:w="686" w:type="dxa"/>
            <w:tcBorders>
              <w:top w:val="single" w:sz="4" w:space="0" w:color="auto"/>
              <w:left w:val="nil"/>
              <w:bottom w:val="single" w:sz="4" w:space="0" w:color="auto"/>
              <w:right w:val="nil"/>
            </w:tcBorders>
            <w:shd w:val="clear" w:color="auto" w:fill="auto"/>
            <w:noWrap/>
            <w:vAlign w:val="bottom"/>
            <w:hideMark/>
          </w:tcPr>
          <w:p w14:paraId="5901DB51" w14:textId="77777777" w:rsidR="00254AAD" w:rsidRPr="004D17CB" w:rsidRDefault="00254AAD" w:rsidP="004D17CB">
            <w:pPr>
              <w:rPr>
                <w:rFonts w:cs="Arial"/>
                <w:sz w:val="20"/>
                <w:szCs w:val="20"/>
                <w:lang w:val="en-US"/>
              </w:rPr>
            </w:pPr>
            <w:r w:rsidRPr="004D17CB">
              <w:rPr>
                <w:rFonts w:cs="Arial"/>
                <w:sz w:val="20"/>
                <w:szCs w:val="20"/>
                <w:lang w:val="en-US"/>
              </w:rPr>
              <w:t>575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374788AB" w14:textId="77777777" w:rsidR="00254AAD" w:rsidRPr="004D17CB" w:rsidRDefault="00254AAD" w:rsidP="004D17CB">
            <w:pPr>
              <w:rPr>
                <w:rFonts w:cs="Arial"/>
                <w:sz w:val="20"/>
                <w:szCs w:val="20"/>
                <w:lang w:val="en-US"/>
              </w:rPr>
            </w:pPr>
            <w:r w:rsidRPr="004D17CB">
              <w:rPr>
                <w:rFonts w:cs="Arial"/>
                <w:sz w:val="20"/>
                <w:szCs w:val="20"/>
                <w:lang w:val="en-US"/>
              </w:rPr>
              <w:t>600</w:t>
            </w:r>
          </w:p>
        </w:tc>
      </w:tr>
      <w:bookmarkEnd w:id="73"/>
    </w:tbl>
    <w:p w14:paraId="5D180783" w14:textId="77777777" w:rsidR="004D080F" w:rsidRDefault="004D080F" w:rsidP="004D080F">
      <w:pPr>
        <w:pStyle w:val="NormalBulleted"/>
        <w:numPr>
          <w:ilvl w:val="0"/>
          <w:numId w:val="0"/>
        </w:numPr>
        <w:ind w:left="357" w:hanging="357"/>
      </w:pPr>
    </w:p>
    <w:p w14:paraId="7DE50F31" w14:textId="77777777" w:rsidR="004D080F" w:rsidRDefault="004D080F" w:rsidP="004D080F">
      <w:pPr>
        <w:spacing w:before="360"/>
      </w:pPr>
      <w:r w:rsidRPr="00DE06B5">
        <w:t xml:space="preserve">The presence of two </w:t>
      </w:r>
      <w:r w:rsidR="000936CA">
        <w:t xml:space="preserve">(or three) different IHC </w:t>
      </w:r>
      <w:r w:rsidRPr="00DE06B5">
        <w:t xml:space="preserve">items </w:t>
      </w:r>
      <w:r w:rsidR="000936CA">
        <w:t xml:space="preserve">of different complexity </w:t>
      </w:r>
      <w:r w:rsidRPr="00DE06B5">
        <w:t xml:space="preserve">would be analogous to the situation with different complexity histology and cytology items, and still be amenable to application of the </w:t>
      </w:r>
      <w:r>
        <w:t>‘</w:t>
      </w:r>
      <w:r w:rsidRPr="00DE06B5">
        <w:t>Surgical</w:t>
      </w:r>
      <w:r>
        <w:t>’</w:t>
      </w:r>
      <w:r w:rsidRPr="00DE06B5">
        <w:t xml:space="preserve"> model.</w:t>
      </w:r>
    </w:p>
    <w:p w14:paraId="5784CC80" w14:textId="77777777" w:rsidR="00864431" w:rsidRDefault="00864431" w:rsidP="004D080F">
      <w:pPr>
        <w:pStyle w:val="NormalBulleted"/>
        <w:numPr>
          <w:ilvl w:val="0"/>
          <w:numId w:val="0"/>
        </w:numPr>
        <w:ind w:left="357" w:hanging="357"/>
      </w:pPr>
      <w:r>
        <w:br w:type="page"/>
      </w:r>
    </w:p>
    <w:p w14:paraId="1CA63487" w14:textId="77777777" w:rsidR="005668FD" w:rsidRPr="009E17C1" w:rsidRDefault="00923BDB" w:rsidP="000936CA">
      <w:pPr>
        <w:pStyle w:val="Heading2"/>
        <w:numPr>
          <w:ilvl w:val="0"/>
          <w:numId w:val="0"/>
        </w:numPr>
        <w:ind w:left="567" w:hanging="567"/>
      </w:pPr>
      <w:bookmarkStart w:id="79" w:name="_Toc482203588"/>
      <w:bookmarkStart w:id="80" w:name="_Toc514243835"/>
      <w:bookmarkEnd w:id="67"/>
      <w:bookmarkEnd w:id="68"/>
      <w:r>
        <w:lastRenderedPageBreak/>
        <w:t xml:space="preserve">4.5 </w:t>
      </w:r>
      <w:r w:rsidR="000936CA">
        <w:tab/>
      </w:r>
      <w:r w:rsidR="005668FD" w:rsidRPr="009E17C1">
        <w:t>Electron microscope items</w:t>
      </w:r>
      <w:bookmarkEnd w:id="79"/>
      <w:bookmarkEnd w:id="80"/>
    </w:p>
    <w:p w14:paraId="2F39D358" w14:textId="77777777" w:rsidR="00944DD3" w:rsidRPr="009E17C1" w:rsidRDefault="00944DD3" w:rsidP="00772F53">
      <w:pPr>
        <w:pStyle w:val="Rec"/>
      </w:pPr>
      <w:r w:rsidRPr="009E17C1">
        <w:t>Recommendation</w:t>
      </w:r>
      <w:r>
        <w:t>s</w:t>
      </w:r>
    </w:p>
    <w:p w14:paraId="586DA891" w14:textId="77777777" w:rsidR="00944DD3" w:rsidRPr="004D17CB" w:rsidRDefault="00944DD3" w:rsidP="00774742">
      <w:pPr>
        <w:pStyle w:val="NormalBulleted"/>
        <w:rPr>
          <w:i/>
          <w:lang w:eastAsia="en-US"/>
        </w:rPr>
      </w:pPr>
      <w:r w:rsidRPr="004D17CB">
        <w:rPr>
          <w:lang w:eastAsia="en-US"/>
        </w:rPr>
        <w:t xml:space="preserve">Increase the rebate for </w:t>
      </w:r>
      <w:r w:rsidR="00C55D94">
        <w:rPr>
          <w:lang w:eastAsia="en-US"/>
        </w:rPr>
        <w:t xml:space="preserve">electron microscopy </w:t>
      </w:r>
      <w:r w:rsidRPr="004D17CB">
        <w:rPr>
          <w:lang w:eastAsia="en-US"/>
        </w:rPr>
        <w:t xml:space="preserve">item 72851 </w:t>
      </w:r>
      <w:r w:rsidR="00C55D94">
        <w:rPr>
          <w:lang w:eastAsia="en-US"/>
        </w:rPr>
        <w:t xml:space="preserve">from $184.35 </w:t>
      </w:r>
      <w:r w:rsidRPr="004D17CB">
        <w:rPr>
          <w:lang w:eastAsia="en-US"/>
        </w:rPr>
        <w:t>to $565 in line with the Ernst &amp; Young report median value for this item.</w:t>
      </w:r>
    </w:p>
    <w:p w14:paraId="01E8951A" w14:textId="77777777" w:rsidR="00944DD3" w:rsidRPr="004D17CB" w:rsidRDefault="00944DD3" w:rsidP="00774742">
      <w:pPr>
        <w:pStyle w:val="NormalBulleted"/>
        <w:rPr>
          <w:i/>
          <w:lang w:eastAsia="en-US"/>
        </w:rPr>
      </w:pPr>
      <w:r w:rsidRPr="004D17CB">
        <w:rPr>
          <w:lang w:eastAsia="en-US"/>
        </w:rPr>
        <w:t>Remove item 72852 in line with recommendations to remove coning across the Histology schedule (preferred option) or increase rebate to $</w:t>
      </w:r>
      <w:r w:rsidR="00C55D94">
        <w:rPr>
          <w:lang w:eastAsia="en-US"/>
        </w:rPr>
        <w:t>753.33</w:t>
      </w:r>
      <w:r>
        <w:rPr>
          <w:lang w:eastAsia="en-US"/>
        </w:rPr>
        <w:t>.</w:t>
      </w:r>
    </w:p>
    <w:p w14:paraId="52ACB26D" w14:textId="77777777" w:rsidR="00944DD3" w:rsidRPr="000936CA" w:rsidRDefault="00944DD3" w:rsidP="005668FD">
      <w:pPr>
        <w:pStyle w:val="NormalBulleted"/>
        <w:rPr>
          <w:i/>
          <w:lang w:eastAsia="en-US"/>
        </w:rPr>
      </w:pPr>
      <w:r w:rsidRPr="004D17CB">
        <w:rPr>
          <w:lang w:eastAsia="en-US"/>
        </w:rPr>
        <w:t xml:space="preserve">If item 72852 is removed, the 97 instances where </w:t>
      </w:r>
      <w:r>
        <w:rPr>
          <w:lang w:eastAsia="en-US"/>
        </w:rPr>
        <w:t>two</w:t>
      </w:r>
      <w:r w:rsidRPr="004D17CB">
        <w:rPr>
          <w:lang w:eastAsia="en-US"/>
        </w:rPr>
        <w:t xml:space="preserve"> or more tests were required could be rebated by the 100/50/25 rule, producing similar outcome.</w:t>
      </w:r>
    </w:p>
    <w:p w14:paraId="4645F157" w14:textId="77777777" w:rsidR="005668FD" w:rsidRDefault="00944DD3" w:rsidP="00772F53">
      <w:pPr>
        <w:pStyle w:val="Rec"/>
      </w:pPr>
      <w:r w:rsidRPr="00944DD3">
        <w:t>Rationale</w:t>
      </w:r>
    </w:p>
    <w:p w14:paraId="04487D1D" w14:textId="77777777" w:rsidR="00C55D94" w:rsidRDefault="005668FD" w:rsidP="00DE06B5">
      <w:pPr>
        <w:pStyle w:val="NormalBulleted"/>
        <w:rPr>
          <w:lang w:eastAsia="en-US"/>
        </w:rPr>
      </w:pPr>
      <w:r w:rsidRPr="00C55D94">
        <w:rPr>
          <w:lang w:val="en-US" w:eastAsia="en-US"/>
        </w:rPr>
        <w:t>Electron microscopic</w:t>
      </w:r>
      <w:r w:rsidR="00B33190" w:rsidRPr="00C55D94">
        <w:rPr>
          <w:lang w:val="en-US" w:eastAsia="en-US"/>
        </w:rPr>
        <w:t xml:space="preserve"> (EM)</w:t>
      </w:r>
      <w:r w:rsidRPr="00C55D94">
        <w:rPr>
          <w:lang w:val="en-US" w:eastAsia="en-US"/>
        </w:rPr>
        <w:t xml:space="preserve"> examination is a very</w:t>
      </w:r>
      <w:r w:rsidR="00B63C47" w:rsidRPr="00C55D94">
        <w:rPr>
          <w:lang w:val="en-US" w:eastAsia="en-US"/>
        </w:rPr>
        <w:t>-</w:t>
      </w:r>
      <w:r w:rsidRPr="00C55D94">
        <w:rPr>
          <w:lang w:val="en-US" w:eastAsia="en-US"/>
        </w:rPr>
        <w:t>low</w:t>
      </w:r>
      <w:r w:rsidR="00B63C47" w:rsidRPr="00C55D94">
        <w:rPr>
          <w:lang w:val="en-US" w:eastAsia="en-US"/>
        </w:rPr>
        <w:t>-</w:t>
      </w:r>
      <w:r w:rsidRPr="00C55D94">
        <w:rPr>
          <w:lang w:val="en-US" w:eastAsia="en-US"/>
        </w:rPr>
        <w:t xml:space="preserve">volume item but critically necessary in the analysis of </w:t>
      </w:r>
      <w:r w:rsidR="009222A8" w:rsidRPr="00C55D94">
        <w:rPr>
          <w:lang w:val="en-US" w:eastAsia="en-US"/>
        </w:rPr>
        <w:t xml:space="preserve">a </w:t>
      </w:r>
      <w:r w:rsidR="00254AAD" w:rsidRPr="00C55D94">
        <w:rPr>
          <w:lang w:val="en-US" w:eastAsia="en-US"/>
        </w:rPr>
        <w:t xml:space="preserve">small number </w:t>
      </w:r>
      <w:r w:rsidR="009222A8" w:rsidRPr="00C55D94">
        <w:rPr>
          <w:lang w:val="en-US" w:eastAsia="en-US"/>
        </w:rPr>
        <w:t>of specimen</w:t>
      </w:r>
      <w:r w:rsidR="00254AAD" w:rsidRPr="00C55D94">
        <w:rPr>
          <w:lang w:val="en-US" w:eastAsia="en-US"/>
        </w:rPr>
        <w:t xml:space="preserve"> types</w:t>
      </w:r>
      <w:r w:rsidR="009222A8" w:rsidRPr="00C55D94">
        <w:rPr>
          <w:lang w:val="en-US" w:eastAsia="en-US"/>
        </w:rPr>
        <w:t xml:space="preserve">, in particular </w:t>
      </w:r>
      <w:r w:rsidRPr="00C55D94">
        <w:rPr>
          <w:lang w:val="en-US" w:eastAsia="en-US"/>
        </w:rPr>
        <w:t>renal</w:t>
      </w:r>
      <w:r w:rsidR="009222A8" w:rsidRPr="00C55D94">
        <w:rPr>
          <w:lang w:val="en-US" w:eastAsia="en-US"/>
        </w:rPr>
        <w:t xml:space="preserve"> biopsies</w:t>
      </w:r>
      <w:r w:rsidR="00B33190" w:rsidRPr="00C55D94">
        <w:rPr>
          <w:lang w:val="en-US" w:eastAsia="en-US"/>
        </w:rPr>
        <w:t xml:space="preserve"> whe</w:t>
      </w:r>
      <w:r w:rsidR="00B63C47" w:rsidRPr="00C55D94">
        <w:rPr>
          <w:lang w:val="en-US" w:eastAsia="en-US"/>
        </w:rPr>
        <w:t>n</w:t>
      </w:r>
      <w:r w:rsidR="00B33190" w:rsidRPr="00C55D94">
        <w:rPr>
          <w:lang w:val="en-US" w:eastAsia="en-US"/>
        </w:rPr>
        <w:t xml:space="preserve"> it is required to examine the </w:t>
      </w:r>
      <w:r w:rsidR="00DE06B5" w:rsidRPr="00C55D94">
        <w:rPr>
          <w:lang w:val="en-US" w:eastAsia="en-US"/>
        </w:rPr>
        <w:t xml:space="preserve">fine detail of </w:t>
      </w:r>
      <w:r w:rsidR="00B33190" w:rsidRPr="00C55D94">
        <w:rPr>
          <w:lang w:val="en-US" w:eastAsia="en-US"/>
        </w:rPr>
        <w:t>glomerul</w:t>
      </w:r>
      <w:r w:rsidR="00DE06B5" w:rsidRPr="00C55D94">
        <w:rPr>
          <w:lang w:val="en-US" w:eastAsia="en-US"/>
        </w:rPr>
        <w:t>ar membranes and deposits</w:t>
      </w:r>
      <w:r w:rsidRPr="00C55D94">
        <w:rPr>
          <w:lang w:val="en-US" w:eastAsia="en-US"/>
        </w:rPr>
        <w:t>.</w:t>
      </w:r>
      <w:r w:rsidR="00E11BC0" w:rsidRPr="00C55D94">
        <w:rPr>
          <w:lang w:val="en-US" w:eastAsia="en-US"/>
        </w:rPr>
        <w:t xml:space="preserve"> </w:t>
      </w:r>
      <w:r w:rsidR="00254AAD" w:rsidRPr="00C55D94">
        <w:rPr>
          <w:lang w:val="en-US" w:eastAsia="en-US"/>
        </w:rPr>
        <w:t>In many other circumstances it has been supplanted by immunohistochemistry.</w:t>
      </w:r>
      <w:r w:rsidR="00B63C47" w:rsidRPr="00C55D94">
        <w:rPr>
          <w:lang w:val="en-US" w:eastAsia="en-US"/>
        </w:rPr>
        <w:t xml:space="preserve"> </w:t>
      </w:r>
      <w:r w:rsidR="00254AAD" w:rsidRPr="00C55D94">
        <w:rPr>
          <w:lang w:eastAsia="en-US"/>
        </w:rPr>
        <w:t>Specialist skill is required to process and analyse these specimens, and the equipment required is very expensive, therefore the test is now only performed in a limited number of referral</w:t>
      </w:r>
      <w:r w:rsidR="00B33190" w:rsidRPr="00C55D94">
        <w:rPr>
          <w:lang w:eastAsia="en-US"/>
        </w:rPr>
        <w:t xml:space="preserve"> laboratories.</w:t>
      </w:r>
    </w:p>
    <w:p w14:paraId="6BF4613A" w14:textId="77777777" w:rsidR="009222A8" w:rsidRDefault="00254AAD" w:rsidP="00DE06B5">
      <w:pPr>
        <w:pStyle w:val="NormalBulleted"/>
        <w:rPr>
          <w:lang w:eastAsia="en-US"/>
        </w:rPr>
      </w:pPr>
      <w:r w:rsidRPr="00C55D94">
        <w:rPr>
          <w:lang w:val="en-US" w:eastAsia="en-US"/>
        </w:rPr>
        <w:t>EM examination</w:t>
      </w:r>
      <w:r w:rsidR="005668FD" w:rsidRPr="00C55D94">
        <w:rPr>
          <w:lang w:val="en-US" w:eastAsia="en-US"/>
        </w:rPr>
        <w:t xml:space="preserve"> has been markedly under-remunerated for a very long time, despite vigorous efforts to have the issue </w:t>
      </w:r>
      <w:r w:rsidRPr="00C55D94">
        <w:rPr>
          <w:lang w:val="en-US" w:eastAsia="en-US"/>
        </w:rPr>
        <w:t>reviewed</w:t>
      </w:r>
      <w:r w:rsidR="005668FD" w:rsidRPr="00C55D94">
        <w:rPr>
          <w:lang w:val="en-US" w:eastAsia="en-US"/>
        </w:rPr>
        <w:t>.</w:t>
      </w:r>
      <w:r w:rsidR="009222A8" w:rsidRPr="00C55D94">
        <w:rPr>
          <w:lang w:eastAsia="en-US"/>
        </w:rPr>
        <w:t xml:space="preserve"> These items have not been updated since 2003</w:t>
      </w:r>
      <w:r w:rsidR="00B33190" w:rsidRPr="00C55D94">
        <w:rPr>
          <w:lang w:eastAsia="en-US"/>
        </w:rPr>
        <w:t>, and the remaining EM laboratories are operating at a substantial loss</w:t>
      </w:r>
      <w:r w:rsidR="009222A8" w:rsidRPr="00C55D94">
        <w:rPr>
          <w:lang w:eastAsia="en-US"/>
        </w:rPr>
        <w:t>.</w:t>
      </w:r>
      <w:r w:rsidR="00B63C47" w:rsidRPr="00C55D94">
        <w:rPr>
          <w:lang w:eastAsia="en-US"/>
        </w:rPr>
        <w:t xml:space="preserve"> </w:t>
      </w:r>
      <w:r w:rsidR="00B33190">
        <w:t>Once again, coning fails to recognise there are no economies of scale in processing multiple items.</w:t>
      </w:r>
      <w:r w:rsidR="00E11BC0">
        <w:t xml:space="preserve"> </w:t>
      </w:r>
      <w:r w:rsidR="009222A8" w:rsidRPr="00C55D94">
        <w:rPr>
          <w:lang w:eastAsia="en-US"/>
        </w:rPr>
        <w:t xml:space="preserve">The total usage of these items accounts for </w:t>
      </w:r>
      <w:r w:rsidR="00361DDE">
        <w:rPr>
          <w:lang w:eastAsia="en-US"/>
        </w:rPr>
        <w:t>less than</w:t>
      </w:r>
      <w:r w:rsidR="00B63C47" w:rsidRPr="00C55D94">
        <w:rPr>
          <w:lang w:eastAsia="en-US"/>
        </w:rPr>
        <w:t xml:space="preserve"> </w:t>
      </w:r>
      <w:r w:rsidR="009222A8" w:rsidRPr="00C55D94">
        <w:rPr>
          <w:lang w:eastAsia="en-US"/>
        </w:rPr>
        <w:t xml:space="preserve">0.05% of Histology items claimed annually (see </w:t>
      </w:r>
      <w:r w:rsidR="009222A8" w:rsidRPr="00C55D94">
        <w:rPr>
          <w:i/>
          <w:lang w:eastAsia="en-US"/>
        </w:rPr>
        <w:t xml:space="preserve">Table </w:t>
      </w:r>
      <w:r w:rsidR="00B63C47" w:rsidRPr="00C55D94">
        <w:rPr>
          <w:i/>
          <w:lang w:eastAsia="en-US"/>
        </w:rPr>
        <w:t>1</w:t>
      </w:r>
      <w:r w:rsidR="00361DDE">
        <w:rPr>
          <w:i/>
          <w:lang w:eastAsia="en-US"/>
        </w:rPr>
        <w:t>5</w:t>
      </w:r>
      <w:r w:rsidR="009222A8" w:rsidRPr="00C55D94">
        <w:rPr>
          <w:lang w:eastAsia="en-US"/>
        </w:rPr>
        <w:t xml:space="preserve">). </w:t>
      </w:r>
    </w:p>
    <w:p w14:paraId="1942E7E8" w14:textId="77777777" w:rsidR="00C55D94" w:rsidRPr="00C55D94" w:rsidRDefault="00C55D94" w:rsidP="00C55D94">
      <w:pPr>
        <w:pStyle w:val="NormalBulleted"/>
        <w:numPr>
          <w:ilvl w:val="0"/>
          <w:numId w:val="0"/>
        </w:numPr>
        <w:ind w:left="357"/>
        <w:rPr>
          <w:lang w:eastAsia="en-US"/>
        </w:rPr>
      </w:pPr>
    </w:p>
    <w:p w14:paraId="36C7703F" w14:textId="77777777" w:rsidR="00B63C47" w:rsidRPr="00DF7C6A" w:rsidRDefault="00B63C47" w:rsidP="004D17CB">
      <w:pPr>
        <w:pStyle w:val="Caption"/>
      </w:pPr>
      <w:bookmarkStart w:id="81" w:name="_Toc482213842"/>
      <w:r>
        <w:t xml:space="preserve">Table </w:t>
      </w:r>
      <w:r w:rsidR="00555C4C">
        <w:fldChar w:fldCharType="begin"/>
      </w:r>
      <w:r w:rsidR="00D84161">
        <w:instrText xml:space="preserve"> SEQ Table \* ARABIC </w:instrText>
      </w:r>
      <w:r w:rsidR="00555C4C">
        <w:fldChar w:fldCharType="separate"/>
      </w:r>
      <w:r w:rsidR="00FC06F1">
        <w:rPr>
          <w:noProof/>
        </w:rPr>
        <w:t>1</w:t>
      </w:r>
      <w:r w:rsidR="00361DDE">
        <w:rPr>
          <w:noProof/>
        </w:rPr>
        <w:t>5</w:t>
      </w:r>
      <w:r w:rsidR="00555C4C">
        <w:rPr>
          <w:noProof/>
        </w:rPr>
        <w:fldChar w:fldCharType="end"/>
      </w:r>
      <w:r>
        <w:t xml:space="preserve">. </w:t>
      </w:r>
      <w:r w:rsidRPr="003F1B44">
        <w:t>Item introduction table for items 72851 and 72852</w:t>
      </w:r>
      <w:bookmarkEnd w:id="81"/>
    </w:p>
    <w:tbl>
      <w:tblPr>
        <w:tblStyle w:val="TableGrid4"/>
        <w:tblW w:w="0" w:type="auto"/>
        <w:tblLook w:val="04A0" w:firstRow="1" w:lastRow="0" w:firstColumn="1" w:lastColumn="0" w:noHBand="0" w:noVBand="1"/>
      </w:tblPr>
      <w:tblGrid>
        <w:gridCol w:w="967"/>
        <w:gridCol w:w="3405"/>
        <w:gridCol w:w="1082"/>
        <w:gridCol w:w="1145"/>
        <w:gridCol w:w="1145"/>
        <w:gridCol w:w="1078"/>
      </w:tblGrid>
      <w:tr w:rsidR="005668FD" w:rsidRPr="007B4368" w14:paraId="0811255F" w14:textId="77777777" w:rsidTr="004D17CB">
        <w:trPr>
          <w:trHeight w:val="1410"/>
        </w:trPr>
        <w:tc>
          <w:tcPr>
            <w:tcW w:w="967" w:type="dxa"/>
            <w:shd w:val="clear" w:color="auto" w:fill="E7E6E6"/>
            <w:vAlign w:val="bottom"/>
          </w:tcPr>
          <w:p w14:paraId="1C29E6DF" w14:textId="77777777" w:rsidR="005668FD" w:rsidRPr="004D17CB" w:rsidRDefault="005668FD" w:rsidP="00B45D06">
            <w:pPr>
              <w:spacing w:before="20" w:after="20"/>
              <w:rPr>
                <w:rFonts w:cs="Arial"/>
                <w:b/>
                <w:sz w:val="20"/>
                <w:szCs w:val="20"/>
              </w:rPr>
            </w:pPr>
            <w:r w:rsidRPr="004D17CB">
              <w:rPr>
                <w:rFonts w:cs="Arial"/>
                <w:b/>
                <w:sz w:val="20"/>
                <w:szCs w:val="20"/>
              </w:rPr>
              <w:t>Item number</w:t>
            </w:r>
          </w:p>
        </w:tc>
        <w:tc>
          <w:tcPr>
            <w:tcW w:w="3405" w:type="dxa"/>
            <w:shd w:val="clear" w:color="auto" w:fill="E7E6E6"/>
            <w:vAlign w:val="bottom"/>
          </w:tcPr>
          <w:p w14:paraId="0E8AC584" w14:textId="77777777" w:rsidR="005668FD" w:rsidRPr="004D17CB" w:rsidRDefault="005668FD">
            <w:pPr>
              <w:spacing w:before="20" w:after="20"/>
              <w:rPr>
                <w:rFonts w:cs="Arial"/>
                <w:b/>
                <w:sz w:val="20"/>
                <w:szCs w:val="20"/>
              </w:rPr>
            </w:pPr>
            <w:r w:rsidRPr="004D17CB">
              <w:rPr>
                <w:rFonts w:cs="Arial"/>
                <w:b/>
                <w:sz w:val="20"/>
                <w:szCs w:val="20"/>
              </w:rPr>
              <w:t>Descriptor</w:t>
            </w:r>
          </w:p>
        </w:tc>
        <w:tc>
          <w:tcPr>
            <w:tcW w:w="1082" w:type="dxa"/>
            <w:shd w:val="clear" w:color="auto" w:fill="E7E6E6"/>
            <w:vAlign w:val="bottom"/>
          </w:tcPr>
          <w:p w14:paraId="7CC81DE2" w14:textId="77777777" w:rsidR="005668FD" w:rsidRPr="004D17CB" w:rsidRDefault="005668FD">
            <w:pPr>
              <w:spacing w:before="20" w:after="20"/>
              <w:rPr>
                <w:rFonts w:cs="Arial"/>
                <w:b/>
                <w:sz w:val="20"/>
                <w:szCs w:val="20"/>
              </w:rPr>
            </w:pPr>
            <w:r w:rsidRPr="004D17CB">
              <w:rPr>
                <w:rFonts w:cs="Arial"/>
                <w:b/>
                <w:sz w:val="20"/>
                <w:szCs w:val="20"/>
              </w:rPr>
              <w:t>Schedule fee</w:t>
            </w:r>
          </w:p>
        </w:tc>
        <w:tc>
          <w:tcPr>
            <w:tcW w:w="1145" w:type="dxa"/>
            <w:shd w:val="clear" w:color="auto" w:fill="E7E6E6"/>
            <w:vAlign w:val="bottom"/>
          </w:tcPr>
          <w:p w14:paraId="242F6B80" w14:textId="77777777" w:rsidR="005668FD" w:rsidRPr="004D17CB" w:rsidRDefault="005668FD">
            <w:pPr>
              <w:spacing w:before="20" w:after="20"/>
              <w:rPr>
                <w:rFonts w:cs="Arial"/>
                <w:b/>
                <w:sz w:val="20"/>
                <w:szCs w:val="20"/>
              </w:rPr>
            </w:pPr>
            <w:r w:rsidRPr="004D17CB">
              <w:rPr>
                <w:rFonts w:cs="Arial"/>
                <w:b/>
                <w:sz w:val="20"/>
                <w:szCs w:val="20"/>
              </w:rPr>
              <w:t>Volume of services (2014/15)</w:t>
            </w:r>
          </w:p>
        </w:tc>
        <w:tc>
          <w:tcPr>
            <w:tcW w:w="1145" w:type="dxa"/>
            <w:shd w:val="clear" w:color="auto" w:fill="E7E6E6"/>
            <w:vAlign w:val="bottom"/>
          </w:tcPr>
          <w:p w14:paraId="4A3BE5D7" w14:textId="77777777" w:rsidR="005668FD" w:rsidRPr="004D17CB" w:rsidRDefault="005668FD">
            <w:pPr>
              <w:spacing w:before="20" w:after="20"/>
              <w:rPr>
                <w:rFonts w:cs="Arial"/>
                <w:b/>
                <w:sz w:val="20"/>
                <w:szCs w:val="20"/>
              </w:rPr>
            </w:pPr>
            <w:r w:rsidRPr="004D17CB">
              <w:rPr>
                <w:rFonts w:cs="Arial"/>
                <w:b/>
                <w:sz w:val="20"/>
                <w:szCs w:val="20"/>
              </w:rPr>
              <w:t xml:space="preserve">Services average annual growth (2010/11-2014/15) </w:t>
            </w:r>
          </w:p>
        </w:tc>
        <w:tc>
          <w:tcPr>
            <w:tcW w:w="1078" w:type="dxa"/>
            <w:shd w:val="clear" w:color="auto" w:fill="E7E6E6"/>
            <w:vAlign w:val="bottom"/>
          </w:tcPr>
          <w:p w14:paraId="76ED48DC" w14:textId="77777777" w:rsidR="005668FD" w:rsidRPr="004D17CB" w:rsidRDefault="005668FD">
            <w:pPr>
              <w:spacing w:before="20" w:after="20"/>
              <w:rPr>
                <w:rFonts w:cs="Arial"/>
                <w:b/>
                <w:sz w:val="20"/>
                <w:szCs w:val="20"/>
              </w:rPr>
            </w:pPr>
            <w:r w:rsidRPr="004D17CB">
              <w:rPr>
                <w:rFonts w:cs="Arial"/>
                <w:b/>
                <w:sz w:val="20"/>
                <w:szCs w:val="20"/>
              </w:rPr>
              <w:t>Benefits (2014/15)</w:t>
            </w:r>
          </w:p>
        </w:tc>
      </w:tr>
      <w:tr w:rsidR="005668FD" w:rsidRPr="007B4368" w14:paraId="7D9FC44D" w14:textId="77777777" w:rsidTr="00A275F0">
        <w:trPr>
          <w:trHeight w:val="960"/>
        </w:trPr>
        <w:tc>
          <w:tcPr>
            <w:tcW w:w="967" w:type="dxa"/>
          </w:tcPr>
          <w:p w14:paraId="14D37452" w14:textId="77777777" w:rsidR="005668FD" w:rsidRPr="004D17CB" w:rsidRDefault="005668FD" w:rsidP="004D17CB">
            <w:pPr>
              <w:rPr>
                <w:rFonts w:cs="Arial"/>
                <w:sz w:val="20"/>
                <w:szCs w:val="20"/>
              </w:rPr>
            </w:pPr>
            <w:r w:rsidRPr="004D17CB">
              <w:rPr>
                <w:rFonts w:cs="Arial"/>
                <w:sz w:val="20"/>
                <w:szCs w:val="20"/>
              </w:rPr>
              <w:t>72851</w:t>
            </w:r>
          </w:p>
        </w:tc>
        <w:tc>
          <w:tcPr>
            <w:tcW w:w="3405" w:type="dxa"/>
          </w:tcPr>
          <w:p w14:paraId="0F223A38" w14:textId="77777777" w:rsidR="005668FD" w:rsidRPr="004D17CB" w:rsidRDefault="005668FD" w:rsidP="004D17CB">
            <w:pPr>
              <w:rPr>
                <w:rFonts w:cs="Arial"/>
                <w:sz w:val="20"/>
                <w:szCs w:val="20"/>
              </w:rPr>
            </w:pPr>
            <w:r w:rsidRPr="004D17CB">
              <w:rPr>
                <w:rFonts w:cs="Arial"/>
                <w:sz w:val="20"/>
                <w:szCs w:val="20"/>
              </w:rPr>
              <w:t>Electron microscopic examination of biopsy material - 1 separately identified specimen (Item is subject to rule 13)</w:t>
            </w:r>
          </w:p>
        </w:tc>
        <w:tc>
          <w:tcPr>
            <w:tcW w:w="1082" w:type="dxa"/>
          </w:tcPr>
          <w:p w14:paraId="2F203450" w14:textId="77777777" w:rsidR="005668FD" w:rsidRPr="004D17CB" w:rsidRDefault="005668FD" w:rsidP="004D17CB">
            <w:pPr>
              <w:rPr>
                <w:rFonts w:cs="Arial"/>
                <w:sz w:val="20"/>
                <w:szCs w:val="20"/>
              </w:rPr>
            </w:pPr>
            <w:r w:rsidRPr="004D17CB">
              <w:rPr>
                <w:rFonts w:cs="Arial"/>
                <w:sz w:val="20"/>
                <w:szCs w:val="20"/>
              </w:rPr>
              <w:t>$184.35</w:t>
            </w:r>
          </w:p>
        </w:tc>
        <w:tc>
          <w:tcPr>
            <w:tcW w:w="1145" w:type="dxa"/>
          </w:tcPr>
          <w:p w14:paraId="01839CDC" w14:textId="77777777" w:rsidR="005668FD" w:rsidRPr="004D17CB" w:rsidRDefault="005668FD" w:rsidP="004D17CB">
            <w:pPr>
              <w:rPr>
                <w:rFonts w:cs="Arial"/>
                <w:sz w:val="20"/>
                <w:szCs w:val="20"/>
              </w:rPr>
            </w:pPr>
            <w:r w:rsidRPr="004D17CB">
              <w:rPr>
                <w:rFonts w:cs="Arial"/>
                <w:sz w:val="20"/>
                <w:szCs w:val="20"/>
              </w:rPr>
              <w:t>1,289</w:t>
            </w:r>
          </w:p>
        </w:tc>
        <w:tc>
          <w:tcPr>
            <w:tcW w:w="1145" w:type="dxa"/>
          </w:tcPr>
          <w:p w14:paraId="31255573" w14:textId="77777777" w:rsidR="005668FD" w:rsidRPr="004D17CB" w:rsidRDefault="005668FD" w:rsidP="004D17CB">
            <w:pPr>
              <w:rPr>
                <w:rFonts w:cs="Arial"/>
                <w:sz w:val="20"/>
                <w:szCs w:val="20"/>
              </w:rPr>
            </w:pPr>
            <w:r w:rsidRPr="004D17CB">
              <w:rPr>
                <w:rFonts w:cs="Arial"/>
                <w:sz w:val="20"/>
                <w:szCs w:val="20"/>
              </w:rPr>
              <w:t>4.5%</w:t>
            </w:r>
          </w:p>
        </w:tc>
        <w:tc>
          <w:tcPr>
            <w:tcW w:w="1078" w:type="dxa"/>
          </w:tcPr>
          <w:p w14:paraId="004BF918" w14:textId="77777777" w:rsidR="005668FD" w:rsidRPr="004D17CB" w:rsidRDefault="005668FD" w:rsidP="004D17CB">
            <w:pPr>
              <w:rPr>
                <w:rFonts w:cs="Arial"/>
                <w:sz w:val="20"/>
                <w:szCs w:val="20"/>
              </w:rPr>
            </w:pPr>
            <w:r w:rsidRPr="004D17CB">
              <w:rPr>
                <w:rFonts w:cs="Arial"/>
                <w:sz w:val="20"/>
                <w:szCs w:val="20"/>
              </w:rPr>
              <w:t>$194</w:t>
            </w:r>
            <w:r w:rsidR="00B63C47">
              <w:rPr>
                <w:rFonts w:cs="Arial"/>
                <w:sz w:val="20"/>
                <w:szCs w:val="20"/>
              </w:rPr>
              <w:t xml:space="preserve"> </w:t>
            </w:r>
            <w:r w:rsidRPr="004D17CB">
              <w:rPr>
                <w:rFonts w:cs="Arial"/>
                <w:sz w:val="20"/>
                <w:szCs w:val="20"/>
              </w:rPr>
              <w:t>027</w:t>
            </w:r>
          </w:p>
        </w:tc>
      </w:tr>
      <w:tr w:rsidR="005668FD" w:rsidRPr="007B4368" w14:paraId="4EC6F775" w14:textId="77777777" w:rsidTr="00A275F0">
        <w:trPr>
          <w:trHeight w:val="960"/>
        </w:trPr>
        <w:tc>
          <w:tcPr>
            <w:tcW w:w="967" w:type="dxa"/>
          </w:tcPr>
          <w:p w14:paraId="753AB778" w14:textId="77777777" w:rsidR="005668FD" w:rsidRPr="004D17CB" w:rsidRDefault="005668FD" w:rsidP="004D17CB">
            <w:pPr>
              <w:rPr>
                <w:rFonts w:cs="Arial"/>
                <w:sz w:val="20"/>
                <w:szCs w:val="20"/>
              </w:rPr>
            </w:pPr>
            <w:r w:rsidRPr="004D17CB">
              <w:rPr>
                <w:rFonts w:cs="Arial"/>
                <w:sz w:val="20"/>
                <w:szCs w:val="20"/>
              </w:rPr>
              <w:t>72852</w:t>
            </w:r>
          </w:p>
        </w:tc>
        <w:tc>
          <w:tcPr>
            <w:tcW w:w="3405" w:type="dxa"/>
          </w:tcPr>
          <w:p w14:paraId="689D6004" w14:textId="77777777" w:rsidR="005668FD" w:rsidRPr="004D17CB" w:rsidRDefault="005668FD" w:rsidP="004D17CB">
            <w:pPr>
              <w:rPr>
                <w:rFonts w:cs="Arial"/>
                <w:sz w:val="20"/>
                <w:szCs w:val="20"/>
              </w:rPr>
            </w:pPr>
            <w:r w:rsidRPr="004D17CB">
              <w:rPr>
                <w:rFonts w:cs="Arial"/>
                <w:sz w:val="20"/>
                <w:szCs w:val="20"/>
              </w:rPr>
              <w:t>Electron microscopic examination of biopsy material - 2 or more separately identified specimens (Item is subject to rule 13)</w:t>
            </w:r>
          </w:p>
        </w:tc>
        <w:tc>
          <w:tcPr>
            <w:tcW w:w="1082" w:type="dxa"/>
          </w:tcPr>
          <w:p w14:paraId="7879692B" w14:textId="77777777" w:rsidR="005668FD" w:rsidRPr="004D17CB" w:rsidRDefault="005668FD" w:rsidP="004D17CB">
            <w:pPr>
              <w:rPr>
                <w:rFonts w:cs="Arial"/>
                <w:sz w:val="20"/>
                <w:szCs w:val="20"/>
              </w:rPr>
            </w:pPr>
            <w:r w:rsidRPr="004D17CB">
              <w:rPr>
                <w:rFonts w:cs="Arial"/>
                <w:sz w:val="20"/>
                <w:szCs w:val="20"/>
              </w:rPr>
              <w:t>$245.80</w:t>
            </w:r>
          </w:p>
        </w:tc>
        <w:tc>
          <w:tcPr>
            <w:tcW w:w="1145" w:type="dxa"/>
          </w:tcPr>
          <w:p w14:paraId="64C49027" w14:textId="77777777" w:rsidR="005668FD" w:rsidRPr="004D17CB" w:rsidRDefault="005668FD" w:rsidP="004D17CB">
            <w:pPr>
              <w:rPr>
                <w:rFonts w:cs="Arial"/>
                <w:sz w:val="20"/>
                <w:szCs w:val="20"/>
              </w:rPr>
            </w:pPr>
            <w:r w:rsidRPr="004D17CB">
              <w:rPr>
                <w:rFonts w:cs="Arial"/>
                <w:sz w:val="20"/>
                <w:szCs w:val="20"/>
              </w:rPr>
              <w:t>97</w:t>
            </w:r>
          </w:p>
        </w:tc>
        <w:tc>
          <w:tcPr>
            <w:tcW w:w="1145" w:type="dxa"/>
          </w:tcPr>
          <w:p w14:paraId="63DB19FB" w14:textId="77777777" w:rsidR="005668FD" w:rsidRPr="004D17CB" w:rsidRDefault="00B63C47" w:rsidP="004D17CB">
            <w:pPr>
              <w:rPr>
                <w:rFonts w:cs="Arial"/>
                <w:sz w:val="20"/>
                <w:szCs w:val="20"/>
              </w:rPr>
            </w:pPr>
            <w:r>
              <w:rPr>
                <w:rFonts w:cs="Arial"/>
                <w:sz w:val="20"/>
                <w:szCs w:val="20"/>
              </w:rPr>
              <w:t>–</w:t>
            </w:r>
            <w:r w:rsidR="005668FD" w:rsidRPr="004D17CB">
              <w:rPr>
                <w:rFonts w:cs="Arial"/>
                <w:sz w:val="20"/>
                <w:szCs w:val="20"/>
              </w:rPr>
              <w:t>1.4%</w:t>
            </w:r>
          </w:p>
        </w:tc>
        <w:tc>
          <w:tcPr>
            <w:tcW w:w="1078" w:type="dxa"/>
          </w:tcPr>
          <w:p w14:paraId="6780AF03" w14:textId="77777777" w:rsidR="005668FD" w:rsidRPr="004D17CB" w:rsidRDefault="005668FD" w:rsidP="004D17CB">
            <w:pPr>
              <w:rPr>
                <w:rFonts w:cs="Arial"/>
                <w:sz w:val="20"/>
                <w:szCs w:val="20"/>
              </w:rPr>
            </w:pPr>
            <w:r w:rsidRPr="004D17CB">
              <w:rPr>
                <w:rFonts w:cs="Arial"/>
                <w:sz w:val="20"/>
                <w:szCs w:val="20"/>
              </w:rPr>
              <w:t>$18</w:t>
            </w:r>
            <w:r w:rsidR="00B63C47">
              <w:rPr>
                <w:rFonts w:cs="Arial"/>
                <w:sz w:val="20"/>
                <w:szCs w:val="20"/>
              </w:rPr>
              <w:t xml:space="preserve"> </w:t>
            </w:r>
            <w:r w:rsidRPr="004D17CB">
              <w:rPr>
                <w:rFonts w:cs="Arial"/>
                <w:sz w:val="20"/>
                <w:szCs w:val="20"/>
              </w:rPr>
              <w:t>408</w:t>
            </w:r>
          </w:p>
        </w:tc>
      </w:tr>
    </w:tbl>
    <w:p w14:paraId="42101686" w14:textId="77777777" w:rsidR="00361DDE" w:rsidRDefault="00361DDE" w:rsidP="00361DDE">
      <w:pPr>
        <w:pStyle w:val="NormalBulleted"/>
        <w:numPr>
          <w:ilvl w:val="0"/>
          <w:numId w:val="0"/>
        </w:numPr>
        <w:ind w:left="357"/>
        <w:rPr>
          <w:lang w:eastAsia="en-US"/>
        </w:rPr>
      </w:pPr>
    </w:p>
    <w:p w14:paraId="7E3CF668" w14:textId="77777777" w:rsidR="00DE06B5" w:rsidRDefault="00DE06B5" w:rsidP="00774742">
      <w:pPr>
        <w:pStyle w:val="NormalBulleted"/>
        <w:rPr>
          <w:lang w:eastAsia="en-US"/>
        </w:rPr>
      </w:pPr>
      <w:r w:rsidRPr="009E17C1">
        <w:rPr>
          <w:lang w:eastAsia="en-US"/>
        </w:rPr>
        <w:t>Ernst &amp; Young were contracted by the</w:t>
      </w:r>
      <w:r w:rsidR="004D17CB">
        <w:rPr>
          <w:lang w:eastAsia="en-US"/>
        </w:rPr>
        <w:t xml:space="preserve"> Department </w:t>
      </w:r>
      <w:r w:rsidRPr="009E17C1">
        <w:rPr>
          <w:lang w:eastAsia="en-US"/>
        </w:rPr>
        <w:t xml:space="preserve">to review the issue </w:t>
      </w:r>
      <w:r>
        <w:rPr>
          <w:lang w:eastAsia="en-US"/>
        </w:rPr>
        <w:t>in 2015</w:t>
      </w:r>
      <w:r w:rsidRPr="009E17C1">
        <w:rPr>
          <w:lang w:eastAsia="en-US"/>
        </w:rPr>
        <w:t>; they produced a report and identified median costs for these two items</w:t>
      </w:r>
      <w:r>
        <w:rPr>
          <w:lang w:eastAsia="en-US"/>
        </w:rPr>
        <w:t xml:space="preserve"> in 2013 ($536 for renal, $565 for non-renal) </w:t>
      </w:r>
      <w:r w:rsidRPr="009E17C1">
        <w:rPr>
          <w:lang w:eastAsia="en-US"/>
        </w:rPr>
        <w:t xml:space="preserve">but failed to provide definite recommendations. Recommended rebate prices were provided </w:t>
      </w:r>
      <w:r>
        <w:rPr>
          <w:lang w:eastAsia="en-US"/>
        </w:rPr>
        <w:t>by</w:t>
      </w:r>
      <w:r w:rsidRPr="009E17C1">
        <w:rPr>
          <w:lang w:eastAsia="en-US"/>
        </w:rPr>
        <w:t xml:space="preserve"> the RCPA following surveys of the laboratories that perform this </w:t>
      </w:r>
      <w:proofErr w:type="gramStart"/>
      <w:r w:rsidRPr="009E17C1">
        <w:rPr>
          <w:lang w:eastAsia="en-US"/>
        </w:rPr>
        <w:t>work</w:t>
      </w:r>
      <w:r w:rsidR="00202BBF">
        <w:rPr>
          <w:lang w:eastAsia="en-US"/>
        </w:rPr>
        <w:t>,</w:t>
      </w:r>
      <w:r w:rsidRPr="009E17C1">
        <w:rPr>
          <w:lang w:eastAsia="en-US"/>
        </w:rPr>
        <w:t xml:space="preserve"> and</w:t>
      </w:r>
      <w:proofErr w:type="gramEnd"/>
      <w:r w:rsidRPr="009E17C1">
        <w:rPr>
          <w:lang w:eastAsia="en-US"/>
        </w:rPr>
        <w:t xml:space="preserve"> are in line with the median costs stipulated in the Ernst &amp; Young report.</w:t>
      </w:r>
    </w:p>
    <w:p w14:paraId="03C5EAEC" w14:textId="77777777" w:rsidR="000936CA" w:rsidRDefault="000936CA" w:rsidP="000936CA">
      <w:pPr>
        <w:pStyle w:val="NormalBulleted"/>
        <w:rPr>
          <w:lang w:eastAsia="en-US"/>
        </w:rPr>
      </w:pPr>
      <w:r w:rsidRPr="00464B85">
        <w:rPr>
          <w:lang w:eastAsia="en-US"/>
        </w:rPr>
        <w:t xml:space="preserve">If this work is not appropriately funded and continues to be cross-subsidised, the availability of the service will </w:t>
      </w:r>
      <w:proofErr w:type="gramStart"/>
      <w:r w:rsidRPr="00464B85">
        <w:rPr>
          <w:lang w:eastAsia="en-US"/>
        </w:rPr>
        <w:t>diminish</w:t>
      </w:r>
      <w:proofErr w:type="gramEnd"/>
      <w:r w:rsidRPr="00464B85">
        <w:rPr>
          <w:lang w:eastAsia="en-US"/>
        </w:rPr>
        <w:t xml:space="preserve"> and the turn-around times will increase</w:t>
      </w:r>
      <w:r>
        <w:rPr>
          <w:lang w:eastAsia="en-US"/>
        </w:rPr>
        <w:t xml:space="preserve"> to the point where the test becomes irrelevant</w:t>
      </w:r>
      <w:r w:rsidRPr="00464B85">
        <w:rPr>
          <w:lang w:eastAsia="en-US"/>
        </w:rPr>
        <w:t>.</w:t>
      </w:r>
      <w:r>
        <w:rPr>
          <w:lang w:eastAsia="en-US"/>
        </w:rPr>
        <w:t xml:space="preserve"> This will impact on accuracy of renal biopsy diagnosis and thus potentially on efficacy of treatment. </w:t>
      </w:r>
    </w:p>
    <w:p w14:paraId="5AD20C04" w14:textId="77777777" w:rsidR="000936CA" w:rsidRDefault="000936CA" w:rsidP="000936CA">
      <w:pPr>
        <w:pStyle w:val="NormalBulleted"/>
        <w:rPr>
          <w:lang w:eastAsia="en-US"/>
        </w:rPr>
      </w:pPr>
      <w:r w:rsidRPr="00640740">
        <w:rPr>
          <w:lang w:eastAsia="en-US"/>
        </w:rPr>
        <w:t>If the numbers of laboratories able to offer this service diminishes, the numbers of skilled staff and training opportunities for scientists and pathologists to become competent in preparation and reporting of EM specimens will also diminish</w:t>
      </w:r>
      <w:r>
        <w:rPr>
          <w:lang w:eastAsia="en-US"/>
        </w:rPr>
        <w:t>.</w:t>
      </w:r>
    </w:p>
    <w:p w14:paraId="4723DCB4" w14:textId="77777777" w:rsidR="00C55D94" w:rsidRDefault="00C55D94" w:rsidP="00C55D94">
      <w:pPr>
        <w:pStyle w:val="NormalBulleted"/>
        <w:numPr>
          <w:ilvl w:val="0"/>
          <w:numId w:val="0"/>
        </w:numPr>
        <w:ind w:left="357"/>
        <w:rPr>
          <w:lang w:eastAsia="en-US"/>
        </w:rPr>
      </w:pPr>
    </w:p>
    <w:p w14:paraId="45D6CAC5" w14:textId="77777777" w:rsidR="000936CA" w:rsidRPr="00640740" w:rsidRDefault="000936CA" w:rsidP="000936CA">
      <w:pPr>
        <w:pStyle w:val="NormalBulleted"/>
        <w:rPr>
          <w:lang w:eastAsia="en-US"/>
        </w:rPr>
      </w:pPr>
      <w:r w:rsidRPr="00640740">
        <w:rPr>
          <w:lang w:eastAsia="en-US"/>
        </w:rPr>
        <w:t xml:space="preserve">If the rebate is </w:t>
      </w:r>
      <w:r w:rsidR="00361DDE">
        <w:rPr>
          <w:lang w:eastAsia="en-US"/>
        </w:rPr>
        <w:t xml:space="preserve">not </w:t>
      </w:r>
      <w:r w:rsidRPr="00640740">
        <w:rPr>
          <w:lang w:eastAsia="en-US"/>
        </w:rPr>
        <w:t>aligned with the work involved, laboratories will be forced to charge patients (and/or other referring laboratories) substantial out-of-pocket supplements.</w:t>
      </w:r>
    </w:p>
    <w:p w14:paraId="5C2DB830" w14:textId="77777777" w:rsidR="000936CA" w:rsidRPr="00361DDE" w:rsidRDefault="000936CA" w:rsidP="00774742">
      <w:pPr>
        <w:pStyle w:val="NormalBulleted"/>
        <w:rPr>
          <w:rFonts w:eastAsia="Calibri"/>
          <w:lang w:eastAsia="en-US"/>
        </w:rPr>
      </w:pPr>
      <w:r w:rsidRPr="00464B85">
        <w:rPr>
          <w:lang w:eastAsia="en-US"/>
        </w:rPr>
        <w:t xml:space="preserve">Service volumes are low and are unlikely to be affected by the proposed changes, although ongoing viability of the service will hopefully be protected. </w:t>
      </w:r>
    </w:p>
    <w:p w14:paraId="60FFF45C" w14:textId="77777777" w:rsidR="00B33190" w:rsidRPr="00361DDE" w:rsidRDefault="00B33190" w:rsidP="005668FD">
      <w:pPr>
        <w:keepNext/>
        <w:spacing w:before="320"/>
        <w:rPr>
          <w:rFonts w:eastAsia="Calibri" w:cs="Arial"/>
          <w:b/>
          <w:i/>
          <w:sz w:val="24"/>
          <w:lang w:eastAsia="en-US"/>
        </w:rPr>
      </w:pPr>
      <w:r w:rsidRPr="00361DDE">
        <w:rPr>
          <w:rFonts w:eastAsia="Calibri" w:cs="Arial"/>
          <w:b/>
          <w:i/>
          <w:sz w:val="24"/>
          <w:lang w:eastAsia="en-US"/>
        </w:rPr>
        <w:t xml:space="preserve">Data </w:t>
      </w:r>
      <w:r w:rsidR="00202BBF" w:rsidRPr="00361DDE">
        <w:rPr>
          <w:rFonts w:eastAsia="Calibri" w:cs="Arial"/>
          <w:b/>
          <w:i/>
          <w:sz w:val="24"/>
          <w:lang w:eastAsia="en-US"/>
        </w:rPr>
        <w:t>modelling</w:t>
      </w:r>
    </w:p>
    <w:p w14:paraId="564E4EFA" w14:textId="77777777" w:rsidR="00A275F0" w:rsidRDefault="00B33190" w:rsidP="00A275F0">
      <w:pPr>
        <w:rPr>
          <w:i/>
        </w:rPr>
      </w:pPr>
      <w:r w:rsidRPr="00A275F0">
        <w:t>If the Ernest and Young median value</w:t>
      </w:r>
      <w:r w:rsidR="00C9667F" w:rsidRPr="00A275F0">
        <w:t xml:space="preserve"> of $565 is adopted </w:t>
      </w:r>
      <w:r w:rsidRPr="00A275F0">
        <w:t>for item 72851</w:t>
      </w:r>
      <w:r w:rsidR="00C9667F" w:rsidRPr="00A275F0">
        <w:t>, and item 72852 (</w:t>
      </w:r>
      <w:r w:rsidR="00202BBF">
        <w:t>two</w:t>
      </w:r>
      <w:r w:rsidR="00202BBF" w:rsidRPr="00A275F0">
        <w:t xml:space="preserve"> </w:t>
      </w:r>
      <w:r w:rsidR="00C9667F" w:rsidRPr="00A275F0">
        <w:t>or more examinations) is $753.33 (</w:t>
      </w:r>
      <w:r w:rsidR="00F764FD">
        <w:t>i.e.</w:t>
      </w:r>
      <w:r w:rsidR="00A275F0" w:rsidRPr="00A275F0">
        <w:t xml:space="preserve"> </w:t>
      </w:r>
      <w:r w:rsidR="00C9667F" w:rsidRPr="00A275F0">
        <w:t xml:space="preserve">proportional to the current relationship between the rebates), the </w:t>
      </w:r>
      <w:r w:rsidRPr="00A275F0">
        <w:t xml:space="preserve">expected effect on </w:t>
      </w:r>
      <w:r w:rsidR="00A275F0" w:rsidRPr="00A275F0">
        <w:t xml:space="preserve">total </w:t>
      </w:r>
      <w:r w:rsidRPr="00A275F0">
        <w:t xml:space="preserve">rebates </w:t>
      </w:r>
      <w:r w:rsidR="00A275F0" w:rsidRPr="00A275F0">
        <w:t xml:space="preserve">is </w:t>
      </w:r>
      <w:r w:rsidRPr="00A275F0">
        <w:t xml:space="preserve">shown in </w:t>
      </w:r>
      <w:r w:rsidRPr="00A275F0">
        <w:rPr>
          <w:i/>
        </w:rPr>
        <w:t xml:space="preserve">Table </w:t>
      </w:r>
      <w:r w:rsidR="00361DDE">
        <w:rPr>
          <w:i/>
        </w:rPr>
        <w:t xml:space="preserve">16 </w:t>
      </w:r>
      <w:r w:rsidRPr="00A275F0">
        <w:t>below.</w:t>
      </w:r>
    </w:p>
    <w:p w14:paraId="1538B9B2" w14:textId="77777777" w:rsidR="00202BBF" w:rsidRDefault="00202BBF" w:rsidP="004D17CB">
      <w:pPr>
        <w:pStyle w:val="Caption"/>
      </w:pPr>
      <w:bookmarkStart w:id="82" w:name="_Toc482213843"/>
      <w:r>
        <w:t xml:space="preserve">Table </w:t>
      </w:r>
      <w:r w:rsidR="00361DDE">
        <w:t>16</w:t>
      </w:r>
      <w:r>
        <w:t xml:space="preserve">. </w:t>
      </w:r>
      <w:r w:rsidRPr="003D77AB">
        <w:t>Predicted effect on EM rebate if Ernest &amp; Young median value</w:t>
      </w:r>
      <w:r w:rsidR="00361DDE">
        <w:t>s</w:t>
      </w:r>
      <w:r w:rsidRPr="003D77AB">
        <w:t xml:space="preserve"> adopted </w:t>
      </w:r>
      <w:r w:rsidR="00CA406A">
        <w:br/>
      </w:r>
      <w:r w:rsidRPr="003D77AB">
        <w:t>(MBS data 2014</w:t>
      </w:r>
      <w:r w:rsidR="00CA406A">
        <w:t>–</w:t>
      </w:r>
      <w:r w:rsidRPr="003D77AB">
        <w:t>15)</w:t>
      </w:r>
      <w:bookmarkEnd w:id="82"/>
    </w:p>
    <w:tbl>
      <w:tblPr>
        <w:tblW w:w="7632" w:type="dxa"/>
        <w:tblInd w:w="93" w:type="dxa"/>
        <w:tblLayout w:type="fixed"/>
        <w:tblLook w:val="04A0" w:firstRow="1" w:lastRow="0" w:firstColumn="1" w:lastColumn="0" w:noHBand="0" w:noVBand="1"/>
      </w:tblPr>
      <w:tblGrid>
        <w:gridCol w:w="1090"/>
        <w:gridCol w:w="1090"/>
        <w:gridCol w:w="1096"/>
        <w:gridCol w:w="1134"/>
        <w:gridCol w:w="1134"/>
        <w:gridCol w:w="1559"/>
        <w:gridCol w:w="529"/>
      </w:tblGrid>
      <w:tr w:rsidR="00CA406A" w:rsidRPr="00A275F0" w14:paraId="27372D5C" w14:textId="77777777" w:rsidTr="004D17CB">
        <w:trPr>
          <w:trHeight w:val="870"/>
        </w:trPr>
        <w:tc>
          <w:tcPr>
            <w:tcW w:w="1090" w:type="dxa"/>
            <w:tcBorders>
              <w:top w:val="single" w:sz="8" w:space="0" w:color="auto"/>
              <w:left w:val="single" w:sz="8" w:space="0" w:color="auto"/>
              <w:bottom w:val="nil"/>
              <w:right w:val="single" w:sz="4" w:space="0" w:color="auto"/>
            </w:tcBorders>
            <w:shd w:val="clear" w:color="auto" w:fill="auto"/>
            <w:vAlign w:val="bottom"/>
            <w:hideMark/>
          </w:tcPr>
          <w:p w14:paraId="3C389238" w14:textId="77777777" w:rsidR="00A275F0" w:rsidRPr="004D17CB" w:rsidRDefault="00A275F0" w:rsidP="004D17CB">
            <w:pPr>
              <w:spacing w:before="20" w:after="20"/>
              <w:rPr>
                <w:rFonts w:cs="Arial"/>
                <w:b/>
                <w:sz w:val="20"/>
                <w:szCs w:val="20"/>
              </w:rPr>
            </w:pPr>
            <w:r w:rsidRPr="004D17CB">
              <w:rPr>
                <w:rFonts w:cs="Arial"/>
                <w:b/>
                <w:sz w:val="20"/>
                <w:szCs w:val="20"/>
              </w:rPr>
              <w:t>Item</w:t>
            </w:r>
          </w:p>
        </w:tc>
        <w:tc>
          <w:tcPr>
            <w:tcW w:w="1090" w:type="dxa"/>
            <w:tcBorders>
              <w:top w:val="single" w:sz="8" w:space="0" w:color="auto"/>
              <w:left w:val="nil"/>
              <w:bottom w:val="single" w:sz="4" w:space="0" w:color="auto"/>
              <w:right w:val="single" w:sz="4" w:space="0" w:color="auto"/>
            </w:tcBorders>
            <w:shd w:val="clear" w:color="auto" w:fill="auto"/>
            <w:vAlign w:val="bottom"/>
            <w:hideMark/>
          </w:tcPr>
          <w:p w14:paraId="614E3CCB" w14:textId="77777777" w:rsidR="00A275F0" w:rsidRPr="004D17CB" w:rsidRDefault="00CA531E" w:rsidP="004D17CB">
            <w:pPr>
              <w:spacing w:before="20" w:after="20"/>
              <w:rPr>
                <w:rFonts w:cs="Arial"/>
                <w:b/>
                <w:sz w:val="20"/>
                <w:szCs w:val="20"/>
              </w:rPr>
            </w:pPr>
            <w:r>
              <w:rPr>
                <w:rFonts w:cs="Arial"/>
                <w:b/>
                <w:sz w:val="20"/>
                <w:szCs w:val="20"/>
              </w:rPr>
              <w:t>Scheduled fee</w:t>
            </w:r>
            <w:r w:rsidR="00A275F0" w:rsidRPr="004D17CB">
              <w:rPr>
                <w:rFonts w:cs="Arial"/>
                <w:b/>
                <w:sz w:val="20"/>
                <w:szCs w:val="20"/>
              </w:rPr>
              <w:t xml:space="preserve"> </w:t>
            </w:r>
            <w:r w:rsidR="00CA406A">
              <w:rPr>
                <w:rFonts w:cs="Arial"/>
                <w:b/>
                <w:sz w:val="20"/>
                <w:szCs w:val="20"/>
              </w:rPr>
              <w:t>(</w:t>
            </w:r>
            <w:r w:rsidR="00A275F0" w:rsidRPr="004D17CB">
              <w:rPr>
                <w:rFonts w:cs="Arial"/>
                <w:b/>
                <w:sz w:val="20"/>
                <w:szCs w:val="20"/>
              </w:rPr>
              <w:t>$</w:t>
            </w:r>
            <w:r w:rsidR="00CA406A">
              <w:rPr>
                <w:rFonts w:cs="Arial"/>
                <w:b/>
                <w:sz w:val="20"/>
                <w:szCs w:val="20"/>
              </w:rPr>
              <w:t>)</w:t>
            </w:r>
          </w:p>
        </w:tc>
        <w:tc>
          <w:tcPr>
            <w:tcW w:w="1096" w:type="dxa"/>
            <w:tcBorders>
              <w:top w:val="single" w:sz="8" w:space="0" w:color="auto"/>
              <w:left w:val="nil"/>
              <w:bottom w:val="nil"/>
              <w:right w:val="single" w:sz="4" w:space="0" w:color="auto"/>
            </w:tcBorders>
            <w:shd w:val="clear" w:color="auto" w:fill="auto"/>
            <w:vAlign w:val="bottom"/>
            <w:hideMark/>
          </w:tcPr>
          <w:p w14:paraId="117F1868" w14:textId="77777777" w:rsidR="00A275F0" w:rsidRPr="004D17CB" w:rsidRDefault="00A275F0" w:rsidP="004D17CB">
            <w:pPr>
              <w:spacing w:before="20" w:after="20"/>
              <w:rPr>
                <w:rFonts w:cs="Arial"/>
                <w:b/>
                <w:sz w:val="20"/>
                <w:szCs w:val="20"/>
              </w:rPr>
            </w:pPr>
            <w:r w:rsidRPr="004D17CB">
              <w:rPr>
                <w:rFonts w:cs="Arial"/>
                <w:b/>
                <w:sz w:val="20"/>
                <w:szCs w:val="20"/>
              </w:rPr>
              <w:t>Usage 2014</w:t>
            </w:r>
            <w:r w:rsidR="00CA406A">
              <w:rPr>
                <w:rFonts w:cs="Arial"/>
                <w:b/>
                <w:sz w:val="20"/>
                <w:szCs w:val="20"/>
              </w:rPr>
              <w:t>–</w:t>
            </w:r>
            <w:r w:rsidRPr="004D17CB">
              <w:rPr>
                <w:rFonts w:cs="Arial"/>
                <w:b/>
                <w:sz w:val="20"/>
                <w:szCs w:val="20"/>
              </w:rPr>
              <w:t>15</w:t>
            </w:r>
          </w:p>
        </w:tc>
        <w:tc>
          <w:tcPr>
            <w:tcW w:w="1134" w:type="dxa"/>
            <w:tcBorders>
              <w:top w:val="single" w:sz="8" w:space="0" w:color="auto"/>
              <w:left w:val="nil"/>
              <w:bottom w:val="nil"/>
              <w:right w:val="single" w:sz="4" w:space="0" w:color="auto"/>
            </w:tcBorders>
            <w:shd w:val="clear" w:color="auto" w:fill="auto"/>
            <w:vAlign w:val="bottom"/>
            <w:hideMark/>
          </w:tcPr>
          <w:p w14:paraId="53D80D65" w14:textId="77777777" w:rsidR="00A275F0" w:rsidRPr="004D17CB" w:rsidRDefault="00A275F0" w:rsidP="004D17CB">
            <w:pPr>
              <w:spacing w:before="20" w:after="20"/>
              <w:rPr>
                <w:rFonts w:cs="Arial"/>
                <w:b/>
                <w:sz w:val="20"/>
                <w:szCs w:val="20"/>
              </w:rPr>
            </w:pPr>
            <w:r w:rsidRPr="004D17CB">
              <w:rPr>
                <w:rFonts w:cs="Arial"/>
                <w:b/>
                <w:sz w:val="20"/>
                <w:szCs w:val="20"/>
              </w:rPr>
              <w:t xml:space="preserve">Total </w:t>
            </w:r>
            <w:r w:rsidR="00CA406A">
              <w:rPr>
                <w:rFonts w:cs="Arial"/>
                <w:b/>
                <w:sz w:val="20"/>
                <w:szCs w:val="20"/>
              </w:rPr>
              <w:t>r</w:t>
            </w:r>
            <w:r w:rsidR="00CA406A" w:rsidRPr="004D17CB">
              <w:rPr>
                <w:rFonts w:cs="Arial"/>
                <w:b/>
                <w:sz w:val="20"/>
                <w:szCs w:val="20"/>
              </w:rPr>
              <w:t>ebate</w:t>
            </w:r>
            <w:r w:rsidR="00CA406A">
              <w:rPr>
                <w:rFonts w:cs="Arial"/>
                <w:b/>
                <w:sz w:val="20"/>
                <w:szCs w:val="20"/>
              </w:rPr>
              <w:t xml:space="preserve">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286BDB3" w14:textId="77777777" w:rsidR="00A275F0" w:rsidRPr="004D17CB" w:rsidRDefault="00A275F0" w:rsidP="004D17CB">
            <w:pPr>
              <w:spacing w:before="20" w:after="20"/>
              <w:rPr>
                <w:rFonts w:cs="Arial"/>
                <w:b/>
                <w:sz w:val="20"/>
                <w:szCs w:val="20"/>
              </w:rPr>
            </w:pPr>
            <w:r w:rsidRPr="004D17CB">
              <w:rPr>
                <w:rFonts w:cs="Arial"/>
                <w:b/>
                <w:sz w:val="20"/>
                <w:szCs w:val="20"/>
              </w:rPr>
              <w:t xml:space="preserve">Proposed </w:t>
            </w:r>
            <w:r w:rsidR="00CA406A">
              <w:rPr>
                <w:rFonts w:cs="Arial"/>
                <w:b/>
                <w:sz w:val="20"/>
                <w:szCs w:val="20"/>
              </w:rPr>
              <w:t>r</w:t>
            </w:r>
            <w:r w:rsidR="00CA406A" w:rsidRPr="004D17CB">
              <w:rPr>
                <w:rFonts w:cs="Arial"/>
                <w:b/>
                <w:sz w:val="20"/>
                <w:szCs w:val="20"/>
              </w:rPr>
              <w:t xml:space="preserve">ebate </w:t>
            </w:r>
            <w:r w:rsidR="00CA406A">
              <w:rPr>
                <w:rFonts w:cs="Arial"/>
                <w:b/>
                <w:sz w:val="20"/>
                <w:szCs w:val="20"/>
              </w:rPr>
              <w:t>(</w:t>
            </w:r>
            <w:r w:rsidRPr="004D17CB">
              <w:rPr>
                <w:rFonts w:cs="Arial"/>
                <w:b/>
                <w:sz w:val="20"/>
                <w:szCs w:val="20"/>
              </w:rPr>
              <w:t>$</w:t>
            </w:r>
            <w:r w:rsidR="00CA406A">
              <w:rPr>
                <w:rFonts w:cs="Arial"/>
                <w:b/>
                <w:sz w:val="20"/>
                <w:szCs w:val="20"/>
              </w:rPr>
              <w:t>)</w:t>
            </w:r>
          </w:p>
        </w:tc>
        <w:tc>
          <w:tcPr>
            <w:tcW w:w="1559" w:type="dxa"/>
            <w:tcBorders>
              <w:top w:val="single" w:sz="8" w:space="0" w:color="auto"/>
              <w:left w:val="nil"/>
              <w:bottom w:val="nil"/>
              <w:right w:val="single" w:sz="8" w:space="0" w:color="auto"/>
            </w:tcBorders>
            <w:shd w:val="clear" w:color="auto" w:fill="auto"/>
            <w:vAlign w:val="bottom"/>
            <w:hideMark/>
          </w:tcPr>
          <w:p w14:paraId="262845FC" w14:textId="77777777" w:rsidR="00A275F0" w:rsidRPr="004D17CB" w:rsidRDefault="00A275F0" w:rsidP="004D17CB">
            <w:pPr>
              <w:spacing w:before="20" w:after="20"/>
              <w:rPr>
                <w:rFonts w:cs="Arial"/>
                <w:b/>
                <w:sz w:val="20"/>
                <w:szCs w:val="20"/>
              </w:rPr>
            </w:pPr>
            <w:r w:rsidRPr="004D17CB">
              <w:rPr>
                <w:rFonts w:cs="Arial"/>
                <w:b/>
                <w:sz w:val="20"/>
                <w:szCs w:val="20"/>
              </w:rPr>
              <w:t xml:space="preserve">Proposed </w:t>
            </w:r>
            <w:r w:rsidR="00CA406A">
              <w:rPr>
                <w:rFonts w:cs="Arial"/>
                <w:b/>
                <w:sz w:val="20"/>
                <w:szCs w:val="20"/>
              </w:rPr>
              <w:t>t</w:t>
            </w:r>
            <w:r w:rsidR="00CA406A" w:rsidRPr="004D17CB">
              <w:rPr>
                <w:rFonts w:cs="Arial"/>
                <w:b/>
                <w:sz w:val="20"/>
                <w:szCs w:val="20"/>
              </w:rPr>
              <w:t xml:space="preserve">otal </w:t>
            </w:r>
            <w:r w:rsidR="00CA406A">
              <w:rPr>
                <w:rFonts w:cs="Arial"/>
                <w:b/>
                <w:sz w:val="20"/>
                <w:szCs w:val="20"/>
              </w:rPr>
              <w:t>r</w:t>
            </w:r>
            <w:r w:rsidR="00CA406A" w:rsidRPr="004D17CB">
              <w:rPr>
                <w:rFonts w:cs="Arial"/>
                <w:b/>
                <w:sz w:val="20"/>
                <w:szCs w:val="20"/>
              </w:rPr>
              <w:t>ebate</w:t>
            </w:r>
            <w:r w:rsidR="00CA406A">
              <w:rPr>
                <w:rFonts w:cs="Arial"/>
                <w:b/>
                <w:sz w:val="20"/>
                <w:szCs w:val="20"/>
              </w:rPr>
              <w:t xml:space="preserve"> ($)</w:t>
            </w:r>
          </w:p>
        </w:tc>
        <w:tc>
          <w:tcPr>
            <w:tcW w:w="529" w:type="dxa"/>
            <w:tcBorders>
              <w:top w:val="nil"/>
              <w:left w:val="nil"/>
              <w:bottom w:val="nil"/>
              <w:right w:val="nil"/>
            </w:tcBorders>
            <w:shd w:val="clear" w:color="auto" w:fill="auto"/>
            <w:noWrap/>
            <w:vAlign w:val="bottom"/>
            <w:hideMark/>
          </w:tcPr>
          <w:p w14:paraId="721192BC" w14:textId="77777777" w:rsidR="00A275F0" w:rsidRPr="00A275F0" w:rsidRDefault="00A275F0" w:rsidP="00A275F0">
            <w:pPr>
              <w:spacing w:before="0" w:after="0"/>
              <w:rPr>
                <w:rFonts w:ascii="Calibri" w:hAnsi="Calibri"/>
                <w:color w:val="000000"/>
                <w:szCs w:val="22"/>
              </w:rPr>
            </w:pPr>
          </w:p>
        </w:tc>
      </w:tr>
      <w:tr w:rsidR="00CA406A" w:rsidRPr="00A275F0" w14:paraId="55AB0BE1" w14:textId="77777777" w:rsidTr="004D17CB">
        <w:trPr>
          <w:trHeight w:val="300"/>
        </w:trPr>
        <w:tc>
          <w:tcPr>
            <w:tcW w:w="1090" w:type="dxa"/>
            <w:tcBorders>
              <w:top w:val="single" w:sz="4" w:space="0" w:color="auto"/>
              <w:left w:val="single" w:sz="8" w:space="0" w:color="auto"/>
              <w:bottom w:val="nil"/>
              <w:right w:val="single" w:sz="4" w:space="0" w:color="auto"/>
            </w:tcBorders>
            <w:shd w:val="clear" w:color="auto" w:fill="auto"/>
            <w:noWrap/>
            <w:vAlign w:val="bottom"/>
            <w:hideMark/>
          </w:tcPr>
          <w:p w14:paraId="0AD3EE07" w14:textId="77777777" w:rsidR="00A275F0" w:rsidRPr="004D17CB" w:rsidRDefault="00A275F0" w:rsidP="004D17CB">
            <w:pPr>
              <w:spacing w:before="0" w:after="0"/>
              <w:rPr>
                <w:rFonts w:cs="Arial"/>
                <w:sz w:val="20"/>
                <w:szCs w:val="20"/>
                <w:lang w:val="en-US" w:eastAsia="en-US"/>
              </w:rPr>
            </w:pPr>
            <w:r w:rsidRPr="004D17CB">
              <w:rPr>
                <w:rFonts w:cs="Arial"/>
                <w:sz w:val="20"/>
                <w:szCs w:val="20"/>
                <w:lang w:val="en-US" w:eastAsia="en-US"/>
              </w:rPr>
              <w:t>72851</w:t>
            </w:r>
          </w:p>
        </w:tc>
        <w:tc>
          <w:tcPr>
            <w:tcW w:w="1090" w:type="dxa"/>
            <w:tcBorders>
              <w:top w:val="nil"/>
              <w:left w:val="nil"/>
              <w:bottom w:val="nil"/>
              <w:right w:val="single" w:sz="4" w:space="0" w:color="auto"/>
            </w:tcBorders>
            <w:shd w:val="clear" w:color="auto" w:fill="auto"/>
            <w:noWrap/>
            <w:vAlign w:val="bottom"/>
            <w:hideMark/>
          </w:tcPr>
          <w:p w14:paraId="7F5F4094"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184.35</w:t>
            </w:r>
          </w:p>
        </w:tc>
        <w:tc>
          <w:tcPr>
            <w:tcW w:w="1096" w:type="dxa"/>
            <w:tcBorders>
              <w:top w:val="single" w:sz="4" w:space="0" w:color="auto"/>
              <w:left w:val="nil"/>
              <w:bottom w:val="nil"/>
              <w:right w:val="single" w:sz="4" w:space="0" w:color="auto"/>
            </w:tcBorders>
            <w:shd w:val="clear" w:color="auto" w:fill="auto"/>
            <w:noWrap/>
            <w:vAlign w:val="bottom"/>
            <w:hideMark/>
          </w:tcPr>
          <w:p w14:paraId="043D7D42"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1289</w:t>
            </w:r>
          </w:p>
        </w:tc>
        <w:tc>
          <w:tcPr>
            <w:tcW w:w="1134" w:type="dxa"/>
            <w:tcBorders>
              <w:top w:val="single" w:sz="4" w:space="0" w:color="auto"/>
              <w:left w:val="nil"/>
              <w:bottom w:val="nil"/>
              <w:right w:val="single" w:sz="4" w:space="0" w:color="auto"/>
            </w:tcBorders>
            <w:shd w:val="clear" w:color="auto" w:fill="auto"/>
            <w:noWrap/>
            <w:vAlign w:val="bottom"/>
            <w:hideMark/>
          </w:tcPr>
          <w:p w14:paraId="45FAFA75"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237</w:t>
            </w:r>
            <w:r w:rsidR="00CA406A">
              <w:rPr>
                <w:rFonts w:cs="Arial"/>
                <w:sz w:val="20"/>
                <w:szCs w:val="20"/>
                <w:lang w:val="en-US" w:eastAsia="en-US"/>
              </w:rPr>
              <w:t xml:space="preserve"> </w:t>
            </w:r>
            <w:r w:rsidRPr="004D17CB">
              <w:rPr>
                <w:rFonts w:cs="Arial"/>
                <w:sz w:val="20"/>
                <w:szCs w:val="20"/>
                <w:lang w:val="en-US" w:eastAsia="en-US"/>
              </w:rPr>
              <w:t>627.15</w:t>
            </w:r>
          </w:p>
        </w:tc>
        <w:tc>
          <w:tcPr>
            <w:tcW w:w="1134" w:type="dxa"/>
            <w:tcBorders>
              <w:top w:val="nil"/>
              <w:left w:val="nil"/>
              <w:bottom w:val="nil"/>
              <w:right w:val="single" w:sz="4" w:space="0" w:color="auto"/>
            </w:tcBorders>
            <w:shd w:val="clear" w:color="auto" w:fill="auto"/>
            <w:noWrap/>
            <w:vAlign w:val="bottom"/>
            <w:hideMark/>
          </w:tcPr>
          <w:p w14:paraId="48673E29"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565.00</w:t>
            </w:r>
          </w:p>
        </w:tc>
        <w:tc>
          <w:tcPr>
            <w:tcW w:w="1559" w:type="dxa"/>
            <w:tcBorders>
              <w:top w:val="single" w:sz="4" w:space="0" w:color="auto"/>
              <w:left w:val="nil"/>
              <w:bottom w:val="nil"/>
              <w:right w:val="single" w:sz="8" w:space="0" w:color="auto"/>
            </w:tcBorders>
            <w:shd w:val="clear" w:color="auto" w:fill="auto"/>
            <w:noWrap/>
            <w:vAlign w:val="bottom"/>
            <w:hideMark/>
          </w:tcPr>
          <w:p w14:paraId="3BC874B3"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728</w:t>
            </w:r>
            <w:r w:rsidR="00CA406A">
              <w:rPr>
                <w:rFonts w:cs="Arial"/>
                <w:sz w:val="20"/>
                <w:szCs w:val="20"/>
                <w:lang w:val="en-US" w:eastAsia="en-US"/>
              </w:rPr>
              <w:t xml:space="preserve"> </w:t>
            </w:r>
            <w:r w:rsidRPr="004D17CB">
              <w:rPr>
                <w:rFonts w:cs="Arial"/>
                <w:sz w:val="20"/>
                <w:szCs w:val="20"/>
                <w:lang w:val="en-US" w:eastAsia="en-US"/>
              </w:rPr>
              <w:t>285.00</w:t>
            </w:r>
          </w:p>
        </w:tc>
        <w:tc>
          <w:tcPr>
            <w:tcW w:w="529" w:type="dxa"/>
            <w:tcBorders>
              <w:top w:val="nil"/>
              <w:left w:val="nil"/>
              <w:bottom w:val="nil"/>
              <w:right w:val="nil"/>
            </w:tcBorders>
            <w:shd w:val="clear" w:color="auto" w:fill="auto"/>
            <w:noWrap/>
            <w:vAlign w:val="bottom"/>
            <w:hideMark/>
          </w:tcPr>
          <w:p w14:paraId="1431CDA6" w14:textId="77777777" w:rsidR="00A275F0" w:rsidRPr="00A275F0" w:rsidRDefault="00A275F0" w:rsidP="00A275F0">
            <w:pPr>
              <w:spacing w:before="0" w:after="0"/>
              <w:rPr>
                <w:rFonts w:ascii="Calibri" w:hAnsi="Calibri"/>
                <w:color w:val="000000"/>
                <w:szCs w:val="22"/>
              </w:rPr>
            </w:pPr>
          </w:p>
        </w:tc>
      </w:tr>
      <w:tr w:rsidR="00CA406A" w:rsidRPr="00A275F0" w14:paraId="2693C8A2" w14:textId="77777777" w:rsidTr="004D17CB">
        <w:trPr>
          <w:trHeight w:val="315"/>
        </w:trPr>
        <w:tc>
          <w:tcPr>
            <w:tcW w:w="1090" w:type="dxa"/>
            <w:tcBorders>
              <w:top w:val="nil"/>
              <w:left w:val="single" w:sz="8" w:space="0" w:color="auto"/>
              <w:bottom w:val="single" w:sz="4" w:space="0" w:color="auto"/>
              <w:right w:val="single" w:sz="4" w:space="0" w:color="auto"/>
            </w:tcBorders>
            <w:shd w:val="clear" w:color="auto" w:fill="auto"/>
            <w:noWrap/>
            <w:vAlign w:val="bottom"/>
            <w:hideMark/>
          </w:tcPr>
          <w:p w14:paraId="1DF3A7E2" w14:textId="77777777" w:rsidR="00A275F0" w:rsidRPr="004D17CB" w:rsidRDefault="00CA531E" w:rsidP="00CA531E">
            <w:pPr>
              <w:spacing w:before="0" w:after="0"/>
              <w:rPr>
                <w:rFonts w:cs="Arial"/>
                <w:sz w:val="20"/>
                <w:szCs w:val="20"/>
                <w:lang w:val="en-US" w:eastAsia="en-US"/>
              </w:rPr>
            </w:pPr>
            <w:r w:rsidRPr="004D17CB">
              <w:rPr>
                <w:rFonts w:cs="Arial"/>
                <w:sz w:val="20"/>
                <w:szCs w:val="20"/>
                <w:lang w:val="en-US" w:eastAsia="en-US"/>
              </w:rPr>
              <w:t>7285</w:t>
            </w:r>
            <w:r>
              <w:rPr>
                <w:rFonts w:cs="Arial"/>
                <w:sz w:val="20"/>
                <w:szCs w:val="20"/>
                <w:lang w:val="en-US" w:eastAsia="en-US"/>
              </w:rPr>
              <w:t>2</w:t>
            </w:r>
          </w:p>
        </w:tc>
        <w:tc>
          <w:tcPr>
            <w:tcW w:w="1090" w:type="dxa"/>
            <w:tcBorders>
              <w:top w:val="nil"/>
              <w:left w:val="nil"/>
              <w:bottom w:val="single" w:sz="4" w:space="0" w:color="auto"/>
              <w:right w:val="single" w:sz="4" w:space="0" w:color="auto"/>
            </w:tcBorders>
            <w:shd w:val="clear" w:color="auto" w:fill="auto"/>
            <w:noWrap/>
            <w:vAlign w:val="bottom"/>
            <w:hideMark/>
          </w:tcPr>
          <w:p w14:paraId="277C4738"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245.80</w:t>
            </w:r>
          </w:p>
        </w:tc>
        <w:tc>
          <w:tcPr>
            <w:tcW w:w="1096" w:type="dxa"/>
            <w:tcBorders>
              <w:top w:val="nil"/>
              <w:left w:val="nil"/>
              <w:bottom w:val="single" w:sz="4" w:space="0" w:color="auto"/>
              <w:right w:val="single" w:sz="4" w:space="0" w:color="auto"/>
            </w:tcBorders>
            <w:shd w:val="clear" w:color="auto" w:fill="auto"/>
            <w:noWrap/>
            <w:vAlign w:val="bottom"/>
            <w:hideMark/>
          </w:tcPr>
          <w:p w14:paraId="65C4F912"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97</w:t>
            </w:r>
          </w:p>
        </w:tc>
        <w:tc>
          <w:tcPr>
            <w:tcW w:w="1134" w:type="dxa"/>
            <w:tcBorders>
              <w:top w:val="nil"/>
              <w:left w:val="nil"/>
              <w:bottom w:val="single" w:sz="4" w:space="0" w:color="auto"/>
              <w:right w:val="single" w:sz="4" w:space="0" w:color="auto"/>
            </w:tcBorders>
            <w:shd w:val="clear" w:color="auto" w:fill="auto"/>
            <w:noWrap/>
            <w:vAlign w:val="bottom"/>
            <w:hideMark/>
          </w:tcPr>
          <w:p w14:paraId="50941D8D"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23</w:t>
            </w:r>
            <w:r w:rsidR="00CA406A">
              <w:rPr>
                <w:rFonts w:cs="Arial"/>
                <w:sz w:val="20"/>
                <w:szCs w:val="20"/>
                <w:lang w:val="en-US" w:eastAsia="en-US"/>
              </w:rPr>
              <w:t xml:space="preserve"> </w:t>
            </w:r>
            <w:r w:rsidRPr="004D17CB">
              <w:rPr>
                <w:rFonts w:cs="Arial"/>
                <w:sz w:val="20"/>
                <w:szCs w:val="20"/>
                <w:lang w:val="en-US" w:eastAsia="en-US"/>
              </w:rPr>
              <w:t>842.60</w:t>
            </w:r>
          </w:p>
        </w:tc>
        <w:tc>
          <w:tcPr>
            <w:tcW w:w="1134" w:type="dxa"/>
            <w:tcBorders>
              <w:top w:val="nil"/>
              <w:left w:val="nil"/>
              <w:bottom w:val="single" w:sz="4" w:space="0" w:color="auto"/>
              <w:right w:val="single" w:sz="4" w:space="0" w:color="auto"/>
            </w:tcBorders>
            <w:shd w:val="clear" w:color="auto" w:fill="auto"/>
            <w:noWrap/>
            <w:vAlign w:val="bottom"/>
            <w:hideMark/>
          </w:tcPr>
          <w:p w14:paraId="5D3E8748" w14:textId="77777777" w:rsidR="00A275F0" w:rsidRPr="004D17CB" w:rsidRDefault="00A275F0" w:rsidP="00CA531E">
            <w:pPr>
              <w:spacing w:before="0" w:after="0"/>
              <w:jc w:val="right"/>
              <w:rPr>
                <w:rFonts w:cs="Arial"/>
                <w:sz w:val="20"/>
                <w:szCs w:val="20"/>
                <w:lang w:val="en-US" w:eastAsia="en-US"/>
              </w:rPr>
            </w:pPr>
            <w:r w:rsidRPr="004D17CB">
              <w:rPr>
                <w:rFonts w:cs="Arial"/>
                <w:sz w:val="20"/>
                <w:szCs w:val="20"/>
                <w:lang w:val="en-US" w:eastAsia="en-US"/>
              </w:rPr>
              <w:t>753.</w:t>
            </w:r>
            <w:r w:rsidR="00CA531E">
              <w:rPr>
                <w:rFonts w:cs="Arial"/>
                <w:sz w:val="20"/>
                <w:szCs w:val="20"/>
                <w:lang w:val="en-US" w:eastAsia="en-US"/>
              </w:rPr>
              <w:t>10</w:t>
            </w:r>
          </w:p>
        </w:tc>
        <w:tc>
          <w:tcPr>
            <w:tcW w:w="1559" w:type="dxa"/>
            <w:tcBorders>
              <w:top w:val="nil"/>
              <w:left w:val="nil"/>
              <w:bottom w:val="single" w:sz="4" w:space="0" w:color="auto"/>
              <w:right w:val="single" w:sz="8" w:space="0" w:color="auto"/>
            </w:tcBorders>
            <w:shd w:val="clear" w:color="auto" w:fill="auto"/>
            <w:noWrap/>
            <w:vAlign w:val="bottom"/>
            <w:hideMark/>
          </w:tcPr>
          <w:p w14:paraId="42D8C5EC" w14:textId="77777777" w:rsidR="00A275F0" w:rsidRPr="004D17CB" w:rsidRDefault="00A275F0" w:rsidP="00A275F0">
            <w:pPr>
              <w:spacing w:before="0" w:after="0"/>
              <w:jc w:val="right"/>
              <w:rPr>
                <w:rFonts w:cs="Arial"/>
                <w:sz w:val="20"/>
                <w:szCs w:val="20"/>
                <w:lang w:val="en-US" w:eastAsia="en-US"/>
              </w:rPr>
            </w:pPr>
            <w:r w:rsidRPr="004D17CB">
              <w:rPr>
                <w:rFonts w:cs="Arial"/>
                <w:sz w:val="20"/>
                <w:szCs w:val="20"/>
                <w:lang w:val="en-US" w:eastAsia="en-US"/>
              </w:rPr>
              <w:t>73</w:t>
            </w:r>
            <w:r w:rsidR="00CA406A">
              <w:rPr>
                <w:rFonts w:cs="Arial"/>
                <w:sz w:val="20"/>
                <w:szCs w:val="20"/>
                <w:lang w:val="en-US" w:eastAsia="en-US"/>
              </w:rPr>
              <w:t xml:space="preserve"> </w:t>
            </w:r>
            <w:r w:rsidRPr="004D17CB">
              <w:rPr>
                <w:rFonts w:cs="Arial"/>
                <w:sz w:val="20"/>
                <w:szCs w:val="20"/>
                <w:lang w:val="en-US" w:eastAsia="en-US"/>
              </w:rPr>
              <w:t>073.01</w:t>
            </w:r>
          </w:p>
        </w:tc>
        <w:tc>
          <w:tcPr>
            <w:tcW w:w="529" w:type="dxa"/>
            <w:tcBorders>
              <w:top w:val="nil"/>
              <w:left w:val="nil"/>
              <w:bottom w:val="nil"/>
              <w:right w:val="nil"/>
            </w:tcBorders>
            <w:shd w:val="clear" w:color="auto" w:fill="auto"/>
            <w:noWrap/>
            <w:vAlign w:val="bottom"/>
            <w:hideMark/>
          </w:tcPr>
          <w:p w14:paraId="112DD6BD" w14:textId="77777777" w:rsidR="00A275F0" w:rsidRPr="00A275F0" w:rsidRDefault="00A275F0" w:rsidP="00A275F0">
            <w:pPr>
              <w:spacing w:before="0" w:after="0"/>
              <w:rPr>
                <w:rFonts w:ascii="Calibri" w:hAnsi="Calibri"/>
                <w:color w:val="000000"/>
                <w:szCs w:val="22"/>
              </w:rPr>
            </w:pPr>
          </w:p>
        </w:tc>
      </w:tr>
      <w:tr w:rsidR="00CA406A" w:rsidRPr="00A275F0" w14:paraId="5DF45616" w14:textId="77777777" w:rsidTr="004D17CB">
        <w:trPr>
          <w:trHeight w:val="315"/>
        </w:trPr>
        <w:tc>
          <w:tcPr>
            <w:tcW w:w="1090" w:type="dxa"/>
            <w:tcBorders>
              <w:top w:val="nil"/>
              <w:left w:val="single" w:sz="8" w:space="0" w:color="auto"/>
              <w:bottom w:val="single" w:sz="8" w:space="0" w:color="auto"/>
              <w:right w:val="nil"/>
            </w:tcBorders>
            <w:shd w:val="clear" w:color="auto" w:fill="auto"/>
            <w:noWrap/>
            <w:vAlign w:val="bottom"/>
            <w:hideMark/>
          </w:tcPr>
          <w:p w14:paraId="0E84BCA1" w14:textId="77777777" w:rsidR="00A275F0" w:rsidRPr="004D17CB" w:rsidRDefault="00A275F0" w:rsidP="00A275F0">
            <w:pPr>
              <w:spacing w:before="0" w:after="0"/>
              <w:rPr>
                <w:rFonts w:cs="Arial"/>
                <w:b/>
                <w:sz w:val="20"/>
                <w:szCs w:val="20"/>
                <w:lang w:val="en-US" w:eastAsia="en-US"/>
              </w:rPr>
            </w:pPr>
            <w:r w:rsidRPr="004D17CB">
              <w:rPr>
                <w:rFonts w:cs="Arial"/>
                <w:b/>
                <w:sz w:val="20"/>
                <w:szCs w:val="20"/>
                <w:lang w:val="en-US" w:eastAsia="en-US"/>
              </w:rPr>
              <w:t>Totals</w:t>
            </w:r>
          </w:p>
        </w:tc>
        <w:tc>
          <w:tcPr>
            <w:tcW w:w="1090" w:type="dxa"/>
            <w:tcBorders>
              <w:top w:val="nil"/>
              <w:left w:val="nil"/>
              <w:bottom w:val="single" w:sz="8" w:space="0" w:color="auto"/>
              <w:right w:val="nil"/>
            </w:tcBorders>
            <w:shd w:val="clear" w:color="auto" w:fill="auto"/>
            <w:noWrap/>
            <w:vAlign w:val="bottom"/>
            <w:hideMark/>
          </w:tcPr>
          <w:p w14:paraId="154534CC" w14:textId="77777777" w:rsidR="00A275F0" w:rsidRPr="004D17CB" w:rsidRDefault="00A275F0" w:rsidP="00A275F0">
            <w:pPr>
              <w:spacing w:before="0" w:after="0"/>
              <w:rPr>
                <w:rFonts w:cs="Arial"/>
                <w:b/>
                <w:sz w:val="20"/>
                <w:szCs w:val="20"/>
                <w:lang w:val="en-US" w:eastAsia="en-US"/>
              </w:rPr>
            </w:pPr>
            <w:r w:rsidRPr="004D17CB">
              <w:rPr>
                <w:rFonts w:cs="Arial"/>
                <w:b/>
                <w:sz w:val="20"/>
                <w:szCs w:val="20"/>
                <w:lang w:val="en-US" w:eastAsia="en-US"/>
              </w:rPr>
              <w:t> </w:t>
            </w:r>
          </w:p>
        </w:tc>
        <w:tc>
          <w:tcPr>
            <w:tcW w:w="1096" w:type="dxa"/>
            <w:tcBorders>
              <w:top w:val="nil"/>
              <w:left w:val="nil"/>
              <w:bottom w:val="single" w:sz="8" w:space="0" w:color="auto"/>
              <w:right w:val="single" w:sz="4" w:space="0" w:color="auto"/>
            </w:tcBorders>
            <w:shd w:val="clear" w:color="auto" w:fill="auto"/>
            <w:noWrap/>
            <w:vAlign w:val="bottom"/>
            <w:hideMark/>
          </w:tcPr>
          <w:p w14:paraId="1B073474" w14:textId="77777777" w:rsidR="00A275F0" w:rsidRPr="004D17CB" w:rsidRDefault="00A275F0" w:rsidP="00A275F0">
            <w:pPr>
              <w:spacing w:before="0" w:after="0"/>
              <w:rPr>
                <w:rFonts w:cs="Arial"/>
                <w:b/>
                <w:sz w:val="20"/>
                <w:szCs w:val="20"/>
                <w:lang w:val="en-US" w:eastAsia="en-US"/>
              </w:rPr>
            </w:pPr>
            <w:r w:rsidRPr="004D17CB">
              <w:rPr>
                <w:rFonts w:cs="Arial"/>
                <w:b/>
                <w:sz w:val="20"/>
                <w:szCs w:val="20"/>
                <w:lang w:val="en-US" w:eastAsia="en-US"/>
              </w:rPr>
              <w:t> </w:t>
            </w:r>
          </w:p>
        </w:tc>
        <w:tc>
          <w:tcPr>
            <w:tcW w:w="1134" w:type="dxa"/>
            <w:tcBorders>
              <w:top w:val="nil"/>
              <w:left w:val="nil"/>
              <w:bottom w:val="single" w:sz="8" w:space="0" w:color="auto"/>
              <w:right w:val="single" w:sz="4" w:space="0" w:color="auto"/>
            </w:tcBorders>
            <w:shd w:val="clear" w:color="auto" w:fill="auto"/>
            <w:noWrap/>
            <w:vAlign w:val="bottom"/>
            <w:hideMark/>
          </w:tcPr>
          <w:p w14:paraId="7E73FE69" w14:textId="77777777" w:rsidR="00A275F0" w:rsidRPr="004D17CB" w:rsidRDefault="00A275F0" w:rsidP="00A275F0">
            <w:pPr>
              <w:spacing w:before="0" w:after="0"/>
              <w:jc w:val="right"/>
              <w:rPr>
                <w:rFonts w:cs="Arial"/>
                <w:b/>
                <w:sz w:val="20"/>
                <w:szCs w:val="20"/>
                <w:lang w:val="en-US" w:eastAsia="en-US"/>
              </w:rPr>
            </w:pPr>
            <w:r w:rsidRPr="004D17CB">
              <w:rPr>
                <w:rFonts w:cs="Arial"/>
                <w:b/>
                <w:sz w:val="20"/>
                <w:szCs w:val="20"/>
                <w:lang w:val="en-US" w:eastAsia="en-US"/>
              </w:rPr>
              <w:t>261</w:t>
            </w:r>
            <w:r w:rsidR="00CA406A" w:rsidRPr="004D17CB">
              <w:rPr>
                <w:rFonts w:cs="Arial"/>
                <w:b/>
                <w:sz w:val="20"/>
                <w:szCs w:val="20"/>
                <w:lang w:val="en-US" w:eastAsia="en-US"/>
              </w:rPr>
              <w:t xml:space="preserve"> </w:t>
            </w:r>
            <w:r w:rsidRPr="004D17CB">
              <w:rPr>
                <w:rFonts w:cs="Arial"/>
                <w:b/>
                <w:sz w:val="20"/>
                <w:szCs w:val="20"/>
                <w:lang w:val="en-US" w:eastAsia="en-US"/>
              </w:rPr>
              <w:t>469.75</w:t>
            </w:r>
          </w:p>
        </w:tc>
        <w:tc>
          <w:tcPr>
            <w:tcW w:w="1134" w:type="dxa"/>
            <w:tcBorders>
              <w:top w:val="nil"/>
              <w:left w:val="nil"/>
              <w:bottom w:val="single" w:sz="8" w:space="0" w:color="auto"/>
              <w:right w:val="single" w:sz="4" w:space="0" w:color="auto"/>
            </w:tcBorders>
            <w:shd w:val="clear" w:color="auto" w:fill="auto"/>
            <w:noWrap/>
            <w:vAlign w:val="bottom"/>
            <w:hideMark/>
          </w:tcPr>
          <w:p w14:paraId="42F3EBCB" w14:textId="77777777" w:rsidR="00A275F0" w:rsidRPr="004D17CB" w:rsidRDefault="00A275F0" w:rsidP="00A275F0">
            <w:pPr>
              <w:spacing w:before="0" w:after="0"/>
              <w:rPr>
                <w:rFonts w:cs="Arial"/>
                <w:b/>
                <w:sz w:val="20"/>
                <w:szCs w:val="20"/>
                <w:lang w:val="en-US" w:eastAsia="en-US"/>
              </w:rPr>
            </w:pPr>
            <w:r w:rsidRPr="004D17CB">
              <w:rPr>
                <w:rFonts w:cs="Arial"/>
                <w:b/>
                <w:sz w:val="20"/>
                <w:szCs w:val="20"/>
                <w:lang w:val="en-US" w:eastAsia="en-US"/>
              </w:rPr>
              <w:t> </w:t>
            </w:r>
          </w:p>
        </w:tc>
        <w:tc>
          <w:tcPr>
            <w:tcW w:w="1559" w:type="dxa"/>
            <w:tcBorders>
              <w:top w:val="nil"/>
              <w:left w:val="nil"/>
              <w:bottom w:val="single" w:sz="8" w:space="0" w:color="auto"/>
              <w:right w:val="single" w:sz="8" w:space="0" w:color="auto"/>
            </w:tcBorders>
            <w:shd w:val="clear" w:color="auto" w:fill="auto"/>
            <w:noWrap/>
            <w:vAlign w:val="bottom"/>
            <w:hideMark/>
          </w:tcPr>
          <w:p w14:paraId="22A9A915" w14:textId="77777777" w:rsidR="00A275F0" w:rsidRPr="004D17CB" w:rsidRDefault="00A275F0" w:rsidP="00A275F0">
            <w:pPr>
              <w:spacing w:before="0" w:after="0"/>
              <w:jc w:val="right"/>
              <w:rPr>
                <w:rFonts w:cs="Arial"/>
                <w:b/>
                <w:sz w:val="20"/>
                <w:szCs w:val="20"/>
                <w:lang w:val="en-US" w:eastAsia="en-US"/>
              </w:rPr>
            </w:pPr>
            <w:r w:rsidRPr="004D17CB">
              <w:rPr>
                <w:rFonts w:cs="Arial"/>
                <w:b/>
                <w:sz w:val="20"/>
                <w:szCs w:val="20"/>
                <w:lang w:val="en-US" w:eastAsia="en-US"/>
              </w:rPr>
              <w:t>801</w:t>
            </w:r>
            <w:r w:rsidR="00CA406A" w:rsidRPr="004D17CB">
              <w:rPr>
                <w:rFonts w:cs="Arial"/>
                <w:b/>
                <w:sz w:val="20"/>
                <w:szCs w:val="20"/>
                <w:lang w:val="en-US" w:eastAsia="en-US"/>
              </w:rPr>
              <w:t xml:space="preserve"> </w:t>
            </w:r>
            <w:r w:rsidRPr="004D17CB">
              <w:rPr>
                <w:rFonts w:cs="Arial"/>
                <w:b/>
                <w:sz w:val="20"/>
                <w:szCs w:val="20"/>
                <w:lang w:val="en-US" w:eastAsia="en-US"/>
              </w:rPr>
              <w:t>358.01</w:t>
            </w:r>
          </w:p>
        </w:tc>
        <w:tc>
          <w:tcPr>
            <w:tcW w:w="529" w:type="dxa"/>
            <w:tcBorders>
              <w:top w:val="nil"/>
              <w:left w:val="nil"/>
              <w:bottom w:val="nil"/>
              <w:right w:val="nil"/>
            </w:tcBorders>
            <w:shd w:val="clear" w:color="auto" w:fill="auto"/>
            <w:noWrap/>
            <w:vAlign w:val="bottom"/>
            <w:hideMark/>
          </w:tcPr>
          <w:p w14:paraId="61C85867" w14:textId="77777777" w:rsidR="00A275F0" w:rsidRPr="00A275F0" w:rsidRDefault="00A275F0" w:rsidP="00A275F0">
            <w:pPr>
              <w:spacing w:before="0" w:after="0"/>
              <w:rPr>
                <w:rFonts w:ascii="Calibri" w:hAnsi="Calibri"/>
                <w:color w:val="000000"/>
                <w:szCs w:val="22"/>
              </w:rPr>
            </w:pPr>
          </w:p>
        </w:tc>
      </w:tr>
    </w:tbl>
    <w:p w14:paraId="01976EB3" w14:textId="77777777" w:rsidR="009E17C1" w:rsidRDefault="009E17C1" w:rsidP="0063444B">
      <w:pPr>
        <w:spacing w:before="0" w:after="0"/>
        <w:ind w:left="284" w:hanging="284"/>
        <w:rPr>
          <w:color w:val="FF0000"/>
        </w:rPr>
      </w:pPr>
      <w:r>
        <w:rPr>
          <w:color w:val="FF0000"/>
        </w:rPr>
        <w:br w:type="page"/>
      </w:r>
    </w:p>
    <w:p w14:paraId="297E814D" w14:textId="77777777" w:rsidR="006E5388" w:rsidRPr="001F743D" w:rsidRDefault="00923BDB" w:rsidP="00361DDE">
      <w:pPr>
        <w:pStyle w:val="Heading2"/>
        <w:numPr>
          <w:ilvl w:val="0"/>
          <w:numId w:val="0"/>
        </w:numPr>
        <w:ind w:left="567" w:hanging="567"/>
      </w:pPr>
      <w:bookmarkStart w:id="83" w:name="_Toc482203589"/>
      <w:bookmarkStart w:id="84" w:name="_Toc514243836"/>
      <w:r>
        <w:lastRenderedPageBreak/>
        <w:t xml:space="preserve">4.6 </w:t>
      </w:r>
      <w:r w:rsidR="00361DDE">
        <w:tab/>
      </w:r>
      <w:r w:rsidR="006E5388" w:rsidRPr="001F743D">
        <w:t>Frozen</w:t>
      </w:r>
      <w:r w:rsidR="00F04985">
        <w:t>-s</w:t>
      </w:r>
      <w:r w:rsidR="006E5388" w:rsidRPr="001F743D">
        <w:t>ection items</w:t>
      </w:r>
      <w:bookmarkEnd w:id="83"/>
      <w:bookmarkEnd w:id="84"/>
    </w:p>
    <w:p w14:paraId="75332A42" w14:textId="77777777" w:rsidR="00944DD3" w:rsidRPr="000A0369" w:rsidRDefault="00944DD3" w:rsidP="00772F53">
      <w:pPr>
        <w:pStyle w:val="Rec"/>
        <w:rPr>
          <w:color w:val="01653F"/>
        </w:rPr>
      </w:pPr>
      <w:r w:rsidRPr="000A0369">
        <w:rPr>
          <w:color w:val="01653F"/>
        </w:rPr>
        <w:t>Recommendations</w:t>
      </w:r>
    </w:p>
    <w:p w14:paraId="46E90FAA" w14:textId="77777777" w:rsidR="00944DD3" w:rsidRPr="004A2618" w:rsidRDefault="00944DD3" w:rsidP="00944DD3">
      <w:pPr>
        <w:numPr>
          <w:ilvl w:val="0"/>
          <w:numId w:val="12"/>
        </w:numPr>
        <w:spacing w:before="120"/>
        <w:ind w:left="357" w:right="142" w:hanging="357"/>
        <w:rPr>
          <w:rFonts w:eastAsia="Calibri" w:cs="Arial"/>
          <w:i/>
          <w:color w:val="4F6228" w:themeColor="accent3" w:themeShade="80"/>
          <w:szCs w:val="22"/>
          <w:lang w:eastAsia="en-US"/>
        </w:rPr>
      </w:pPr>
      <w:r w:rsidRPr="004A2618">
        <w:rPr>
          <w:rFonts w:cs="Arial"/>
          <w:szCs w:val="22"/>
          <w:lang w:eastAsia="en-US"/>
        </w:rPr>
        <w:t>Remove the current tiered frozen section items and replace with a single item</w:t>
      </w:r>
      <w:r>
        <w:rPr>
          <w:rFonts w:cs="Arial"/>
          <w:szCs w:val="22"/>
          <w:lang w:eastAsia="en-US"/>
        </w:rPr>
        <w:t>.</w:t>
      </w:r>
    </w:p>
    <w:p w14:paraId="760ABB5B" w14:textId="77777777" w:rsidR="00944DD3" w:rsidRPr="00B45D06" w:rsidRDefault="00944DD3" w:rsidP="00944DD3">
      <w:pPr>
        <w:numPr>
          <w:ilvl w:val="0"/>
          <w:numId w:val="12"/>
        </w:numPr>
        <w:spacing w:before="120"/>
        <w:ind w:left="357" w:right="142" w:hanging="357"/>
        <w:rPr>
          <w:rFonts w:ascii="Arial" w:hAnsi="Arial" w:cs="Arial"/>
          <w:sz w:val="20"/>
          <w:szCs w:val="20"/>
          <w:lang w:eastAsia="en-US"/>
        </w:rPr>
      </w:pPr>
      <w:r w:rsidRPr="004A2618">
        <w:rPr>
          <w:rFonts w:cs="Arial"/>
          <w:szCs w:val="22"/>
          <w:lang w:eastAsia="en-US"/>
        </w:rPr>
        <w:t xml:space="preserve">If simple removal of the coning is considered financially unacceptable, consider funding via an alternative more equitable model such as the </w:t>
      </w:r>
      <w:r>
        <w:rPr>
          <w:rFonts w:cs="Arial"/>
          <w:szCs w:val="22"/>
          <w:lang w:eastAsia="en-US"/>
        </w:rPr>
        <w:t>‘</w:t>
      </w:r>
      <w:r w:rsidRPr="004A2618">
        <w:rPr>
          <w:rFonts w:cs="Arial"/>
          <w:szCs w:val="22"/>
          <w:lang w:eastAsia="en-US"/>
        </w:rPr>
        <w:t>Surgical</w:t>
      </w:r>
      <w:r>
        <w:rPr>
          <w:rFonts w:cs="Arial"/>
          <w:szCs w:val="22"/>
          <w:lang w:eastAsia="en-US"/>
        </w:rPr>
        <w:t>’</w:t>
      </w:r>
      <w:r w:rsidRPr="004A2618">
        <w:rPr>
          <w:rFonts w:cs="Arial"/>
          <w:szCs w:val="22"/>
          <w:lang w:eastAsia="en-US"/>
        </w:rPr>
        <w:t xml:space="preserve"> 100/50/25 model</w:t>
      </w:r>
      <w:r>
        <w:rPr>
          <w:rFonts w:cs="Arial"/>
          <w:szCs w:val="22"/>
          <w:lang w:eastAsia="en-US"/>
        </w:rPr>
        <w:t>.</w:t>
      </w:r>
    </w:p>
    <w:p w14:paraId="14C280A8" w14:textId="77777777" w:rsidR="00E5505C" w:rsidRPr="000A0369" w:rsidRDefault="00944DD3" w:rsidP="00772F53">
      <w:pPr>
        <w:pStyle w:val="Rec"/>
        <w:rPr>
          <w:color w:val="01653F"/>
        </w:rPr>
      </w:pPr>
      <w:r w:rsidRPr="000A0369">
        <w:rPr>
          <w:color w:val="01653F"/>
        </w:rPr>
        <w:t>Rationale</w:t>
      </w:r>
    </w:p>
    <w:p w14:paraId="04CE6468" w14:textId="77777777" w:rsidR="0059742E" w:rsidRPr="00361DDE" w:rsidRDefault="001A5CFC" w:rsidP="00143929">
      <w:pPr>
        <w:pStyle w:val="NormalBulleted"/>
        <w:rPr>
          <w:rFonts w:eastAsiaTheme="minorHAnsi"/>
          <w:lang w:val="en-US" w:eastAsia="en-US"/>
        </w:rPr>
      </w:pPr>
      <w:r w:rsidRPr="00361DDE">
        <w:rPr>
          <w:lang w:val="en-US" w:eastAsia="en-US"/>
        </w:rPr>
        <w:t>Frozen sections for intraoperative diagnosis are extremely time</w:t>
      </w:r>
      <w:r w:rsidR="00F04985" w:rsidRPr="00361DDE">
        <w:rPr>
          <w:lang w:val="en-US" w:eastAsia="en-US"/>
        </w:rPr>
        <w:t>-</w:t>
      </w:r>
      <w:r w:rsidRPr="00361DDE">
        <w:rPr>
          <w:lang w:val="en-US" w:eastAsia="en-US"/>
        </w:rPr>
        <w:t xml:space="preserve">consuming and </w:t>
      </w:r>
      <w:proofErr w:type="spellStart"/>
      <w:r w:rsidRPr="00361DDE">
        <w:rPr>
          <w:lang w:val="en-US" w:eastAsia="en-US"/>
        </w:rPr>
        <w:t>labour</w:t>
      </w:r>
      <w:r w:rsidR="005C2B0D" w:rsidRPr="00361DDE">
        <w:rPr>
          <w:lang w:val="en-US" w:eastAsia="en-US"/>
        </w:rPr>
        <w:t>-</w:t>
      </w:r>
      <w:r w:rsidRPr="00361DDE">
        <w:rPr>
          <w:lang w:val="en-US" w:eastAsia="en-US"/>
        </w:rPr>
        <w:t>intensive</w:t>
      </w:r>
      <w:proofErr w:type="spellEnd"/>
      <w:r w:rsidRPr="00361DDE">
        <w:rPr>
          <w:lang w:val="en-US" w:eastAsia="en-US"/>
        </w:rPr>
        <w:t xml:space="preserve"> examinations, </w:t>
      </w:r>
      <w:r w:rsidR="0059742E" w:rsidRPr="00361DDE">
        <w:rPr>
          <w:lang w:val="en-US" w:eastAsia="en-US"/>
        </w:rPr>
        <w:t xml:space="preserve">which </w:t>
      </w:r>
      <w:r w:rsidRPr="00361DDE">
        <w:rPr>
          <w:lang w:val="en-US" w:eastAsia="en-US"/>
        </w:rPr>
        <w:t xml:space="preserve">often require a pathologist and technician attending off-site. They are critically important for efficient operative planning and in many instances save the patient a second </w:t>
      </w:r>
      <w:proofErr w:type="spellStart"/>
      <w:r w:rsidRPr="00361DDE">
        <w:rPr>
          <w:lang w:val="en-US" w:eastAsia="en-US"/>
        </w:rPr>
        <w:t>anaesthetic</w:t>
      </w:r>
      <w:proofErr w:type="spellEnd"/>
      <w:r w:rsidR="00866480" w:rsidRPr="00361DDE">
        <w:rPr>
          <w:lang w:val="en-US" w:eastAsia="en-US"/>
        </w:rPr>
        <w:t xml:space="preserve"> and surgical </w:t>
      </w:r>
      <w:r w:rsidRPr="00361DDE">
        <w:rPr>
          <w:lang w:val="en-US" w:eastAsia="en-US"/>
        </w:rPr>
        <w:t>procedure.</w:t>
      </w:r>
      <w:r w:rsidR="00E11BC0" w:rsidRPr="00361DDE">
        <w:rPr>
          <w:lang w:val="en-US" w:eastAsia="en-US"/>
        </w:rPr>
        <w:t xml:space="preserve"> </w:t>
      </w:r>
      <w:r w:rsidR="0059742E" w:rsidRPr="00361DDE">
        <w:rPr>
          <w:lang w:val="en-US" w:eastAsia="en-US"/>
        </w:rPr>
        <w:t xml:space="preserve">Currently there are </w:t>
      </w:r>
      <w:r w:rsidR="00F04985" w:rsidRPr="00361DDE">
        <w:rPr>
          <w:lang w:val="en-US" w:eastAsia="en-US"/>
        </w:rPr>
        <w:t>th</w:t>
      </w:r>
      <w:r w:rsidR="00361DDE">
        <w:rPr>
          <w:lang w:val="en-US" w:eastAsia="en-US"/>
        </w:rPr>
        <w:t>ree</w:t>
      </w:r>
      <w:r w:rsidR="00F04985" w:rsidRPr="00361DDE">
        <w:rPr>
          <w:lang w:val="en-US" w:eastAsia="en-US"/>
        </w:rPr>
        <w:t xml:space="preserve"> </w:t>
      </w:r>
      <w:r w:rsidR="0059742E" w:rsidRPr="00361DDE">
        <w:rPr>
          <w:lang w:val="en-US" w:eastAsia="en-US"/>
        </w:rPr>
        <w:t>tiered items</w:t>
      </w:r>
      <w:r w:rsidR="00322862">
        <w:rPr>
          <w:lang w:val="en-US" w:eastAsia="en-US"/>
        </w:rPr>
        <w:t xml:space="preserve"> for 1, 2-4 or 5+ specimens</w:t>
      </w:r>
      <w:r w:rsidR="0059742E" w:rsidRPr="00361DDE">
        <w:rPr>
          <w:lang w:val="en-US" w:eastAsia="en-US"/>
        </w:rPr>
        <w:t xml:space="preserve">, with no additional rebate for more than </w:t>
      </w:r>
      <w:r w:rsidR="00F04985" w:rsidRPr="00361DDE">
        <w:rPr>
          <w:lang w:val="en-US" w:eastAsia="en-US"/>
        </w:rPr>
        <w:t xml:space="preserve">five </w:t>
      </w:r>
      <w:r w:rsidR="0059742E" w:rsidRPr="00361DDE">
        <w:rPr>
          <w:lang w:val="en-US" w:eastAsia="en-US"/>
        </w:rPr>
        <w:t>frozen sections (</w:t>
      </w:r>
      <w:r w:rsidR="0059742E" w:rsidRPr="00361DDE">
        <w:rPr>
          <w:i/>
          <w:lang w:val="en-US" w:eastAsia="en-US"/>
        </w:rPr>
        <w:t xml:space="preserve">Table </w:t>
      </w:r>
      <w:r w:rsidR="00F04985" w:rsidRPr="00361DDE">
        <w:rPr>
          <w:i/>
          <w:lang w:val="en-US" w:eastAsia="en-US"/>
        </w:rPr>
        <w:t>1</w:t>
      </w:r>
      <w:r w:rsidR="00361DDE">
        <w:rPr>
          <w:i/>
          <w:lang w:val="en-US" w:eastAsia="en-US"/>
        </w:rPr>
        <w:t>7</w:t>
      </w:r>
      <w:r w:rsidR="0059742E" w:rsidRPr="00361DDE">
        <w:rPr>
          <w:lang w:val="en-US" w:eastAsia="en-US"/>
        </w:rPr>
        <w:t>).</w:t>
      </w:r>
      <w:r w:rsidR="00E11BC0" w:rsidRPr="00361DDE">
        <w:rPr>
          <w:lang w:val="en-US" w:eastAsia="en-US"/>
        </w:rPr>
        <w:t xml:space="preserve"> </w:t>
      </w:r>
    </w:p>
    <w:p w14:paraId="7CEEA62C" w14:textId="77777777" w:rsidR="006E224A" w:rsidRPr="009F34E0" w:rsidRDefault="006E224A" w:rsidP="00143929">
      <w:pPr>
        <w:ind w:right="142"/>
        <w:rPr>
          <w:lang w:val="en-US" w:eastAsia="en-US"/>
        </w:rPr>
      </w:pPr>
    </w:p>
    <w:p w14:paraId="6A69CF42" w14:textId="77777777" w:rsidR="00F04985" w:rsidRPr="00B45D06" w:rsidRDefault="00F04985" w:rsidP="00B45D06">
      <w:pPr>
        <w:pStyle w:val="Caption"/>
        <w:rPr>
          <w:lang w:val="en-US"/>
        </w:rPr>
      </w:pPr>
      <w:bookmarkStart w:id="85" w:name="_Toc482213844"/>
      <w:r>
        <w:t xml:space="preserve">Table </w:t>
      </w:r>
      <w:r w:rsidR="00555C4C">
        <w:fldChar w:fldCharType="begin"/>
      </w:r>
      <w:r w:rsidR="00D84161">
        <w:instrText xml:space="preserve"> SEQ Table \* ARABIC </w:instrText>
      </w:r>
      <w:r w:rsidR="00555C4C">
        <w:fldChar w:fldCharType="separate"/>
      </w:r>
      <w:r w:rsidR="00FC06F1">
        <w:rPr>
          <w:noProof/>
        </w:rPr>
        <w:t>1</w:t>
      </w:r>
      <w:r w:rsidR="00361DDE">
        <w:rPr>
          <w:noProof/>
        </w:rPr>
        <w:t>7</w:t>
      </w:r>
      <w:r w:rsidR="00555C4C">
        <w:rPr>
          <w:noProof/>
        </w:rPr>
        <w:fldChar w:fldCharType="end"/>
      </w:r>
      <w:r>
        <w:t xml:space="preserve">. </w:t>
      </w:r>
      <w:r w:rsidRPr="00EE7701">
        <w:t>Item introduction table for items 72855, 72856, 72857</w:t>
      </w:r>
      <w:bookmarkEnd w:id="85"/>
    </w:p>
    <w:tbl>
      <w:tblPr>
        <w:tblStyle w:val="TableGrid4"/>
        <w:tblW w:w="8956" w:type="dxa"/>
        <w:tblLook w:val="04A0" w:firstRow="1" w:lastRow="0" w:firstColumn="1" w:lastColumn="0" w:noHBand="0" w:noVBand="1"/>
      </w:tblPr>
      <w:tblGrid>
        <w:gridCol w:w="981"/>
        <w:gridCol w:w="3351"/>
        <w:gridCol w:w="1126"/>
        <w:gridCol w:w="1126"/>
        <w:gridCol w:w="1067"/>
        <w:gridCol w:w="1305"/>
      </w:tblGrid>
      <w:tr w:rsidR="0059742E" w:rsidRPr="007B4368" w14:paraId="504D3D3B" w14:textId="77777777" w:rsidTr="004A2618">
        <w:trPr>
          <w:trHeight w:val="1064"/>
        </w:trPr>
        <w:tc>
          <w:tcPr>
            <w:tcW w:w="981" w:type="dxa"/>
            <w:shd w:val="clear" w:color="auto" w:fill="E7E6E6"/>
            <w:vAlign w:val="bottom"/>
          </w:tcPr>
          <w:p w14:paraId="7840F8C1" w14:textId="77777777" w:rsidR="0059742E" w:rsidRPr="004A2618" w:rsidRDefault="0059742E">
            <w:pPr>
              <w:spacing w:before="20" w:after="20"/>
              <w:rPr>
                <w:rFonts w:cs="Arial"/>
                <w:b/>
                <w:sz w:val="20"/>
                <w:szCs w:val="20"/>
              </w:rPr>
            </w:pPr>
            <w:r w:rsidRPr="004A2618">
              <w:rPr>
                <w:rFonts w:cs="Arial"/>
                <w:b/>
                <w:sz w:val="20"/>
                <w:szCs w:val="20"/>
              </w:rPr>
              <w:t>Item number</w:t>
            </w:r>
          </w:p>
        </w:tc>
        <w:tc>
          <w:tcPr>
            <w:tcW w:w="3351" w:type="dxa"/>
            <w:shd w:val="clear" w:color="auto" w:fill="E7E6E6"/>
            <w:vAlign w:val="bottom"/>
          </w:tcPr>
          <w:p w14:paraId="6F9405E3" w14:textId="77777777" w:rsidR="0059742E" w:rsidRPr="004A2618" w:rsidRDefault="0059742E">
            <w:pPr>
              <w:spacing w:before="20" w:after="20"/>
              <w:rPr>
                <w:rFonts w:cs="Arial"/>
                <w:b/>
                <w:sz w:val="20"/>
                <w:szCs w:val="20"/>
              </w:rPr>
            </w:pPr>
            <w:r w:rsidRPr="004A2618">
              <w:rPr>
                <w:rFonts w:cs="Arial"/>
                <w:b/>
                <w:sz w:val="20"/>
                <w:szCs w:val="20"/>
              </w:rPr>
              <w:t>Descriptor</w:t>
            </w:r>
          </w:p>
        </w:tc>
        <w:tc>
          <w:tcPr>
            <w:tcW w:w="1126" w:type="dxa"/>
            <w:shd w:val="clear" w:color="auto" w:fill="E7E6E6"/>
            <w:vAlign w:val="bottom"/>
          </w:tcPr>
          <w:p w14:paraId="1CB2C662" w14:textId="77777777" w:rsidR="0059742E" w:rsidRPr="004A2618" w:rsidRDefault="0059742E">
            <w:pPr>
              <w:spacing w:before="20" w:after="20"/>
              <w:rPr>
                <w:rFonts w:cs="Arial"/>
                <w:b/>
                <w:sz w:val="20"/>
                <w:szCs w:val="20"/>
              </w:rPr>
            </w:pPr>
            <w:r w:rsidRPr="004A2618">
              <w:rPr>
                <w:rFonts w:cs="Arial"/>
                <w:b/>
                <w:sz w:val="20"/>
                <w:szCs w:val="20"/>
              </w:rPr>
              <w:t>Schedule fee</w:t>
            </w:r>
          </w:p>
        </w:tc>
        <w:tc>
          <w:tcPr>
            <w:tcW w:w="1126" w:type="dxa"/>
            <w:shd w:val="clear" w:color="auto" w:fill="E7E6E6"/>
            <w:vAlign w:val="bottom"/>
          </w:tcPr>
          <w:p w14:paraId="11716D41" w14:textId="77777777" w:rsidR="0059742E" w:rsidRPr="004A2618" w:rsidRDefault="0059742E">
            <w:pPr>
              <w:spacing w:before="20" w:after="20"/>
              <w:rPr>
                <w:rFonts w:cs="Arial"/>
                <w:b/>
                <w:sz w:val="20"/>
                <w:szCs w:val="20"/>
              </w:rPr>
            </w:pPr>
            <w:r w:rsidRPr="004A2618">
              <w:rPr>
                <w:rFonts w:cs="Arial"/>
                <w:b/>
                <w:sz w:val="20"/>
                <w:szCs w:val="20"/>
              </w:rPr>
              <w:t>Volume of services (2014</w:t>
            </w:r>
            <w:r w:rsidR="008F0A5D">
              <w:rPr>
                <w:rFonts w:cs="Arial"/>
                <w:b/>
                <w:sz w:val="20"/>
                <w:szCs w:val="20"/>
              </w:rPr>
              <w:t>–</w:t>
            </w:r>
            <w:r w:rsidRPr="004A2618">
              <w:rPr>
                <w:rFonts w:cs="Arial"/>
                <w:b/>
                <w:sz w:val="20"/>
                <w:szCs w:val="20"/>
              </w:rPr>
              <w:t>15)</w:t>
            </w:r>
          </w:p>
        </w:tc>
        <w:tc>
          <w:tcPr>
            <w:tcW w:w="1067" w:type="dxa"/>
            <w:shd w:val="clear" w:color="auto" w:fill="E7E6E6"/>
            <w:vAlign w:val="bottom"/>
          </w:tcPr>
          <w:p w14:paraId="47790D50" w14:textId="77777777" w:rsidR="0059742E" w:rsidRPr="004A2618" w:rsidRDefault="008F0A5D">
            <w:pPr>
              <w:rPr>
                <w:rFonts w:cs="Arial"/>
                <w:b/>
                <w:sz w:val="20"/>
                <w:szCs w:val="20"/>
              </w:rPr>
            </w:pPr>
            <w:r>
              <w:rPr>
                <w:rFonts w:cs="Arial"/>
                <w:b/>
                <w:sz w:val="20"/>
                <w:szCs w:val="20"/>
              </w:rPr>
              <w:t>5-year service change</w:t>
            </w:r>
            <w:r w:rsidR="0059742E" w:rsidRPr="004A2618">
              <w:rPr>
                <w:rFonts w:cs="Arial"/>
                <w:b/>
                <w:sz w:val="20"/>
                <w:szCs w:val="20"/>
              </w:rPr>
              <w:t xml:space="preserve"> % (CAGR)</w:t>
            </w:r>
          </w:p>
        </w:tc>
        <w:tc>
          <w:tcPr>
            <w:tcW w:w="1305" w:type="dxa"/>
            <w:shd w:val="clear" w:color="auto" w:fill="E7E6E6"/>
            <w:vAlign w:val="bottom"/>
          </w:tcPr>
          <w:p w14:paraId="0A008078" w14:textId="77777777" w:rsidR="0059742E" w:rsidRPr="004A2618" w:rsidRDefault="0059742E">
            <w:pPr>
              <w:spacing w:before="20" w:after="20"/>
              <w:rPr>
                <w:rFonts w:cs="Arial"/>
                <w:b/>
                <w:sz w:val="20"/>
                <w:szCs w:val="20"/>
              </w:rPr>
            </w:pPr>
            <w:r w:rsidRPr="004A2618">
              <w:rPr>
                <w:rFonts w:cs="Arial"/>
                <w:b/>
                <w:sz w:val="20"/>
                <w:szCs w:val="20"/>
              </w:rPr>
              <w:t>Benefits (2014</w:t>
            </w:r>
            <w:r w:rsidR="008F0A5D">
              <w:rPr>
                <w:rFonts w:cs="Arial"/>
                <w:b/>
                <w:sz w:val="20"/>
                <w:szCs w:val="20"/>
              </w:rPr>
              <w:t>–</w:t>
            </w:r>
            <w:r w:rsidRPr="004A2618">
              <w:rPr>
                <w:rFonts w:cs="Arial"/>
                <w:b/>
                <w:sz w:val="20"/>
                <w:szCs w:val="20"/>
              </w:rPr>
              <w:t>15)</w:t>
            </w:r>
          </w:p>
        </w:tc>
      </w:tr>
      <w:tr w:rsidR="0059742E" w:rsidRPr="007B4368" w14:paraId="175E425A" w14:textId="77777777" w:rsidTr="004A2618">
        <w:trPr>
          <w:trHeight w:val="1056"/>
        </w:trPr>
        <w:tc>
          <w:tcPr>
            <w:tcW w:w="981" w:type="dxa"/>
          </w:tcPr>
          <w:p w14:paraId="3E32DEC5" w14:textId="77777777" w:rsidR="0059742E" w:rsidRPr="004A2618" w:rsidRDefault="0059742E" w:rsidP="004A2618">
            <w:pPr>
              <w:rPr>
                <w:rFonts w:cs="Arial"/>
                <w:sz w:val="20"/>
                <w:szCs w:val="20"/>
              </w:rPr>
            </w:pPr>
            <w:r w:rsidRPr="004A2618">
              <w:rPr>
                <w:rFonts w:cs="Arial"/>
                <w:sz w:val="20"/>
                <w:szCs w:val="20"/>
              </w:rPr>
              <w:t>72855</w:t>
            </w:r>
          </w:p>
        </w:tc>
        <w:tc>
          <w:tcPr>
            <w:tcW w:w="3351" w:type="dxa"/>
          </w:tcPr>
          <w:p w14:paraId="4098F958" w14:textId="77777777" w:rsidR="0059742E" w:rsidRPr="004A2618" w:rsidRDefault="0059742E" w:rsidP="004A2618">
            <w:pPr>
              <w:rPr>
                <w:rFonts w:cs="Arial"/>
                <w:sz w:val="20"/>
                <w:szCs w:val="20"/>
              </w:rPr>
            </w:pPr>
            <w:r w:rsidRPr="004A2618">
              <w:rPr>
                <w:rFonts w:cs="Arial"/>
                <w:sz w:val="20"/>
                <w:szCs w:val="20"/>
              </w:rPr>
              <w:t>Intraoperative consultation and examination of biopsy material by frozen section or tissue imprint or smear - 1 separately identified specimen</w:t>
            </w:r>
            <w:r w:rsidR="00E11BC0" w:rsidRPr="004A2618">
              <w:rPr>
                <w:rFonts w:cs="Arial"/>
                <w:sz w:val="20"/>
                <w:szCs w:val="20"/>
              </w:rPr>
              <w:t xml:space="preserve"> </w:t>
            </w:r>
            <w:r w:rsidRPr="004A2618">
              <w:rPr>
                <w:rFonts w:cs="Arial"/>
                <w:sz w:val="20"/>
                <w:szCs w:val="20"/>
              </w:rPr>
              <w:t>(Item is subject to rule 13)</w:t>
            </w:r>
          </w:p>
        </w:tc>
        <w:tc>
          <w:tcPr>
            <w:tcW w:w="1126" w:type="dxa"/>
          </w:tcPr>
          <w:p w14:paraId="47A26D46" w14:textId="77777777" w:rsidR="0059742E" w:rsidRPr="004A2618" w:rsidRDefault="0059742E" w:rsidP="004A2618">
            <w:pPr>
              <w:jc w:val="right"/>
              <w:rPr>
                <w:rFonts w:cs="Arial"/>
                <w:sz w:val="20"/>
                <w:szCs w:val="20"/>
              </w:rPr>
            </w:pPr>
            <w:r w:rsidRPr="004A2618">
              <w:rPr>
                <w:rFonts w:cs="Arial"/>
                <w:sz w:val="20"/>
                <w:szCs w:val="20"/>
              </w:rPr>
              <w:t>184.35</w:t>
            </w:r>
          </w:p>
        </w:tc>
        <w:tc>
          <w:tcPr>
            <w:tcW w:w="1126" w:type="dxa"/>
          </w:tcPr>
          <w:p w14:paraId="3D46FB22" w14:textId="77777777" w:rsidR="0059742E" w:rsidRPr="004A2618" w:rsidRDefault="0059742E" w:rsidP="004A2618">
            <w:pPr>
              <w:jc w:val="right"/>
              <w:rPr>
                <w:rFonts w:cs="Arial"/>
                <w:sz w:val="20"/>
                <w:szCs w:val="20"/>
              </w:rPr>
            </w:pPr>
            <w:r w:rsidRPr="004A2618">
              <w:rPr>
                <w:rFonts w:cs="Arial"/>
                <w:sz w:val="20"/>
                <w:szCs w:val="20"/>
              </w:rPr>
              <w:t>7</w:t>
            </w:r>
            <w:r w:rsidR="008F0A5D">
              <w:rPr>
                <w:rFonts w:cs="Arial"/>
                <w:sz w:val="20"/>
                <w:szCs w:val="20"/>
              </w:rPr>
              <w:t xml:space="preserve"> </w:t>
            </w:r>
            <w:r w:rsidRPr="004A2618">
              <w:rPr>
                <w:rFonts w:cs="Arial"/>
                <w:sz w:val="20"/>
                <w:szCs w:val="20"/>
              </w:rPr>
              <w:t>587</w:t>
            </w:r>
          </w:p>
        </w:tc>
        <w:tc>
          <w:tcPr>
            <w:tcW w:w="1067" w:type="dxa"/>
          </w:tcPr>
          <w:p w14:paraId="671D25FC" w14:textId="77777777" w:rsidR="0059742E" w:rsidRPr="004A2618" w:rsidRDefault="0059742E" w:rsidP="004A2618">
            <w:pPr>
              <w:jc w:val="right"/>
              <w:rPr>
                <w:rFonts w:cs="Arial"/>
                <w:sz w:val="20"/>
                <w:szCs w:val="20"/>
              </w:rPr>
            </w:pPr>
            <w:r w:rsidRPr="004A2618">
              <w:rPr>
                <w:rFonts w:cs="Arial"/>
                <w:sz w:val="20"/>
                <w:szCs w:val="20"/>
              </w:rPr>
              <w:t>2.2%</w:t>
            </w:r>
          </w:p>
        </w:tc>
        <w:tc>
          <w:tcPr>
            <w:tcW w:w="1305" w:type="dxa"/>
          </w:tcPr>
          <w:p w14:paraId="64471E32" w14:textId="77777777" w:rsidR="0059742E" w:rsidRPr="004A2618" w:rsidRDefault="0059742E" w:rsidP="004A2618">
            <w:pPr>
              <w:jc w:val="right"/>
              <w:rPr>
                <w:rFonts w:cs="Arial"/>
                <w:sz w:val="20"/>
                <w:szCs w:val="20"/>
              </w:rPr>
            </w:pPr>
            <w:r w:rsidRPr="004A2618">
              <w:rPr>
                <w:rFonts w:cs="Arial"/>
                <w:sz w:val="20"/>
                <w:szCs w:val="20"/>
              </w:rPr>
              <w:t>$1</w:t>
            </w:r>
            <w:r w:rsidR="008F0A5D">
              <w:rPr>
                <w:rFonts w:cs="Arial"/>
                <w:sz w:val="20"/>
                <w:szCs w:val="20"/>
              </w:rPr>
              <w:t xml:space="preserve"> </w:t>
            </w:r>
            <w:r w:rsidRPr="004A2618">
              <w:rPr>
                <w:rFonts w:cs="Arial"/>
                <w:sz w:val="20"/>
                <w:szCs w:val="20"/>
              </w:rPr>
              <w:t>056</w:t>
            </w:r>
            <w:r w:rsidR="008F0A5D">
              <w:rPr>
                <w:rFonts w:cs="Arial"/>
                <w:sz w:val="20"/>
                <w:szCs w:val="20"/>
              </w:rPr>
              <w:t xml:space="preserve"> </w:t>
            </w:r>
            <w:r w:rsidRPr="004A2618">
              <w:rPr>
                <w:rFonts w:cs="Arial"/>
                <w:sz w:val="20"/>
                <w:szCs w:val="20"/>
              </w:rPr>
              <w:t>148</w:t>
            </w:r>
          </w:p>
        </w:tc>
      </w:tr>
      <w:tr w:rsidR="0059742E" w:rsidRPr="007B4368" w14:paraId="04DAC009" w14:textId="77777777" w:rsidTr="004A2618">
        <w:trPr>
          <w:trHeight w:val="1041"/>
        </w:trPr>
        <w:tc>
          <w:tcPr>
            <w:tcW w:w="981" w:type="dxa"/>
          </w:tcPr>
          <w:p w14:paraId="16243689" w14:textId="77777777" w:rsidR="0059742E" w:rsidRPr="004A2618" w:rsidRDefault="0059742E" w:rsidP="004A2618">
            <w:pPr>
              <w:rPr>
                <w:rFonts w:cs="Arial"/>
                <w:sz w:val="20"/>
                <w:szCs w:val="20"/>
              </w:rPr>
            </w:pPr>
            <w:r w:rsidRPr="004A2618">
              <w:rPr>
                <w:rFonts w:cs="Arial"/>
                <w:sz w:val="20"/>
                <w:szCs w:val="20"/>
              </w:rPr>
              <w:t>72856</w:t>
            </w:r>
          </w:p>
        </w:tc>
        <w:tc>
          <w:tcPr>
            <w:tcW w:w="3351" w:type="dxa"/>
          </w:tcPr>
          <w:p w14:paraId="064CF652" w14:textId="77777777" w:rsidR="0059742E" w:rsidRPr="004A2618" w:rsidRDefault="0059742E" w:rsidP="004A2618">
            <w:pPr>
              <w:rPr>
                <w:rFonts w:cs="Arial"/>
                <w:sz w:val="20"/>
                <w:szCs w:val="20"/>
              </w:rPr>
            </w:pPr>
            <w:r w:rsidRPr="004A2618">
              <w:rPr>
                <w:rFonts w:cs="Arial"/>
                <w:sz w:val="20"/>
                <w:szCs w:val="20"/>
              </w:rPr>
              <w:t>Intraoperative consultation and examination of biopsy material by frozen section or tissue imprint or smear - 2 to 4 separately identified specimens</w:t>
            </w:r>
            <w:r w:rsidR="00E11BC0" w:rsidRPr="004A2618">
              <w:rPr>
                <w:rFonts w:cs="Arial"/>
                <w:sz w:val="20"/>
                <w:szCs w:val="20"/>
              </w:rPr>
              <w:t xml:space="preserve"> </w:t>
            </w:r>
            <w:r w:rsidRPr="004A2618">
              <w:rPr>
                <w:rFonts w:cs="Arial"/>
                <w:sz w:val="20"/>
                <w:szCs w:val="20"/>
              </w:rPr>
              <w:t>(Item is subject to rule 13)</w:t>
            </w:r>
          </w:p>
        </w:tc>
        <w:tc>
          <w:tcPr>
            <w:tcW w:w="1126" w:type="dxa"/>
          </w:tcPr>
          <w:p w14:paraId="51926561" w14:textId="77777777" w:rsidR="0059742E" w:rsidRPr="004A2618" w:rsidRDefault="0059742E" w:rsidP="004A2618">
            <w:pPr>
              <w:jc w:val="right"/>
              <w:rPr>
                <w:rFonts w:cs="Arial"/>
                <w:sz w:val="20"/>
                <w:szCs w:val="20"/>
              </w:rPr>
            </w:pPr>
            <w:r w:rsidRPr="004A2618">
              <w:rPr>
                <w:rFonts w:cs="Arial"/>
                <w:sz w:val="20"/>
                <w:szCs w:val="20"/>
              </w:rPr>
              <w:t>245.80</w:t>
            </w:r>
          </w:p>
        </w:tc>
        <w:tc>
          <w:tcPr>
            <w:tcW w:w="1126" w:type="dxa"/>
          </w:tcPr>
          <w:p w14:paraId="78481FEA" w14:textId="77777777" w:rsidR="0059742E" w:rsidRPr="004A2618" w:rsidRDefault="0059742E" w:rsidP="004A2618">
            <w:pPr>
              <w:jc w:val="right"/>
              <w:rPr>
                <w:rFonts w:cs="Arial"/>
                <w:sz w:val="20"/>
                <w:szCs w:val="20"/>
              </w:rPr>
            </w:pPr>
            <w:r w:rsidRPr="004A2618">
              <w:rPr>
                <w:rFonts w:cs="Arial"/>
                <w:sz w:val="20"/>
                <w:szCs w:val="20"/>
              </w:rPr>
              <w:t>2</w:t>
            </w:r>
            <w:r w:rsidR="008F0A5D">
              <w:rPr>
                <w:rFonts w:cs="Arial"/>
                <w:sz w:val="20"/>
                <w:szCs w:val="20"/>
              </w:rPr>
              <w:t xml:space="preserve"> </w:t>
            </w:r>
            <w:r w:rsidRPr="004A2618">
              <w:rPr>
                <w:rFonts w:cs="Arial"/>
                <w:sz w:val="20"/>
                <w:szCs w:val="20"/>
              </w:rPr>
              <w:t>504</w:t>
            </w:r>
          </w:p>
        </w:tc>
        <w:tc>
          <w:tcPr>
            <w:tcW w:w="1067" w:type="dxa"/>
          </w:tcPr>
          <w:p w14:paraId="01FD4082" w14:textId="77777777" w:rsidR="0059742E" w:rsidRPr="004A2618" w:rsidRDefault="008F0A5D" w:rsidP="004A2618">
            <w:pPr>
              <w:jc w:val="right"/>
              <w:rPr>
                <w:rFonts w:cs="Arial"/>
                <w:sz w:val="20"/>
                <w:szCs w:val="20"/>
              </w:rPr>
            </w:pPr>
            <w:r>
              <w:rPr>
                <w:rFonts w:cs="Arial"/>
                <w:sz w:val="20"/>
                <w:szCs w:val="20"/>
              </w:rPr>
              <w:t>–</w:t>
            </w:r>
            <w:r w:rsidR="0059742E" w:rsidRPr="004A2618">
              <w:rPr>
                <w:rFonts w:cs="Arial"/>
                <w:sz w:val="20"/>
                <w:szCs w:val="20"/>
              </w:rPr>
              <w:t>0.5%</w:t>
            </w:r>
          </w:p>
        </w:tc>
        <w:tc>
          <w:tcPr>
            <w:tcW w:w="1305" w:type="dxa"/>
          </w:tcPr>
          <w:p w14:paraId="6BA06F4D" w14:textId="77777777" w:rsidR="0059742E" w:rsidRPr="004A2618" w:rsidRDefault="0059742E" w:rsidP="004A2618">
            <w:pPr>
              <w:jc w:val="right"/>
              <w:rPr>
                <w:rFonts w:cs="Arial"/>
                <w:sz w:val="20"/>
                <w:szCs w:val="20"/>
              </w:rPr>
            </w:pPr>
            <w:r w:rsidRPr="004A2618">
              <w:rPr>
                <w:rFonts w:cs="Arial"/>
                <w:sz w:val="20"/>
                <w:szCs w:val="20"/>
              </w:rPr>
              <w:t>$465</w:t>
            </w:r>
            <w:r w:rsidR="008F0A5D">
              <w:rPr>
                <w:rFonts w:cs="Arial"/>
                <w:sz w:val="20"/>
                <w:szCs w:val="20"/>
              </w:rPr>
              <w:t xml:space="preserve"> </w:t>
            </w:r>
            <w:r w:rsidRPr="004A2618">
              <w:rPr>
                <w:rFonts w:cs="Arial"/>
                <w:sz w:val="20"/>
                <w:szCs w:val="20"/>
              </w:rPr>
              <w:t>101</w:t>
            </w:r>
          </w:p>
        </w:tc>
      </w:tr>
      <w:tr w:rsidR="0059742E" w:rsidRPr="007B4368" w14:paraId="785A553B" w14:textId="77777777" w:rsidTr="004A2618">
        <w:trPr>
          <w:trHeight w:val="1056"/>
        </w:trPr>
        <w:tc>
          <w:tcPr>
            <w:tcW w:w="981" w:type="dxa"/>
          </w:tcPr>
          <w:p w14:paraId="5705C267" w14:textId="77777777" w:rsidR="0059742E" w:rsidRPr="004A2618" w:rsidRDefault="0059742E" w:rsidP="004A2618">
            <w:pPr>
              <w:rPr>
                <w:rFonts w:cs="Arial"/>
                <w:sz w:val="20"/>
                <w:szCs w:val="20"/>
              </w:rPr>
            </w:pPr>
            <w:r w:rsidRPr="004A2618">
              <w:rPr>
                <w:rFonts w:cs="Arial"/>
                <w:sz w:val="20"/>
                <w:szCs w:val="20"/>
              </w:rPr>
              <w:t>72857</w:t>
            </w:r>
          </w:p>
        </w:tc>
        <w:tc>
          <w:tcPr>
            <w:tcW w:w="3351" w:type="dxa"/>
          </w:tcPr>
          <w:p w14:paraId="12FFDEE9" w14:textId="77777777" w:rsidR="0059742E" w:rsidRPr="004A2618" w:rsidRDefault="0059742E" w:rsidP="004A2618">
            <w:pPr>
              <w:rPr>
                <w:rFonts w:cs="Arial"/>
                <w:sz w:val="20"/>
                <w:szCs w:val="20"/>
              </w:rPr>
            </w:pPr>
            <w:r w:rsidRPr="004A2618">
              <w:rPr>
                <w:rFonts w:cs="Arial"/>
                <w:sz w:val="20"/>
                <w:szCs w:val="20"/>
              </w:rPr>
              <w:t>Intraoperative consultation and examination of biopsy material by frozen section or tissue imprint or smear - 5 or more separately identified specimens</w:t>
            </w:r>
            <w:r w:rsidR="00E11BC0" w:rsidRPr="004A2618">
              <w:rPr>
                <w:rFonts w:cs="Arial"/>
                <w:sz w:val="20"/>
                <w:szCs w:val="20"/>
              </w:rPr>
              <w:t xml:space="preserve"> </w:t>
            </w:r>
            <w:r w:rsidRPr="004A2618">
              <w:rPr>
                <w:rFonts w:cs="Arial"/>
                <w:sz w:val="20"/>
                <w:szCs w:val="20"/>
              </w:rPr>
              <w:t>(Item is subject to rule 13)</w:t>
            </w:r>
          </w:p>
        </w:tc>
        <w:tc>
          <w:tcPr>
            <w:tcW w:w="1126" w:type="dxa"/>
          </w:tcPr>
          <w:p w14:paraId="7D173CEC" w14:textId="77777777" w:rsidR="0059742E" w:rsidRPr="004A2618" w:rsidRDefault="0059742E" w:rsidP="004A2618">
            <w:pPr>
              <w:jc w:val="right"/>
              <w:rPr>
                <w:rFonts w:cs="Arial"/>
                <w:sz w:val="20"/>
                <w:szCs w:val="20"/>
              </w:rPr>
            </w:pPr>
            <w:r w:rsidRPr="004A2618">
              <w:rPr>
                <w:rFonts w:cs="Arial"/>
                <w:sz w:val="20"/>
                <w:szCs w:val="20"/>
              </w:rPr>
              <w:t>286.75</w:t>
            </w:r>
          </w:p>
        </w:tc>
        <w:tc>
          <w:tcPr>
            <w:tcW w:w="1126" w:type="dxa"/>
          </w:tcPr>
          <w:p w14:paraId="7F893758" w14:textId="77777777" w:rsidR="0059742E" w:rsidRPr="004A2618" w:rsidRDefault="0059742E" w:rsidP="004A2618">
            <w:pPr>
              <w:jc w:val="right"/>
              <w:rPr>
                <w:rFonts w:cs="Arial"/>
                <w:sz w:val="20"/>
                <w:szCs w:val="20"/>
              </w:rPr>
            </w:pPr>
            <w:r w:rsidRPr="004A2618">
              <w:rPr>
                <w:rFonts w:cs="Arial"/>
                <w:sz w:val="20"/>
                <w:szCs w:val="20"/>
              </w:rPr>
              <w:t>513</w:t>
            </w:r>
          </w:p>
        </w:tc>
        <w:tc>
          <w:tcPr>
            <w:tcW w:w="1067" w:type="dxa"/>
          </w:tcPr>
          <w:p w14:paraId="4E1D36DC" w14:textId="77777777" w:rsidR="0059742E" w:rsidRPr="004A2618" w:rsidRDefault="0059742E" w:rsidP="004A2618">
            <w:pPr>
              <w:jc w:val="right"/>
              <w:rPr>
                <w:rFonts w:cs="Arial"/>
                <w:sz w:val="20"/>
                <w:szCs w:val="20"/>
              </w:rPr>
            </w:pPr>
            <w:r w:rsidRPr="004A2618">
              <w:rPr>
                <w:rFonts w:cs="Arial"/>
                <w:sz w:val="20"/>
                <w:szCs w:val="20"/>
              </w:rPr>
              <w:t>11.1%</w:t>
            </w:r>
          </w:p>
        </w:tc>
        <w:tc>
          <w:tcPr>
            <w:tcW w:w="1305" w:type="dxa"/>
          </w:tcPr>
          <w:p w14:paraId="51CE748E" w14:textId="77777777" w:rsidR="0059742E" w:rsidRPr="004A2618" w:rsidRDefault="0059742E" w:rsidP="004A2618">
            <w:pPr>
              <w:jc w:val="right"/>
              <w:rPr>
                <w:rFonts w:cs="Arial"/>
                <w:sz w:val="20"/>
                <w:szCs w:val="20"/>
              </w:rPr>
            </w:pPr>
            <w:r w:rsidRPr="004A2618">
              <w:rPr>
                <w:rFonts w:cs="Arial"/>
                <w:sz w:val="20"/>
                <w:szCs w:val="20"/>
              </w:rPr>
              <w:t>$112</w:t>
            </w:r>
            <w:r w:rsidR="008F0A5D">
              <w:rPr>
                <w:rFonts w:cs="Arial"/>
                <w:sz w:val="20"/>
                <w:szCs w:val="20"/>
              </w:rPr>
              <w:t xml:space="preserve"> </w:t>
            </w:r>
            <w:r w:rsidRPr="004A2618">
              <w:rPr>
                <w:rFonts w:cs="Arial"/>
                <w:sz w:val="20"/>
                <w:szCs w:val="20"/>
              </w:rPr>
              <w:t>867</w:t>
            </w:r>
          </w:p>
        </w:tc>
      </w:tr>
    </w:tbl>
    <w:p w14:paraId="3C84BCFB" w14:textId="77777777" w:rsidR="00361DDE" w:rsidRDefault="00361DDE" w:rsidP="00361DDE">
      <w:pPr>
        <w:pStyle w:val="NormalBulleted"/>
        <w:numPr>
          <w:ilvl w:val="0"/>
          <w:numId w:val="0"/>
        </w:numPr>
        <w:rPr>
          <w:lang w:val="en-US" w:eastAsia="en-US"/>
        </w:rPr>
      </w:pPr>
    </w:p>
    <w:p w14:paraId="4B52CF76" w14:textId="77777777" w:rsidR="00361DDE" w:rsidRPr="00361DDE" w:rsidRDefault="005C2B0D" w:rsidP="00BF612A">
      <w:pPr>
        <w:pStyle w:val="NormalBulleted"/>
        <w:rPr>
          <w:rFonts w:eastAsiaTheme="minorHAnsi"/>
          <w:bCs/>
          <w:iCs/>
          <w:sz w:val="26"/>
          <w:lang w:val="en-US" w:eastAsia="en-US"/>
        </w:rPr>
      </w:pPr>
      <w:r w:rsidRPr="00361DDE">
        <w:rPr>
          <w:lang w:val="en-US" w:eastAsia="en-US"/>
        </w:rPr>
        <w:t xml:space="preserve">When </w:t>
      </w:r>
      <w:r w:rsidR="004A7A4D" w:rsidRPr="00361DDE">
        <w:rPr>
          <w:lang w:val="en-US" w:eastAsia="en-US"/>
        </w:rPr>
        <w:t xml:space="preserve">frozen sections are </w:t>
      </w:r>
      <w:r w:rsidRPr="00361DDE">
        <w:rPr>
          <w:lang w:val="en-US" w:eastAsia="en-US"/>
        </w:rPr>
        <w:t xml:space="preserve">required for margin assessment of complicated </w:t>
      </w:r>
      <w:proofErr w:type="spellStart"/>
      <w:r w:rsidRPr="00361DDE">
        <w:rPr>
          <w:lang w:val="en-US" w:eastAsia="en-US"/>
        </w:rPr>
        <w:t>tumours</w:t>
      </w:r>
      <w:proofErr w:type="spellEnd"/>
      <w:r w:rsidRPr="00361DDE">
        <w:rPr>
          <w:lang w:val="en-US" w:eastAsia="en-US"/>
        </w:rPr>
        <w:t xml:space="preserve"> it is not infrequent that many more than </w:t>
      </w:r>
      <w:r w:rsidR="00222225" w:rsidRPr="00361DDE">
        <w:rPr>
          <w:lang w:val="en-US" w:eastAsia="en-US"/>
        </w:rPr>
        <w:t xml:space="preserve">five </w:t>
      </w:r>
      <w:r w:rsidRPr="00361DDE">
        <w:rPr>
          <w:lang w:val="en-US" w:eastAsia="en-US"/>
        </w:rPr>
        <w:t>frozen sections are required.</w:t>
      </w:r>
      <w:r w:rsidR="00E11BC0" w:rsidRPr="00361DDE">
        <w:rPr>
          <w:lang w:val="en-US" w:eastAsia="en-US"/>
        </w:rPr>
        <w:t xml:space="preserve"> </w:t>
      </w:r>
      <w:r w:rsidR="004A7A4D" w:rsidRPr="00361DDE">
        <w:rPr>
          <w:lang w:val="en-US" w:eastAsia="en-US"/>
        </w:rPr>
        <w:t xml:space="preserve">This may require a pathologist to spend many hours away from the laboratory, unable to undertake any other </w:t>
      </w:r>
      <w:r w:rsidR="008F09D8" w:rsidRPr="00361DDE">
        <w:rPr>
          <w:lang w:val="en-US" w:eastAsia="en-US"/>
        </w:rPr>
        <w:t xml:space="preserve">diagnostic </w:t>
      </w:r>
      <w:r w:rsidR="004A7A4D" w:rsidRPr="00361DDE">
        <w:rPr>
          <w:lang w:val="en-US" w:eastAsia="en-US"/>
        </w:rPr>
        <w:t>work.</w:t>
      </w:r>
    </w:p>
    <w:p w14:paraId="42EDB962" w14:textId="77777777" w:rsidR="006E224A" w:rsidRPr="00361DDE" w:rsidRDefault="005C2B0D" w:rsidP="00BF612A">
      <w:pPr>
        <w:pStyle w:val="NormalBulleted"/>
        <w:rPr>
          <w:rFonts w:eastAsiaTheme="minorHAnsi"/>
          <w:bCs/>
          <w:iCs/>
          <w:sz w:val="26"/>
          <w:lang w:val="en-US" w:eastAsia="en-US"/>
        </w:rPr>
      </w:pPr>
      <w:r w:rsidRPr="00361DDE">
        <w:rPr>
          <w:rFonts w:eastAsia="Calibri"/>
          <w:lang w:eastAsia="en-US"/>
        </w:rPr>
        <w:t>This is demonstrated in data from Laboratory A (</w:t>
      </w:r>
      <w:r w:rsidRPr="00361DDE">
        <w:rPr>
          <w:rFonts w:eastAsia="Calibri"/>
          <w:i/>
          <w:lang w:eastAsia="en-US"/>
        </w:rPr>
        <w:t xml:space="preserve">Table </w:t>
      </w:r>
      <w:r w:rsidR="00BB199C" w:rsidRPr="00361DDE">
        <w:rPr>
          <w:rFonts w:eastAsia="Calibri"/>
          <w:i/>
          <w:lang w:eastAsia="en-US"/>
        </w:rPr>
        <w:t>1</w:t>
      </w:r>
      <w:r w:rsidR="00361DDE">
        <w:rPr>
          <w:rFonts w:eastAsia="Calibri"/>
          <w:i/>
          <w:lang w:eastAsia="en-US"/>
        </w:rPr>
        <w:t>8</w:t>
      </w:r>
      <w:r w:rsidRPr="00361DDE">
        <w:rPr>
          <w:rFonts w:eastAsia="Calibri"/>
          <w:lang w:eastAsia="en-US"/>
        </w:rPr>
        <w:t>) showing coned v</w:t>
      </w:r>
      <w:r w:rsidR="00E21D75" w:rsidRPr="00361DDE">
        <w:rPr>
          <w:rFonts w:eastAsia="Calibri"/>
          <w:lang w:eastAsia="en-US"/>
        </w:rPr>
        <w:t>er</w:t>
      </w:r>
      <w:r w:rsidRPr="00361DDE">
        <w:rPr>
          <w:rFonts w:eastAsia="Calibri"/>
          <w:lang w:eastAsia="en-US"/>
        </w:rPr>
        <w:t>s</w:t>
      </w:r>
      <w:r w:rsidR="00E21D75" w:rsidRPr="00361DDE">
        <w:rPr>
          <w:rFonts w:eastAsia="Calibri"/>
          <w:lang w:eastAsia="en-US"/>
        </w:rPr>
        <w:t>us</w:t>
      </w:r>
      <w:r w:rsidRPr="00361DDE">
        <w:rPr>
          <w:rFonts w:eastAsia="Calibri"/>
          <w:lang w:eastAsia="en-US"/>
        </w:rPr>
        <w:t xml:space="preserve"> </w:t>
      </w:r>
      <w:proofErr w:type="spellStart"/>
      <w:r w:rsidRPr="00361DDE">
        <w:rPr>
          <w:rFonts w:eastAsia="Calibri"/>
          <w:lang w:eastAsia="en-US"/>
        </w:rPr>
        <w:t>unconed</w:t>
      </w:r>
      <w:proofErr w:type="spellEnd"/>
      <w:r w:rsidRPr="00361DDE">
        <w:rPr>
          <w:rFonts w:eastAsia="Calibri"/>
          <w:lang w:eastAsia="en-US"/>
        </w:rPr>
        <w:t xml:space="preserve"> data on frozen sections over an 8</w:t>
      </w:r>
      <w:r w:rsidR="00BB199C" w:rsidRPr="00361DDE">
        <w:rPr>
          <w:rFonts w:eastAsia="Calibri"/>
          <w:lang w:eastAsia="en-US"/>
        </w:rPr>
        <w:t>-</w:t>
      </w:r>
      <w:r w:rsidRPr="00361DDE">
        <w:rPr>
          <w:rFonts w:eastAsia="Calibri"/>
          <w:lang w:eastAsia="en-US"/>
        </w:rPr>
        <w:t xml:space="preserve">month period (2011). Although 944 actual frozen sections were performed, only 167 of these were single tests, and only 293 items were rebated. Many of the procedures therefore involved well over </w:t>
      </w:r>
      <w:r w:rsidR="00BB199C" w:rsidRPr="00361DDE">
        <w:rPr>
          <w:rFonts w:eastAsia="Calibri"/>
          <w:lang w:eastAsia="en-US"/>
        </w:rPr>
        <w:t xml:space="preserve">five </w:t>
      </w:r>
      <w:r w:rsidRPr="00361DDE">
        <w:rPr>
          <w:rFonts w:eastAsia="Calibri"/>
          <w:lang w:eastAsia="en-US"/>
        </w:rPr>
        <w:t>frozen sections.</w:t>
      </w:r>
      <w:r w:rsidR="00F20129" w:rsidRPr="00361DDE">
        <w:rPr>
          <w:rFonts w:eastAsia="Calibri"/>
          <w:lang w:eastAsia="en-US"/>
        </w:rPr>
        <w:t xml:space="preserve"> If each procedure had been received as a single test, the overall rebate would have been 275% higher. </w:t>
      </w:r>
      <w:bookmarkStart w:id="86" w:name="_Toc482213845"/>
    </w:p>
    <w:p w14:paraId="34EDC470" w14:textId="77777777" w:rsidR="00716920" w:rsidRDefault="00716920" w:rsidP="004A2618">
      <w:pPr>
        <w:pStyle w:val="Caption"/>
      </w:pPr>
    </w:p>
    <w:p w14:paraId="2095BC61" w14:textId="77777777" w:rsidR="00BB199C" w:rsidRPr="00236110" w:rsidRDefault="00BB199C" w:rsidP="004A2618">
      <w:pPr>
        <w:pStyle w:val="Caption"/>
        <w:rPr>
          <w:lang w:val="en-US"/>
        </w:rPr>
      </w:pPr>
      <w:r>
        <w:t xml:space="preserve">Table </w:t>
      </w:r>
      <w:r w:rsidR="00361DDE">
        <w:t>18</w:t>
      </w:r>
      <w:r>
        <w:t xml:space="preserve">. </w:t>
      </w:r>
      <w:r w:rsidRPr="00730385">
        <w:t xml:space="preserve">Frozen Sections Laboratory A, coned and </w:t>
      </w:r>
      <w:proofErr w:type="spellStart"/>
      <w:r w:rsidRPr="00730385">
        <w:t>unconed</w:t>
      </w:r>
      <w:proofErr w:type="spellEnd"/>
      <w:r w:rsidRPr="00730385">
        <w:t xml:space="preserve"> data</w:t>
      </w:r>
      <w:bookmarkEnd w:id="86"/>
    </w:p>
    <w:tbl>
      <w:tblPr>
        <w:tblW w:w="6820" w:type="dxa"/>
        <w:tblInd w:w="93" w:type="dxa"/>
        <w:tblLook w:val="04A0" w:firstRow="1" w:lastRow="0" w:firstColumn="1" w:lastColumn="0" w:noHBand="0" w:noVBand="1"/>
      </w:tblPr>
      <w:tblGrid>
        <w:gridCol w:w="1228"/>
        <w:gridCol w:w="1229"/>
        <w:gridCol w:w="1318"/>
        <w:gridCol w:w="1228"/>
        <w:gridCol w:w="1817"/>
      </w:tblGrid>
      <w:tr w:rsidR="005A559B" w:rsidRPr="00236110" w14:paraId="559BB586" w14:textId="77777777" w:rsidTr="008C5974">
        <w:trPr>
          <w:trHeight w:val="302"/>
        </w:trPr>
        <w:tc>
          <w:tcPr>
            <w:tcW w:w="1228" w:type="dxa"/>
            <w:tcBorders>
              <w:top w:val="single" w:sz="4" w:space="0" w:color="auto"/>
              <w:left w:val="single" w:sz="4" w:space="0" w:color="auto"/>
              <w:bottom w:val="single" w:sz="4" w:space="0" w:color="auto"/>
              <w:right w:val="nil"/>
            </w:tcBorders>
            <w:shd w:val="clear" w:color="auto" w:fill="EEECE1" w:themeFill="background2"/>
            <w:noWrap/>
            <w:hideMark/>
          </w:tcPr>
          <w:p w14:paraId="2B6897DA" w14:textId="77777777" w:rsidR="005C2B0D" w:rsidRPr="004A2618" w:rsidRDefault="005C2B0D" w:rsidP="004A2618">
            <w:pPr>
              <w:spacing w:before="20" w:after="20"/>
              <w:rPr>
                <w:rFonts w:cs="Arial"/>
                <w:b/>
                <w:sz w:val="20"/>
                <w:szCs w:val="20"/>
              </w:rPr>
            </w:pPr>
            <w:r w:rsidRPr="004A2618">
              <w:rPr>
                <w:rFonts w:cs="Arial"/>
                <w:b/>
                <w:sz w:val="20"/>
                <w:szCs w:val="20"/>
              </w:rPr>
              <w:t>CONED</w:t>
            </w:r>
          </w:p>
        </w:tc>
        <w:tc>
          <w:tcPr>
            <w:tcW w:w="1229" w:type="dxa"/>
            <w:tcBorders>
              <w:top w:val="single" w:sz="4" w:space="0" w:color="auto"/>
              <w:left w:val="nil"/>
              <w:bottom w:val="single" w:sz="4" w:space="0" w:color="auto"/>
              <w:right w:val="single" w:sz="4" w:space="0" w:color="auto"/>
            </w:tcBorders>
            <w:shd w:val="clear" w:color="auto" w:fill="EEECE1" w:themeFill="background2"/>
            <w:noWrap/>
            <w:hideMark/>
          </w:tcPr>
          <w:p w14:paraId="66964C07" w14:textId="77777777" w:rsidR="005C2B0D" w:rsidRPr="004A2618" w:rsidRDefault="005C2B0D" w:rsidP="004A2618">
            <w:pPr>
              <w:spacing w:before="20" w:after="20"/>
              <w:rPr>
                <w:rFonts w:cs="Arial"/>
                <w:b/>
                <w:sz w:val="20"/>
                <w:szCs w:val="20"/>
              </w:rPr>
            </w:pPr>
            <w:r w:rsidRPr="004A2618">
              <w:rPr>
                <w:rFonts w:cs="Arial"/>
                <w:b/>
                <w:sz w:val="20"/>
                <w:szCs w:val="20"/>
              </w:rPr>
              <w:t> </w:t>
            </w:r>
          </w:p>
        </w:tc>
        <w:tc>
          <w:tcPr>
            <w:tcW w:w="1318"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2EEF8D79" w14:textId="77777777" w:rsidR="005C2B0D" w:rsidRPr="004A2618" w:rsidRDefault="005C2B0D" w:rsidP="004A2618">
            <w:pPr>
              <w:spacing w:before="20" w:after="20"/>
              <w:rPr>
                <w:rFonts w:cs="Arial"/>
                <w:b/>
                <w:sz w:val="20"/>
                <w:szCs w:val="20"/>
              </w:rPr>
            </w:pPr>
            <w:proofErr w:type="spellStart"/>
            <w:proofErr w:type="gramStart"/>
            <w:r w:rsidRPr="004A2618">
              <w:rPr>
                <w:rFonts w:cs="Arial"/>
                <w:b/>
                <w:sz w:val="20"/>
                <w:szCs w:val="20"/>
              </w:rPr>
              <w:t>No.Items</w:t>
            </w:r>
            <w:proofErr w:type="spellEnd"/>
            <w:proofErr w:type="gramEnd"/>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37132822" w14:textId="77777777" w:rsidR="005C2B0D" w:rsidRPr="004A2618" w:rsidRDefault="005C2B0D" w:rsidP="004A2618">
            <w:pPr>
              <w:spacing w:before="20" w:after="20"/>
              <w:rPr>
                <w:rFonts w:cs="Arial"/>
                <w:b/>
                <w:sz w:val="20"/>
                <w:szCs w:val="20"/>
              </w:rPr>
            </w:pPr>
            <w:r w:rsidRPr="004A2618">
              <w:rPr>
                <w:rFonts w:cs="Arial"/>
                <w:b/>
                <w:sz w:val="20"/>
                <w:szCs w:val="20"/>
              </w:rPr>
              <w:t>Rebate</w:t>
            </w:r>
            <w:r w:rsidR="00BB199C">
              <w:rPr>
                <w:rFonts w:cs="Arial"/>
                <w:b/>
                <w:sz w:val="20"/>
                <w:szCs w:val="20"/>
              </w:rPr>
              <w:t xml:space="preserve"> ($)</w:t>
            </w:r>
          </w:p>
        </w:tc>
        <w:tc>
          <w:tcPr>
            <w:tcW w:w="1817"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4F77DA2" w14:textId="77777777" w:rsidR="005C2B0D" w:rsidRPr="004A2618" w:rsidRDefault="005C2B0D" w:rsidP="004A2618">
            <w:pPr>
              <w:spacing w:before="20" w:after="20"/>
              <w:rPr>
                <w:rFonts w:cs="Arial"/>
                <w:b/>
                <w:sz w:val="20"/>
                <w:szCs w:val="20"/>
              </w:rPr>
            </w:pPr>
            <w:r w:rsidRPr="004A2618">
              <w:rPr>
                <w:rFonts w:cs="Arial"/>
                <w:b/>
                <w:sz w:val="20"/>
                <w:szCs w:val="20"/>
              </w:rPr>
              <w:t>Total</w:t>
            </w:r>
            <w:r w:rsidR="00BB199C">
              <w:rPr>
                <w:rFonts w:cs="Arial"/>
                <w:b/>
                <w:sz w:val="20"/>
                <w:szCs w:val="20"/>
              </w:rPr>
              <w:t xml:space="preserve"> ($)</w:t>
            </w:r>
          </w:p>
        </w:tc>
      </w:tr>
      <w:tr w:rsidR="005A559B" w:rsidRPr="00236110" w14:paraId="3F4364E3" w14:textId="77777777" w:rsidTr="00361DDE">
        <w:trPr>
          <w:trHeight w:val="302"/>
        </w:trPr>
        <w:tc>
          <w:tcPr>
            <w:tcW w:w="1228" w:type="dxa"/>
            <w:tcBorders>
              <w:top w:val="nil"/>
              <w:left w:val="single" w:sz="4" w:space="0" w:color="auto"/>
              <w:bottom w:val="nil"/>
              <w:right w:val="nil"/>
            </w:tcBorders>
            <w:shd w:val="clear" w:color="auto" w:fill="auto"/>
            <w:noWrap/>
            <w:hideMark/>
          </w:tcPr>
          <w:p w14:paraId="518FB151" w14:textId="77777777" w:rsidR="00F20129" w:rsidRPr="004A2618" w:rsidRDefault="00F20129" w:rsidP="004A2618">
            <w:pPr>
              <w:rPr>
                <w:rFonts w:cs="Arial"/>
                <w:sz w:val="20"/>
                <w:szCs w:val="20"/>
              </w:rPr>
            </w:pPr>
            <w:r w:rsidRPr="004A2618">
              <w:rPr>
                <w:rFonts w:cs="Arial"/>
                <w:sz w:val="20"/>
                <w:szCs w:val="20"/>
              </w:rPr>
              <w:t>FS 1</w:t>
            </w:r>
          </w:p>
        </w:tc>
        <w:tc>
          <w:tcPr>
            <w:tcW w:w="1229" w:type="dxa"/>
            <w:tcBorders>
              <w:top w:val="nil"/>
              <w:left w:val="nil"/>
              <w:bottom w:val="nil"/>
              <w:right w:val="nil"/>
            </w:tcBorders>
            <w:shd w:val="clear" w:color="auto" w:fill="auto"/>
            <w:noWrap/>
            <w:hideMark/>
          </w:tcPr>
          <w:p w14:paraId="10924FE3" w14:textId="77777777" w:rsidR="00F20129" w:rsidRPr="004A2618" w:rsidRDefault="00F20129" w:rsidP="004A2618">
            <w:pPr>
              <w:rPr>
                <w:rFonts w:cs="Arial"/>
                <w:sz w:val="20"/>
                <w:szCs w:val="20"/>
              </w:rPr>
            </w:pPr>
            <w:r w:rsidRPr="004A2618">
              <w:rPr>
                <w:rFonts w:cs="Arial"/>
                <w:sz w:val="20"/>
                <w:szCs w:val="20"/>
              </w:rPr>
              <w:t>72855</w:t>
            </w:r>
          </w:p>
        </w:tc>
        <w:tc>
          <w:tcPr>
            <w:tcW w:w="1318" w:type="dxa"/>
            <w:tcBorders>
              <w:top w:val="nil"/>
              <w:left w:val="single" w:sz="4" w:space="0" w:color="auto"/>
              <w:bottom w:val="nil"/>
              <w:right w:val="single" w:sz="4" w:space="0" w:color="auto"/>
            </w:tcBorders>
            <w:shd w:val="clear" w:color="auto" w:fill="auto"/>
            <w:noWrap/>
            <w:hideMark/>
          </w:tcPr>
          <w:p w14:paraId="580F7AAD" w14:textId="77777777" w:rsidR="00F20129" w:rsidRPr="004A2618" w:rsidRDefault="00F20129" w:rsidP="004A2618">
            <w:pPr>
              <w:jc w:val="right"/>
              <w:rPr>
                <w:rFonts w:cs="Arial"/>
                <w:sz w:val="20"/>
                <w:szCs w:val="20"/>
              </w:rPr>
            </w:pPr>
            <w:r w:rsidRPr="004A2618">
              <w:rPr>
                <w:rFonts w:cs="Arial"/>
                <w:sz w:val="20"/>
                <w:szCs w:val="20"/>
              </w:rPr>
              <w:t>167</w:t>
            </w:r>
          </w:p>
        </w:tc>
        <w:tc>
          <w:tcPr>
            <w:tcW w:w="1228" w:type="dxa"/>
            <w:tcBorders>
              <w:top w:val="nil"/>
              <w:left w:val="nil"/>
              <w:bottom w:val="nil"/>
              <w:right w:val="single" w:sz="4" w:space="0" w:color="auto"/>
            </w:tcBorders>
            <w:shd w:val="clear" w:color="auto" w:fill="auto"/>
            <w:noWrap/>
            <w:hideMark/>
          </w:tcPr>
          <w:p w14:paraId="64E21610" w14:textId="77777777" w:rsidR="00F20129" w:rsidRPr="004A2618" w:rsidRDefault="00F20129" w:rsidP="004A2618">
            <w:pPr>
              <w:jc w:val="right"/>
              <w:rPr>
                <w:rFonts w:cs="Arial"/>
                <w:sz w:val="20"/>
                <w:szCs w:val="20"/>
              </w:rPr>
            </w:pPr>
            <w:r w:rsidRPr="004A2618">
              <w:rPr>
                <w:rFonts w:cs="Arial"/>
                <w:sz w:val="20"/>
                <w:szCs w:val="20"/>
              </w:rPr>
              <w:t>184.35</w:t>
            </w:r>
          </w:p>
        </w:tc>
        <w:tc>
          <w:tcPr>
            <w:tcW w:w="1817" w:type="dxa"/>
            <w:tcBorders>
              <w:top w:val="nil"/>
              <w:left w:val="nil"/>
              <w:bottom w:val="nil"/>
              <w:right w:val="single" w:sz="4" w:space="0" w:color="auto"/>
            </w:tcBorders>
            <w:shd w:val="clear" w:color="auto" w:fill="auto"/>
            <w:noWrap/>
            <w:hideMark/>
          </w:tcPr>
          <w:p w14:paraId="50754E23" w14:textId="77777777" w:rsidR="00F20129" w:rsidRPr="004A2618" w:rsidRDefault="00F20129" w:rsidP="004A2618">
            <w:pPr>
              <w:jc w:val="right"/>
              <w:rPr>
                <w:rFonts w:cs="Arial"/>
                <w:sz w:val="20"/>
                <w:szCs w:val="20"/>
              </w:rPr>
            </w:pPr>
            <w:r w:rsidRPr="004A2618">
              <w:rPr>
                <w:rFonts w:cs="Arial"/>
                <w:sz w:val="20"/>
                <w:szCs w:val="20"/>
              </w:rPr>
              <w:t>30</w:t>
            </w:r>
            <w:r w:rsidR="00BB199C">
              <w:rPr>
                <w:rFonts w:cs="Arial"/>
                <w:sz w:val="20"/>
                <w:szCs w:val="20"/>
              </w:rPr>
              <w:t xml:space="preserve"> </w:t>
            </w:r>
            <w:r w:rsidRPr="004A2618">
              <w:rPr>
                <w:rFonts w:cs="Arial"/>
                <w:sz w:val="20"/>
                <w:szCs w:val="20"/>
              </w:rPr>
              <w:t>786.45</w:t>
            </w:r>
          </w:p>
        </w:tc>
      </w:tr>
      <w:tr w:rsidR="005A559B" w:rsidRPr="00236110" w14:paraId="23D3CA3B" w14:textId="77777777" w:rsidTr="00832044">
        <w:trPr>
          <w:trHeight w:val="302"/>
        </w:trPr>
        <w:tc>
          <w:tcPr>
            <w:tcW w:w="1228" w:type="dxa"/>
            <w:tcBorders>
              <w:top w:val="nil"/>
              <w:left w:val="single" w:sz="4" w:space="0" w:color="auto"/>
              <w:bottom w:val="nil"/>
              <w:right w:val="nil"/>
            </w:tcBorders>
            <w:shd w:val="clear" w:color="auto" w:fill="auto"/>
            <w:noWrap/>
            <w:hideMark/>
          </w:tcPr>
          <w:p w14:paraId="17823FF2" w14:textId="77777777" w:rsidR="00F20129" w:rsidRPr="004A2618" w:rsidRDefault="00F20129" w:rsidP="004A2618">
            <w:pPr>
              <w:rPr>
                <w:rFonts w:cs="Arial"/>
                <w:sz w:val="20"/>
                <w:szCs w:val="20"/>
              </w:rPr>
            </w:pPr>
            <w:r w:rsidRPr="004A2618">
              <w:rPr>
                <w:rFonts w:cs="Arial"/>
                <w:sz w:val="20"/>
                <w:szCs w:val="20"/>
              </w:rPr>
              <w:t>FS 2-4</w:t>
            </w:r>
          </w:p>
        </w:tc>
        <w:tc>
          <w:tcPr>
            <w:tcW w:w="1229" w:type="dxa"/>
            <w:tcBorders>
              <w:top w:val="nil"/>
              <w:left w:val="nil"/>
              <w:bottom w:val="nil"/>
              <w:right w:val="nil"/>
            </w:tcBorders>
            <w:shd w:val="clear" w:color="auto" w:fill="auto"/>
            <w:noWrap/>
            <w:hideMark/>
          </w:tcPr>
          <w:p w14:paraId="7ADBD478" w14:textId="77777777" w:rsidR="00F20129" w:rsidRPr="004A2618" w:rsidRDefault="00F20129" w:rsidP="004A2618">
            <w:pPr>
              <w:rPr>
                <w:rFonts w:cs="Arial"/>
                <w:sz w:val="20"/>
                <w:szCs w:val="20"/>
              </w:rPr>
            </w:pPr>
            <w:r w:rsidRPr="004A2618">
              <w:rPr>
                <w:rFonts w:cs="Arial"/>
                <w:sz w:val="20"/>
                <w:szCs w:val="20"/>
              </w:rPr>
              <w:t>72856</w:t>
            </w:r>
          </w:p>
        </w:tc>
        <w:tc>
          <w:tcPr>
            <w:tcW w:w="1318" w:type="dxa"/>
            <w:tcBorders>
              <w:top w:val="nil"/>
              <w:left w:val="single" w:sz="4" w:space="0" w:color="auto"/>
              <w:bottom w:val="nil"/>
              <w:right w:val="single" w:sz="4" w:space="0" w:color="auto"/>
            </w:tcBorders>
            <w:shd w:val="clear" w:color="auto" w:fill="auto"/>
            <w:noWrap/>
            <w:hideMark/>
          </w:tcPr>
          <w:p w14:paraId="5E72EA37" w14:textId="77777777" w:rsidR="00F20129" w:rsidRPr="004A2618" w:rsidRDefault="00F20129" w:rsidP="004A2618">
            <w:pPr>
              <w:jc w:val="right"/>
              <w:rPr>
                <w:rFonts w:cs="Arial"/>
                <w:sz w:val="20"/>
                <w:szCs w:val="20"/>
              </w:rPr>
            </w:pPr>
            <w:r w:rsidRPr="004A2618">
              <w:rPr>
                <w:rFonts w:cs="Arial"/>
                <w:sz w:val="20"/>
                <w:szCs w:val="20"/>
              </w:rPr>
              <w:t>93</w:t>
            </w:r>
          </w:p>
        </w:tc>
        <w:tc>
          <w:tcPr>
            <w:tcW w:w="1228" w:type="dxa"/>
            <w:tcBorders>
              <w:top w:val="nil"/>
              <w:left w:val="nil"/>
              <w:bottom w:val="nil"/>
              <w:right w:val="single" w:sz="4" w:space="0" w:color="auto"/>
            </w:tcBorders>
            <w:shd w:val="clear" w:color="auto" w:fill="auto"/>
            <w:noWrap/>
            <w:hideMark/>
          </w:tcPr>
          <w:p w14:paraId="79902C19" w14:textId="77777777" w:rsidR="00F20129" w:rsidRPr="004A2618" w:rsidRDefault="00F20129" w:rsidP="004A2618">
            <w:pPr>
              <w:jc w:val="right"/>
              <w:rPr>
                <w:rFonts w:cs="Arial"/>
                <w:sz w:val="20"/>
                <w:szCs w:val="20"/>
              </w:rPr>
            </w:pPr>
            <w:r w:rsidRPr="004A2618">
              <w:rPr>
                <w:rFonts w:cs="Arial"/>
                <w:sz w:val="20"/>
                <w:szCs w:val="20"/>
              </w:rPr>
              <w:t>245.8</w:t>
            </w:r>
          </w:p>
        </w:tc>
        <w:tc>
          <w:tcPr>
            <w:tcW w:w="1817" w:type="dxa"/>
            <w:tcBorders>
              <w:top w:val="nil"/>
              <w:left w:val="nil"/>
              <w:bottom w:val="nil"/>
              <w:right w:val="single" w:sz="4" w:space="0" w:color="auto"/>
            </w:tcBorders>
            <w:shd w:val="clear" w:color="auto" w:fill="auto"/>
            <w:noWrap/>
            <w:hideMark/>
          </w:tcPr>
          <w:p w14:paraId="2AF8BF68" w14:textId="77777777" w:rsidR="00F20129" w:rsidRPr="004A2618" w:rsidRDefault="00F20129" w:rsidP="004A2618">
            <w:pPr>
              <w:jc w:val="right"/>
              <w:rPr>
                <w:rFonts w:cs="Arial"/>
                <w:sz w:val="20"/>
                <w:szCs w:val="20"/>
              </w:rPr>
            </w:pPr>
            <w:r w:rsidRPr="004A2618">
              <w:rPr>
                <w:rFonts w:cs="Arial"/>
                <w:sz w:val="20"/>
                <w:szCs w:val="20"/>
              </w:rPr>
              <w:t>22</w:t>
            </w:r>
            <w:r w:rsidR="00BB199C">
              <w:rPr>
                <w:rFonts w:cs="Arial"/>
                <w:sz w:val="20"/>
                <w:szCs w:val="20"/>
              </w:rPr>
              <w:t xml:space="preserve"> </w:t>
            </w:r>
            <w:r w:rsidRPr="004A2618">
              <w:rPr>
                <w:rFonts w:cs="Arial"/>
                <w:sz w:val="20"/>
                <w:szCs w:val="20"/>
              </w:rPr>
              <w:t>859.40</w:t>
            </w:r>
          </w:p>
        </w:tc>
      </w:tr>
      <w:tr w:rsidR="005A559B" w:rsidRPr="00236110" w14:paraId="0E2AB87A" w14:textId="77777777" w:rsidTr="00832044">
        <w:trPr>
          <w:trHeight w:val="302"/>
        </w:trPr>
        <w:tc>
          <w:tcPr>
            <w:tcW w:w="1228" w:type="dxa"/>
            <w:tcBorders>
              <w:top w:val="nil"/>
              <w:left w:val="single" w:sz="4" w:space="0" w:color="auto"/>
              <w:bottom w:val="single" w:sz="4" w:space="0" w:color="auto"/>
              <w:right w:val="nil"/>
            </w:tcBorders>
            <w:shd w:val="clear" w:color="auto" w:fill="auto"/>
            <w:noWrap/>
            <w:hideMark/>
          </w:tcPr>
          <w:p w14:paraId="0F01FDEC" w14:textId="77777777" w:rsidR="00F20129" w:rsidRPr="004A2618" w:rsidRDefault="00F20129" w:rsidP="004A2618">
            <w:pPr>
              <w:rPr>
                <w:rFonts w:cs="Arial"/>
                <w:sz w:val="20"/>
                <w:szCs w:val="20"/>
              </w:rPr>
            </w:pPr>
            <w:r w:rsidRPr="004A2618">
              <w:rPr>
                <w:rFonts w:cs="Arial"/>
                <w:sz w:val="20"/>
                <w:szCs w:val="20"/>
              </w:rPr>
              <w:t>FS 5+</w:t>
            </w:r>
          </w:p>
        </w:tc>
        <w:tc>
          <w:tcPr>
            <w:tcW w:w="1229" w:type="dxa"/>
            <w:tcBorders>
              <w:top w:val="nil"/>
              <w:left w:val="nil"/>
              <w:bottom w:val="single" w:sz="4" w:space="0" w:color="auto"/>
              <w:right w:val="single" w:sz="4" w:space="0" w:color="auto"/>
            </w:tcBorders>
            <w:shd w:val="clear" w:color="auto" w:fill="auto"/>
            <w:noWrap/>
            <w:hideMark/>
          </w:tcPr>
          <w:p w14:paraId="5A76FAF5" w14:textId="77777777" w:rsidR="00F20129" w:rsidRPr="004A2618" w:rsidRDefault="00F20129" w:rsidP="004A2618">
            <w:pPr>
              <w:rPr>
                <w:rFonts w:cs="Arial"/>
                <w:sz w:val="20"/>
                <w:szCs w:val="20"/>
              </w:rPr>
            </w:pPr>
            <w:r w:rsidRPr="004A2618">
              <w:rPr>
                <w:rFonts w:cs="Arial"/>
                <w:sz w:val="20"/>
                <w:szCs w:val="20"/>
              </w:rPr>
              <w:t>72857</w:t>
            </w:r>
          </w:p>
        </w:tc>
        <w:tc>
          <w:tcPr>
            <w:tcW w:w="1318" w:type="dxa"/>
            <w:tcBorders>
              <w:top w:val="nil"/>
              <w:left w:val="nil"/>
              <w:bottom w:val="single" w:sz="4" w:space="0" w:color="auto"/>
              <w:right w:val="single" w:sz="4" w:space="0" w:color="auto"/>
            </w:tcBorders>
            <w:shd w:val="clear" w:color="auto" w:fill="auto"/>
            <w:noWrap/>
            <w:hideMark/>
          </w:tcPr>
          <w:p w14:paraId="218679FF" w14:textId="77777777" w:rsidR="00F20129" w:rsidRPr="004A2618" w:rsidRDefault="00F20129" w:rsidP="004A2618">
            <w:pPr>
              <w:jc w:val="right"/>
              <w:rPr>
                <w:rFonts w:cs="Arial"/>
                <w:sz w:val="20"/>
                <w:szCs w:val="20"/>
              </w:rPr>
            </w:pPr>
            <w:r w:rsidRPr="004A2618">
              <w:rPr>
                <w:rFonts w:cs="Arial"/>
                <w:sz w:val="20"/>
                <w:szCs w:val="20"/>
              </w:rPr>
              <w:t>33</w:t>
            </w:r>
          </w:p>
        </w:tc>
        <w:tc>
          <w:tcPr>
            <w:tcW w:w="1228" w:type="dxa"/>
            <w:tcBorders>
              <w:top w:val="nil"/>
              <w:left w:val="nil"/>
              <w:bottom w:val="single" w:sz="4" w:space="0" w:color="auto"/>
              <w:right w:val="single" w:sz="4" w:space="0" w:color="auto"/>
            </w:tcBorders>
            <w:shd w:val="clear" w:color="auto" w:fill="auto"/>
            <w:noWrap/>
            <w:hideMark/>
          </w:tcPr>
          <w:p w14:paraId="3F03022E" w14:textId="77777777" w:rsidR="00F20129" w:rsidRPr="004A2618" w:rsidRDefault="00F20129" w:rsidP="004A2618">
            <w:pPr>
              <w:jc w:val="right"/>
              <w:rPr>
                <w:rFonts w:cs="Arial"/>
                <w:sz w:val="20"/>
                <w:szCs w:val="20"/>
              </w:rPr>
            </w:pPr>
            <w:r w:rsidRPr="004A2618">
              <w:rPr>
                <w:rFonts w:cs="Arial"/>
                <w:sz w:val="20"/>
                <w:szCs w:val="20"/>
              </w:rPr>
              <w:t>286.75</w:t>
            </w:r>
          </w:p>
        </w:tc>
        <w:tc>
          <w:tcPr>
            <w:tcW w:w="1817" w:type="dxa"/>
            <w:tcBorders>
              <w:top w:val="nil"/>
              <w:left w:val="nil"/>
              <w:bottom w:val="single" w:sz="4" w:space="0" w:color="auto"/>
              <w:right w:val="single" w:sz="4" w:space="0" w:color="auto"/>
            </w:tcBorders>
            <w:shd w:val="clear" w:color="auto" w:fill="auto"/>
            <w:noWrap/>
            <w:hideMark/>
          </w:tcPr>
          <w:p w14:paraId="717770AE" w14:textId="77777777" w:rsidR="00F20129" w:rsidRPr="004A2618" w:rsidRDefault="00F20129" w:rsidP="004A2618">
            <w:pPr>
              <w:jc w:val="right"/>
              <w:rPr>
                <w:rFonts w:cs="Arial"/>
                <w:sz w:val="20"/>
                <w:szCs w:val="20"/>
              </w:rPr>
            </w:pPr>
            <w:r w:rsidRPr="004A2618">
              <w:rPr>
                <w:rFonts w:cs="Arial"/>
                <w:sz w:val="20"/>
                <w:szCs w:val="20"/>
              </w:rPr>
              <w:t>9</w:t>
            </w:r>
            <w:r w:rsidR="00BB199C">
              <w:rPr>
                <w:rFonts w:cs="Arial"/>
                <w:sz w:val="20"/>
                <w:szCs w:val="20"/>
              </w:rPr>
              <w:t xml:space="preserve"> </w:t>
            </w:r>
            <w:r w:rsidRPr="004A2618">
              <w:rPr>
                <w:rFonts w:cs="Arial"/>
                <w:sz w:val="20"/>
                <w:szCs w:val="20"/>
              </w:rPr>
              <w:t>462.75</w:t>
            </w:r>
          </w:p>
        </w:tc>
      </w:tr>
      <w:tr w:rsidR="005A559B" w:rsidRPr="00236110" w14:paraId="63222619" w14:textId="77777777" w:rsidTr="00832044">
        <w:trPr>
          <w:trHeight w:val="302"/>
        </w:trPr>
        <w:tc>
          <w:tcPr>
            <w:tcW w:w="1228" w:type="dxa"/>
            <w:tcBorders>
              <w:top w:val="nil"/>
              <w:left w:val="single" w:sz="4" w:space="0" w:color="auto"/>
              <w:bottom w:val="single" w:sz="4" w:space="0" w:color="auto"/>
              <w:right w:val="nil"/>
            </w:tcBorders>
            <w:shd w:val="clear" w:color="auto" w:fill="auto"/>
            <w:noWrap/>
            <w:hideMark/>
          </w:tcPr>
          <w:p w14:paraId="17F3DE24" w14:textId="77777777" w:rsidR="00F20129" w:rsidRPr="004A2618" w:rsidRDefault="00F20129" w:rsidP="005C2B0D">
            <w:pPr>
              <w:spacing w:before="0" w:after="0"/>
              <w:rPr>
                <w:rFonts w:ascii="Calibri" w:hAnsi="Calibri"/>
                <w:b/>
                <w:szCs w:val="22"/>
              </w:rPr>
            </w:pPr>
          </w:p>
        </w:tc>
        <w:tc>
          <w:tcPr>
            <w:tcW w:w="1229" w:type="dxa"/>
            <w:tcBorders>
              <w:top w:val="nil"/>
              <w:left w:val="nil"/>
              <w:bottom w:val="single" w:sz="4" w:space="0" w:color="auto"/>
              <w:right w:val="nil"/>
            </w:tcBorders>
            <w:shd w:val="clear" w:color="auto" w:fill="auto"/>
            <w:noWrap/>
            <w:hideMark/>
          </w:tcPr>
          <w:p w14:paraId="019DB8F0" w14:textId="77777777" w:rsidR="00F20129" w:rsidRPr="004A2618" w:rsidRDefault="00F20129" w:rsidP="004A2618">
            <w:pPr>
              <w:rPr>
                <w:rFonts w:cs="Arial"/>
                <w:b/>
                <w:sz w:val="20"/>
                <w:szCs w:val="20"/>
              </w:rPr>
            </w:pPr>
          </w:p>
        </w:tc>
        <w:tc>
          <w:tcPr>
            <w:tcW w:w="1318" w:type="dxa"/>
            <w:tcBorders>
              <w:top w:val="nil"/>
              <w:left w:val="single" w:sz="4" w:space="0" w:color="auto"/>
              <w:bottom w:val="single" w:sz="4" w:space="0" w:color="auto"/>
              <w:right w:val="single" w:sz="4" w:space="0" w:color="auto"/>
            </w:tcBorders>
            <w:shd w:val="clear" w:color="auto" w:fill="auto"/>
            <w:noWrap/>
            <w:hideMark/>
          </w:tcPr>
          <w:p w14:paraId="1ACC88F6" w14:textId="77777777" w:rsidR="00F20129" w:rsidRPr="004A2618" w:rsidRDefault="00F20129" w:rsidP="004A2618">
            <w:pPr>
              <w:jc w:val="right"/>
              <w:rPr>
                <w:rFonts w:cs="Arial"/>
                <w:b/>
                <w:sz w:val="20"/>
                <w:szCs w:val="20"/>
              </w:rPr>
            </w:pPr>
            <w:r w:rsidRPr="004A2618">
              <w:rPr>
                <w:rFonts w:cs="Arial"/>
                <w:b/>
                <w:sz w:val="20"/>
                <w:szCs w:val="20"/>
              </w:rPr>
              <w:t>293</w:t>
            </w:r>
          </w:p>
        </w:tc>
        <w:tc>
          <w:tcPr>
            <w:tcW w:w="1228" w:type="dxa"/>
            <w:tcBorders>
              <w:top w:val="nil"/>
              <w:left w:val="nil"/>
              <w:bottom w:val="single" w:sz="4" w:space="0" w:color="auto"/>
              <w:right w:val="single" w:sz="4" w:space="0" w:color="auto"/>
            </w:tcBorders>
            <w:shd w:val="clear" w:color="auto" w:fill="auto"/>
            <w:noWrap/>
            <w:hideMark/>
          </w:tcPr>
          <w:p w14:paraId="33AEFA92" w14:textId="77777777" w:rsidR="00F20129" w:rsidRPr="004A2618" w:rsidRDefault="00F20129" w:rsidP="004A2618">
            <w:pPr>
              <w:rPr>
                <w:rFonts w:cs="Arial"/>
                <w:b/>
                <w:sz w:val="20"/>
                <w:szCs w:val="20"/>
              </w:rPr>
            </w:pPr>
          </w:p>
        </w:tc>
        <w:tc>
          <w:tcPr>
            <w:tcW w:w="1817" w:type="dxa"/>
            <w:tcBorders>
              <w:top w:val="nil"/>
              <w:left w:val="nil"/>
              <w:bottom w:val="single" w:sz="4" w:space="0" w:color="auto"/>
              <w:right w:val="single" w:sz="4" w:space="0" w:color="auto"/>
            </w:tcBorders>
            <w:shd w:val="clear" w:color="auto" w:fill="auto"/>
            <w:noWrap/>
            <w:hideMark/>
          </w:tcPr>
          <w:p w14:paraId="5ACF70AB" w14:textId="77777777" w:rsidR="00F20129" w:rsidRPr="004A2618" w:rsidRDefault="00F20129" w:rsidP="004A2618">
            <w:pPr>
              <w:jc w:val="right"/>
              <w:rPr>
                <w:rFonts w:cs="Arial"/>
                <w:b/>
                <w:sz w:val="20"/>
                <w:szCs w:val="20"/>
              </w:rPr>
            </w:pPr>
            <w:r w:rsidRPr="004A2618">
              <w:rPr>
                <w:rFonts w:cs="Arial"/>
                <w:b/>
                <w:sz w:val="20"/>
                <w:szCs w:val="20"/>
              </w:rPr>
              <w:t>63</w:t>
            </w:r>
            <w:r w:rsidR="00BB199C">
              <w:rPr>
                <w:rFonts w:cs="Arial"/>
                <w:b/>
                <w:sz w:val="20"/>
                <w:szCs w:val="20"/>
              </w:rPr>
              <w:t xml:space="preserve"> </w:t>
            </w:r>
            <w:r w:rsidRPr="004A2618">
              <w:rPr>
                <w:rFonts w:cs="Arial"/>
                <w:b/>
                <w:sz w:val="20"/>
                <w:szCs w:val="20"/>
              </w:rPr>
              <w:t>108.60</w:t>
            </w:r>
          </w:p>
        </w:tc>
      </w:tr>
      <w:tr w:rsidR="005A559B" w:rsidRPr="00236110" w14:paraId="221E9475" w14:textId="77777777" w:rsidTr="00832044">
        <w:trPr>
          <w:trHeight w:val="302"/>
        </w:trPr>
        <w:tc>
          <w:tcPr>
            <w:tcW w:w="245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C8AAA" w14:textId="77777777" w:rsidR="00F20129" w:rsidRPr="004A2618" w:rsidRDefault="00F20129" w:rsidP="004A2618">
            <w:pPr>
              <w:rPr>
                <w:rFonts w:cs="Arial"/>
                <w:b/>
                <w:sz w:val="20"/>
                <w:szCs w:val="20"/>
              </w:rPr>
            </w:pPr>
            <w:r w:rsidRPr="004A2618">
              <w:rPr>
                <w:rFonts w:cs="Arial"/>
                <w:b/>
                <w:sz w:val="20"/>
                <w:szCs w:val="20"/>
              </w:rPr>
              <w:t>UNCONED</w:t>
            </w:r>
          </w:p>
        </w:tc>
        <w:tc>
          <w:tcPr>
            <w:tcW w:w="1318" w:type="dxa"/>
            <w:tcBorders>
              <w:top w:val="nil"/>
              <w:left w:val="nil"/>
              <w:bottom w:val="single" w:sz="4" w:space="0" w:color="auto"/>
              <w:right w:val="single" w:sz="4" w:space="0" w:color="auto"/>
            </w:tcBorders>
            <w:shd w:val="clear" w:color="auto" w:fill="auto"/>
            <w:noWrap/>
            <w:vAlign w:val="bottom"/>
            <w:hideMark/>
          </w:tcPr>
          <w:p w14:paraId="52005FB8" w14:textId="77777777" w:rsidR="00F20129" w:rsidRPr="004A2618" w:rsidRDefault="00F20129" w:rsidP="004A2618">
            <w:pPr>
              <w:rPr>
                <w:rFonts w:cs="Arial"/>
                <w:b/>
                <w:sz w:val="20"/>
                <w:szCs w:val="20"/>
              </w:rPr>
            </w:pPr>
            <w:proofErr w:type="spellStart"/>
            <w:proofErr w:type="gramStart"/>
            <w:r w:rsidRPr="004A2618">
              <w:rPr>
                <w:rFonts w:cs="Arial"/>
                <w:b/>
                <w:sz w:val="20"/>
                <w:szCs w:val="20"/>
              </w:rPr>
              <w:t>No.Items</w:t>
            </w:r>
            <w:proofErr w:type="spellEnd"/>
            <w:proofErr w:type="gramEnd"/>
          </w:p>
        </w:tc>
        <w:tc>
          <w:tcPr>
            <w:tcW w:w="1228" w:type="dxa"/>
            <w:tcBorders>
              <w:top w:val="nil"/>
              <w:left w:val="nil"/>
              <w:bottom w:val="single" w:sz="4" w:space="0" w:color="auto"/>
              <w:right w:val="single" w:sz="4" w:space="0" w:color="auto"/>
            </w:tcBorders>
            <w:shd w:val="clear" w:color="auto" w:fill="auto"/>
            <w:noWrap/>
            <w:vAlign w:val="bottom"/>
            <w:hideMark/>
          </w:tcPr>
          <w:p w14:paraId="7364E604" w14:textId="77777777" w:rsidR="00F20129" w:rsidRPr="004A2618" w:rsidRDefault="00F20129" w:rsidP="004A2618">
            <w:pPr>
              <w:rPr>
                <w:rFonts w:cs="Arial"/>
                <w:b/>
                <w:sz w:val="20"/>
                <w:szCs w:val="20"/>
              </w:rPr>
            </w:pPr>
            <w:r w:rsidRPr="004A2618">
              <w:rPr>
                <w:rFonts w:cs="Arial"/>
                <w:b/>
                <w:sz w:val="20"/>
                <w:szCs w:val="20"/>
              </w:rPr>
              <w:t>Rebate</w:t>
            </w:r>
          </w:p>
        </w:tc>
        <w:tc>
          <w:tcPr>
            <w:tcW w:w="1817" w:type="dxa"/>
            <w:tcBorders>
              <w:top w:val="nil"/>
              <w:left w:val="nil"/>
              <w:bottom w:val="single" w:sz="4" w:space="0" w:color="auto"/>
              <w:right w:val="single" w:sz="4" w:space="0" w:color="auto"/>
            </w:tcBorders>
            <w:shd w:val="clear" w:color="auto" w:fill="auto"/>
            <w:noWrap/>
            <w:vAlign w:val="bottom"/>
            <w:hideMark/>
          </w:tcPr>
          <w:p w14:paraId="00D90EEF" w14:textId="77777777" w:rsidR="00F20129" w:rsidRPr="004A2618" w:rsidRDefault="00F20129" w:rsidP="004A2618">
            <w:pPr>
              <w:rPr>
                <w:rFonts w:cs="Arial"/>
                <w:b/>
                <w:sz w:val="20"/>
                <w:szCs w:val="20"/>
              </w:rPr>
            </w:pPr>
            <w:r w:rsidRPr="004A2618">
              <w:rPr>
                <w:rFonts w:cs="Arial"/>
                <w:b/>
                <w:sz w:val="20"/>
                <w:szCs w:val="20"/>
              </w:rPr>
              <w:t>Nominal Total</w:t>
            </w:r>
          </w:p>
        </w:tc>
      </w:tr>
      <w:tr w:rsidR="005A559B" w:rsidRPr="00236110" w14:paraId="262B0BEA" w14:textId="77777777" w:rsidTr="00832044">
        <w:trPr>
          <w:trHeight w:val="302"/>
        </w:trPr>
        <w:tc>
          <w:tcPr>
            <w:tcW w:w="1228" w:type="dxa"/>
            <w:tcBorders>
              <w:top w:val="nil"/>
              <w:left w:val="single" w:sz="4" w:space="0" w:color="auto"/>
              <w:bottom w:val="single" w:sz="4" w:space="0" w:color="auto"/>
              <w:right w:val="nil"/>
            </w:tcBorders>
            <w:shd w:val="clear" w:color="auto" w:fill="auto"/>
            <w:noWrap/>
            <w:vAlign w:val="bottom"/>
            <w:hideMark/>
          </w:tcPr>
          <w:p w14:paraId="0A3217BD" w14:textId="77777777" w:rsidR="00F20129" w:rsidRPr="004A2618" w:rsidRDefault="00F20129" w:rsidP="004A2618">
            <w:pPr>
              <w:jc w:val="right"/>
              <w:rPr>
                <w:rFonts w:cs="Arial"/>
                <w:sz w:val="20"/>
                <w:szCs w:val="20"/>
              </w:rPr>
            </w:pPr>
            <w:r w:rsidRPr="004A2618">
              <w:rPr>
                <w:rFonts w:cs="Arial"/>
                <w:sz w:val="20"/>
                <w:szCs w:val="20"/>
              </w:rPr>
              <w:t>FS</w:t>
            </w:r>
          </w:p>
        </w:tc>
        <w:tc>
          <w:tcPr>
            <w:tcW w:w="1229" w:type="dxa"/>
            <w:tcBorders>
              <w:top w:val="nil"/>
              <w:left w:val="nil"/>
              <w:bottom w:val="single" w:sz="4" w:space="0" w:color="auto"/>
              <w:right w:val="nil"/>
            </w:tcBorders>
            <w:shd w:val="clear" w:color="auto" w:fill="auto"/>
            <w:noWrap/>
            <w:vAlign w:val="bottom"/>
            <w:hideMark/>
          </w:tcPr>
          <w:p w14:paraId="3EC5545C" w14:textId="77777777" w:rsidR="00F20129" w:rsidRPr="004A2618" w:rsidRDefault="00F20129" w:rsidP="004A2618">
            <w:pPr>
              <w:jc w:val="right"/>
              <w:rPr>
                <w:rFonts w:cs="Arial"/>
                <w:sz w:val="20"/>
                <w:szCs w:val="20"/>
              </w:rPr>
            </w:pPr>
            <w:r w:rsidRPr="004A2618">
              <w:rPr>
                <w:rFonts w:cs="Arial"/>
                <w:sz w:val="20"/>
                <w:szCs w:val="20"/>
              </w:rPr>
              <w:t>72855</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33423370" w14:textId="77777777" w:rsidR="00F20129" w:rsidRPr="004A2618" w:rsidRDefault="00F20129" w:rsidP="004A2618">
            <w:pPr>
              <w:jc w:val="right"/>
              <w:rPr>
                <w:rFonts w:cs="Arial"/>
                <w:sz w:val="20"/>
                <w:szCs w:val="20"/>
              </w:rPr>
            </w:pPr>
            <w:r w:rsidRPr="004A2618">
              <w:rPr>
                <w:rFonts w:cs="Arial"/>
                <w:sz w:val="20"/>
                <w:szCs w:val="20"/>
              </w:rPr>
              <w:t>944</w:t>
            </w:r>
          </w:p>
        </w:tc>
        <w:tc>
          <w:tcPr>
            <w:tcW w:w="1228" w:type="dxa"/>
            <w:tcBorders>
              <w:top w:val="nil"/>
              <w:left w:val="nil"/>
              <w:bottom w:val="single" w:sz="4" w:space="0" w:color="auto"/>
              <w:right w:val="single" w:sz="4" w:space="0" w:color="auto"/>
            </w:tcBorders>
            <w:shd w:val="clear" w:color="auto" w:fill="auto"/>
            <w:noWrap/>
            <w:vAlign w:val="bottom"/>
            <w:hideMark/>
          </w:tcPr>
          <w:p w14:paraId="0DBC21F6" w14:textId="77777777" w:rsidR="00F20129" w:rsidRPr="004A2618" w:rsidRDefault="00F20129" w:rsidP="004A2618">
            <w:pPr>
              <w:jc w:val="right"/>
              <w:rPr>
                <w:rFonts w:cs="Arial"/>
                <w:sz w:val="20"/>
                <w:szCs w:val="20"/>
              </w:rPr>
            </w:pPr>
            <w:r w:rsidRPr="004A2618">
              <w:rPr>
                <w:rFonts w:cs="Arial"/>
                <w:sz w:val="20"/>
                <w:szCs w:val="20"/>
              </w:rPr>
              <w:t>184.35</w:t>
            </w:r>
          </w:p>
        </w:tc>
        <w:tc>
          <w:tcPr>
            <w:tcW w:w="1817" w:type="dxa"/>
            <w:tcBorders>
              <w:top w:val="nil"/>
              <w:left w:val="nil"/>
              <w:bottom w:val="single" w:sz="4" w:space="0" w:color="auto"/>
              <w:right w:val="single" w:sz="4" w:space="0" w:color="auto"/>
            </w:tcBorders>
            <w:shd w:val="clear" w:color="auto" w:fill="auto"/>
            <w:noWrap/>
            <w:vAlign w:val="bottom"/>
            <w:hideMark/>
          </w:tcPr>
          <w:p w14:paraId="056F9EC8" w14:textId="77777777" w:rsidR="00F20129" w:rsidRPr="004A2618" w:rsidRDefault="00F20129" w:rsidP="004A2618">
            <w:pPr>
              <w:jc w:val="right"/>
              <w:rPr>
                <w:rFonts w:cs="Arial"/>
                <w:sz w:val="20"/>
                <w:szCs w:val="20"/>
              </w:rPr>
            </w:pPr>
            <w:r w:rsidRPr="004A2618">
              <w:rPr>
                <w:rFonts w:cs="Arial"/>
                <w:sz w:val="20"/>
                <w:szCs w:val="20"/>
              </w:rPr>
              <w:t>174</w:t>
            </w:r>
            <w:r w:rsidR="00BB199C">
              <w:rPr>
                <w:rFonts w:cs="Arial"/>
                <w:sz w:val="20"/>
                <w:szCs w:val="20"/>
              </w:rPr>
              <w:t xml:space="preserve"> </w:t>
            </w:r>
            <w:r w:rsidRPr="004A2618">
              <w:rPr>
                <w:rFonts w:cs="Arial"/>
                <w:sz w:val="20"/>
                <w:szCs w:val="20"/>
              </w:rPr>
              <w:t>026.40</w:t>
            </w:r>
          </w:p>
        </w:tc>
      </w:tr>
    </w:tbl>
    <w:p w14:paraId="5C74DEC2" w14:textId="77777777" w:rsidR="000A0369" w:rsidRPr="00716920" w:rsidRDefault="005C2B0D" w:rsidP="00716920">
      <w:pPr>
        <w:pStyle w:val="NormalBulleted"/>
        <w:rPr>
          <w:rFonts w:eastAsiaTheme="minorHAnsi"/>
          <w:bCs/>
          <w:iCs/>
          <w:sz w:val="26"/>
          <w:lang w:val="en-US" w:eastAsia="en-US"/>
        </w:rPr>
      </w:pPr>
      <w:r w:rsidRPr="00716920">
        <w:rPr>
          <w:lang w:val="en-US" w:eastAsia="en-US"/>
        </w:rPr>
        <w:t xml:space="preserve">The </w:t>
      </w:r>
      <w:r w:rsidRPr="00716920">
        <w:rPr>
          <w:rFonts w:eastAsia="Calibri"/>
          <w:lang w:eastAsia="en-US"/>
        </w:rPr>
        <w:t>current coning rules mean that the effective rebate for multiple specimens is not commensurate with the effort required</w:t>
      </w:r>
      <w:r w:rsidR="008F09D8" w:rsidRPr="00716920">
        <w:rPr>
          <w:rFonts w:eastAsia="Calibri"/>
          <w:lang w:eastAsia="en-US"/>
        </w:rPr>
        <w:t>.</w:t>
      </w:r>
      <w:r w:rsidR="00640740" w:rsidRPr="00716920">
        <w:rPr>
          <w:rFonts w:eastAsia="Calibri"/>
          <w:lang w:eastAsia="en-US"/>
        </w:rPr>
        <w:t xml:space="preserve"> </w:t>
      </w:r>
      <w:r w:rsidRPr="00716920">
        <w:rPr>
          <w:rFonts w:eastAsia="Calibri"/>
          <w:lang w:eastAsia="en-US"/>
        </w:rPr>
        <w:t xml:space="preserve">The effective rebate with increasing numbers of specimens is shown in </w:t>
      </w:r>
      <w:r w:rsidRPr="00716920">
        <w:rPr>
          <w:rFonts w:eastAsia="Calibri"/>
          <w:i/>
          <w:lang w:eastAsia="en-US"/>
        </w:rPr>
        <w:t xml:space="preserve">Figure </w:t>
      </w:r>
      <w:r w:rsidR="00361DDE" w:rsidRPr="00716920">
        <w:rPr>
          <w:rFonts w:eastAsia="Calibri"/>
          <w:i/>
          <w:lang w:eastAsia="en-US"/>
        </w:rPr>
        <w:t>12,</w:t>
      </w:r>
      <w:r w:rsidRPr="00716920">
        <w:rPr>
          <w:rFonts w:eastAsia="Calibri"/>
          <w:lang w:eastAsia="en-US"/>
        </w:rPr>
        <w:t xml:space="preserve"> along with potential rebate if the </w:t>
      </w:r>
      <w:r w:rsidR="00E21D75" w:rsidRPr="00716920">
        <w:rPr>
          <w:rFonts w:eastAsia="Calibri"/>
          <w:lang w:eastAsia="en-US"/>
        </w:rPr>
        <w:t>‘</w:t>
      </w:r>
      <w:r w:rsidRPr="00716920">
        <w:rPr>
          <w:rFonts w:eastAsia="Calibri"/>
          <w:lang w:eastAsia="en-US"/>
        </w:rPr>
        <w:t>Surgical</w:t>
      </w:r>
      <w:r w:rsidR="00E21D75" w:rsidRPr="00716920">
        <w:rPr>
          <w:rFonts w:eastAsia="Calibri"/>
          <w:lang w:eastAsia="en-US"/>
        </w:rPr>
        <w:t xml:space="preserve">’ </w:t>
      </w:r>
      <w:r w:rsidR="008F09D8" w:rsidRPr="00716920">
        <w:rPr>
          <w:rFonts w:eastAsia="Calibri"/>
          <w:lang w:eastAsia="en-US"/>
        </w:rPr>
        <w:t xml:space="preserve">100/50/25 </w:t>
      </w:r>
      <w:r w:rsidRPr="00716920">
        <w:rPr>
          <w:rFonts w:eastAsia="Calibri"/>
          <w:lang w:eastAsia="en-US"/>
        </w:rPr>
        <w:t>model was employed.</w:t>
      </w:r>
    </w:p>
    <w:p w14:paraId="0A928EA6" w14:textId="77777777" w:rsidR="00E722BB" w:rsidRPr="009F34E0" w:rsidRDefault="00E722BB" w:rsidP="004A2618">
      <w:pPr>
        <w:pStyle w:val="Caption"/>
        <w:rPr>
          <w:rFonts w:eastAsia="Calibri"/>
        </w:rPr>
      </w:pPr>
      <w:bookmarkStart w:id="87" w:name="_Toc482213887"/>
      <w:r>
        <w:t xml:space="preserve">Figure </w:t>
      </w:r>
      <w:r w:rsidR="00361DDE">
        <w:t>12</w:t>
      </w:r>
      <w:r>
        <w:t xml:space="preserve">. </w:t>
      </w:r>
      <w:r w:rsidRPr="00FC744E">
        <w:t>Current effe</w:t>
      </w:r>
      <w:r>
        <w:t>ctive rebate per Frozen Section</w:t>
      </w:r>
      <w:r w:rsidRPr="00FC744E">
        <w:t xml:space="preserve"> with increasing numbers of specimens compared with the </w:t>
      </w:r>
      <w:r w:rsidR="004A2618">
        <w:t>‘</w:t>
      </w:r>
      <w:r w:rsidRPr="00FC744E">
        <w:t>Surgical</w:t>
      </w:r>
      <w:r w:rsidR="004A2618">
        <w:t>’</w:t>
      </w:r>
      <w:r w:rsidRPr="00FC744E">
        <w:t xml:space="preserve"> model.</w:t>
      </w:r>
      <w:bookmarkEnd w:id="87"/>
    </w:p>
    <w:p w14:paraId="33772570" w14:textId="77777777" w:rsidR="009F34E0" w:rsidRDefault="0059742E" w:rsidP="00E5505C">
      <w:pPr>
        <w:spacing w:before="120" w:after="120" w:line="360" w:lineRule="auto"/>
        <w:ind w:right="142"/>
        <w:rPr>
          <w:lang w:val="en-US" w:eastAsia="en-US"/>
        </w:rPr>
      </w:pPr>
      <w:r>
        <w:rPr>
          <w:noProof/>
          <w:lang w:val="en-AU"/>
        </w:rPr>
        <w:drawing>
          <wp:inline distT="0" distB="0" distL="0" distR="0" wp14:anchorId="576DEEF5" wp14:editId="42A37AC0">
            <wp:extent cx="4314825" cy="2724150"/>
            <wp:effectExtent l="0" t="0" r="0" b="0"/>
            <wp:docPr id="11" name="Chart 11" descr="This is a line chart showing the current effective rebate per Frozen Section with increasing numbers of specimens compared with the ‘Surgical’ model."/>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E3F6D3" w14:textId="77777777" w:rsidR="00640740" w:rsidRPr="00143929" w:rsidRDefault="00E5505C" w:rsidP="00774742">
      <w:pPr>
        <w:pStyle w:val="NormalBulleted"/>
        <w:rPr>
          <w:rFonts w:eastAsiaTheme="minorHAnsi"/>
          <w:bCs/>
          <w:iCs/>
          <w:sz w:val="26"/>
          <w:lang w:val="en-US" w:eastAsia="en-US"/>
        </w:rPr>
      </w:pPr>
      <w:r w:rsidRPr="009E17C1">
        <w:rPr>
          <w:lang w:eastAsia="en-US"/>
        </w:rPr>
        <w:t xml:space="preserve">If this work is not appropriately funded and continues to be cross-subsidised, </w:t>
      </w:r>
      <w:r w:rsidR="001A5CFC">
        <w:rPr>
          <w:lang w:eastAsia="en-US"/>
        </w:rPr>
        <w:t xml:space="preserve">the availability </w:t>
      </w:r>
      <w:r w:rsidR="009F34E0">
        <w:rPr>
          <w:lang w:eastAsia="en-US"/>
        </w:rPr>
        <w:t xml:space="preserve">of </w:t>
      </w:r>
      <w:r w:rsidR="001A5CFC">
        <w:rPr>
          <w:lang w:eastAsia="en-US"/>
        </w:rPr>
        <w:t xml:space="preserve">frozen section services, particularly in regional centres, will continue to diminish, as pathology practices cannot justify the </w:t>
      </w:r>
      <w:r w:rsidR="005A559B">
        <w:rPr>
          <w:lang w:eastAsia="en-US"/>
        </w:rPr>
        <w:t xml:space="preserve">extended </w:t>
      </w:r>
      <w:r w:rsidR="001A5CFC">
        <w:rPr>
          <w:lang w:eastAsia="en-US"/>
        </w:rPr>
        <w:t>pathologist availability required for the</w:t>
      </w:r>
      <w:r w:rsidR="00A70E48">
        <w:rPr>
          <w:lang w:eastAsia="en-US"/>
        </w:rPr>
        <w:t>m.</w:t>
      </w:r>
      <w:r w:rsidRPr="009E17C1">
        <w:rPr>
          <w:lang w:eastAsia="en-US"/>
        </w:rPr>
        <w:t xml:space="preserve"> </w:t>
      </w:r>
    </w:p>
    <w:p w14:paraId="5081053F" w14:textId="77777777" w:rsidR="004047E9" w:rsidRPr="00143929" w:rsidRDefault="00640740" w:rsidP="00774742">
      <w:pPr>
        <w:pStyle w:val="NormalBulleted"/>
        <w:rPr>
          <w:rFonts w:eastAsiaTheme="minorHAnsi"/>
          <w:b/>
          <w:bCs/>
          <w:iCs/>
          <w:sz w:val="26"/>
          <w:lang w:val="en-US" w:eastAsia="en-US"/>
        </w:rPr>
      </w:pPr>
      <w:r>
        <w:rPr>
          <w:lang w:eastAsia="en-US"/>
        </w:rPr>
        <w:t>Releasing pathologists for extended periods to attend frozen sections impacts on the workload of other pathologists in the laboratory and/or on the turn-around times of other work.</w:t>
      </w:r>
    </w:p>
    <w:p w14:paraId="00B320D3" w14:textId="77777777" w:rsidR="00640740" w:rsidRPr="00143929" w:rsidRDefault="00640740" w:rsidP="00774742">
      <w:pPr>
        <w:pStyle w:val="NormalBulleted"/>
        <w:rPr>
          <w:rFonts w:eastAsiaTheme="minorHAnsi"/>
          <w:lang w:val="en-US" w:eastAsia="en-US"/>
        </w:rPr>
      </w:pPr>
      <w:r w:rsidRPr="004F476E">
        <w:rPr>
          <w:rFonts w:eastAsiaTheme="minorHAnsi"/>
          <w:lang w:val="en-US" w:eastAsia="en-US"/>
        </w:rPr>
        <w:t xml:space="preserve">Some private laboratories have already indicated their unwillingness to offer frozen section </w:t>
      </w:r>
      <w:proofErr w:type="gramStart"/>
      <w:r w:rsidRPr="004F476E">
        <w:rPr>
          <w:rFonts w:eastAsiaTheme="minorHAnsi"/>
          <w:lang w:val="en-US" w:eastAsia="en-US"/>
        </w:rPr>
        <w:t>services, or</w:t>
      </w:r>
      <w:proofErr w:type="gramEnd"/>
      <w:r w:rsidRPr="004F476E">
        <w:rPr>
          <w:rFonts w:eastAsiaTheme="minorHAnsi"/>
          <w:lang w:val="en-US" w:eastAsia="en-US"/>
        </w:rPr>
        <w:t xml:space="preserve"> have found it necessary to impose substantial out</w:t>
      </w:r>
      <w:r w:rsidR="008D5ABC">
        <w:rPr>
          <w:rFonts w:eastAsiaTheme="minorHAnsi"/>
          <w:lang w:val="en-US" w:eastAsia="en-US"/>
        </w:rPr>
        <w:t>-</w:t>
      </w:r>
      <w:r w:rsidRPr="004F476E">
        <w:rPr>
          <w:rFonts w:eastAsiaTheme="minorHAnsi"/>
          <w:lang w:val="en-US" w:eastAsia="en-US"/>
        </w:rPr>
        <w:t>of</w:t>
      </w:r>
      <w:r w:rsidR="008D5ABC">
        <w:rPr>
          <w:rFonts w:eastAsiaTheme="minorHAnsi"/>
          <w:lang w:val="en-US" w:eastAsia="en-US"/>
        </w:rPr>
        <w:t>-</w:t>
      </w:r>
      <w:r w:rsidRPr="004F476E">
        <w:rPr>
          <w:rFonts w:eastAsiaTheme="minorHAnsi"/>
          <w:lang w:val="en-US" w:eastAsia="en-US"/>
        </w:rPr>
        <w:t>pocket charges, particularly for out-of-hours attendances.</w:t>
      </w:r>
    </w:p>
    <w:p w14:paraId="72FEF772" w14:textId="77777777" w:rsidR="008D5ABC" w:rsidRPr="004A2618" w:rsidRDefault="00525F33" w:rsidP="00774742">
      <w:pPr>
        <w:pStyle w:val="NormalBulleted"/>
        <w:rPr>
          <w:rFonts w:eastAsiaTheme="minorHAnsi"/>
          <w:b/>
          <w:bCs/>
          <w:iCs/>
          <w:sz w:val="26"/>
          <w:lang w:val="en-US" w:eastAsia="en-US"/>
        </w:rPr>
      </w:pPr>
      <w:r w:rsidRPr="0063444B">
        <w:t xml:space="preserve">A shortage of </w:t>
      </w:r>
      <w:r w:rsidR="008D5ABC">
        <w:t>h</w:t>
      </w:r>
      <w:r w:rsidR="008D5ABC" w:rsidRPr="0063444B">
        <w:t xml:space="preserve">istopathologists </w:t>
      </w:r>
      <w:r w:rsidRPr="0063444B">
        <w:t xml:space="preserve">and technicians (particularly in regional centres) has meant that in some </w:t>
      </w:r>
      <w:proofErr w:type="gramStart"/>
      <w:r w:rsidRPr="0063444B">
        <w:t>centres</w:t>
      </w:r>
      <w:proofErr w:type="gramEnd"/>
      <w:r w:rsidRPr="0063444B">
        <w:t xml:space="preserve"> intraoperative histopathological examination of tissue specimens (frozen sections) can no longer be performed. This means that patients will </w:t>
      </w:r>
      <w:r>
        <w:t>either</w:t>
      </w:r>
      <w:r w:rsidRPr="0063444B">
        <w:t xml:space="preserve"> have to undergo a separate second operative procedure (with the inherent risks of a second anaesthetic) at a later date rather than have a definitive single </w:t>
      </w:r>
      <w:proofErr w:type="gramStart"/>
      <w:r w:rsidRPr="0063444B">
        <w:t>procedure</w:t>
      </w:r>
      <w:r>
        <w:t>, or</w:t>
      </w:r>
      <w:proofErr w:type="gramEnd"/>
      <w:r>
        <w:t xml:space="preserve"> travel large distances to a tertiary referral centre for their treatment</w:t>
      </w:r>
      <w:r w:rsidRPr="0063444B">
        <w:t>.</w:t>
      </w:r>
    </w:p>
    <w:p w14:paraId="3A67C47B" w14:textId="77777777" w:rsidR="006E5388" w:rsidRDefault="006E5388" w:rsidP="00191B32">
      <w:pPr>
        <w:pStyle w:val="NormalBulleted"/>
        <w:numPr>
          <w:ilvl w:val="0"/>
          <w:numId w:val="0"/>
        </w:numPr>
        <w:rPr>
          <w:rFonts w:eastAsiaTheme="minorHAnsi"/>
          <w:sz w:val="26"/>
          <w:lang w:val="en-US" w:eastAsia="en-US"/>
        </w:rPr>
      </w:pPr>
    </w:p>
    <w:p w14:paraId="39E96FA3" w14:textId="77777777" w:rsidR="000A0369" w:rsidRPr="001F743D" w:rsidRDefault="000A0369" w:rsidP="00716920">
      <w:pPr>
        <w:pStyle w:val="Heading2"/>
        <w:numPr>
          <w:ilvl w:val="0"/>
          <w:numId w:val="0"/>
        </w:numPr>
        <w:ind w:left="567" w:hanging="567"/>
      </w:pPr>
      <w:bookmarkStart w:id="88" w:name="_Toc514243837"/>
      <w:bookmarkStart w:id="89" w:name="_Toc482203591"/>
      <w:r>
        <w:t xml:space="preserve">4.7 </w:t>
      </w:r>
      <w:r>
        <w:tab/>
        <w:t>Second Opinion Items</w:t>
      </w:r>
      <w:bookmarkEnd w:id="88"/>
    </w:p>
    <w:bookmarkEnd w:id="89"/>
    <w:p w14:paraId="4B6C8898" w14:textId="77777777" w:rsidR="000A0369" w:rsidRPr="00716920" w:rsidRDefault="000A0369" w:rsidP="000A0369">
      <w:pPr>
        <w:pStyle w:val="Rec"/>
        <w:rPr>
          <w:color w:val="01653F"/>
        </w:rPr>
      </w:pPr>
      <w:r w:rsidRPr="00716920">
        <w:rPr>
          <w:color w:val="01653F"/>
        </w:rPr>
        <w:t>Recommendations</w:t>
      </w:r>
    </w:p>
    <w:p w14:paraId="1DC11AE5" w14:textId="77777777" w:rsidR="000A0369" w:rsidRPr="000A0369" w:rsidRDefault="000A0369" w:rsidP="000A0369">
      <w:pPr>
        <w:pStyle w:val="NormalBulleted"/>
        <w:numPr>
          <w:ilvl w:val="0"/>
          <w:numId w:val="0"/>
        </w:numPr>
        <w:ind w:left="357" w:hanging="357"/>
        <w:rPr>
          <w:b/>
          <w:i/>
        </w:rPr>
      </w:pPr>
    </w:p>
    <w:p w14:paraId="14317758" w14:textId="77777777" w:rsidR="00944DD3" w:rsidRPr="004A2618" w:rsidRDefault="00944DD3" w:rsidP="00774742">
      <w:pPr>
        <w:pStyle w:val="NormalBulleted"/>
        <w:rPr>
          <w:i/>
        </w:rPr>
      </w:pPr>
      <w:r w:rsidRPr="004A2618">
        <w:t>Split items 72858 and 72859 into: pathologist-requested second opinions and non-pathologist clinician</w:t>
      </w:r>
      <w:r>
        <w:t>-</w:t>
      </w:r>
      <w:r w:rsidRPr="004A2618">
        <w:t>requested second opinions</w:t>
      </w:r>
      <w:r w:rsidR="000A0369">
        <w:t xml:space="preserve"> </w:t>
      </w:r>
      <w:r w:rsidRPr="004A2618">
        <w:rPr>
          <w:color w:val="000000" w:themeColor="text1"/>
        </w:rPr>
        <w:t>(necessitating the c</w:t>
      </w:r>
      <w:r w:rsidR="00716920">
        <w:rPr>
          <w:color w:val="000000" w:themeColor="text1"/>
        </w:rPr>
        <w:t>reation of two additional items</w:t>
      </w:r>
      <w:r w:rsidRPr="004A2618">
        <w:rPr>
          <w:color w:val="000000" w:themeColor="text1"/>
        </w:rPr>
        <w:t>)</w:t>
      </w:r>
      <w:r>
        <w:rPr>
          <w:color w:val="000000" w:themeColor="text1"/>
        </w:rPr>
        <w:t>.</w:t>
      </w:r>
    </w:p>
    <w:p w14:paraId="48BC2EA1" w14:textId="77777777" w:rsidR="00944DD3" w:rsidRDefault="00944DD3" w:rsidP="00774742">
      <w:pPr>
        <w:pStyle w:val="NormalBulleted"/>
      </w:pPr>
      <w:r w:rsidRPr="004A2618">
        <w:t>Change the wording of the item descriptors. The proposed revised item descriptor for existing items 72858 and 72859 is as follows:</w:t>
      </w:r>
    </w:p>
    <w:p w14:paraId="7655B126" w14:textId="77777777" w:rsidR="00944DD3" w:rsidRPr="008A35C5" w:rsidRDefault="000A0369" w:rsidP="000A0369">
      <w:pPr>
        <w:pStyle w:val="NormalBulleted"/>
        <w:numPr>
          <w:ilvl w:val="0"/>
          <w:numId w:val="0"/>
        </w:numPr>
        <w:ind w:left="357"/>
      </w:pPr>
      <w:r>
        <w:t xml:space="preserve">- </w:t>
      </w:r>
      <w:r w:rsidR="00944DD3" w:rsidRPr="004A2618">
        <w:t>72858</w:t>
      </w:r>
      <w:r w:rsidR="00944DD3" w:rsidRPr="00B45D06">
        <w:t>: A second opinion, provided in a written report, whe</w:t>
      </w:r>
      <w:r w:rsidR="00944DD3">
        <w:t>re</w:t>
      </w:r>
      <w:r w:rsidR="00944DD3" w:rsidRPr="00DF7C6A">
        <w:t xml:space="preserve"> the opinion and report together require no more than 30 minutes to complete, on a patient specimen, requested by a treating practitioner, whe</w:t>
      </w:r>
      <w:r w:rsidR="00944DD3">
        <w:t>re</w:t>
      </w:r>
      <w:r w:rsidR="00944DD3" w:rsidRPr="00224520">
        <w:t xml:space="preserve"> further information is needed for accurate diagnosis </w:t>
      </w:r>
      <w:r w:rsidR="00944DD3" w:rsidRPr="00224520">
        <w:rPr>
          <w:i/>
          <w:u w:val="single"/>
        </w:rPr>
        <w:t>and/or</w:t>
      </w:r>
      <w:r w:rsidR="00944DD3" w:rsidRPr="00224520">
        <w:t xml:space="preserve"> </w:t>
      </w:r>
      <w:r w:rsidR="00944DD3" w:rsidRPr="00716920">
        <w:t>appropriate patient management</w:t>
      </w:r>
      <w:r w:rsidR="00944DD3" w:rsidRPr="008A35C5">
        <w:t>.</w:t>
      </w:r>
    </w:p>
    <w:p w14:paraId="5079F6C4" w14:textId="77777777" w:rsidR="00944DD3" w:rsidRPr="00DF7C6A" w:rsidRDefault="000A0369" w:rsidP="000A0369">
      <w:pPr>
        <w:pStyle w:val="NormalBulleted"/>
        <w:numPr>
          <w:ilvl w:val="0"/>
          <w:numId w:val="0"/>
        </w:numPr>
        <w:ind w:left="357"/>
      </w:pPr>
      <w:r>
        <w:t xml:space="preserve">- </w:t>
      </w:r>
      <w:r w:rsidR="00944DD3" w:rsidRPr="004A2618">
        <w:t>72859</w:t>
      </w:r>
      <w:r w:rsidR="00944DD3" w:rsidRPr="00B45D06">
        <w:t>: A second opinion, provided in a written report, whe</w:t>
      </w:r>
      <w:r w:rsidR="00944DD3">
        <w:t>re</w:t>
      </w:r>
      <w:r w:rsidR="00944DD3" w:rsidRPr="00DF7C6A">
        <w:t xml:space="preserve"> the opinion and report together require more than 30 minutes to complete, on a patient specimen, requested by a treating practitioner, whe</w:t>
      </w:r>
      <w:r w:rsidR="00944DD3">
        <w:t>re</w:t>
      </w:r>
      <w:r w:rsidR="00944DD3" w:rsidRPr="00DF7C6A">
        <w:t xml:space="preserve"> further information is needed for accurate diagnosis </w:t>
      </w:r>
      <w:r w:rsidR="00944DD3" w:rsidRPr="00716920">
        <w:rPr>
          <w:u w:val="single"/>
        </w:rPr>
        <w:t xml:space="preserve">and/or </w:t>
      </w:r>
      <w:r w:rsidR="00944DD3" w:rsidRPr="00716920">
        <w:t>appropriate patient management</w:t>
      </w:r>
      <w:r w:rsidR="00944DD3" w:rsidRPr="00DF7C6A">
        <w:t>.</w:t>
      </w:r>
    </w:p>
    <w:p w14:paraId="71FC8FB2" w14:textId="77777777" w:rsidR="00944DD3" w:rsidRPr="004A2618" w:rsidRDefault="00944DD3" w:rsidP="00774742">
      <w:pPr>
        <w:pStyle w:val="NormalBulleted"/>
        <w:rPr>
          <w:i/>
        </w:rPr>
      </w:pPr>
      <w:r w:rsidRPr="004A2618">
        <w:t xml:space="preserve">Change the wording of the explanatory notes to the following: 28.1 b) ‘… only if the treating practitioner and the approved pathology practitioner who provided the original opinion on the patient specimen agree that a second opinion is reasonably necessary for diagnostic </w:t>
      </w:r>
      <w:r w:rsidRPr="004A2618">
        <w:rPr>
          <w:i/>
        </w:rPr>
        <w:t>and/or patient management purposes</w:t>
      </w:r>
      <w:r w:rsidRPr="004A2618">
        <w:t>.</w:t>
      </w:r>
    </w:p>
    <w:p w14:paraId="01219F59" w14:textId="77777777" w:rsidR="00944DD3" w:rsidRPr="004A2618" w:rsidRDefault="00944DD3" w:rsidP="00774742">
      <w:pPr>
        <w:pStyle w:val="NormalBulleted"/>
      </w:pPr>
      <w:r w:rsidRPr="004A2618">
        <w:t xml:space="preserve">Add the following new items specifically for pathologist-requested </w:t>
      </w:r>
      <w:r>
        <w:t xml:space="preserve">second </w:t>
      </w:r>
      <w:r w:rsidRPr="004A2618">
        <w:t>opinions</w:t>
      </w:r>
      <w:r>
        <w:t>,</w:t>
      </w:r>
      <w:r w:rsidRPr="004A2618">
        <w:t xml:space="preserve"> with proposed descriptors as follows:</w:t>
      </w:r>
    </w:p>
    <w:p w14:paraId="01EABA3B" w14:textId="77777777" w:rsidR="00944DD3" w:rsidRPr="00B45D06" w:rsidRDefault="00322862" w:rsidP="00322862">
      <w:pPr>
        <w:pStyle w:val="NormalBulleted"/>
        <w:numPr>
          <w:ilvl w:val="0"/>
          <w:numId w:val="0"/>
        </w:numPr>
        <w:ind w:left="357"/>
      </w:pPr>
      <w:r>
        <w:t xml:space="preserve">- </w:t>
      </w:r>
      <w:r w:rsidR="00944DD3" w:rsidRPr="004A2618">
        <w:t>728XX</w:t>
      </w:r>
      <w:r w:rsidR="00944DD3" w:rsidRPr="00B45D06">
        <w:t>: A second opinion, provided in a written report, whe</w:t>
      </w:r>
      <w:r w:rsidR="00944DD3">
        <w:t>n</w:t>
      </w:r>
      <w:r w:rsidR="00944DD3" w:rsidRPr="00B45D06">
        <w:t xml:space="preserve"> the opinion and report together require more than 30 minutes to complete, on a patient specimen</w:t>
      </w:r>
      <w:r w:rsidR="00944DD3" w:rsidRPr="00DF7C6A">
        <w:t xml:space="preserve">, </w:t>
      </w:r>
      <w:r w:rsidR="00944DD3" w:rsidRPr="004A2618">
        <w:t>initiated by the reporting pathologist and co-requested by a treating practitioner</w:t>
      </w:r>
      <w:r w:rsidR="00944DD3" w:rsidRPr="00B45D06">
        <w:t>, whe</w:t>
      </w:r>
      <w:r w:rsidR="00944DD3">
        <w:t>n</w:t>
      </w:r>
      <w:r w:rsidR="00944DD3" w:rsidRPr="00B45D06">
        <w:t xml:space="preserve"> further information is needed for accurate diagnosis </w:t>
      </w:r>
      <w:r w:rsidR="00944DD3" w:rsidRPr="004A2618">
        <w:t>and/or</w:t>
      </w:r>
      <w:r w:rsidR="00944DD3" w:rsidRPr="00B45D06">
        <w:t xml:space="preserve"> appropriate patient management.</w:t>
      </w:r>
    </w:p>
    <w:p w14:paraId="24F712F2" w14:textId="77777777" w:rsidR="00944DD3" w:rsidRPr="00DF7C6A" w:rsidRDefault="00322862" w:rsidP="00322862">
      <w:pPr>
        <w:pStyle w:val="NormalBulleted"/>
        <w:numPr>
          <w:ilvl w:val="0"/>
          <w:numId w:val="0"/>
        </w:numPr>
        <w:ind w:left="357"/>
      </w:pPr>
      <w:r>
        <w:t xml:space="preserve">- </w:t>
      </w:r>
      <w:r w:rsidR="00944DD3" w:rsidRPr="004A2618">
        <w:t>728XX</w:t>
      </w:r>
      <w:r w:rsidR="00944DD3" w:rsidRPr="00B45D06">
        <w:t>: A second opinion, provided in a written report, whe</w:t>
      </w:r>
      <w:r w:rsidR="00944DD3">
        <w:t>n</w:t>
      </w:r>
      <w:r w:rsidR="00944DD3" w:rsidRPr="00B45D06">
        <w:t xml:space="preserve"> the opinion and re</w:t>
      </w:r>
      <w:r w:rsidR="00944DD3" w:rsidRPr="00DF7C6A">
        <w:t xml:space="preserve">port together require more than 30 minutes to complete, on a patient specimen, </w:t>
      </w:r>
      <w:r w:rsidR="00944DD3" w:rsidRPr="004A2618">
        <w:t>initiated by the reporting pathologist and co-requested by a treating practitioner,</w:t>
      </w:r>
      <w:r w:rsidR="00944DD3" w:rsidRPr="00B45D06">
        <w:t xml:space="preserve"> whe</w:t>
      </w:r>
      <w:r w:rsidR="00944DD3">
        <w:t>n</w:t>
      </w:r>
      <w:r w:rsidR="00944DD3" w:rsidRPr="00B45D06">
        <w:t xml:space="preserve"> further information is needed for accurate diagnosis </w:t>
      </w:r>
      <w:r w:rsidR="00944DD3" w:rsidRPr="004A2618">
        <w:t>and/or</w:t>
      </w:r>
      <w:r w:rsidR="00944DD3" w:rsidRPr="00B45D06">
        <w:t xml:space="preserve"> appropriate patient managem</w:t>
      </w:r>
      <w:r w:rsidR="00944DD3" w:rsidRPr="00DF7C6A">
        <w:t>ent.</w:t>
      </w:r>
    </w:p>
    <w:p w14:paraId="359EA504" w14:textId="77777777" w:rsidR="00944DD3" w:rsidRPr="004A2618" w:rsidRDefault="00944DD3" w:rsidP="00774742">
      <w:pPr>
        <w:pStyle w:val="NormalBulleted"/>
        <w:rPr>
          <w:i/>
        </w:rPr>
      </w:pPr>
      <w:r w:rsidRPr="004A2618">
        <w:t>Update the Explanatory notes to include these two additional items (as well as delet</w:t>
      </w:r>
      <w:r>
        <w:t>ing</w:t>
      </w:r>
      <w:r w:rsidRPr="004A2618">
        <w:t xml:space="preserve"> reference to any histology or cytology items made redundant through this review)</w:t>
      </w:r>
      <w:r>
        <w:t>.</w:t>
      </w:r>
    </w:p>
    <w:p w14:paraId="222D6681" w14:textId="77777777" w:rsidR="00944DD3" w:rsidRPr="00716920" w:rsidRDefault="00944DD3" w:rsidP="00772F53">
      <w:pPr>
        <w:pStyle w:val="Rec"/>
        <w:rPr>
          <w:color w:val="01653F"/>
        </w:rPr>
      </w:pPr>
      <w:r w:rsidRPr="00716920">
        <w:rPr>
          <w:color w:val="01653F"/>
        </w:rPr>
        <w:t>Rationale</w:t>
      </w:r>
    </w:p>
    <w:p w14:paraId="42C22F24" w14:textId="77777777" w:rsidR="00E351B9" w:rsidRPr="00716920" w:rsidRDefault="009E17C1" w:rsidP="009E17C1">
      <w:pPr>
        <w:pStyle w:val="NormalBulleted"/>
        <w:rPr>
          <w:i/>
        </w:rPr>
      </w:pPr>
      <w:r w:rsidRPr="00716920">
        <w:t>Second opinion items were added to the MBS in November 2015 to fund morphological second opinions, following a successful MSAC application</w:t>
      </w:r>
      <w:r w:rsidR="00716920">
        <w:t xml:space="preserve"> by the RCPA</w:t>
      </w:r>
      <w:r w:rsidRPr="00716920">
        <w:t>.</w:t>
      </w:r>
      <w:r w:rsidR="00E11BC0" w:rsidRPr="00716920">
        <w:t xml:space="preserve"> </w:t>
      </w:r>
      <w:r w:rsidRPr="00716920">
        <w:t>The items were intended to be used in two different scenarios: a pathologist requests a second opinion in a difficult case, or a non-pathologist clinician requests a second opinion on the initial pathology to assist in patient management.</w:t>
      </w:r>
      <w:r w:rsidR="00E11BC0" w:rsidRPr="00716920">
        <w:t xml:space="preserve"> </w:t>
      </w:r>
      <w:r w:rsidRPr="00716920">
        <w:t>In both scenarios, MSAC required that both requesting clinician and the initial reporting pathologist</w:t>
      </w:r>
      <w:r w:rsidR="00E351B9" w:rsidRPr="00716920">
        <w:t xml:space="preserve"> agreed that a second opinion was reasonabl</w:t>
      </w:r>
      <w:r w:rsidR="00425681" w:rsidRPr="00716920">
        <w:t>y</w:t>
      </w:r>
      <w:r w:rsidR="00E351B9" w:rsidRPr="00716920">
        <w:t xml:space="preserve"> required for diagnostic purposes</w:t>
      </w:r>
      <w:r w:rsidR="001417DE" w:rsidRPr="00716920">
        <w:t xml:space="preserve"> (</w:t>
      </w:r>
      <w:r w:rsidR="001417DE" w:rsidRPr="00716920">
        <w:rPr>
          <w:i/>
        </w:rPr>
        <w:t xml:space="preserve">see Table </w:t>
      </w:r>
      <w:r w:rsidR="003B6285" w:rsidRPr="00716920">
        <w:rPr>
          <w:i/>
        </w:rPr>
        <w:t>1</w:t>
      </w:r>
      <w:r w:rsidR="00716920">
        <w:rPr>
          <w:i/>
        </w:rPr>
        <w:t>9 below</w:t>
      </w:r>
      <w:r w:rsidR="001417DE" w:rsidRPr="00716920">
        <w:t>)</w:t>
      </w:r>
      <w:r w:rsidRPr="00716920">
        <w:t>.</w:t>
      </w:r>
    </w:p>
    <w:p w14:paraId="2E974E79" w14:textId="77777777" w:rsidR="00716920" w:rsidRPr="00716920" w:rsidRDefault="00716920" w:rsidP="00716920">
      <w:pPr>
        <w:pStyle w:val="NormalBulleted"/>
      </w:pPr>
      <w:r>
        <w:t>At present it is not possible to tell how many second opinions are pathologist-requested versus clinician-requested.</w:t>
      </w:r>
    </w:p>
    <w:p w14:paraId="7DAA3BFD" w14:textId="77777777" w:rsidR="00716920" w:rsidRDefault="00716920" w:rsidP="00716920">
      <w:pPr>
        <w:pStyle w:val="NormalBulleted"/>
      </w:pPr>
      <w:r>
        <w:t>There has been considerable confusion in the pathology sector as to the appropriate utilisation of these items, the requirement for co-requesting, and the medicolegal implications of requests to agree that a second opinion is necessary. This has led to much lower than expected utilisation of these items since their addition to the MBS and marked discrepancy between different states.</w:t>
      </w:r>
    </w:p>
    <w:p w14:paraId="06CC566B" w14:textId="77777777" w:rsidR="00716920" w:rsidRPr="00716920" w:rsidRDefault="00716920" w:rsidP="00716920">
      <w:pPr>
        <w:pStyle w:val="NormalBulleted"/>
        <w:numPr>
          <w:ilvl w:val="0"/>
          <w:numId w:val="0"/>
        </w:numPr>
        <w:ind w:left="357"/>
        <w:rPr>
          <w:i/>
        </w:rPr>
      </w:pPr>
    </w:p>
    <w:p w14:paraId="681C03EF" w14:textId="77777777" w:rsidR="00716920" w:rsidRDefault="00716920" w:rsidP="00B45D06">
      <w:pPr>
        <w:pStyle w:val="Caption"/>
      </w:pPr>
      <w:bookmarkStart w:id="90" w:name="_Toc482213846"/>
    </w:p>
    <w:p w14:paraId="15CFE974" w14:textId="77777777" w:rsidR="003B6285" w:rsidRPr="00B45D06" w:rsidRDefault="003B6285" w:rsidP="00B45D06">
      <w:pPr>
        <w:pStyle w:val="Caption"/>
        <w:rPr>
          <w:lang w:val="en-US"/>
        </w:rPr>
      </w:pPr>
      <w:r>
        <w:t xml:space="preserve">Table </w:t>
      </w:r>
      <w:r w:rsidR="00716920">
        <w:t>19</w:t>
      </w:r>
      <w:r>
        <w:t xml:space="preserve">. </w:t>
      </w:r>
      <w:r w:rsidRPr="00E23F89">
        <w:t>Item introduction table for items 72858 and 72859</w:t>
      </w:r>
      <w:bookmarkEnd w:id="90"/>
    </w:p>
    <w:tbl>
      <w:tblPr>
        <w:tblStyle w:val="TableGrid6"/>
        <w:tblW w:w="0" w:type="auto"/>
        <w:tblLook w:val="04A0" w:firstRow="1" w:lastRow="0" w:firstColumn="1" w:lastColumn="0" w:noHBand="0" w:noVBand="1"/>
      </w:tblPr>
      <w:tblGrid>
        <w:gridCol w:w="983"/>
        <w:gridCol w:w="3386"/>
        <w:gridCol w:w="1100"/>
        <w:gridCol w:w="1164"/>
        <w:gridCol w:w="1164"/>
        <w:gridCol w:w="1099"/>
      </w:tblGrid>
      <w:tr w:rsidR="001417DE" w:rsidRPr="009E17C1" w14:paraId="02FA00BC" w14:textId="77777777" w:rsidTr="004A2618">
        <w:tc>
          <w:tcPr>
            <w:tcW w:w="988" w:type="dxa"/>
            <w:shd w:val="clear" w:color="auto" w:fill="E7E6E6"/>
            <w:vAlign w:val="bottom"/>
          </w:tcPr>
          <w:p w14:paraId="643BC3C1" w14:textId="77777777" w:rsidR="001417DE" w:rsidRPr="004A2618" w:rsidRDefault="001417DE" w:rsidP="00B45D06">
            <w:pPr>
              <w:spacing w:before="20" w:after="20"/>
              <w:rPr>
                <w:rFonts w:cs="Arial"/>
                <w:b/>
                <w:sz w:val="20"/>
                <w:szCs w:val="20"/>
              </w:rPr>
            </w:pPr>
            <w:r w:rsidRPr="004A2618">
              <w:rPr>
                <w:rFonts w:cs="Arial"/>
                <w:b/>
                <w:sz w:val="20"/>
                <w:szCs w:val="20"/>
              </w:rPr>
              <w:t>Item number</w:t>
            </w:r>
          </w:p>
        </w:tc>
        <w:tc>
          <w:tcPr>
            <w:tcW w:w="3481" w:type="dxa"/>
            <w:shd w:val="clear" w:color="auto" w:fill="E7E6E6"/>
            <w:vAlign w:val="bottom"/>
          </w:tcPr>
          <w:p w14:paraId="63D1C14A" w14:textId="77777777" w:rsidR="001417DE" w:rsidRPr="004A2618" w:rsidRDefault="001417DE">
            <w:pPr>
              <w:spacing w:before="20" w:after="20"/>
              <w:rPr>
                <w:rFonts w:cs="Arial"/>
                <w:b/>
                <w:sz w:val="20"/>
                <w:szCs w:val="20"/>
              </w:rPr>
            </w:pPr>
            <w:r w:rsidRPr="004A2618">
              <w:rPr>
                <w:rFonts w:cs="Arial"/>
                <w:b/>
                <w:sz w:val="20"/>
                <w:szCs w:val="20"/>
              </w:rPr>
              <w:t>Descriptor</w:t>
            </w:r>
          </w:p>
        </w:tc>
        <w:tc>
          <w:tcPr>
            <w:tcW w:w="1106" w:type="dxa"/>
            <w:shd w:val="clear" w:color="auto" w:fill="E7E6E6"/>
            <w:vAlign w:val="bottom"/>
          </w:tcPr>
          <w:p w14:paraId="00F12F98" w14:textId="77777777" w:rsidR="001417DE" w:rsidRPr="004A2618" w:rsidRDefault="001417DE">
            <w:pPr>
              <w:spacing w:before="20" w:after="20"/>
              <w:rPr>
                <w:rFonts w:cs="Arial"/>
                <w:b/>
                <w:sz w:val="20"/>
                <w:szCs w:val="20"/>
              </w:rPr>
            </w:pPr>
            <w:r w:rsidRPr="004A2618">
              <w:rPr>
                <w:rFonts w:cs="Arial"/>
                <w:b/>
                <w:sz w:val="20"/>
                <w:szCs w:val="20"/>
              </w:rPr>
              <w:t>Schedule fee</w:t>
            </w:r>
          </w:p>
        </w:tc>
        <w:tc>
          <w:tcPr>
            <w:tcW w:w="1170" w:type="dxa"/>
            <w:shd w:val="clear" w:color="auto" w:fill="E7E6E6"/>
            <w:vAlign w:val="bottom"/>
          </w:tcPr>
          <w:p w14:paraId="3FBB896D" w14:textId="77777777" w:rsidR="001417DE" w:rsidRPr="004A2618" w:rsidRDefault="001417DE">
            <w:pPr>
              <w:spacing w:before="20" w:after="20"/>
              <w:rPr>
                <w:rFonts w:cs="Arial"/>
                <w:b/>
                <w:sz w:val="20"/>
                <w:szCs w:val="20"/>
              </w:rPr>
            </w:pPr>
            <w:r w:rsidRPr="004A2618">
              <w:rPr>
                <w:rFonts w:cs="Arial"/>
                <w:b/>
                <w:sz w:val="20"/>
                <w:szCs w:val="20"/>
              </w:rPr>
              <w:t>Volume of services (2014/15)</w:t>
            </w:r>
          </w:p>
        </w:tc>
        <w:tc>
          <w:tcPr>
            <w:tcW w:w="1170" w:type="dxa"/>
            <w:shd w:val="clear" w:color="auto" w:fill="E7E6E6"/>
            <w:vAlign w:val="bottom"/>
          </w:tcPr>
          <w:p w14:paraId="1893DEB6" w14:textId="77777777" w:rsidR="001417DE" w:rsidRPr="004A2618" w:rsidRDefault="001417DE">
            <w:pPr>
              <w:spacing w:before="20" w:after="20"/>
              <w:rPr>
                <w:rFonts w:cs="Arial"/>
                <w:b/>
                <w:sz w:val="20"/>
                <w:szCs w:val="20"/>
              </w:rPr>
            </w:pPr>
            <w:r w:rsidRPr="004A2618">
              <w:rPr>
                <w:rFonts w:cs="Arial"/>
                <w:b/>
                <w:sz w:val="20"/>
                <w:szCs w:val="20"/>
              </w:rPr>
              <w:t xml:space="preserve">Services average annual growth (2010/11-2014/15) </w:t>
            </w:r>
          </w:p>
        </w:tc>
        <w:tc>
          <w:tcPr>
            <w:tcW w:w="1102" w:type="dxa"/>
            <w:shd w:val="clear" w:color="auto" w:fill="E7E6E6"/>
            <w:vAlign w:val="bottom"/>
          </w:tcPr>
          <w:p w14:paraId="7BD3AF53" w14:textId="77777777" w:rsidR="001417DE" w:rsidRPr="004A2618" w:rsidRDefault="001417DE">
            <w:pPr>
              <w:spacing w:before="20" w:after="20"/>
              <w:rPr>
                <w:rFonts w:cs="Arial"/>
                <w:b/>
                <w:sz w:val="20"/>
                <w:szCs w:val="20"/>
              </w:rPr>
            </w:pPr>
            <w:r w:rsidRPr="004A2618">
              <w:rPr>
                <w:rFonts w:cs="Arial"/>
                <w:b/>
                <w:sz w:val="20"/>
                <w:szCs w:val="20"/>
              </w:rPr>
              <w:t>Benefits (2015/16)</w:t>
            </w:r>
          </w:p>
        </w:tc>
      </w:tr>
      <w:tr w:rsidR="001417DE" w:rsidRPr="009E17C1" w14:paraId="2FB92AEC" w14:textId="77777777" w:rsidTr="004A2618">
        <w:tc>
          <w:tcPr>
            <w:tcW w:w="988" w:type="dxa"/>
          </w:tcPr>
          <w:p w14:paraId="4BFAF042" w14:textId="77777777" w:rsidR="001417DE" w:rsidRPr="004A2618" w:rsidRDefault="001417DE" w:rsidP="004A2618">
            <w:pPr>
              <w:rPr>
                <w:rFonts w:cs="Arial"/>
                <w:sz w:val="20"/>
                <w:szCs w:val="20"/>
              </w:rPr>
            </w:pPr>
            <w:r w:rsidRPr="004A2618">
              <w:rPr>
                <w:rFonts w:cs="Arial"/>
                <w:sz w:val="20"/>
                <w:szCs w:val="20"/>
              </w:rPr>
              <w:t>72858</w:t>
            </w:r>
          </w:p>
        </w:tc>
        <w:tc>
          <w:tcPr>
            <w:tcW w:w="3481" w:type="dxa"/>
          </w:tcPr>
          <w:p w14:paraId="74DFE426" w14:textId="77777777" w:rsidR="001417DE" w:rsidRPr="004A2618" w:rsidRDefault="001417DE" w:rsidP="004A2618">
            <w:pPr>
              <w:rPr>
                <w:rFonts w:cs="Arial"/>
                <w:sz w:val="20"/>
                <w:szCs w:val="20"/>
              </w:rPr>
            </w:pPr>
            <w:r w:rsidRPr="004A2618">
              <w:rPr>
                <w:rFonts w:cs="Arial"/>
                <w:sz w:val="20"/>
                <w:szCs w:val="20"/>
              </w:rPr>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1106" w:type="dxa"/>
          </w:tcPr>
          <w:p w14:paraId="4C408449" w14:textId="77777777" w:rsidR="001417DE" w:rsidRPr="004A2618" w:rsidRDefault="001417DE" w:rsidP="004A2618">
            <w:pPr>
              <w:jc w:val="right"/>
              <w:rPr>
                <w:rFonts w:cs="Arial"/>
                <w:sz w:val="20"/>
                <w:szCs w:val="20"/>
              </w:rPr>
            </w:pPr>
            <w:r w:rsidRPr="004A2618">
              <w:rPr>
                <w:rFonts w:cs="Arial"/>
                <w:sz w:val="20"/>
                <w:szCs w:val="20"/>
              </w:rPr>
              <w:t>$180.00</w:t>
            </w:r>
          </w:p>
        </w:tc>
        <w:tc>
          <w:tcPr>
            <w:tcW w:w="1170" w:type="dxa"/>
          </w:tcPr>
          <w:p w14:paraId="621FAF5F" w14:textId="77777777" w:rsidR="001417DE" w:rsidRPr="004A2618" w:rsidRDefault="003B6285" w:rsidP="004A2618">
            <w:pPr>
              <w:jc w:val="center"/>
              <w:rPr>
                <w:rFonts w:cs="Arial"/>
                <w:sz w:val="20"/>
                <w:szCs w:val="20"/>
              </w:rPr>
            </w:pPr>
            <w:r>
              <w:rPr>
                <w:rFonts w:cs="Arial"/>
                <w:sz w:val="20"/>
                <w:szCs w:val="20"/>
              </w:rPr>
              <w:t>—</w:t>
            </w:r>
          </w:p>
        </w:tc>
        <w:tc>
          <w:tcPr>
            <w:tcW w:w="1170" w:type="dxa"/>
          </w:tcPr>
          <w:p w14:paraId="7497BAF5" w14:textId="77777777" w:rsidR="001417DE" w:rsidRPr="004A2618" w:rsidRDefault="003B6285" w:rsidP="004A2618">
            <w:pPr>
              <w:jc w:val="center"/>
              <w:rPr>
                <w:rFonts w:cs="Arial"/>
                <w:sz w:val="20"/>
                <w:szCs w:val="20"/>
              </w:rPr>
            </w:pPr>
            <w:r>
              <w:rPr>
                <w:rFonts w:cs="Arial"/>
                <w:sz w:val="20"/>
                <w:szCs w:val="20"/>
              </w:rPr>
              <w:t>—</w:t>
            </w:r>
          </w:p>
        </w:tc>
        <w:tc>
          <w:tcPr>
            <w:tcW w:w="1102" w:type="dxa"/>
          </w:tcPr>
          <w:p w14:paraId="7BEC34F9" w14:textId="77777777" w:rsidR="001417DE" w:rsidRPr="004A2618" w:rsidRDefault="003B6285" w:rsidP="004A2618">
            <w:pPr>
              <w:jc w:val="center"/>
              <w:rPr>
                <w:rFonts w:cs="Arial"/>
                <w:sz w:val="20"/>
                <w:szCs w:val="20"/>
              </w:rPr>
            </w:pPr>
            <w:r>
              <w:rPr>
                <w:rFonts w:cs="Arial"/>
                <w:sz w:val="20"/>
                <w:szCs w:val="20"/>
              </w:rPr>
              <w:t>—</w:t>
            </w:r>
          </w:p>
        </w:tc>
      </w:tr>
      <w:tr w:rsidR="001417DE" w:rsidRPr="009E17C1" w14:paraId="2E00AD6A" w14:textId="77777777" w:rsidTr="004A2618">
        <w:tc>
          <w:tcPr>
            <w:tcW w:w="988" w:type="dxa"/>
          </w:tcPr>
          <w:p w14:paraId="6DB059F4" w14:textId="77777777" w:rsidR="001417DE" w:rsidRPr="004A2618" w:rsidRDefault="001417DE" w:rsidP="004A2618">
            <w:pPr>
              <w:rPr>
                <w:rFonts w:cs="Arial"/>
                <w:sz w:val="20"/>
                <w:szCs w:val="20"/>
              </w:rPr>
            </w:pPr>
            <w:r w:rsidRPr="004A2618">
              <w:rPr>
                <w:rFonts w:cs="Arial"/>
                <w:sz w:val="20"/>
                <w:szCs w:val="20"/>
              </w:rPr>
              <w:t>72859</w:t>
            </w:r>
          </w:p>
        </w:tc>
        <w:tc>
          <w:tcPr>
            <w:tcW w:w="3481" w:type="dxa"/>
          </w:tcPr>
          <w:p w14:paraId="2177C4A7" w14:textId="77777777" w:rsidR="001417DE" w:rsidRPr="004A2618" w:rsidRDefault="001417DE" w:rsidP="004A2618">
            <w:pPr>
              <w:rPr>
                <w:rFonts w:cs="Arial"/>
                <w:sz w:val="20"/>
                <w:szCs w:val="20"/>
              </w:rPr>
            </w:pPr>
            <w:r w:rsidRPr="004A2618">
              <w:rPr>
                <w:rFonts w:cs="Arial"/>
                <w:sz w:val="20"/>
                <w:szCs w:val="20"/>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1106" w:type="dxa"/>
          </w:tcPr>
          <w:p w14:paraId="0ABFFA6F" w14:textId="77777777" w:rsidR="001417DE" w:rsidRPr="004A2618" w:rsidRDefault="001417DE" w:rsidP="004A2618">
            <w:pPr>
              <w:jc w:val="right"/>
              <w:rPr>
                <w:rFonts w:cs="Arial"/>
                <w:sz w:val="20"/>
                <w:szCs w:val="20"/>
              </w:rPr>
            </w:pPr>
            <w:r w:rsidRPr="004A2618">
              <w:rPr>
                <w:rFonts w:cs="Arial"/>
                <w:sz w:val="20"/>
                <w:szCs w:val="20"/>
              </w:rPr>
              <w:t>$370.00</w:t>
            </w:r>
          </w:p>
        </w:tc>
        <w:tc>
          <w:tcPr>
            <w:tcW w:w="1170" w:type="dxa"/>
          </w:tcPr>
          <w:p w14:paraId="01F73DE8" w14:textId="77777777" w:rsidR="001417DE" w:rsidRPr="004A2618" w:rsidRDefault="003B6285" w:rsidP="004A2618">
            <w:pPr>
              <w:jc w:val="center"/>
              <w:rPr>
                <w:rFonts w:cs="Arial"/>
                <w:sz w:val="20"/>
                <w:szCs w:val="20"/>
              </w:rPr>
            </w:pPr>
            <w:r>
              <w:rPr>
                <w:rFonts w:cs="Arial"/>
                <w:sz w:val="20"/>
                <w:szCs w:val="20"/>
              </w:rPr>
              <w:t>—</w:t>
            </w:r>
          </w:p>
        </w:tc>
        <w:tc>
          <w:tcPr>
            <w:tcW w:w="1170" w:type="dxa"/>
          </w:tcPr>
          <w:p w14:paraId="050EAEFF" w14:textId="77777777" w:rsidR="001417DE" w:rsidRPr="004A2618" w:rsidRDefault="003B6285" w:rsidP="004A2618">
            <w:pPr>
              <w:jc w:val="center"/>
              <w:rPr>
                <w:rFonts w:cs="Arial"/>
                <w:sz w:val="20"/>
                <w:szCs w:val="20"/>
              </w:rPr>
            </w:pPr>
            <w:r>
              <w:rPr>
                <w:rFonts w:cs="Arial"/>
                <w:sz w:val="20"/>
                <w:szCs w:val="20"/>
              </w:rPr>
              <w:t>—</w:t>
            </w:r>
          </w:p>
        </w:tc>
        <w:tc>
          <w:tcPr>
            <w:tcW w:w="1102" w:type="dxa"/>
          </w:tcPr>
          <w:p w14:paraId="1F5C2B95" w14:textId="77777777" w:rsidR="001417DE" w:rsidRPr="004A2618" w:rsidRDefault="003B6285" w:rsidP="004A2618">
            <w:pPr>
              <w:jc w:val="center"/>
              <w:rPr>
                <w:rFonts w:cs="Arial"/>
                <w:sz w:val="20"/>
                <w:szCs w:val="20"/>
              </w:rPr>
            </w:pPr>
            <w:r>
              <w:rPr>
                <w:rFonts w:cs="Arial"/>
                <w:sz w:val="20"/>
                <w:szCs w:val="20"/>
              </w:rPr>
              <w:t>—</w:t>
            </w:r>
          </w:p>
        </w:tc>
      </w:tr>
    </w:tbl>
    <w:p w14:paraId="6B09923C" w14:textId="77777777" w:rsidR="00716920" w:rsidRPr="00716920" w:rsidRDefault="00E351B9" w:rsidP="00E351B9">
      <w:pPr>
        <w:pStyle w:val="NormalBulleted"/>
      </w:pPr>
      <w:r w:rsidRPr="00716920">
        <w:rPr>
          <w:color w:val="000000" w:themeColor="text1"/>
        </w:rPr>
        <w:t xml:space="preserve">The Working Group notes that the RCPA has recently released updated Guidelines regarding the </w:t>
      </w:r>
      <w:r w:rsidR="005A0532" w:rsidRPr="00716920">
        <w:rPr>
          <w:color w:val="000000" w:themeColor="text1"/>
        </w:rPr>
        <w:t>provision of second opinions</w:t>
      </w:r>
      <w:r w:rsidRPr="00716920">
        <w:rPr>
          <w:color w:val="000000" w:themeColor="text1"/>
        </w:rPr>
        <w:t xml:space="preserve">. The Working Group also notes the </w:t>
      </w:r>
      <w:r w:rsidR="005A0532" w:rsidRPr="00716920">
        <w:rPr>
          <w:color w:val="000000" w:themeColor="text1"/>
        </w:rPr>
        <w:t xml:space="preserve">departmental </w:t>
      </w:r>
      <w:r w:rsidRPr="00716920">
        <w:rPr>
          <w:color w:val="000000" w:themeColor="text1"/>
        </w:rPr>
        <w:t xml:space="preserve">advice that a non-pathologist provider number is required for </w:t>
      </w:r>
      <w:r w:rsidR="005A0532" w:rsidRPr="00716920">
        <w:rPr>
          <w:color w:val="000000" w:themeColor="text1"/>
        </w:rPr>
        <w:t>second</w:t>
      </w:r>
      <w:r w:rsidRPr="00716920">
        <w:rPr>
          <w:color w:val="000000" w:themeColor="text1"/>
        </w:rPr>
        <w:t xml:space="preserve"> opinion requests to be rebated</w:t>
      </w:r>
      <w:r w:rsidR="00E11BC0" w:rsidRPr="00716920">
        <w:rPr>
          <w:color w:val="000000" w:themeColor="text1"/>
        </w:rPr>
        <w:t xml:space="preserve"> </w:t>
      </w:r>
      <w:r w:rsidRPr="00716920">
        <w:rPr>
          <w:color w:val="000000" w:themeColor="text1"/>
        </w:rPr>
        <w:t>(</w:t>
      </w:r>
      <w:r w:rsidR="00F764FD" w:rsidRPr="00716920">
        <w:rPr>
          <w:color w:val="000000" w:themeColor="text1"/>
        </w:rPr>
        <w:t>i.e.</w:t>
      </w:r>
      <w:r w:rsidRPr="00716920">
        <w:rPr>
          <w:color w:val="000000" w:themeColor="text1"/>
        </w:rPr>
        <w:t xml:space="preserve"> the provider number of clinician who initially referred the specimen for histology, another clinician involved in the treatment of the patient, or the non-pathologist clinician requesting the 2</w:t>
      </w:r>
      <w:r w:rsidRPr="00716920">
        <w:rPr>
          <w:color w:val="000000" w:themeColor="text1"/>
          <w:vertAlign w:val="superscript"/>
        </w:rPr>
        <w:t>nd</w:t>
      </w:r>
      <w:r w:rsidRPr="00716920">
        <w:rPr>
          <w:color w:val="000000" w:themeColor="text1"/>
        </w:rPr>
        <w:t xml:space="preserve"> opinion is required for billing purposes).</w:t>
      </w:r>
    </w:p>
    <w:p w14:paraId="693BFE5E" w14:textId="77777777" w:rsidR="00E351B9" w:rsidRPr="00716920" w:rsidRDefault="00E351B9" w:rsidP="00E351B9">
      <w:pPr>
        <w:pStyle w:val="NormalBulleted"/>
      </w:pPr>
      <w:r w:rsidRPr="00716920">
        <w:rPr>
          <w:color w:val="000000" w:themeColor="text1"/>
        </w:rPr>
        <w:t>The W</w:t>
      </w:r>
      <w:r w:rsidR="005413F6" w:rsidRPr="00716920">
        <w:rPr>
          <w:color w:val="000000" w:themeColor="text1"/>
        </w:rPr>
        <w:t xml:space="preserve">orking </w:t>
      </w:r>
      <w:r w:rsidRPr="00716920">
        <w:rPr>
          <w:color w:val="000000" w:themeColor="text1"/>
        </w:rPr>
        <w:t>G</w:t>
      </w:r>
      <w:r w:rsidR="005413F6" w:rsidRPr="00716920">
        <w:rPr>
          <w:color w:val="000000" w:themeColor="text1"/>
        </w:rPr>
        <w:t>roup</w:t>
      </w:r>
      <w:r w:rsidRPr="00716920">
        <w:rPr>
          <w:color w:val="000000" w:themeColor="text1"/>
        </w:rPr>
        <w:t xml:space="preserve"> remains of the opinion that the inability of a pathologist to request a rebated </w:t>
      </w:r>
      <w:r w:rsidR="005A0532" w:rsidRPr="00716920">
        <w:rPr>
          <w:color w:val="000000" w:themeColor="text1"/>
        </w:rPr>
        <w:t xml:space="preserve">second </w:t>
      </w:r>
      <w:r w:rsidRPr="00716920">
        <w:rPr>
          <w:color w:val="000000" w:themeColor="text1"/>
        </w:rPr>
        <w:t>opinion in a diagnostically difficult case is an anachronism in view of the funded availability of any number of clinical second opinions, but notes that a referring surgeon</w:t>
      </w:r>
      <w:r w:rsidR="005A0532" w:rsidRPr="00716920">
        <w:rPr>
          <w:color w:val="000000" w:themeColor="text1"/>
        </w:rPr>
        <w:t xml:space="preserve"> or </w:t>
      </w:r>
      <w:r w:rsidRPr="00716920">
        <w:rPr>
          <w:color w:val="000000" w:themeColor="text1"/>
        </w:rPr>
        <w:t>clinician is most unlikely to refuse to agree with the request to obtain such an opinion.</w:t>
      </w:r>
    </w:p>
    <w:p w14:paraId="3D9A5A67" w14:textId="77777777" w:rsidR="001051DD" w:rsidRPr="00716920" w:rsidRDefault="005668FD" w:rsidP="00716920">
      <w:pPr>
        <w:pStyle w:val="NormalBulleted"/>
        <w:rPr>
          <w:i/>
        </w:rPr>
      </w:pPr>
      <w:r w:rsidRPr="009E17C1">
        <w:t xml:space="preserve">Splitting the </w:t>
      </w:r>
      <w:r w:rsidRPr="00BF612A">
        <w:t>items</w:t>
      </w:r>
      <w:r w:rsidRPr="009E17C1">
        <w:t xml:space="preserve"> will facilitate better </w:t>
      </w:r>
      <w:r w:rsidR="00E60294">
        <w:t>data collection/</w:t>
      </w:r>
      <w:r w:rsidRPr="009E17C1">
        <w:t>tracking of the utili</w:t>
      </w:r>
      <w:r w:rsidR="00ED3FB8">
        <w:t>s</w:t>
      </w:r>
      <w:r w:rsidRPr="009E17C1">
        <w:t xml:space="preserve">ation of the </w:t>
      </w:r>
      <w:proofErr w:type="gramStart"/>
      <w:r w:rsidRPr="009E17C1">
        <w:t>items</w:t>
      </w:r>
      <w:r w:rsidR="00716920">
        <w:t>, and</w:t>
      </w:r>
      <w:proofErr w:type="gramEnd"/>
      <w:r w:rsidR="00716920">
        <w:t xml:space="preserve"> </w:t>
      </w:r>
      <w:r w:rsidR="001051DD">
        <w:t xml:space="preserve">may </w:t>
      </w:r>
      <w:r w:rsidR="00425681">
        <w:t>also help identify potential resourcing issues (</w:t>
      </w:r>
      <w:r w:rsidR="00F764FD">
        <w:t>i.e.</w:t>
      </w:r>
      <w:r w:rsidR="00425681">
        <w:t xml:space="preserve"> isolated pathologist requiring alternative support structure)</w:t>
      </w:r>
      <w:r w:rsidR="00143929">
        <w:t>.</w:t>
      </w:r>
    </w:p>
    <w:p w14:paraId="658AFDBA" w14:textId="77777777" w:rsidR="001051DD" w:rsidRPr="0057489C" w:rsidRDefault="001051DD" w:rsidP="00774742">
      <w:pPr>
        <w:pStyle w:val="NormalBulleted"/>
      </w:pPr>
      <w:r w:rsidRPr="0057489C">
        <w:t>Clarification of the co-requesting requirement will assist in allaying fears of medicolegal vulnerability and is aligned with MSAC</w:t>
      </w:r>
      <w:r w:rsidR="005413F6">
        <w:t>’</w:t>
      </w:r>
      <w:r w:rsidRPr="0057489C">
        <w:t>s intention to avoid overus</w:t>
      </w:r>
      <w:r w:rsidR="00F10965">
        <w:t>e</w:t>
      </w:r>
      <w:r w:rsidRPr="0057489C">
        <w:t xml:space="preserve"> of the item while making it available where there is genuine clinical concern about the diagnosis and its management implications.</w:t>
      </w:r>
      <w:r w:rsidR="00E11BC0">
        <w:t xml:space="preserve"> </w:t>
      </w:r>
    </w:p>
    <w:p w14:paraId="2034C062" w14:textId="77777777" w:rsidR="005668FD" w:rsidRPr="009E17C1" w:rsidRDefault="001051DD" w:rsidP="00774742">
      <w:pPr>
        <w:pStyle w:val="NormalBulleted"/>
      </w:pPr>
      <w:r>
        <w:t xml:space="preserve">It is expected that usage of the items will </w:t>
      </w:r>
      <w:r w:rsidR="005413F6">
        <w:t xml:space="preserve">gradually </w:t>
      </w:r>
      <w:r>
        <w:t xml:space="preserve">increase compared </w:t>
      </w:r>
      <w:r w:rsidR="00ED3FB8">
        <w:t xml:space="preserve">with </w:t>
      </w:r>
      <w:r>
        <w:t>the (current) unexpectedly low volumes</w:t>
      </w:r>
      <w:r w:rsidR="00ED3FB8">
        <w:t xml:space="preserve">. Ongoing </w:t>
      </w:r>
      <w:r>
        <w:t xml:space="preserve">review is appropriate in line with MBS audit schedule for new items. </w:t>
      </w:r>
    </w:p>
    <w:p w14:paraId="22C53417" w14:textId="77777777" w:rsidR="0057489C" w:rsidRDefault="0057489C">
      <w:pPr>
        <w:spacing w:before="0" w:after="0"/>
        <w:rPr>
          <w:rFonts w:eastAsiaTheme="minorHAnsi" w:cs="Arial"/>
          <w:b/>
          <w:bCs/>
          <w:iCs/>
          <w:color w:val="01653F"/>
          <w:szCs w:val="22"/>
          <w:lang w:val="en-US" w:eastAsia="en-US"/>
        </w:rPr>
      </w:pPr>
      <w:r>
        <w:br w:type="page"/>
      </w:r>
    </w:p>
    <w:p w14:paraId="026C0A96" w14:textId="77777777" w:rsidR="0057489C" w:rsidRPr="00C40047" w:rsidRDefault="00923BDB" w:rsidP="00716920">
      <w:pPr>
        <w:pStyle w:val="Heading2"/>
        <w:numPr>
          <w:ilvl w:val="0"/>
          <w:numId w:val="0"/>
        </w:numPr>
        <w:ind w:left="567" w:hanging="567"/>
      </w:pPr>
      <w:bookmarkStart w:id="91" w:name="_Toc482203593"/>
      <w:bookmarkStart w:id="92" w:name="_Toc514243838"/>
      <w:r>
        <w:lastRenderedPageBreak/>
        <w:t xml:space="preserve">4.8 </w:t>
      </w:r>
      <w:r w:rsidR="00716920">
        <w:tab/>
      </w:r>
      <w:r w:rsidR="0057489C" w:rsidRPr="00C40047">
        <w:t>Pathologist</w:t>
      </w:r>
      <w:r w:rsidR="002159BB">
        <w:t>-d</w:t>
      </w:r>
      <w:r w:rsidR="0057489C" w:rsidRPr="00C40047">
        <w:t>eterminable Items</w:t>
      </w:r>
      <w:bookmarkEnd w:id="91"/>
      <w:bookmarkEnd w:id="92"/>
    </w:p>
    <w:p w14:paraId="05DEC0C3" w14:textId="77777777" w:rsidR="002E1602" w:rsidRPr="0014419E" w:rsidRDefault="002E1602" w:rsidP="00772F53">
      <w:pPr>
        <w:pStyle w:val="Rec"/>
        <w:rPr>
          <w:color w:val="01653F"/>
        </w:rPr>
      </w:pPr>
      <w:bookmarkStart w:id="93" w:name="_Toc482203594"/>
      <w:r w:rsidRPr="0014419E">
        <w:rPr>
          <w:color w:val="01653F"/>
        </w:rPr>
        <w:t>Recommendations</w:t>
      </w:r>
    </w:p>
    <w:p w14:paraId="4D95A905" w14:textId="77777777" w:rsidR="002E1602" w:rsidRPr="00E54DE0" w:rsidRDefault="002E1602" w:rsidP="00774742">
      <w:pPr>
        <w:pStyle w:val="NormalBulleted"/>
      </w:pPr>
      <w:r w:rsidRPr="00E54DE0">
        <w:t>Revise relevant MBS item descriptors and explanatory notes to make it clear which items are pathologist-determinable, and the conditions under which such testing can occur.</w:t>
      </w:r>
    </w:p>
    <w:p w14:paraId="01820DC9" w14:textId="77777777" w:rsidR="002E1602" w:rsidRPr="00774742" w:rsidRDefault="002E1602" w:rsidP="00774742">
      <w:pPr>
        <w:pStyle w:val="NormalBulleted"/>
      </w:pPr>
      <w:r w:rsidRPr="00774742">
        <w:t xml:space="preserve">The Working Group recommends that </w:t>
      </w:r>
      <w:r w:rsidR="0014419E">
        <w:t>t</w:t>
      </w:r>
      <w:r w:rsidRPr="00774742">
        <w:t>he Department</w:t>
      </w:r>
      <w:r w:rsidR="0014419E">
        <w:t xml:space="preserve"> of Health</w:t>
      </w:r>
      <w:r w:rsidRPr="00774742">
        <w:t>/MSAC review the issue of pathologist-determinable tests specifically in the context of companion biomarkers, and consider whether legislative amendment may be appropriate to allow pathologists to on-refer such tests when they cannot perform them in their own laboratory, without the necessity to seek an additional request form from a non-pathologist clinician.</w:t>
      </w:r>
    </w:p>
    <w:p w14:paraId="75578E90" w14:textId="77777777" w:rsidR="002E1602" w:rsidRDefault="002E1602" w:rsidP="00774742">
      <w:pPr>
        <w:pStyle w:val="NormalBulleted"/>
      </w:pPr>
      <w:r w:rsidRPr="00E54DE0">
        <w:t xml:space="preserve">If changes proposed elsewhere in this review relating to the simplification of the </w:t>
      </w:r>
      <w:r>
        <w:t>Tissue</w:t>
      </w:r>
      <w:r w:rsidRPr="00E54DE0">
        <w:t xml:space="preserve"> Pathology and Cytology Schedule are made, the Pathologist Determinable legislation will have to be updated.</w:t>
      </w:r>
    </w:p>
    <w:p w14:paraId="3B053382" w14:textId="77777777" w:rsidR="002E1602" w:rsidRPr="0014419E" w:rsidRDefault="002E1602" w:rsidP="00772F53">
      <w:pPr>
        <w:pStyle w:val="Rec"/>
        <w:rPr>
          <w:color w:val="01653F"/>
        </w:rPr>
      </w:pPr>
      <w:r w:rsidRPr="0014419E">
        <w:rPr>
          <w:color w:val="01653F"/>
        </w:rPr>
        <w:t>Rationale</w:t>
      </w:r>
    </w:p>
    <w:bookmarkEnd w:id="93"/>
    <w:p w14:paraId="5195D7B8" w14:textId="77777777" w:rsidR="007C6966" w:rsidRDefault="0014419E" w:rsidP="00143929">
      <w:pPr>
        <w:pStyle w:val="NormalBulleted"/>
      </w:pPr>
      <w:r>
        <w:t xml:space="preserve">There is currently considerable confusion over what ‘pathologist determinable’ </w:t>
      </w:r>
      <w:proofErr w:type="gramStart"/>
      <w:r>
        <w:t>actually means</w:t>
      </w:r>
      <w:proofErr w:type="gramEnd"/>
      <w:r>
        <w:t xml:space="preserve"> in the context of biomarker testing. Delays in testing are occurring because of the necessity to seek an additional request form from a non-pathologist clinician for tests to be rebated. This may impact on patient treatment planning and/or eligibility for trials.</w:t>
      </w:r>
    </w:p>
    <w:p w14:paraId="7C819158" w14:textId="77777777" w:rsidR="007C6966" w:rsidRPr="007C6966" w:rsidRDefault="007C6966" w:rsidP="00143929">
      <w:pPr>
        <w:pStyle w:val="NormalBulleted"/>
      </w:pPr>
      <w:r>
        <w:t xml:space="preserve">The </w:t>
      </w:r>
      <w:r w:rsidR="00E351B9" w:rsidRPr="007C6966">
        <w:rPr>
          <w:color w:val="000000" w:themeColor="text1"/>
        </w:rPr>
        <w:t>absence of clear information within the MBS itself regarding which tests are pathologist determinable</w:t>
      </w:r>
      <w:r>
        <w:rPr>
          <w:color w:val="000000" w:themeColor="text1"/>
        </w:rPr>
        <w:t>,</w:t>
      </w:r>
      <w:r w:rsidR="002159BB" w:rsidRPr="007C6966">
        <w:rPr>
          <w:color w:val="000000" w:themeColor="text1"/>
        </w:rPr>
        <w:t xml:space="preserve"> </w:t>
      </w:r>
      <w:r w:rsidR="00E351B9" w:rsidRPr="007C6966">
        <w:rPr>
          <w:color w:val="000000" w:themeColor="text1"/>
        </w:rPr>
        <w:t xml:space="preserve">and what restrictions are in place regarding the </w:t>
      </w:r>
      <w:r w:rsidR="002159BB" w:rsidRPr="007C6966">
        <w:rPr>
          <w:color w:val="000000" w:themeColor="text1"/>
        </w:rPr>
        <w:t xml:space="preserve">utilisation </w:t>
      </w:r>
      <w:r w:rsidR="00E351B9" w:rsidRPr="007C6966">
        <w:rPr>
          <w:color w:val="000000" w:themeColor="text1"/>
        </w:rPr>
        <w:t xml:space="preserve">of this facility adds to the confusion. </w:t>
      </w:r>
    </w:p>
    <w:p w14:paraId="11B1E591" w14:textId="77777777" w:rsidR="007C6966" w:rsidRPr="007C6966" w:rsidRDefault="00E351B9" w:rsidP="00143929">
      <w:pPr>
        <w:pStyle w:val="NormalBulleted"/>
      </w:pPr>
      <w:r w:rsidRPr="007C6966">
        <w:rPr>
          <w:color w:val="000000" w:themeColor="text1"/>
        </w:rPr>
        <w:t>The W</w:t>
      </w:r>
      <w:r w:rsidR="0057489C" w:rsidRPr="007C6966">
        <w:rPr>
          <w:color w:val="000000" w:themeColor="text1"/>
        </w:rPr>
        <w:t>orking Group</w:t>
      </w:r>
      <w:r w:rsidRPr="007C6966">
        <w:rPr>
          <w:color w:val="000000" w:themeColor="text1"/>
        </w:rPr>
        <w:t xml:space="preserve"> has received </w:t>
      </w:r>
      <w:r w:rsidR="0057489C" w:rsidRPr="007C6966">
        <w:rPr>
          <w:color w:val="000000" w:themeColor="text1"/>
        </w:rPr>
        <w:t xml:space="preserve">advice </w:t>
      </w:r>
      <w:r w:rsidRPr="007C6966">
        <w:rPr>
          <w:color w:val="000000" w:themeColor="text1"/>
        </w:rPr>
        <w:t>from</w:t>
      </w:r>
      <w:r w:rsidR="004A2618" w:rsidRPr="007C6966">
        <w:rPr>
          <w:color w:val="000000" w:themeColor="text1"/>
        </w:rPr>
        <w:t xml:space="preserve"> the Department </w:t>
      </w:r>
      <w:r w:rsidRPr="007C6966">
        <w:rPr>
          <w:color w:val="000000" w:themeColor="text1"/>
        </w:rPr>
        <w:t xml:space="preserve"> </w:t>
      </w:r>
      <w:r w:rsidR="00E2670F" w:rsidRPr="007C6966">
        <w:rPr>
          <w:color w:val="000000" w:themeColor="text1"/>
        </w:rPr>
        <w:t xml:space="preserve">that </w:t>
      </w:r>
      <w:r w:rsidRPr="007C6966">
        <w:rPr>
          <w:color w:val="000000" w:themeColor="text1"/>
        </w:rPr>
        <w:t>confirms that on-referral of a pathology test (</w:t>
      </w:r>
      <w:r w:rsidR="00C40C8C" w:rsidRPr="007C6966">
        <w:rPr>
          <w:color w:val="000000" w:themeColor="text1"/>
        </w:rPr>
        <w:t>including</w:t>
      </w:r>
      <w:r w:rsidRPr="007C6966">
        <w:rPr>
          <w:color w:val="000000" w:themeColor="text1"/>
        </w:rPr>
        <w:t xml:space="preserve"> </w:t>
      </w:r>
      <w:r w:rsidR="00E2670F" w:rsidRPr="007C6966">
        <w:rPr>
          <w:color w:val="000000" w:themeColor="text1"/>
        </w:rPr>
        <w:t>‘</w:t>
      </w:r>
      <w:r w:rsidRPr="007C6966">
        <w:rPr>
          <w:color w:val="000000" w:themeColor="text1"/>
        </w:rPr>
        <w:t>pathologist determinable</w:t>
      </w:r>
      <w:r w:rsidR="00E2670F" w:rsidRPr="007C6966">
        <w:rPr>
          <w:color w:val="000000" w:themeColor="text1"/>
        </w:rPr>
        <w:t xml:space="preserve">’ </w:t>
      </w:r>
      <w:r w:rsidRPr="007C6966">
        <w:rPr>
          <w:color w:val="000000" w:themeColor="text1"/>
        </w:rPr>
        <w:t>companion biomarker</w:t>
      </w:r>
      <w:r w:rsidR="00C40C8C" w:rsidRPr="007C6966">
        <w:rPr>
          <w:color w:val="000000" w:themeColor="text1"/>
        </w:rPr>
        <w:t>s</w:t>
      </w:r>
      <w:r w:rsidRPr="007C6966">
        <w:rPr>
          <w:color w:val="000000" w:themeColor="text1"/>
        </w:rPr>
        <w:t xml:space="preserve"> </w:t>
      </w:r>
      <w:r w:rsidR="00C40C8C" w:rsidRPr="007C6966">
        <w:rPr>
          <w:color w:val="000000" w:themeColor="text1"/>
        </w:rPr>
        <w:t>such as</w:t>
      </w:r>
      <w:r w:rsidRPr="007C6966">
        <w:rPr>
          <w:color w:val="000000" w:themeColor="text1"/>
        </w:rPr>
        <w:t xml:space="preserve"> </w:t>
      </w:r>
      <w:r w:rsidR="00C40C8C" w:rsidRPr="007C6966">
        <w:rPr>
          <w:color w:val="000000" w:themeColor="text1"/>
        </w:rPr>
        <w:t xml:space="preserve">HER2 in situ hybridization and </w:t>
      </w:r>
      <w:r w:rsidR="00317CD3" w:rsidRPr="007C6966">
        <w:rPr>
          <w:color w:val="000000" w:themeColor="text1"/>
        </w:rPr>
        <w:t>epidermal growth factor receptor [E</w:t>
      </w:r>
      <w:r w:rsidRPr="007C6966">
        <w:rPr>
          <w:color w:val="000000" w:themeColor="text1"/>
        </w:rPr>
        <w:t>GFR</w:t>
      </w:r>
      <w:r w:rsidR="00317CD3" w:rsidRPr="007C6966">
        <w:rPr>
          <w:color w:val="000000" w:themeColor="text1"/>
        </w:rPr>
        <w:t>]</w:t>
      </w:r>
      <w:r w:rsidR="00C40C8C" w:rsidRPr="007C6966">
        <w:rPr>
          <w:color w:val="000000" w:themeColor="text1"/>
        </w:rPr>
        <w:t xml:space="preserve"> mutation analysis</w:t>
      </w:r>
      <w:r w:rsidRPr="007C6966">
        <w:rPr>
          <w:color w:val="000000" w:themeColor="text1"/>
        </w:rPr>
        <w:t>) to a second laboratory for testing and reporting requires a request from a non-pathologist clinician for the second laboratory to bill for the test.</w:t>
      </w:r>
      <w:r w:rsidR="00E11BC0" w:rsidRPr="007C6966">
        <w:rPr>
          <w:color w:val="000000" w:themeColor="text1"/>
        </w:rPr>
        <w:t xml:space="preserve"> </w:t>
      </w:r>
      <w:r w:rsidRPr="007C6966">
        <w:rPr>
          <w:color w:val="000000" w:themeColor="text1"/>
        </w:rPr>
        <w:t>Pathologist</w:t>
      </w:r>
      <w:r w:rsidR="00777F26" w:rsidRPr="007C6966">
        <w:rPr>
          <w:color w:val="000000" w:themeColor="text1"/>
        </w:rPr>
        <w:t>-</w:t>
      </w:r>
      <w:r w:rsidRPr="007C6966">
        <w:rPr>
          <w:color w:val="000000" w:themeColor="text1"/>
        </w:rPr>
        <w:t>determinable</w:t>
      </w:r>
      <w:r w:rsidR="00711FB3" w:rsidRPr="007C6966">
        <w:rPr>
          <w:color w:val="000000" w:themeColor="text1"/>
        </w:rPr>
        <w:t xml:space="preserve"> </w:t>
      </w:r>
      <w:r w:rsidRPr="007C6966">
        <w:rPr>
          <w:color w:val="000000" w:themeColor="text1"/>
        </w:rPr>
        <w:t xml:space="preserve">testing only works within </w:t>
      </w:r>
      <w:r w:rsidR="00765A97" w:rsidRPr="007C6966">
        <w:rPr>
          <w:color w:val="000000" w:themeColor="text1"/>
        </w:rPr>
        <w:t xml:space="preserve">a pathologist’s </w:t>
      </w:r>
      <w:r w:rsidRPr="007C6966">
        <w:rPr>
          <w:color w:val="000000" w:themeColor="text1"/>
        </w:rPr>
        <w:t xml:space="preserve">own laboratory in association with an initial core item </w:t>
      </w:r>
      <w:r w:rsidR="0057489C" w:rsidRPr="007C6966">
        <w:rPr>
          <w:color w:val="000000" w:themeColor="text1"/>
        </w:rPr>
        <w:t>histology or cytology</w:t>
      </w:r>
      <w:r w:rsidRPr="007C6966">
        <w:rPr>
          <w:color w:val="000000" w:themeColor="text1"/>
        </w:rPr>
        <w:t xml:space="preserve"> request.</w:t>
      </w:r>
    </w:p>
    <w:p w14:paraId="70C0A43E" w14:textId="77777777" w:rsidR="007C6966" w:rsidRPr="007C6966" w:rsidRDefault="00E351B9" w:rsidP="00E54DE0">
      <w:pPr>
        <w:pStyle w:val="NormalBulleted"/>
      </w:pPr>
      <w:r w:rsidRPr="007C6966">
        <w:rPr>
          <w:color w:val="000000" w:themeColor="text1"/>
        </w:rPr>
        <w:t xml:space="preserve">To allow pathologists to order even a </w:t>
      </w:r>
      <w:r w:rsidR="0057489C" w:rsidRPr="007C6966">
        <w:rPr>
          <w:color w:val="000000" w:themeColor="text1"/>
        </w:rPr>
        <w:t xml:space="preserve">limited </w:t>
      </w:r>
      <w:r w:rsidRPr="007C6966">
        <w:rPr>
          <w:color w:val="000000" w:themeColor="text1"/>
        </w:rPr>
        <w:t>subset of pathology items from another pathology provider would require a change in legislation (not just the MBS).</w:t>
      </w:r>
    </w:p>
    <w:p w14:paraId="2969E40C" w14:textId="77777777" w:rsidR="00143929" w:rsidRPr="007C6966" w:rsidRDefault="0057489C" w:rsidP="00E54DE0">
      <w:pPr>
        <w:pStyle w:val="NormalBulleted"/>
      </w:pPr>
      <w:r w:rsidRPr="007C6966">
        <w:rPr>
          <w:color w:val="000000" w:themeColor="text1"/>
        </w:rPr>
        <w:t xml:space="preserve">The </w:t>
      </w:r>
      <w:r w:rsidR="00711FB3" w:rsidRPr="007C6966">
        <w:rPr>
          <w:color w:val="000000" w:themeColor="text1"/>
        </w:rPr>
        <w:t xml:space="preserve">Working Group </w:t>
      </w:r>
      <w:r w:rsidRPr="007C6966">
        <w:rPr>
          <w:color w:val="000000" w:themeColor="text1"/>
        </w:rPr>
        <w:t>believes that MSAC’s intention in deeming certain companion biomarker assays “pathologist determinable” (</w:t>
      </w:r>
      <w:r w:rsidR="00F764FD" w:rsidRPr="007C6966">
        <w:rPr>
          <w:color w:val="000000" w:themeColor="text1"/>
        </w:rPr>
        <w:t>i.e.</w:t>
      </w:r>
      <w:r w:rsidRPr="007C6966">
        <w:rPr>
          <w:color w:val="000000" w:themeColor="text1"/>
        </w:rPr>
        <w:t xml:space="preserve"> to facilitate and streamline patient testing to optimise treatment) is being thwarted by current legislative restrictions around pathologist determinable tests</w:t>
      </w:r>
      <w:r w:rsidR="00711FB3" w:rsidRPr="007C6966">
        <w:rPr>
          <w:color w:val="000000" w:themeColor="text1"/>
        </w:rPr>
        <w:t>.</w:t>
      </w:r>
    </w:p>
    <w:p w14:paraId="5E5E6E35" w14:textId="77777777" w:rsidR="00E60294" w:rsidRPr="008C5974" w:rsidRDefault="00E60294" w:rsidP="008C5974">
      <w:pPr>
        <w:pStyle w:val="NormalBulleted"/>
      </w:pPr>
      <w:r w:rsidRPr="008C5974">
        <w:rPr>
          <w:color w:val="FF0000"/>
        </w:rPr>
        <w:br w:type="page"/>
      </w:r>
    </w:p>
    <w:p w14:paraId="67B6DCE4" w14:textId="77777777" w:rsidR="00E351B9" w:rsidRPr="000435CB" w:rsidRDefault="00E351B9" w:rsidP="00774742">
      <w:pPr>
        <w:pStyle w:val="NormalBulleted"/>
        <w:numPr>
          <w:ilvl w:val="0"/>
          <w:numId w:val="0"/>
        </w:numPr>
        <w:ind w:left="431"/>
      </w:pPr>
    </w:p>
    <w:p w14:paraId="6D44F769" w14:textId="77777777" w:rsidR="00686517" w:rsidRPr="009200D8" w:rsidRDefault="00A66B73" w:rsidP="00061127">
      <w:pPr>
        <w:pStyle w:val="Heading1"/>
      </w:pPr>
      <w:bookmarkStart w:id="94" w:name="_Toc482203595"/>
      <w:bookmarkStart w:id="95" w:name="_Toc514243839"/>
      <w:r w:rsidRPr="009200D8">
        <w:t>References</w:t>
      </w:r>
      <w:bookmarkEnd w:id="94"/>
      <w:bookmarkEnd w:id="95"/>
    </w:p>
    <w:p w14:paraId="09D45628" w14:textId="77777777" w:rsidR="0003570D" w:rsidRDefault="00601415" w:rsidP="00774742">
      <w:pPr>
        <w:rPr>
          <w:b/>
        </w:rPr>
      </w:pPr>
      <w:r w:rsidRPr="00E04CA8">
        <w:t>This contains references to sources and materials referenced in this report.</w:t>
      </w:r>
    </w:p>
    <w:p w14:paraId="31F9FC4C" w14:textId="77777777" w:rsidR="0003570D" w:rsidRPr="00774742" w:rsidRDefault="0003570D" w:rsidP="00774742"/>
    <w:p w14:paraId="5E50B930" w14:textId="77777777" w:rsidR="0003570D" w:rsidRPr="00774742" w:rsidRDefault="0003570D" w:rsidP="00774742">
      <w:proofErr w:type="spellStart"/>
      <w:r w:rsidRPr="00774742">
        <w:rPr>
          <w:rFonts w:eastAsiaTheme="minorHAnsi" w:cs="Arial"/>
          <w:szCs w:val="22"/>
        </w:rPr>
        <w:t>i</w:t>
      </w:r>
      <w:proofErr w:type="spellEnd"/>
      <w:r w:rsidRPr="00774742">
        <w:rPr>
          <w:rFonts w:eastAsiaTheme="minorHAnsi" w:cs="Arial"/>
          <w:szCs w:val="22"/>
        </w:rPr>
        <w:t>)</w:t>
      </w:r>
      <w:r w:rsidR="00E11BC0" w:rsidRPr="00774742">
        <w:t xml:space="preserve"> </w:t>
      </w:r>
      <w:r w:rsidRPr="00774742">
        <w:t xml:space="preserve"> </w:t>
      </w:r>
      <w:proofErr w:type="spellStart"/>
      <w:r w:rsidRPr="00774742">
        <w:t>Elshaug</w:t>
      </w:r>
      <w:proofErr w:type="spellEnd"/>
      <w:r w:rsidRPr="00774742">
        <w:t xml:space="preserve"> A, et al (2012). Over 150 potentially low-value health care practices: an Australian study. Medical Journal of Australia; Vol.197 (10)</w:t>
      </w:r>
      <w:r w:rsidR="00C40C8C" w:rsidRPr="00774742">
        <w:t>:</w:t>
      </w:r>
      <w:r w:rsidRPr="00774742">
        <w:t xml:space="preserve"> 556-560</w:t>
      </w:r>
    </w:p>
    <w:p w14:paraId="59DD4E83" w14:textId="77777777" w:rsidR="0003570D" w:rsidRPr="00774742" w:rsidRDefault="0003570D" w:rsidP="00774742">
      <w:r w:rsidRPr="00774742">
        <w:t>ii)</w:t>
      </w:r>
      <w:r w:rsidR="00E11BC0" w:rsidRPr="00774742">
        <w:t xml:space="preserve"> </w:t>
      </w:r>
      <w:proofErr w:type="spellStart"/>
      <w:r w:rsidRPr="00774742">
        <w:t>Buzacott</w:t>
      </w:r>
      <w:proofErr w:type="spellEnd"/>
      <w:r w:rsidRPr="00774742">
        <w:t xml:space="preserve"> K (2017) Dollars and sense: the true cost of histopathology. Pathology 2017: 49 (</w:t>
      </w:r>
      <w:proofErr w:type="spellStart"/>
      <w:r w:rsidRPr="00774742">
        <w:t>Suppl</w:t>
      </w:r>
      <w:proofErr w:type="spellEnd"/>
      <w:r w:rsidR="007C6966">
        <w:t xml:space="preserve"> </w:t>
      </w:r>
      <w:r w:rsidRPr="00774742">
        <w:t>1):</w:t>
      </w:r>
      <w:r w:rsidR="00C40C8C" w:rsidRPr="00774742">
        <w:t xml:space="preserve"> </w:t>
      </w:r>
      <w:r w:rsidRPr="00774742">
        <w:t xml:space="preserve"> S67</w:t>
      </w:r>
    </w:p>
    <w:p w14:paraId="1A19DCE5" w14:textId="77777777" w:rsidR="0003570D" w:rsidRPr="00774742" w:rsidRDefault="0003570D" w:rsidP="00774742">
      <w:r w:rsidRPr="00774742">
        <w:t>iii) Royal College of Pathologists Australasia, Cancer Protocols. Surry Hills, NSW, 2016</w:t>
      </w:r>
    </w:p>
    <w:p w14:paraId="6D3C06D8" w14:textId="77777777" w:rsidR="00FB4F61" w:rsidRPr="00774742" w:rsidRDefault="0003570D" w:rsidP="00774742">
      <w:pPr>
        <w:rPr>
          <w:szCs w:val="22"/>
        </w:rPr>
      </w:pPr>
      <w:r w:rsidRPr="00774742">
        <w:rPr>
          <w:szCs w:val="22"/>
        </w:rPr>
        <w:t xml:space="preserve">iv) </w:t>
      </w:r>
      <w:r w:rsidR="00E04CA8" w:rsidRPr="00774742">
        <w:rPr>
          <w:szCs w:val="22"/>
        </w:rPr>
        <w:t>Ellis DW, Srigley J: Does standardised structured reporting contribute to quality in diagnostic pathology?</w:t>
      </w:r>
      <w:r w:rsidR="00E11BC0" w:rsidRPr="00774742">
        <w:rPr>
          <w:szCs w:val="22"/>
        </w:rPr>
        <w:t xml:space="preserve"> </w:t>
      </w:r>
      <w:r w:rsidR="00E04CA8" w:rsidRPr="00774742">
        <w:rPr>
          <w:szCs w:val="22"/>
        </w:rPr>
        <w:t xml:space="preserve">The importance of evidence-based datasets. </w:t>
      </w:r>
      <w:proofErr w:type="spellStart"/>
      <w:r w:rsidR="00E04CA8" w:rsidRPr="00774742">
        <w:rPr>
          <w:szCs w:val="22"/>
        </w:rPr>
        <w:t>Virchows</w:t>
      </w:r>
      <w:proofErr w:type="spellEnd"/>
      <w:r w:rsidR="00E04CA8" w:rsidRPr="00774742">
        <w:rPr>
          <w:szCs w:val="22"/>
        </w:rPr>
        <w:t xml:space="preserve"> Arch 2016;</w:t>
      </w:r>
      <w:r w:rsidR="00C40C8C" w:rsidRPr="00774742">
        <w:rPr>
          <w:szCs w:val="22"/>
        </w:rPr>
        <w:t xml:space="preserve"> </w:t>
      </w:r>
      <w:r w:rsidR="00E04CA8" w:rsidRPr="00774742">
        <w:rPr>
          <w:szCs w:val="22"/>
        </w:rPr>
        <w:t>468:</w:t>
      </w:r>
      <w:r w:rsidR="00C40C8C" w:rsidRPr="00774742">
        <w:rPr>
          <w:szCs w:val="22"/>
        </w:rPr>
        <w:t xml:space="preserve"> </w:t>
      </w:r>
      <w:r w:rsidR="00E04CA8" w:rsidRPr="00774742">
        <w:rPr>
          <w:szCs w:val="22"/>
        </w:rPr>
        <w:t>51-9.</w:t>
      </w:r>
    </w:p>
    <w:p w14:paraId="32DF7B83" w14:textId="77777777" w:rsidR="0072705E" w:rsidRPr="0003570D" w:rsidRDefault="0072705E" w:rsidP="00774742">
      <w:pPr>
        <w:rPr>
          <w:rFonts w:cs="Arial"/>
          <w:color w:val="BFBFBF" w:themeColor="background1" w:themeShade="BF"/>
          <w:szCs w:val="22"/>
        </w:rPr>
        <w:sectPr w:rsidR="0072705E" w:rsidRPr="0003570D" w:rsidSect="002E2665">
          <w:endnotePr>
            <w:numFmt w:val="decimal"/>
          </w:endnotePr>
          <w:pgSz w:w="11906" w:h="16838" w:code="9"/>
          <w:pgMar w:top="1021" w:right="1440" w:bottom="1021" w:left="1560" w:header="567" w:footer="170" w:gutter="0"/>
          <w:paperSrc w:first="2" w:other="2"/>
          <w:pgNumType w:start="1"/>
          <w:cols w:space="720"/>
          <w:docGrid w:linePitch="326"/>
        </w:sectPr>
      </w:pPr>
    </w:p>
    <w:p w14:paraId="429231EC" w14:textId="77777777" w:rsidR="00EF59A1" w:rsidRPr="0060697D" w:rsidRDefault="00DE588D" w:rsidP="0060697D">
      <w:pPr>
        <w:pStyle w:val="Heading1"/>
      </w:pPr>
      <w:bookmarkStart w:id="96" w:name="_Toc482203596"/>
      <w:bookmarkStart w:id="97" w:name="_Toc514243840"/>
      <w:r w:rsidRPr="0060697D">
        <w:lastRenderedPageBreak/>
        <w:t>Glossary</w:t>
      </w:r>
      <w:bookmarkEnd w:id="96"/>
      <w:bookmarkEnd w:id="97"/>
      <w:r w:rsidR="00040F54">
        <w:t xml:space="preserve"> </w:t>
      </w:r>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Pr>
      <w:tblGrid>
        <w:gridCol w:w="2754"/>
        <w:gridCol w:w="6272"/>
      </w:tblGrid>
      <w:tr w:rsidR="00FB4F61" w:rsidRPr="00FB4F61" w14:paraId="3EA7541A" w14:textId="77777777" w:rsidTr="00040F54">
        <w:trPr>
          <w:tblHeader/>
        </w:trPr>
        <w:tc>
          <w:tcPr>
            <w:tcW w:w="2754" w:type="dxa"/>
          </w:tcPr>
          <w:p w14:paraId="7D9202B2" w14:textId="77777777" w:rsidR="00FB4F61" w:rsidRPr="00FB4F61" w:rsidRDefault="00FB4F61" w:rsidP="0060697D">
            <w:pPr>
              <w:spacing w:before="120" w:after="0"/>
              <w:rPr>
                <w:b/>
                <w:sz w:val="20"/>
                <w:szCs w:val="20"/>
              </w:rPr>
            </w:pPr>
            <w:r w:rsidRPr="00FB4F61">
              <w:rPr>
                <w:b/>
                <w:sz w:val="20"/>
                <w:szCs w:val="20"/>
              </w:rPr>
              <w:t>Term</w:t>
            </w:r>
          </w:p>
        </w:tc>
        <w:tc>
          <w:tcPr>
            <w:tcW w:w="6272" w:type="dxa"/>
          </w:tcPr>
          <w:p w14:paraId="657E704E" w14:textId="77777777" w:rsidR="00FB4F61" w:rsidRPr="00FB4F61" w:rsidRDefault="00FB4F61" w:rsidP="0060697D">
            <w:pPr>
              <w:spacing w:before="120" w:after="0"/>
              <w:rPr>
                <w:rFonts w:cs="Arial"/>
                <w:b/>
                <w:color w:val="000000" w:themeColor="text1"/>
                <w:sz w:val="20"/>
                <w:szCs w:val="20"/>
              </w:rPr>
            </w:pPr>
            <w:r w:rsidRPr="00FB4F61">
              <w:rPr>
                <w:rFonts w:cs="Arial"/>
                <w:b/>
                <w:color w:val="000000" w:themeColor="text1"/>
                <w:sz w:val="20"/>
                <w:szCs w:val="20"/>
              </w:rPr>
              <w:t>Description</w:t>
            </w:r>
          </w:p>
        </w:tc>
      </w:tr>
      <w:tr w:rsidR="0072705E" w:rsidRPr="00984BFF" w14:paraId="391FECA3" w14:textId="77777777" w:rsidTr="00040F54">
        <w:tc>
          <w:tcPr>
            <w:tcW w:w="2754" w:type="dxa"/>
          </w:tcPr>
          <w:p w14:paraId="34523546" w14:textId="77777777" w:rsidR="0072705E" w:rsidRPr="0072705E" w:rsidRDefault="0097029A" w:rsidP="0060697D">
            <w:pPr>
              <w:spacing w:before="120" w:after="0"/>
              <w:rPr>
                <w:rFonts w:cs="Arial"/>
                <w:b/>
                <w:sz w:val="20"/>
                <w:szCs w:val="20"/>
              </w:rPr>
            </w:pPr>
            <w:r>
              <w:rPr>
                <w:b/>
                <w:sz w:val="20"/>
                <w:szCs w:val="20"/>
              </w:rPr>
              <w:t>AC</w:t>
            </w:r>
            <w:r w:rsidR="0072705E" w:rsidRPr="0072705E">
              <w:rPr>
                <w:b/>
                <w:sz w:val="20"/>
                <w:szCs w:val="20"/>
              </w:rPr>
              <w:t>S</w:t>
            </w:r>
            <w:r>
              <w:rPr>
                <w:b/>
                <w:sz w:val="20"/>
                <w:szCs w:val="20"/>
              </w:rPr>
              <w:t>Q</w:t>
            </w:r>
            <w:r w:rsidR="0072705E" w:rsidRPr="0072705E">
              <w:rPr>
                <w:b/>
                <w:sz w:val="20"/>
                <w:szCs w:val="20"/>
              </w:rPr>
              <w:t>HC</w:t>
            </w:r>
          </w:p>
        </w:tc>
        <w:tc>
          <w:tcPr>
            <w:tcW w:w="6272" w:type="dxa"/>
          </w:tcPr>
          <w:p w14:paraId="50D29160"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 xml:space="preserve">The </w:t>
            </w:r>
            <w:r w:rsidR="006E182E">
              <w:rPr>
                <w:rFonts w:cs="Arial"/>
                <w:color w:val="000000" w:themeColor="text1"/>
                <w:sz w:val="20"/>
                <w:szCs w:val="20"/>
              </w:rPr>
              <w:t xml:space="preserve">Australian Commission on Safety and Quality </w:t>
            </w:r>
            <w:r w:rsidRPr="0072705E">
              <w:rPr>
                <w:rFonts w:cs="Arial"/>
                <w:color w:val="000000" w:themeColor="text1"/>
                <w:sz w:val="20"/>
                <w:szCs w:val="20"/>
              </w:rPr>
              <w:t>in Health Care</w:t>
            </w:r>
          </w:p>
        </w:tc>
      </w:tr>
      <w:tr w:rsidR="0072705E" w:rsidRPr="00984BFF" w14:paraId="18D8FC16" w14:textId="77777777" w:rsidTr="00040F54">
        <w:tc>
          <w:tcPr>
            <w:tcW w:w="2754" w:type="dxa"/>
          </w:tcPr>
          <w:p w14:paraId="18C5FE1C" w14:textId="77777777" w:rsidR="0072705E" w:rsidRPr="0072705E" w:rsidRDefault="0072705E" w:rsidP="0060697D">
            <w:pPr>
              <w:spacing w:before="120" w:after="0"/>
              <w:rPr>
                <w:rFonts w:cs="Arial"/>
                <w:b/>
                <w:sz w:val="20"/>
                <w:szCs w:val="20"/>
              </w:rPr>
            </w:pPr>
            <w:r w:rsidRPr="0072705E">
              <w:rPr>
                <w:b/>
                <w:sz w:val="20"/>
                <w:szCs w:val="20"/>
              </w:rPr>
              <w:t>AHMAC</w:t>
            </w:r>
          </w:p>
        </w:tc>
        <w:tc>
          <w:tcPr>
            <w:tcW w:w="6272" w:type="dxa"/>
          </w:tcPr>
          <w:p w14:paraId="7EB24A4A"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Health Ministers’ Advisory Council</w:t>
            </w:r>
          </w:p>
        </w:tc>
      </w:tr>
      <w:tr w:rsidR="0072705E" w:rsidRPr="00984BFF" w14:paraId="1C583B09" w14:textId="77777777" w:rsidTr="00040F54">
        <w:tc>
          <w:tcPr>
            <w:tcW w:w="2754" w:type="dxa"/>
          </w:tcPr>
          <w:p w14:paraId="574B8D91" w14:textId="77777777" w:rsidR="0072705E" w:rsidRPr="0072705E" w:rsidRDefault="0072705E" w:rsidP="0060697D">
            <w:pPr>
              <w:spacing w:before="120" w:after="0"/>
              <w:rPr>
                <w:rFonts w:cs="Arial"/>
                <w:b/>
                <w:sz w:val="20"/>
                <w:szCs w:val="20"/>
              </w:rPr>
            </w:pPr>
            <w:r w:rsidRPr="0072705E">
              <w:rPr>
                <w:b/>
                <w:sz w:val="20"/>
                <w:szCs w:val="20"/>
              </w:rPr>
              <w:t>Department, The</w:t>
            </w:r>
          </w:p>
        </w:tc>
        <w:tc>
          <w:tcPr>
            <w:tcW w:w="6272" w:type="dxa"/>
          </w:tcPr>
          <w:p w14:paraId="0882C8A6"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Government Department of Health</w:t>
            </w:r>
          </w:p>
        </w:tc>
      </w:tr>
      <w:tr w:rsidR="0072705E" w:rsidRPr="00984BFF" w14:paraId="5777848D" w14:textId="77777777" w:rsidTr="00040F54">
        <w:tc>
          <w:tcPr>
            <w:tcW w:w="2754" w:type="dxa"/>
          </w:tcPr>
          <w:p w14:paraId="7FDD7A9E" w14:textId="77777777" w:rsidR="0072705E" w:rsidRPr="0072705E" w:rsidRDefault="0072705E" w:rsidP="0060697D">
            <w:pPr>
              <w:spacing w:before="120" w:after="0"/>
              <w:rPr>
                <w:rFonts w:cs="Arial"/>
                <w:b/>
                <w:sz w:val="20"/>
                <w:szCs w:val="20"/>
              </w:rPr>
            </w:pPr>
            <w:r w:rsidRPr="0072705E">
              <w:rPr>
                <w:b/>
                <w:sz w:val="20"/>
                <w:szCs w:val="20"/>
              </w:rPr>
              <w:t>DHS</w:t>
            </w:r>
          </w:p>
        </w:tc>
        <w:tc>
          <w:tcPr>
            <w:tcW w:w="6272" w:type="dxa"/>
          </w:tcPr>
          <w:p w14:paraId="6EB601FF"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Australian Government Department of Human Services</w:t>
            </w:r>
          </w:p>
        </w:tc>
      </w:tr>
      <w:tr w:rsidR="0072705E" w:rsidRPr="00984BFF" w14:paraId="32AE9754" w14:textId="77777777" w:rsidTr="00040F54">
        <w:tc>
          <w:tcPr>
            <w:tcW w:w="2754" w:type="dxa"/>
          </w:tcPr>
          <w:p w14:paraId="1F250B3D" w14:textId="77777777" w:rsidR="0072705E" w:rsidRPr="0072705E" w:rsidRDefault="0072705E" w:rsidP="0060697D">
            <w:pPr>
              <w:spacing w:before="120" w:after="0"/>
              <w:rPr>
                <w:rFonts w:cs="Arial"/>
                <w:b/>
                <w:sz w:val="20"/>
                <w:szCs w:val="20"/>
              </w:rPr>
            </w:pPr>
            <w:r w:rsidRPr="0072705E">
              <w:rPr>
                <w:b/>
                <w:sz w:val="20"/>
                <w:szCs w:val="20"/>
              </w:rPr>
              <w:t>GP</w:t>
            </w:r>
          </w:p>
        </w:tc>
        <w:tc>
          <w:tcPr>
            <w:tcW w:w="6272" w:type="dxa"/>
          </w:tcPr>
          <w:p w14:paraId="6B2CD9DB"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General practitioner</w:t>
            </w:r>
          </w:p>
        </w:tc>
      </w:tr>
      <w:tr w:rsidR="0072705E" w:rsidRPr="00984BFF" w14:paraId="2375B588" w14:textId="77777777" w:rsidTr="00040F54">
        <w:tc>
          <w:tcPr>
            <w:tcW w:w="2754" w:type="dxa"/>
          </w:tcPr>
          <w:p w14:paraId="6EF0333A" w14:textId="77777777"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High-value care</w:t>
            </w:r>
          </w:p>
        </w:tc>
        <w:tc>
          <w:tcPr>
            <w:tcW w:w="6272" w:type="dxa"/>
          </w:tcPr>
          <w:p w14:paraId="0FEA1D60"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Services of proven efficacy reflecting current best medical practice, or for which the potential benefit to consumers exceeds the risk and costs</w:t>
            </w:r>
            <w:r w:rsidRPr="0072705E">
              <w:rPr>
                <w:rFonts w:eastAsiaTheme="minorHAnsi" w:cs="Arial"/>
                <w:color w:val="000000" w:themeColor="text1"/>
                <w:sz w:val="20"/>
                <w:szCs w:val="20"/>
                <w:lang w:eastAsia="en-US"/>
              </w:rPr>
              <w:t>.</w:t>
            </w:r>
          </w:p>
        </w:tc>
      </w:tr>
      <w:tr w:rsidR="0072705E" w:rsidRPr="00984BFF" w14:paraId="4B626474" w14:textId="77777777" w:rsidTr="00040F54">
        <w:tc>
          <w:tcPr>
            <w:tcW w:w="2754" w:type="dxa"/>
          </w:tcPr>
          <w:p w14:paraId="75C1EB15" w14:textId="77777777"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Inappropriate use / misuse</w:t>
            </w:r>
          </w:p>
        </w:tc>
        <w:tc>
          <w:tcPr>
            <w:tcW w:w="6272" w:type="dxa"/>
          </w:tcPr>
          <w:p w14:paraId="2B648C2D" w14:textId="77777777" w:rsidR="0072705E" w:rsidRPr="0072705E" w:rsidRDefault="0072705E" w:rsidP="0060697D">
            <w:pPr>
              <w:spacing w:before="120" w:after="0"/>
              <w:rPr>
                <w:rFonts w:cs="Arial"/>
                <w:sz w:val="20"/>
                <w:szCs w:val="20"/>
              </w:rPr>
            </w:pPr>
            <w:r w:rsidRPr="0072705E">
              <w:rPr>
                <w:rFonts w:eastAsiaTheme="minorHAnsi" w:cs="Arial"/>
                <w:sz w:val="20"/>
                <w:szCs w:val="20"/>
                <w:lang w:eastAsia="en-US"/>
              </w:rPr>
              <w:t xml:space="preserve">The use of MBS services for purposes other than those intended. This includes a range of behaviours ranging from failing to adhere to </w:t>
            </w:r>
            <w:proofErr w:type="gramStart"/>
            <w:r w:rsidRPr="0072705E">
              <w:rPr>
                <w:rFonts w:eastAsiaTheme="minorHAnsi" w:cs="Arial"/>
                <w:sz w:val="20"/>
                <w:szCs w:val="20"/>
                <w:lang w:eastAsia="en-US"/>
              </w:rPr>
              <w:t>particular item</w:t>
            </w:r>
            <w:proofErr w:type="gramEnd"/>
            <w:r w:rsidRPr="0072705E">
              <w:rPr>
                <w:rFonts w:eastAsiaTheme="minorHAnsi" w:cs="Arial"/>
                <w:sz w:val="20"/>
                <w:szCs w:val="20"/>
                <w:lang w:eastAsia="en-US"/>
              </w:rPr>
              <w:t xml:space="preserve"> descriptors or rules, through to deliberate fraud.</w:t>
            </w:r>
          </w:p>
        </w:tc>
      </w:tr>
      <w:tr w:rsidR="0072705E" w:rsidRPr="00984BFF" w14:paraId="08D535F6" w14:textId="77777777" w:rsidTr="00040F54">
        <w:tc>
          <w:tcPr>
            <w:tcW w:w="2754" w:type="dxa"/>
          </w:tcPr>
          <w:p w14:paraId="18B48245" w14:textId="77777777"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Low-value care</w:t>
            </w:r>
          </w:p>
        </w:tc>
        <w:tc>
          <w:tcPr>
            <w:tcW w:w="6272" w:type="dxa"/>
          </w:tcPr>
          <w:p w14:paraId="5FF65985" w14:textId="77777777" w:rsidR="0072705E" w:rsidRPr="0072705E" w:rsidRDefault="0072705E" w:rsidP="0060697D">
            <w:pPr>
              <w:spacing w:before="120" w:after="0"/>
              <w:rPr>
                <w:rFonts w:cs="Arial"/>
                <w:sz w:val="20"/>
                <w:szCs w:val="20"/>
              </w:rPr>
            </w:pPr>
            <w:r w:rsidRPr="0072705E">
              <w:rPr>
                <w:rFonts w:cs="Arial"/>
                <w:color w:val="000000" w:themeColor="text1"/>
                <w:sz w:val="20"/>
                <w:szCs w:val="20"/>
                <w:shd w:val="clear" w:color="auto" w:fill="FFFFFF"/>
              </w:rPr>
              <w:t xml:space="preserve">The use of an intervention </w:t>
            </w:r>
            <w:r w:rsidR="00777F26">
              <w:rPr>
                <w:rFonts w:cs="Arial"/>
                <w:color w:val="000000" w:themeColor="text1"/>
                <w:sz w:val="20"/>
                <w:szCs w:val="20"/>
                <w:shd w:val="clear" w:color="auto" w:fill="FFFFFF"/>
              </w:rPr>
              <w:t xml:space="preserve">that </w:t>
            </w:r>
            <w:r w:rsidRPr="0072705E">
              <w:rPr>
                <w:rFonts w:cs="Arial"/>
                <w:color w:val="000000" w:themeColor="text1"/>
                <w:sz w:val="20"/>
                <w:szCs w:val="20"/>
                <w:shd w:val="clear" w:color="auto" w:fill="FFFFFF"/>
              </w:rPr>
              <w:t>evidence suggests confers no or very little benefit on patients, or that the risk of harm exceeds the likely benefit, or, more broadly, that the added costs of the intervention do not provide proportional added benefits.</w:t>
            </w:r>
          </w:p>
        </w:tc>
      </w:tr>
      <w:tr w:rsidR="0072705E" w:rsidRPr="00984BFF" w14:paraId="2CC1C080" w14:textId="77777777" w:rsidTr="00040F54">
        <w:tc>
          <w:tcPr>
            <w:tcW w:w="2754" w:type="dxa"/>
          </w:tcPr>
          <w:p w14:paraId="7683CE65" w14:textId="77777777" w:rsidR="0072705E" w:rsidRPr="0072705E" w:rsidRDefault="0072705E" w:rsidP="0060697D">
            <w:pPr>
              <w:spacing w:before="120" w:after="0"/>
              <w:rPr>
                <w:rFonts w:cs="Arial"/>
                <w:b/>
                <w:sz w:val="20"/>
                <w:szCs w:val="20"/>
              </w:rPr>
            </w:pPr>
            <w:r w:rsidRPr="0072705E">
              <w:rPr>
                <w:b/>
                <w:sz w:val="20"/>
                <w:szCs w:val="20"/>
              </w:rPr>
              <w:t>MBS item</w:t>
            </w:r>
          </w:p>
        </w:tc>
        <w:tc>
          <w:tcPr>
            <w:tcW w:w="6272" w:type="dxa"/>
          </w:tcPr>
          <w:p w14:paraId="3991E317" w14:textId="77777777" w:rsidR="0072705E" w:rsidRPr="0072705E" w:rsidRDefault="0072705E" w:rsidP="0060697D">
            <w:pPr>
              <w:spacing w:before="120" w:after="0"/>
              <w:rPr>
                <w:rFonts w:cs="Arial"/>
                <w:b/>
                <w:sz w:val="20"/>
                <w:szCs w:val="20"/>
              </w:rPr>
            </w:pPr>
            <w:r w:rsidRPr="0072705E">
              <w:rPr>
                <w:rFonts w:cs="Arial"/>
                <w:color w:val="000000" w:themeColor="text1"/>
                <w:sz w:val="20"/>
                <w:szCs w:val="20"/>
              </w:rPr>
              <w:t>An administrative object listed in the MBS and used for the purposes of claiming and paying Medicare benefits, comprising an item number, service descriptor and supporting information, Schedule fee and Medicare benefits.</w:t>
            </w:r>
          </w:p>
        </w:tc>
      </w:tr>
      <w:tr w:rsidR="0072705E" w:rsidRPr="00984BFF" w14:paraId="59EFD447" w14:textId="77777777" w:rsidTr="00040F54">
        <w:tc>
          <w:tcPr>
            <w:tcW w:w="2754" w:type="dxa"/>
          </w:tcPr>
          <w:p w14:paraId="2002AB7E" w14:textId="77777777" w:rsidR="0072705E" w:rsidRPr="0072705E" w:rsidRDefault="0072705E" w:rsidP="0060697D">
            <w:pPr>
              <w:spacing w:before="120" w:after="0"/>
              <w:rPr>
                <w:rFonts w:cs="Arial"/>
                <w:b/>
                <w:sz w:val="20"/>
                <w:szCs w:val="20"/>
              </w:rPr>
            </w:pPr>
            <w:r w:rsidRPr="0072705E">
              <w:rPr>
                <w:b/>
                <w:sz w:val="20"/>
                <w:szCs w:val="20"/>
              </w:rPr>
              <w:t>MBS service</w:t>
            </w:r>
          </w:p>
        </w:tc>
        <w:tc>
          <w:tcPr>
            <w:tcW w:w="6272" w:type="dxa"/>
          </w:tcPr>
          <w:p w14:paraId="2179D512" w14:textId="77777777" w:rsidR="0072705E" w:rsidRPr="0072705E" w:rsidRDefault="0072705E" w:rsidP="0060697D">
            <w:pPr>
              <w:spacing w:before="120" w:after="0"/>
              <w:rPr>
                <w:rFonts w:cs="Arial"/>
                <w:sz w:val="20"/>
                <w:szCs w:val="20"/>
              </w:rPr>
            </w:pPr>
            <w:r w:rsidRPr="0072705E">
              <w:rPr>
                <w:rFonts w:cs="Arial"/>
                <w:color w:val="000000" w:themeColor="text1"/>
                <w:sz w:val="20"/>
                <w:szCs w:val="20"/>
              </w:rPr>
              <w:t>The actual medical consultation, procedure, test to which the relevant MBS item refers.</w:t>
            </w:r>
          </w:p>
        </w:tc>
      </w:tr>
      <w:tr w:rsidR="0072705E" w:rsidRPr="00984BFF" w14:paraId="6B66B291" w14:textId="77777777" w:rsidTr="00040F54">
        <w:tc>
          <w:tcPr>
            <w:tcW w:w="2754" w:type="dxa"/>
          </w:tcPr>
          <w:p w14:paraId="60AF7F3C" w14:textId="77777777" w:rsidR="0072705E" w:rsidRPr="0072705E" w:rsidRDefault="0072705E" w:rsidP="0060697D">
            <w:pPr>
              <w:spacing w:before="120" w:after="0"/>
              <w:rPr>
                <w:rFonts w:eastAsiaTheme="minorHAnsi" w:cs="Arial"/>
                <w:b/>
                <w:sz w:val="20"/>
                <w:szCs w:val="20"/>
                <w:lang w:eastAsia="en-US"/>
              </w:rPr>
            </w:pPr>
            <w:r w:rsidRPr="0072705E">
              <w:rPr>
                <w:rFonts w:eastAsiaTheme="minorHAnsi" w:cstheme="minorBidi"/>
                <w:b/>
                <w:sz w:val="20"/>
                <w:szCs w:val="20"/>
                <w:lang w:eastAsia="en-US"/>
              </w:rPr>
              <w:t>MMM</w:t>
            </w:r>
          </w:p>
        </w:tc>
        <w:tc>
          <w:tcPr>
            <w:tcW w:w="6272" w:type="dxa"/>
          </w:tcPr>
          <w:p w14:paraId="47B0F9A9"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Monash Modifier Model</w:t>
            </w:r>
            <w:r w:rsidR="00777F26">
              <w:rPr>
                <w:rFonts w:cs="Arial"/>
                <w:color w:val="000000" w:themeColor="text1"/>
                <w:sz w:val="20"/>
                <w:szCs w:val="20"/>
              </w:rPr>
              <w:t>—</w:t>
            </w:r>
            <w:r w:rsidRPr="0072705E">
              <w:rPr>
                <w:rFonts w:cs="Arial"/>
                <w:color w:val="000000" w:themeColor="text1"/>
                <w:sz w:val="20"/>
                <w:szCs w:val="20"/>
              </w:rPr>
              <w:t>a classification system that categorises metropolitan, regional, rural and remote areas according to both geographical remoteness and population size. The system was developed to recognise the challenges in attracting health workers to more remote and smaller communities.</w:t>
            </w:r>
          </w:p>
        </w:tc>
      </w:tr>
      <w:tr w:rsidR="0072705E" w:rsidRPr="00984BFF" w14:paraId="745D92F9" w14:textId="77777777" w:rsidTr="00040F54">
        <w:tc>
          <w:tcPr>
            <w:tcW w:w="2754" w:type="dxa"/>
          </w:tcPr>
          <w:p w14:paraId="5DDD4D46" w14:textId="77777777" w:rsidR="0072705E" w:rsidRPr="0072705E" w:rsidRDefault="0072705E" w:rsidP="0060697D">
            <w:pPr>
              <w:spacing w:before="120" w:after="0"/>
              <w:rPr>
                <w:rFonts w:eastAsiaTheme="minorHAnsi" w:cs="Arial"/>
                <w:b/>
                <w:sz w:val="20"/>
                <w:szCs w:val="20"/>
                <w:lang w:eastAsia="en-US"/>
              </w:rPr>
            </w:pPr>
            <w:r w:rsidRPr="0072705E">
              <w:rPr>
                <w:rFonts w:eastAsiaTheme="minorHAnsi" w:cstheme="minorBidi"/>
                <w:b/>
                <w:sz w:val="20"/>
                <w:szCs w:val="20"/>
                <w:lang w:eastAsia="en-US"/>
              </w:rPr>
              <w:t>MSAC</w:t>
            </w:r>
          </w:p>
        </w:tc>
        <w:tc>
          <w:tcPr>
            <w:tcW w:w="6272" w:type="dxa"/>
          </w:tcPr>
          <w:p w14:paraId="0DEA6627" w14:textId="77777777" w:rsidR="0072705E" w:rsidRPr="0072705E" w:rsidRDefault="0072705E" w:rsidP="0060697D">
            <w:pPr>
              <w:spacing w:before="120" w:after="0"/>
              <w:rPr>
                <w:rFonts w:cs="Arial"/>
                <w:sz w:val="20"/>
                <w:szCs w:val="20"/>
              </w:rPr>
            </w:pPr>
            <w:r w:rsidRPr="0072705E">
              <w:rPr>
                <w:rFonts w:eastAsiaTheme="minorHAnsi" w:cstheme="minorBidi"/>
                <w:sz w:val="20"/>
                <w:szCs w:val="20"/>
                <w:lang w:eastAsia="en-US"/>
              </w:rPr>
              <w:t>Medical Services Advisory Committee</w:t>
            </w:r>
          </w:p>
        </w:tc>
      </w:tr>
      <w:tr w:rsidR="0072705E" w:rsidRPr="00984BFF" w14:paraId="758421A5" w14:textId="77777777" w:rsidTr="00040F54">
        <w:tc>
          <w:tcPr>
            <w:tcW w:w="2754" w:type="dxa"/>
          </w:tcPr>
          <w:p w14:paraId="44DC4C20" w14:textId="77777777" w:rsidR="0072705E" w:rsidRPr="0072705E" w:rsidRDefault="0072705E" w:rsidP="0060697D">
            <w:pPr>
              <w:spacing w:before="120" w:after="0"/>
              <w:rPr>
                <w:b/>
                <w:sz w:val="20"/>
                <w:szCs w:val="20"/>
              </w:rPr>
            </w:pPr>
            <w:r w:rsidRPr="0072705E">
              <w:rPr>
                <w:rFonts w:eastAsiaTheme="minorHAnsi" w:cstheme="minorBidi"/>
                <w:b/>
                <w:sz w:val="20"/>
                <w:szCs w:val="20"/>
                <w:lang w:eastAsia="en-US"/>
              </w:rPr>
              <w:t>NICE</w:t>
            </w:r>
          </w:p>
        </w:tc>
        <w:tc>
          <w:tcPr>
            <w:tcW w:w="6272" w:type="dxa"/>
          </w:tcPr>
          <w:p w14:paraId="5261303B"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National Institute for Health and Care Excellence</w:t>
            </w:r>
          </w:p>
        </w:tc>
      </w:tr>
      <w:tr w:rsidR="0072705E" w:rsidRPr="00984BFF" w14:paraId="20F302DB" w14:textId="77777777" w:rsidTr="00040F54">
        <w:tc>
          <w:tcPr>
            <w:tcW w:w="2754" w:type="dxa"/>
          </w:tcPr>
          <w:p w14:paraId="690BAB74" w14:textId="77777777" w:rsidR="0072705E" w:rsidRPr="0072705E" w:rsidRDefault="0072705E" w:rsidP="0060697D">
            <w:pPr>
              <w:spacing w:before="120" w:after="0"/>
              <w:rPr>
                <w:b/>
                <w:sz w:val="20"/>
                <w:szCs w:val="20"/>
              </w:rPr>
            </w:pPr>
            <w:r w:rsidRPr="0072705E">
              <w:rPr>
                <w:rFonts w:eastAsiaTheme="minorHAnsi" w:cstheme="minorBidi"/>
                <w:b/>
                <w:sz w:val="20"/>
                <w:szCs w:val="20"/>
                <w:lang w:eastAsia="en-US"/>
              </w:rPr>
              <w:t>Obsolete services</w:t>
            </w:r>
          </w:p>
        </w:tc>
        <w:tc>
          <w:tcPr>
            <w:tcW w:w="6272" w:type="dxa"/>
          </w:tcPr>
          <w:p w14:paraId="7FBD6C5C" w14:textId="77777777"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Services that should no longer be performed as they do not represent current clinical best practice and have been superseded by superior tests or procedures.</w:t>
            </w:r>
          </w:p>
        </w:tc>
      </w:tr>
      <w:tr w:rsidR="0072705E" w:rsidRPr="00984BFF" w14:paraId="5CB69401" w14:textId="77777777" w:rsidTr="00040F54">
        <w:tc>
          <w:tcPr>
            <w:tcW w:w="2754" w:type="dxa"/>
          </w:tcPr>
          <w:p w14:paraId="25C141BC" w14:textId="77777777" w:rsidR="0072705E" w:rsidRPr="0072705E" w:rsidRDefault="0072705E" w:rsidP="0060697D">
            <w:pPr>
              <w:spacing w:before="120" w:after="0"/>
              <w:rPr>
                <w:b/>
                <w:sz w:val="20"/>
                <w:szCs w:val="20"/>
              </w:rPr>
            </w:pPr>
            <w:r w:rsidRPr="0072705E">
              <w:rPr>
                <w:b/>
                <w:sz w:val="20"/>
                <w:szCs w:val="20"/>
              </w:rPr>
              <w:t>PBS</w:t>
            </w:r>
          </w:p>
        </w:tc>
        <w:tc>
          <w:tcPr>
            <w:tcW w:w="6272" w:type="dxa"/>
          </w:tcPr>
          <w:p w14:paraId="0203894A" w14:textId="77777777" w:rsidR="0072705E" w:rsidRPr="0072705E" w:rsidRDefault="0072705E" w:rsidP="0060697D">
            <w:pPr>
              <w:spacing w:before="120" w:after="0"/>
              <w:rPr>
                <w:rFonts w:cs="Arial"/>
                <w:color w:val="000000" w:themeColor="text1"/>
                <w:sz w:val="20"/>
                <w:szCs w:val="20"/>
              </w:rPr>
            </w:pPr>
            <w:r w:rsidRPr="0072705E">
              <w:rPr>
                <w:sz w:val="20"/>
                <w:szCs w:val="20"/>
              </w:rPr>
              <w:t>Pharmaceutical Benefits Scheme</w:t>
            </w:r>
          </w:p>
        </w:tc>
      </w:tr>
      <w:tr w:rsidR="0072705E" w:rsidRPr="00984BFF" w14:paraId="0E7FCD45" w14:textId="77777777" w:rsidTr="00040F54">
        <w:tc>
          <w:tcPr>
            <w:tcW w:w="2754" w:type="dxa"/>
          </w:tcPr>
          <w:p w14:paraId="6358C613" w14:textId="77777777" w:rsidR="0072705E" w:rsidRPr="0072705E" w:rsidRDefault="0072705E" w:rsidP="0060697D">
            <w:pPr>
              <w:spacing w:before="120" w:after="0"/>
              <w:rPr>
                <w:b/>
                <w:sz w:val="20"/>
                <w:szCs w:val="20"/>
              </w:rPr>
            </w:pPr>
            <w:r w:rsidRPr="0072705E">
              <w:rPr>
                <w:rFonts w:eastAsiaTheme="minorHAnsi" w:cstheme="minorBidi"/>
                <w:b/>
                <w:sz w:val="20"/>
                <w:szCs w:val="20"/>
                <w:lang w:eastAsia="en-US"/>
              </w:rPr>
              <w:t>PHCAG</w:t>
            </w:r>
          </w:p>
        </w:tc>
        <w:tc>
          <w:tcPr>
            <w:tcW w:w="6272" w:type="dxa"/>
          </w:tcPr>
          <w:p w14:paraId="5FB3C455" w14:textId="77777777" w:rsidR="0072705E" w:rsidRPr="0072705E" w:rsidRDefault="0072705E" w:rsidP="0060697D">
            <w:pPr>
              <w:spacing w:before="120" w:after="0"/>
              <w:rPr>
                <w:rFonts w:cs="Arial"/>
                <w:color w:val="000000" w:themeColor="text1"/>
                <w:sz w:val="20"/>
                <w:szCs w:val="20"/>
              </w:rPr>
            </w:pPr>
            <w:r w:rsidRPr="0072705E">
              <w:rPr>
                <w:rFonts w:eastAsiaTheme="minorHAnsi" w:cstheme="minorBidi"/>
                <w:sz w:val="20"/>
                <w:szCs w:val="20"/>
                <w:lang w:eastAsia="en-US"/>
              </w:rPr>
              <w:t>Primary Health Care Advisory Group</w:t>
            </w:r>
          </w:p>
        </w:tc>
      </w:tr>
      <w:tr w:rsidR="007C6966" w:rsidRPr="00984BFF" w14:paraId="1AD69817" w14:textId="77777777" w:rsidTr="008B0239">
        <w:tc>
          <w:tcPr>
            <w:tcW w:w="2754" w:type="dxa"/>
          </w:tcPr>
          <w:p w14:paraId="57F2821E" w14:textId="77777777" w:rsidR="007C6966" w:rsidRPr="0072705E" w:rsidRDefault="007C6966" w:rsidP="008B0239">
            <w:pPr>
              <w:spacing w:before="120" w:after="0"/>
              <w:rPr>
                <w:b/>
                <w:sz w:val="20"/>
                <w:szCs w:val="20"/>
              </w:rPr>
            </w:pPr>
            <w:r>
              <w:rPr>
                <w:rFonts w:eastAsiaTheme="minorHAnsi" w:cstheme="minorBidi"/>
                <w:b/>
                <w:sz w:val="20"/>
                <w:szCs w:val="20"/>
                <w:lang w:eastAsia="en-US"/>
              </w:rPr>
              <w:t>RCPA</w:t>
            </w:r>
          </w:p>
        </w:tc>
        <w:tc>
          <w:tcPr>
            <w:tcW w:w="6272" w:type="dxa"/>
          </w:tcPr>
          <w:p w14:paraId="0D769FA1" w14:textId="77777777" w:rsidR="007C6966" w:rsidRPr="0072705E" w:rsidRDefault="007C6966" w:rsidP="008B0239">
            <w:pPr>
              <w:spacing w:before="120" w:after="0"/>
              <w:rPr>
                <w:rFonts w:cs="Arial"/>
                <w:color w:val="000000" w:themeColor="text1"/>
                <w:sz w:val="20"/>
                <w:szCs w:val="20"/>
              </w:rPr>
            </w:pPr>
            <w:r>
              <w:rPr>
                <w:sz w:val="20"/>
                <w:szCs w:val="20"/>
              </w:rPr>
              <w:t>Royal College of Pathologists of Australasia</w:t>
            </w:r>
          </w:p>
        </w:tc>
      </w:tr>
    </w:tbl>
    <w:p w14:paraId="35957177" w14:textId="77777777" w:rsidR="009876E7" w:rsidRDefault="009876E7" w:rsidP="009876E7">
      <w:pPr>
        <w:keepNext/>
        <w:spacing w:before="320"/>
        <w:outlineLvl w:val="0"/>
        <w:rPr>
          <w:rFonts w:ascii="Calibri" w:eastAsia="Calibri" w:hAnsi="Calibri" w:cs="Arial"/>
          <w:b/>
          <w:bCs/>
          <w:color w:val="01653F"/>
          <w:kern w:val="32"/>
          <w:sz w:val="32"/>
          <w:szCs w:val="28"/>
          <w:lang w:val="en-US"/>
        </w:rPr>
      </w:pPr>
      <w:bookmarkStart w:id="98" w:name="_Toc481493764"/>
      <w:bookmarkStart w:id="99" w:name="_Toc459996830"/>
      <w:bookmarkStart w:id="100" w:name="_Toc458167023"/>
    </w:p>
    <w:p w14:paraId="412EA42B" w14:textId="77777777" w:rsidR="009876E7" w:rsidRDefault="009876E7" w:rsidP="009876E7">
      <w:pPr>
        <w:keepNext/>
        <w:spacing w:before="320"/>
        <w:outlineLvl w:val="0"/>
        <w:rPr>
          <w:rFonts w:ascii="Calibri" w:eastAsia="Calibri" w:hAnsi="Calibri" w:cs="Arial"/>
          <w:b/>
          <w:bCs/>
          <w:color w:val="01653F"/>
          <w:kern w:val="32"/>
          <w:sz w:val="32"/>
          <w:szCs w:val="28"/>
          <w:lang w:val="en-US"/>
        </w:rPr>
      </w:pPr>
    </w:p>
    <w:p w14:paraId="355CD978" w14:textId="77777777" w:rsidR="00777F26" w:rsidRPr="00726F88" w:rsidRDefault="00777F26" w:rsidP="009876E7">
      <w:pPr>
        <w:keepNext/>
        <w:spacing w:before="320"/>
        <w:outlineLvl w:val="0"/>
        <w:rPr>
          <w:rFonts w:ascii="Calibri" w:eastAsia="Calibri" w:hAnsi="Calibri" w:cs="Arial"/>
          <w:b/>
          <w:bCs/>
          <w:color w:val="01653F"/>
          <w:kern w:val="32"/>
          <w:sz w:val="32"/>
          <w:szCs w:val="28"/>
          <w:lang w:val="en-US"/>
        </w:rPr>
      </w:pPr>
      <w:bookmarkStart w:id="101" w:name="_Toc514243841"/>
      <w:r w:rsidRPr="00726F88">
        <w:rPr>
          <w:rFonts w:ascii="Calibri" w:eastAsia="Calibri" w:hAnsi="Calibri" w:cs="Arial"/>
          <w:b/>
          <w:bCs/>
          <w:color w:val="01653F"/>
          <w:kern w:val="32"/>
          <w:sz w:val="32"/>
          <w:szCs w:val="28"/>
          <w:lang w:val="en-US"/>
        </w:rPr>
        <w:t>Appendix A</w:t>
      </w:r>
      <w:r>
        <w:rPr>
          <w:rFonts w:ascii="Calibri" w:eastAsia="Calibri" w:hAnsi="Calibri" w:cs="Arial"/>
          <w:b/>
          <w:bCs/>
          <w:color w:val="01653F"/>
          <w:kern w:val="32"/>
          <w:sz w:val="32"/>
          <w:szCs w:val="28"/>
          <w:lang w:val="en-US"/>
        </w:rPr>
        <w:t xml:space="preserve"> </w:t>
      </w:r>
      <w:r w:rsidRPr="00726F88">
        <w:rPr>
          <w:rFonts w:ascii="Calibri" w:eastAsia="Calibri" w:hAnsi="Calibri" w:cs="Arial"/>
          <w:b/>
          <w:bCs/>
          <w:color w:val="01653F"/>
          <w:kern w:val="32"/>
          <w:sz w:val="32"/>
          <w:szCs w:val="28"/>
          <w:lang w:val="en-US"/>
        </w:rPr>
        <w:t>—</w:t>
      </w:r>
      <w:r>
        <w:rPr>
          <w:rFonts w:ascii="Calibri" w:eastAsia="Calibri" w:hAnsi="Calibri" w:cs="Arial"/>
          <w:b/>
          <w:bCs/>
          <w:color w:val="01653F"/>
          <w:kern w:val="32"/>
          <w:sz w:val="32"/>
          <w:szCs w:val="28"/>
          <w:lang w:val="en-US"/>
        </w:rPr>
        <w:t xml:space="preserve"> </w:t>
      </w:r>
      <w:r w:rsidRPr="00726F88">
        <w:rPr>
          <w:rFonts w:ascii="Calibri" w:eastAsia="Calibri" w:hAnsi="Calibri" w:cs="Arial"/>
          <w:b/>
          <w:bCs/>
          <w:color w:val="01653F"/>
          <w:kern w:val="32"/>
          <w:sz w:val="32"/>
          <w:szCs w:val="28"/>
          <w:lang w:val="en-US"/>
        </w:rPr>
        <w:t xml:space="preserve">Assigned </w:t>
      </w:r>
      <w:r w:rsidR="002E1602">
        <w:rPr>
          <w:rFonts w:ascii="Calibri" w:eastAsia="Calibri" w:hAnsi="Calibri" w:cs="Arial"/>
          <w:b/>
          <w:bCs/>
          <w:color w:val="01653F"/>
          <w:kern w:val="32"/>
          <w:sz w:val="32"/>
          <w:szCs w:val="28"/>
          <w:lang w:val="en-US"/>
        </w:rPr>
        <w:t xml:space="preserve">MBS </w:t>
      </w:r>
      <w:r w:rsidRPr="00726F88">
        <w:rPr>
          <w:rFonts w:ascii="Calibri" w:eastAsia="Calibri" w:hAnsi="Calibri" w:cs="Arial"/>
          <w:b/>
          <w:bCs/>
          <w:color w:val="01653F"/>
          <w:kern w:val="32"/>
          <w:sz w:val="32"/>
          <w:szCs w:val="28"/>
          <w:lang w:val="en-US"/>
        </w:rPr>
        <w:t>items: recommendations list</w:t>
      </w:r>
      <w:bookmarkEnd w:id="98"/>
      <w:bookmarkEnd w:id="101"/>
    </w:p>
    <w:p w14:paraId="460F8DE3" w14:textId="77777777" w:rsidR="00645F9A" w:rsidRPr="00D42CED" w:rsidRDefault="00645F9A">
      <w:pPr>
        <w:pStyle w:val="Caption"/>
        <w:rPr>
          <w:highlight w:val="lightGray"/>
        </w:rPr>
      </w:pPr>
      <w:bookmarkStart w:id="102" w:name="_Toc482213847"/>
      <w:bookmarkEnd w:id="99"/>
      <w:bookmarkEnd w:id="100"/>
      <w:r>
        <w:t xml:space="preserve">Table </w:t>
      </w:r>
      <w:r w:rsidR="009876E7">
        <w:t>20</w:t>
      </w:r>
      <w:r>
        <w:t xml:space="preserve">. </w:t>
      </w:r>
      <w:r w:rsidR="002E1602">
        <w:t>Tissue Pathology</w:t>
      </w:r>
      <w:r w:rsidR="002E1602" w:rsidRPr="002A0727">
        <w:t xml:space="preserve"> </w:t>
      </w:r>
      <w:r w:rsidRPr="002A0727">
        <w:t>items</w:t>
      </w:r>
      <w:bookmarkEnd w:id="102"/>
      <w:r w:rsidR="008B0239">
        <w:t xml:space="preserve"> recommendations</w:t>
      </w:r>
    </w:p>
    <w:tbl>
      <w:tblPr>
        <w:tblStyle w:val="TableGrid3"/>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Pr>
      <w:tblGrid>
        <w:gridCol w:w="907"/>
        <w:gridCol w:w="4594"/>
        <w:gridCol w:w="1727"/>
        <w:gridCol w:w="1788"/>
      </w:tblGrid>
      <w:tr w:rsidR="00777F26" w:rsidRPr="002A3C88" w14:paraId="0146AE6B" w14:textId="77777777" w:rsidTr="00DF7C6A">
        <w:trPr>
          <w:trHeight w:val="182"/>
          <w:tblHeader/>
        </w:trPr>
        <w:tc>
          <w:tcPr>
            <w:tcW w:w="907" w:type="dxa"/>
            <w:shd w:val="clear" w:color="auto" w:fill="F2F2F2"/>
            <w:tcMar>
              <w:top w:w="57" w:type="dxa"/>
              <w:left w:w="57" w:type="dxa"/>
              <w:bottom w:w="57" w:type="dxa"/>
            </w:tcMar>
            <w:vAlign w:val="bottom"/>
          </w:tcPr>
          <w:p w14:paraId="5DC30745" w14:textId="77777777" w:rsidR="00777F26" w:rsidRPr="00E54DE0" w:rsidRDefault="00777F26" w:rsidP="00E54DE0">
            <w:pPr>
              <w:spacing w:before="20" w:after="20"/>
              <w:rPr>
                <w:rFonts w:cs="Arial"/>
                <w:b/>
                <w:sz w:val="20"/>
                <w:szCs w:val="20"/>
              </w:rPr>
            </w:pPr>
            <w:r w:rsidRPr="00E54DE0">
              <w:rPr>
                <w:rFonts w:cs="Arial"/>
                <w:b/>
                <w:sz w:val="20"/>
                <w:szCs w:val="20"/>
              </w:rPr>
              <w:t>Item</w:t>
            </w:r>
          </w:p>
        </w:tc>
        <w:tc>
          <w:tcPr>
            <w:tcW w:w="4594" w:type="dxa"/>
            <w:shd w:val="clear" w:color="auto" w:fill="F2F2F2"/>
            <w:tcMar>
              <w:top w:w="57" w:type="dxa"/>
              <w:left w:w="57" w:type="dxa"/>
              <w:bottom w:w="57" w:type="dxa"/>
            </w:tcMar>
            <w:vAlign w:val="bottom"/>
          </w:tcPr>
          <w:p w14:paraId="1DFAB8B0" w14:textId="77777777" w:rsidR="00777F26" w:rsidRPr="00E54DE0" w:rsidRDefault="00777F26" w:rsidP="00E54DE0">
            <w:pPr>
              <w:spacing w:before="20" w:after="20"/>
              <w:rPr>
                <w:rFonts w:cs="Arial"/>
                <w:b/>
                <w:sz w:val="20"/>
                <w:szCs w:val="20"/>
              </w:rPr>
            </w:pPr>
            <w:r w:rsidRPr="00E54DE0">
              <w:rPr>
                <w:rFonts w:cs="Arial"/>
                <w:b/>
                <w:sz w:val="20"/>
                <w:szCs w:val="20"/>
              </w:rPr>
              <w:t>Current descriptor</w:t>
            </w:r>
          </w:p>
        </w:tc>
        <w:tc>
          <w:tcPr>
            <w:tcW w:w="1727" w:type="dxa"/>
            <w:shd w:val="clear" w:color="auto" w:fill="F2F2F2"/>
            <w:tcMar>
              <w:top w:w="57" w:type="dxa"/>
              <w:left w:w="57" w:type="dxa"/>
              <w:bottom w:w="57" w:type="dxa"/>
            </w:tcMar>
            <w:vAlign w:val="bottom"/>
          </w:tcPr>
          <w:p w14:paraId="368BEA84" w14:textId="77777777" w:rsidR="00777F26" w:rsidRPr="00E54DE0" w:rsidRDefault="00777F26" w:rsidP="00E54DE0">
            <w:pPr>
              <w:spacing w:before="20" w:after="20"/>
              <w:rPr>
                <w:rFonts w:cs="Arial"/>
                <w:b/>
                <w:sz w:val="20"/>
                <w:szCs w:val="20"/>
              </w:rPr>
            </w:pPr>
            <w:r w:rsidRPr="00E54DE0">
              <w:rPr>
                <w:rFonts w:cs="Arial"/>
                <w:b/>
                <w:sz w:val="20"/>
                <w:szCs w:val="20"/>
              </w:rPr>
              <w:t>Recommendation</w:t>
            </w:r>
          </w:p>
        </w:tc>
        <w:tc>
          <w:tcPr>
            <w:tcW w:w="1788" w:type="dxa"/>
            <w:shd w:val="clear" w:color="auto" w:fill="F2F2F2"/>
            <w:tcMar>
              <w:top w:w="57" w:type="dxa"/>
              <w:left w:w="57" w:type="dxa"/>
              <w:bottom w:w="57" w:type="dxa"/>
            </w:tcMar>
            <w:vAlign w:val="bottom"/>
          </w:tcPr>
          <w:p w14:paraId="30B094BC" w14:textId="77777777" w:rsidR="00777F26" w:rsidRPr="00E54DE0" w:rsidRDefault="00777F26" w:rsidP="00E54DE0">
            <w:pPr>
              <w:spacing w:before="20" w:after="20"/>
              <w:rPr>
                <w:rFonts w:cs="Arial"/>
                <w:b/>
                <w:sz w:val="20"/>
                <w:szCs w:val="20"/>
              </w:rPr>
            </w:pPr>
            <w:r w:rsidRPr="00E54DE0">
              <w:rPr>
                <w:rFonts w:cs="Arial"/>
                <w:b/>
                <w:sz w:val="20"/>
                <w:szCs w:val="20"/>
              </w:rPr>
              <w:t>Page reference</w:t>
            </w:r>
          </w:p>
        </w:tc>
      </w:tr>
      <w:tr w:rsidR="00777F26" w:rsidRPr="002A3C88" w14:paraId="4A8B264E"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0F9DE23E" w14:textId="77777777" w:rsidR="00777F26" w:rsidRPr="00E54DE0" w:rsidRDefault="00777F26" w:rsidP="00E54DE0">
            <w:pPr>
              <w:rPr>
                <w:rFonts w:cs="Arial"/>
                <w:sz w:val="20"/>
                <w:szCs w:val="20"/>
              </w:rPr>
            </w:pPr>
            <w:r w:rsidRPr="00E54DE0">
              <w:rPr>
                <w:rFonts w:cs="Arial"/>
                <w:sz w:val="20"/>
                <w:szCs w:val="20"/>
              </w:rPr>
              <w:t>72813</w:t>
            </w:r>
          </w:p>
        </w:tc>
        <w:tc>
          <w:tcPr>
            <w:tcW w:w="4594" w:type="dxa"/>
            <w:noWrap/>
            <w:hideMark/>
          </w:tcPr>
          <w:p w14:paraId="36FD0DD0" w14:textId="77777777" w:rsidR="00777F26" w:rsidRPr="00E54DE0" w:rsidRDefault="00777F26" w:rsidP="00DF7C6A">
            <w:pPr>
              <w:rPr>
                <w:rFonts w:cs="Arial"/>
                <w:sz w:val="20"/>
                <w:szCs w:val="20"/>
              </w:rPr>
            </w:pPr>
            <w:r w:rsidRPr="00E54DE0">
              <w:rPr>
                <w:rFonts w:cs="Arial"/>
                <w:sz w:val="20"/>
                <w:szCs w:val="20"/>
              </w:rPr>
              <w:t>Examination of complexity level 2 biopsy material with 1 or more tissue blocks, including specimen dissection, all tissue processing, staining, light microscopy and professional opinion or opinions - 1 or more separately identified specimens</w:t>
            </w:r>
          </w:p>
        </w:tc>
        <w:tc>
          <w:tcPr>
            <w:tcW w:w="1727" w:type="dxa"/>
            <w:noWrap/>
          </w:tcPr>
          <w:p w14:paraId="2507A6C3" w14:textId="77777777" w:rsidR="00777F26" w:rsidRPr="00E54DE0" w:rsidRDefault="00777F26" w:rsidP="00DF7C6A">
            <w:pPr>
              <w:rPr>
                <w:rFonts w:cs="Arial"/>
                <w:sz w:val="20"/>
                <w:szCs w:val="20"/>
              </w:rPr>
            </w:pPr>
            <w:r w:rsidRPr="00E54DE0">
              <w:rPr>
                <w:rFonts w:cs="Arial"/>
                <w:sz w:val="20"/>
                <w:szCs w:val="20"/>
              </w:rPr>
              <w:t>Change</w:t>
            </w:r>
          </w:p>
        </w:tc>
        <w:tc>
          <w:tcPr>
            <w:tcW w:w="1788" w:type="dxa"/>
            <w:noWrap/>
          </w:tcPr>
          <w:p w14:paraId="31955FDB" w14:textId="77777777" w:rsidR="00777F26" w:rsidRPr="00E54DE0" w:rsidRDefault="009876E7" w:rsidP="00DF7C6A">
            <w:pPr>
              <w:rPr>
                <w:rFonts w:cs="Arial"/>
                <w:sz w:val="20"/>
                <w:szCs w:val="20"/>
              </w:rPr>
            </w:pPr>
            <w:r>
              <w:rPr>
                <w:rFonts w:cs="Arial"/>
                <w:sz w:val="20"/>
                <w:szCs w:val="20"/>
              </w:rPr>
              <w:t>29</w:t>
            </w:r>
          </w:p>
        </w:tc>
      </w:tr>
      <w:tr w:rsidR="00777F26" w:rsidRPr="002A3C88" w14:paraId="7F5A5F86"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57495EB1" w14:textId="77777777" w:rsidR="00777F26" w:rsidRPr="00E54DE0" w:rsidRDefault="00777F26" w:rsidP="00E54DE0">
            <w:pPr>
              <w:rPr>
                <w:rFonts w:cs="Arial"/>
                <w:sz w:val="20"/>
                <w:szCs w:val="20"/>
              </w:rPr>
            </w:pPr>
            <w:r w:rsidRPr="00E54DE0">
              <w:rPr>
                <w:rFonts w:cs="Arial"/>
                <w:sz w:val="20"/>
                <w:szCs w:val="20"/>
              </w:rPr>
              <w:t>72816</w:t>
            </w:r>
          </w:p>
        </w:tc>
        <w:tc>
          <w:tcPr>
            <w:tcW w:w="4594" w:type="dxa"/>
            <w:noWrap/>
          </w:tcPr>
          <w:p w14:paraId="34C29CC5" w14:textId="77777777" w:rsidR="00777F26" w:rsidRPr="00E54DE0" w:rsidRDefault="00777F26" w:rsidP="00E54DE0">
            <w:pPr>
              <w:rPr>
                <w:rFonts w:cs="Arial"/>
                <w:sz w:val="20"/>
                <w:szCs w:val="20"/>
              </w:rPr>
            </w:pPr>
            <w:r w:rsidRPr="00E54DE0">
              <w:rPr>
                <w:rFonts w:cs="Arial"/>
                <w:sz w:val="20"/>
                <w:szCs w:val="20"/>
              </w:rPr>
              <w:t>Examination of complexity level 3 biopsy material with 1 or more tissue blocks, including specimen dissection, all tissue processing, staining, light microscopy and professional opinion or opinions - 1 separately identified specimen</w:t>
            </w:r>
          </w:p>
        </w:tc>
        <w:tc>
          <w:tcPr>
            <w:tcW w:w="1727" w:type="dxa"/>
            <w:noWrap/>
          </w:tcPr>
          <w:p w14:paraId="2904FDB2" w14:textId="77777777" w:rsidR="00777F26" w:rsidRPr="00E54DE0" w:rsidRDefault="00777F26" w:rsidP="00E54DE0">
            <w:pPr>
              <w:rPr>
                <w:rFonts w:cs="Arial"/>
                <w:sz w:val="20"/>
                <w:szCs w:val="20"/>
              </w:rPr>
            </w:pPr>
            <w:r w:rsidRPr="00E54DE0">
              <w:rPr>
                <w:rFonts w:cs="Arial"/>
                <w:sz w:val="20"/>
                <w:szCs w:val="20"/>
              </w:rPr>
              <w:t>Change</w:t>
            </w:r>
          </w:p>
          <w:p w14:paraId="3F855E1F" w14:textId="77777777" w:rsidR="00777F26" w:rsidRPr="00E54DE0" w:rsidRDefault="00777F26" w:rsidP="00E54DE0">
            <w:pPr>
              <w:rPr>
                <w:rFonts w:cs="Arial"/>
                <w:sz w:val="20"/>
                <w:szCs w:val="20"/>
              </w:rPr>
            </w:pPr>
          </w:p>
        </w:tc>
        <w:tc>
          <w:tcPr>
            <w:tcW w:w="1788" w:type="dxa"/>
            <w:noWrap/>
          </w:tcPr>
          <w:p w14:paraId="7A789789" w14:textId="77777777" w:rsidR="00777F26" w:rsidRPr="00E54DE0" w:rsidRDefault="009876E7" w:rsidP="00E54DE0">
            <w:pPr>
              <w:rPr>
                <w:rFonts w:cs="Arial"/>
                <w:sz w:val="20"/>
                <w:szCs w:val="20"/>
              </w:rPr>
            </w:pPr>
            <w:r>
              <w:rPr>
                <w:rFonts w:cs="Arial"/>
                <w:sz w:val="20"/>
                <w:szCs w:val="20"/>
              </w:rPr>
              <w:t>29</w:t>
            </w:r>
          </w:p>
        </w:tc>
      </w:tr>
      <w:tr w:rsidR="00777F26" w:rsidRPr="002A3C88" w14:paraId="14BA95E3"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490F8227" w14:textId="77777777" w:rsidR="00777F26" w:rsidRPr="00E54DE0" w:rsidRDefault="00777F26" w:rsidP="00E54DE0">
            <w:pPr>
              <w:rPr>
                <w:rFonts w:cs="Arial"/>
                <w:sz w:val="20"/>
                <w:szCs w:val="20"/>
              </w:rPr>
            </w:pPr>
            <w:r w:rsidRPr="00E54DE0">
              <w:rPr>
                <w:rFonts w:cs="Arial"/>
                <w:sz w:val="20"/>
                <w:szCs w:val="20"/>
              </w:rPr>
              <w:t>72817</w:t>
            </w:r>
          </w:p>
        </w:tc>
        <w:tc>
          <w:tcPr>
            <w:tcW w:w="4594" w:type="dxa"/>
            <w:noWrap/>
            <w:hideMark/>
          </w:tcPr>
          <w:p w14:paraId="7300F05A" w14:textId="77777777" w:rsidR="00777F26" w:rsidRPr="00E54DE0" w:rsidRDefault="00777F26" w:rsidP="00E54DE0">
            <w:pPr>
              <w:rPr>
                <w:rFonts w:cs="Arial"/>
                <w:sz w:val="20"/>
                <w:szCs w:val="20"/>
              </w:rPr>
            </w:pPr>
            <w:r w:rsidRPr="00E54DE0">
              <w:rPr>
                <w:rFonts w:cs="Arial"/>
                <w:sz w:val="20"/>
                <w:szCs w:val="20"/>
              </w:rPr>
              <w:t>Examination of complexity level 3 biopsy material with 1 or more tissue blocks, including specimen dissection, all tissue processing, staining, light microscopy and professional opinion or opinions - 2 to 4 separately identified specimens</w:t>
            </w:r>
          </w:p>
        </w:tc>
        <w:tc>
          <w:tcPr>
            <w:tcW w:w="1727" w:type="dxa"/>
            <w:noWrap/>
          </w:tcPr>
          <w:p w14:paraId="061192E7" w14:textId="77777777" w:rsidR="00777F26" w:rsidRPr="00E54DE0" w:rsidRDefault="00777F26" w:rsidP="00E54DE0">
            <w:pPr>
              <w:rPr>
                <w:rFonts w:cs="Arial"/>
                <w:sz w:val="20"/>
                <w:szCs w:val="20"/>
              </w:rPr>
            </w:pPr>
            <w:r w:rsidRPr="00E54DE0">
              <w:rPr>
                <w:rFonts w:cs="Arial"/>
                <w:sz w:val="20"/>
                <w:szCs w:val="20"/>
              </w:rPr>
              <w:t>Change/</w:t>
            </w:r>
          </w:p>
          <w:p w14:paraId="6B3D521A"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2A839367" w14:textId="77777777" w:rsidR="00777F26" w:rsidRPr="00E54DE0" w:rsidRDefault="009876E7" w:rsidP="00E54DE0">
            <w:pPr>
              <w:rPr>
                <w:rFonts w:cs="Arial"/>
                <w:sz w:val="20"/>
                <w:szCs w:val="20"/>
              </w:rPr>
            </w:pPr>
            <w:r>
              <w:rPr>
                <w:rFonts w:cs="Arial"/>
                <w:sz w:val="20"/>
                <w:szCs w:val="20"/>
              </w:rPr>
              <w:t>29</w:t>
            </w:r>
          </w:p>
        </w:tc>
      </w:tr>
      <w:tr w:rsidR="00777F26" w:rsidRPr="002A3C88" w14:paraId="4F088831"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5514D32C" w14:textId="77777777" w:rsidR="00777F26" w:rsidRPr="00E54DE0" w:rsidRDefault="00777F26" w:rsidP="00E54DE0">
            <w:pPr>
              <w:rPr>
                <w:rFonts w:cs="Arial"/>
                <w:sz w:val="20"/>
                <w:szCs w:val="20"/>
              </w:rPr>
            </w:pPr>
            <w:r w:rsidRPr="00E54DE0">
              <w:rPr>
                <w:rFonts w:cs="Arial"/>
                <w:sz w:val="20"/>
                <w:szCs w:val="20"/>
              </w:rPr>
              <w:t>72818</w:t>
            </w:r>
          </w:p>
        </w:tc>
        <w:tc>
          <w:tcPr>
            <w:tcW w:w="4594" w:type="dxa"/>
            <w:noWrap/>
            <w:hideMark/>
          </w:tcPr>
          <w:p w14:paraId="1AF6112F" w14:textId="77777777" w:rsidR="00777F26" w:rsidRPr="00E54DE0" w:rsidRDefault="00777F26" w:rsidP="00E54DE0">
            <w:pPr>
              <w:rPr>
                <w:rFonts w:cs="Arial"/>
                <w:sz w:val="20"/>
                <w:szCs w:val="20"/>
              </w:rPr>
            </w:pPr>
            <w:r w:rsidRPr="00E54DE0">
              <w:rPr>
                <w:rFonts w:cs="Arial"/>
                <w:sz w:val="20"/>
                <w:szCs w:val="20"/>
              </w:rPr>
              <w:t>Examination of complexity level 3 biopsy material with 1 or more tissue blocks, including specimen dissection, all tissue processing, staining, light microscopy and professional opinion or opinions - 5 or more separately identified specimens</w:t>
            </w:r>
          </w:p>
        </w:tc>
        <w:tc>
          <w:tcPr>
            <w:tcW w:w="1727" w:type="dxa"/>
            <w:noWrap/>
          </w:tcPr>
          <w:p w14:paraId="6CFDF583" w14:textId="77777777" w:rsidR="00777F26" w:rsidRPr="00E54DE0" w:rsidRDefault="00777F26" w:rsidP="00E54DE0">
            <w:pPr>
              <w:rPr>
                <w:rFonts w:cs="Arial"/>
                <w:sz w:val="20"/>
                <w:szCs w:val="20"/>
              </w:rPr>
            </w:pPr>
            <w:r w:rsidRPr="00E54DE0">
              <w:rPr>
                <w:rFonts w:cs="Arial"/>
                <w:sz w:val="20"/>
                <w:szCs w:val="20"/>
              </w:rPr>
              <w:t>Change/</w:t>
            </w:r>
          </w:p>
          <w:p w14:paraId="65C0A0B1"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29E19B1E" w14:textId="77777777" w:rsidR="00777F26" w:rsidRPr="00E54DE0" w:rsidRDefault="009876E7" w:rsidP="00E54DE0">
            <w:pPr>
              <w:rPr>
                <w:rFonts w:cs="Arial"/>
                <w:sz w:val="20"/>
                <w:szCs w:val="20"/>
              </w:rPr>
            </w:pPr>
            <w:r>
              <w:rPr>
                <w:rFonts w:cs="Arial"/>
                <w:sz w:val="20"/>
                <w:szCs w:val="20"/>
              </w:rPr>
              <w:t>29</w:t>
            </w:r>
          </w:p>
        </w:tc>
      </w:tr>
      <w:tr w:rsidR="00777F26" w:rsidRPr="002A3C88" w14:paraId="52D8035D"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155DA5C8" w14:textId="77777777" w:rsidR="00777F26" w:rsidRPr="00E54DE0" w:rsidRDefault="00777F26" w:rsidP="00E54DE0">
            <w:pPr>
              <w:rPr>
                <w:rFonts w:cs="Arial"/>
                <w:sz w:val="20"/>
                <w:szCs w:val="20"/>
              </w:rPr>
            </w:pPr>
            <w:r w:rsidRPr="00E54DE0">
              <w:rPr>
                <w:rFonts w:cs="Arial"/>
                <w:sz w:val="20"/>
                <w:szCs w:val="20"/>
              </w:rPr>
              <w:t>72823</w:t>
            </w:r>
          </w:p>
        </w:tc>
        <w:tc>
          <w:tcPr>
            <w:tcW w:w="4594" w:type="dxa"/>
            <w:noWrap/>
          </w:tcPr>
          <w:p w14:paraId="44ADA54D" w14:textId="77777777" w:rsidR="00777F26" w:rsidRPr="00E54DE0" w:rsidRDefault="00777F26" w:rsidP="00E54DE0">
            <w:pPr>
              <w:rPr>
                <w:rFonts w:cs="Arial"/>
                <w:sz w:val="20"/>
                <w:szCs w:val="20"/>
              </w:rPr>
            </w:pPr>
            <w:r w:rsidRPr="00E54DE0">
              <w:rPr>
                <w:rFonts w:cs="Arial"/>
                <w:sz w:val="20"/>
                <w:szCs w:val="20"/>
              </w:rPr>
              <w:t>Examination of complexity level 4 biopsy material with 1 or more tissue blocks, including specimen dissection, all tissue processing, staining, light microscopy and professional opinion or opinions - 1 separately identified specimen</w:t>
            </w:r>
          </w:p>
        </w:tc>
        <w:tc>
          <w:tcPr>
            <w:tcW w:w="1727" w:type="dxa"/>
            <w:noWrap/>
          </w:tcPr>
          <w:p w14:paraId="54AB44ED"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49801CA7" w14:textId="77777777" w:rsidR="00777F26" w:rsidRPr="00E54DE0" w:rsidRDefault="009876E7" w:rsidP="00E54DE0">
            <w:pPr>
              <w:rPr>
                <w:rFonts w:cs="Arial"/>
                <w:sz w:val="20"/>
                <w:szCs w:val="20"/>
              </w:rPr>
            </w:pPr>
            <w:r>
              <w:rPr>
                <w:rFonts w:cs="Arial"/>
                <w:sz w:val="20"/>
                <w:szCs w:val="20"/>
              </w:rPr>
              <w:t>29</w:t>
            </w:r>
          </w:p>
        </w:tc>
      </w:tr>
      <w:tr w:rsidR="00777F26" w:rsidRPr="002A3C88" w14:paraId="3CBC4E19"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4405F8AD" w14:textId="77777777" w:rsidR="00777F26" w:rsidRPr="00E54DE0" w:rsidRDefault="00777F26" w:rsidP="00E54DE0">
            <w:pPr>
              <w:rPr>
                <w:rFonts w:cs="Arial"/>
                <w:sz w:val="20"/>
                <w:szCs w:val="20"/>
              </w:rPr>
            </w:pPr>
            <w:r w:rsidRPr="00E54DE0">
              <w:rPr>
                <w:rFonts w:cs="Arial"/>
                <w:sz w:val="20"/>
                <w:szCs w:val="20"/>
              </w:rPr>
              <w:t>72824</w:t>
            </w:r>
          </w:p>
        </w:tc>
        <w:tc>
          <w:tcPr>
            <w:tcW w:w="4594" w:type="dxa"/>
            <w:noWrap/>
          </w:tcPr>
          <w:p w14:paraId="3421E249" w14:textId="77777777" w:rsidR="00777F26" w:rsidRPr="00E54DE0" w:rsidRDefault="00777F26" w:rsidP="00E54DE0">
            <w:pPr>
              <w:rPr>
                <w:rFonts w:cs="Arial"/>
                <w:sz w:val="20"/>
                <w:szCs w:val="20"/>
              </w:rPr>
            </w:pPr>
            <w:r w:rsidRPr="00E54DE0">
              <w:rPr>
                <w:rFonts w:cs="Arial"/>
                <w:sz w:val="20"/>
                <w:szCs w:val="20"/>
              </w:rPr>
              <w:t>Examination of complexity level 4 biopsy material with 1 or more tissue blocks, including specimen dissection, all tissue processing, staining, light microscopy and professional opinion or opinions - 2 to 4 separately identified specimens</w:t>
            </w:r>
          </w:p>
        </w:tc>
        <w:tc>
          <w:tcPr>
            <w:tcW w:w="1727" w:type="dxa"/>
            <w:noWrap/>
          </w:tcPr>
          <w:p w14:paraId="12F2D168" w14:textId="77777777" w:rsidR="00777F26" w:rsidRPr="00E54DE0" w:rsidRDefault="00777F26" w:rsidP="00E54DE0">
            <w:pPr>
              <w:rPr>
                <w:rFonts w:cs="Arial"/>
                <w:sz w:val="20"/>
                <w:szCs w:val="20"/>
              </w:rPr>
            </w:pPr>
            <w:r w:rsidRPr="00E54DE0">
              <w:rPr>
                <w:rFonts w:cs="Arial"/>
                <w:sz w:val="20"/>
                <w:szCs w:val="20"/>
              </w:rPr>
              <w:t>Change/</w:t>
            </w:r>
          </w:p>
          <w:p w14:paraId="08582FD1"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3A2F1EC5" w14:textId="77777777" w:rsidR="00777F26" w:rsidRPr="00E54DE0" w:rsidRDefault="009876E7" w:rsidP="00E54DE0">
            <w:pPr>
              <w:rPr>
                <w:rFonts w:cs="Arial"/>
                <w:sz w:val="20"/>
                <w:szCs w:val="20"/>
              </w:rPr>
            </w:pPr>
            <w:r>
              <w:rPr>
                <w:rFonts w:cs="Arial"/>
                <w:sz w:val="20"/>
                <w:szCs w:val="20"/>
              </w:rPr>
              <w:t>29</w:t>
            </w:r>
          </w:p>
        </w:tc>
      </w:tr>
      <w:tr w:rsidR="00777F26" w:rsidRPr="002A3C88" w14:paraId="47096152"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1F0CE974" w14:textId="77777777" w:rsidR="00777F26" w:rsidRPr="00E54DE0" w:rsidRDefault="00777F26" w:rsidP="00E54DE0">
            <w:pPr>
              <w:rPr>
                <w:rFonts w:cs="Arial"/>
                <w:sz w:val="20"/>
                <w:szCs w:val="20"/>
              </w:rPr>
            </w:pPr>
            <w:r w:rsidRPr="00E54DE0">
              <w:rPr>
                <w:rFonts w:cs="Arial"/>
                <w:sz w:val="20"/>
                <w:szCs w:val="20"/>
              </w:rPr>
              <w:t>72825</w:t>
            </w:r>
          </w:p>
        </w:tc>
        <w:tc>
          <w:tcPr>
            <w:tcW w:w="4594" w:type="dxa"/>
            <w:noWrap/>
            <w:hideMark/>
          </w:tcPr>
          <w:p w14:paraId="4D64CED9" w14:textId="77777777" w:rsidR="00777F26" w:rsidRPr="00E54DE0" w:rsidRDefault="00777F26" w:rsidP="00E54DE0">
            <w:pPr>
              <w:rPr>
                <w:rFonts w:cs="Arial"/>
                <w:sz w:val="20"/>
                <w:szCs w:val="20"/>
              </w:rPr>
            </w:pPr>
            <w:r w:rsidRPr="00E54DE0">
              <w:rPr>
                <w:rFonts w:cs="Arial"/>
                <w:sz w:val="20"/>
                <w:szCs w:val="20"/>
              </w:rPr>
              <w:t>Examination of complexity level 4 biopsy material with 1 or more tissue blocks, including specimen dissection, all tissue processing, staining, light microscopy and professional opinion or opinions - 5 to 7 separately identified specimens</w:t>
            </w:r>
          </w:p>
        </w:tc>
        <w:tc>
          <w:tcPr>
            <w:tcW w:w="1727" w:type="dxa"/>
            <w:noWrap/>
          </w:tcPr>
          <w:p w14:paraId="2F602E27" w14:textId="77777777" w:rsidR="00777F26" w:rsidRPr="00E54DE0" w:rsidRDefault="00777F26" w:rsidP="00E54DE0">
            <w:pPr>
              <w:rPr>
                <w:rFonts w:cs="Arial"/>
                <w:sz w:val="20"/>
                <w:szCs w:val="20"/>
              </w:rPr>
            </w:pPr>
            <w:r w:rsidRPr="00E54DE0">
              <w:rPr>
                <w:rFonts w:cs="Arial"/>
                <w:sz w:val="20"/>
                <w:szCs w:val="20"/>
              </w:rPr>
              <w:t>Change/</w:t>
            </w:r>
          </w:p>
          <w:p w14:paraId="17D76769"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3DA6E76F" w14:textId="77777777" w:rsidR="00777F26" w:rsidRPr="00E54DE0" w:rsidRDefault="009876E7" w:rsidP="00E54DE0">
            <w:pPr>
              <w:rPr>
                <w:rFonts w:cs="Arial"/>
                <w:sz w:val="20"/>
                <w:szCs w:val="20"/>
              </w:rPr>
            </w:pPr>
            <w:r>
              <w:rPr>
                <w:rFonts w:cs="Arial"/>
                <w:sz w:val="20"/>
                <w:szCs w:val="20"/>
              </w:rPr>
              <w:t>29</w:t>
            </w:r>
          </w:p>
        </w:tc>
      </w:tr>
      <w:tr w:rsidR="00777F26" w:rsidRPr="002A3C88" w14:paraId="500FAF4C"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4DE75204" w14:textId="77777777" w:rsidR="00777F26" w:rsidRPr="00E54DE0" w:rsidRDefault="00777F26" w:rsidP="00E54DE0">
            <w:pPr>
              <w:rPr>
                <w:rFonts w:cs="Arial"/>
                <w:sz w:val="20"/>
                <w:szCs w:val="20"/>
              </w:rPr>
            </w:pPr>
            <w:r w:rsidRPr="00E54DE0">
              <w:rPr>
                <w:rFonts w:cs="Arial"/>
                <w:sz w:val="20"/>
                <w:szCs w:val="20"/>
              </w:rPr>
              <w:t>72826</w:t>
            </w:r>
          </w:p>
        </w:tc>
        <w:tc>
          <w:tcPr>
            <w:tcW w:w="4594" w:type="dxa"/>
            <w:noWrap/>
          </w:tcPr>
          <w:p w14:paraId="3E424B61" w14:textId="77777777" w:rsidR="00777F26" w:rsidRPr="00E54DE0" w:rsidRDefault="00777F26" w:rsidP="00E54DE0">
            <w:pPr>
              <w:rPr>
                <w:rFonts w:cs="Arial"/>
                <w:sz w:val="20"/>
                <w:szCs w:val="20"/>
              </w:rPr>
            </w:pPr>
            <w:r w:rsidRPr="00E54DE0">
              <w:rPr>
                <w:rFonts w:cs="Arial"/>
                <w:sz w:val="20"/>
                <w:szCs w:val="20"/>
              </w:rPr>
              <w:t xml:space="preserve">Examination of complexity level 4 biopsy material with 1 or more tissue blocks, including specimen dissection, all tissue processing, staining, light </w:t>
            </w:r>
            <w:r w:rsidRPr="00E54DE0">
              <w:rPr>
                <w:rFonts w:cs="Arial"/>
                <w:sz w:val="20"/>
                <w:szCs w:val="20"/>
              </w:rPr>
              <w:lastRenderedPageBreak/>
              <w:t>microscopy and professional opinion or opinions - 8 to 11 separately identified specimens</w:t>
            </w:r>
          </w:p>
        </w:tc>
        <w:tc>
          <w:tcPr>
            <w:tcW w:w="1727" w:type="dxa"/>
            <w:noWrap/>
          </w:tcPr>
          <w:p w14:paraId="10529F9C" w14:textId="77777777" w:rsidR="00777F26" w:rsidRPr="00E54DE0" w:rsidRDefault="00777F26" w:rsidP="00E54DE0">
            <w:pPr>
              <w:rPr>
                <w:rFonts w:cs="Arial"/>
                <w:sz w:val="20"/>
                <w:szCs w:val="20"/>
              </w:rPr>
            </w:pPr>
            <w:r w:rsidRPr="00E54DE0">
              <w:rPr>
                <w:rFonts w:cs="Arial"/>
                <w:sz w:val="20"/>
                <w:szCs w:val="20"/>
              </w:rPr>
              <w:lastRenderedPageBreak/>
              <w:t>Change/</w:t>
            </w:r>
          </w:p>
          <w:p w14:paraId="4CC1CF34"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4236EC2F" w14:textId="77777777" w:rsidR="00777F26" w:rsidRPr="00E54DE0" w:rsidRDefault="009876E7" w:rsidP="00E54DE0">
            <w:pPr>
              <w:rPr>
                <w:rFonts w:cs="Arial"/>
                <w:sz w:val="20"/>
                <w:szCs w:val="20"/>
              </w:rPr>
            </w:pPr>
            <w:r>
              <w:rPr>
                <w:rFonts w:cs="Arial"/>
                <w:sz w:val="20"/>
                <w:szCs w:val="20"/>
              </w:rPr>
              <w:t>29</w:t>
            </w:r>
          </w:p>
        </w:tc>
      </w:tr>
      <w:tr w:rsidR="00777F26" w:rsidRPr="002A3C88" w14:paraId="1139FCC2"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04C4E9DA" w14:textId="77777777" w:rsidR="00777F26" w:rsidRPr="00E54DE0" w:rsidRDefault="00777F26" w:rsidP="00E54DE0">
            <w:pPr>
              <w:rPr>
                <w:rFonts w:cs="Arial"/>
                <w:sz w:val="20"/>
                <w:szCs w:val="20"/>
              </w:rPr>
            </w:pPr>
            <w:r w:rsidRPr="00E54DE0">
              <w:rPr>
                <w:rFonts w:cs="Arial"/>
                <w:sz w:val="20"/>
                <w:szCs w:val="20"/>
              </w:rPr>
              <w:t>72827</w:t>
            </w:r>
          </w:p>
        </w:tc>
        <w:tc>
          <w:tcPr>
            <w:tcW w:w="4594" w:type="dxa"/>
            <w:noWrap/>
          </w:tcPr>
          <w:p w14:paraId="114C119C" w14:textId="77777777" w:rsidR="00777F26" w:rsidRPr="00E54DE0" w:rsidRDefault="00777F26" w:rsidP="00E54DE0">
            <w:pPr>
              <w:rPr>
                <w:rFonts w:cs="Arial"/>
                <w:sz w:val="20"/>
                <w:szCs w:val="20"/>
              </w:rPr>
            </w:pPr>
            <w:r w:rsidRPr="00E54DE0">
              <w:rPr>
                <w:rFonts w:cs="Arial"/>
                <w:sz w:val="20"/>
                <w:szCs w:val="20"/>
              </w:rPr>
              <w:t>Examination of complexity level 4 biopsy material with 1 or more tissue blocks, including specimen dissection, all tissue processing, staining, light microscopy and professional opinion or opinions - 12 to 17 separately identified specimens</w:t>
            </w:r>
          </w:p>
        </w:tc>
        <w:tc>
          <w:tcPr>
            <w:tcW w:w="1727" w:type="dxa"/>
            <w:noWrap/>
          </w:tcPr>
          <w:p w14:paraId="2E4C571A" w14:textId="77777777" w:rsidR="00777F26" w:rsidRPr="00E54DE0" w:rsidRDefault="00777F26" w:rsidP="00E54DE0">
            <w:pPr>
              <w:rPr>
                <w:rFonts w:cs="Arial"/>
                <w:sz w:val="20"/>
                <w:szCs w:val="20"/>
              </w:rPr>
            </w:pPr>
            <w:r w:rsidRPr="00E54DE0">
              <w:rPr>
                <w:rFonts w:cs="Arial"/>
                <w:sz w:val="20"/>
                <w:szCs w:val="20"/>
              </w:rPr>
              <w:t>Change/</w:t>
            </w:r>
          </w:p>
          <w:p w14:paraId="41B65A96"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0BBDF3AD" w14:textId="77777777" w:rsidR="00777F26" w:rsidRPr="00E54DE0" w:rsidRDefault="009876E7" w:rsidP="00E54DE0">
            <w:pPr>
              <w:rPr>
                <w:rFonts w:cs="Arial"/>
                <w:sz w:val="20"/>
                <w:szCs w:val="20"/>
              </w:rPr>
            </w:pPr>
            <w:r>
              <w:rPr>
                <w:rFonts w:cs="Arial"/>
                <w:sz w:val="20"/>
                <w:szCs w:val="20"/>
              </w:rPr>
              <w:t>29</w:t>
            </w:r>
          </w:p>
        </w:tc>
      </w:tr>
      <w:tr w:rsidR="00777F26" w:rsidRPr="002A3C88" w14:paraId="3D080BBB"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78A247D5" w14:textId="77777777" w:rsidR="00777F26" w:rsidRPr="00E54DE0" w:rsidRDefault="00777F26" w:rsidP="00E54DE0">
            <w:pPr>
              <w:rPr>
                <w:rFonts w:cs="Arial"/>
                <w:sz w:val="20"/>
                <w:szCs w:val="20"/>
              </w:rPr>
            </w:pPr>
            <w:r w:rsidRPr="00E54DE0">
              <w:rPr>
                <w:rFonts w:cs="Arial"/>
                <w:sz w:val="20"/>
                <w:szCs w:val="20"/>
              </w:rPr>
              <w:t>72828</w:t>
            </w:r>
          </w:p>
        </w:tc>
        <w:tc>
          <w:tcPr>
            <w:tcW w:w="4594" w:type="dxa"/>
            <w:noWrap/>
            <w:hideMark/>
          </w:tcPr>
          <w:p w14:paraId="04AAC0C7" w14:textId="77777777" w:rsidR="00777F26" w:rsidRPr="00E54DE0" w:rsidRDefault="00777F26" w:rsidP="00E54DE0">
            <w:pPr>
              <w:rPr>
                <w:rFonts w:cs="Arial"/>
                <w:sz w:val="20"/>
                <w:szCs w:val="20"/>
              </w:rPr>
            </w:pPr>
            <w:r w:rsidRPr="00E54DE0">
              <w:rPr>
                <w:rFonts w:cs="Arial"/>
                <w:sz w:val="20"/>
                <w:szCs w:val="20"/>
              </w:rPr>
              <w:t xml:space="preserve">Examination of complexity level 4 biopsy material with 1 or more tissue blocks, including specimen dissection, all tissue processing, staining, light microscopy and professional opinion or opinions </w:t>
            </w:r>
            <w:proofErr w:type="gramStart"/>
            <w:r w:rsidRPr="00E54DE0">
              <w:rPr>
                <w:rFonts w:cs="Arial"/>
                <w:sz w:val="20"/>
                <w:szCs w:val="20"/>
              </w:rPr>
              <w:t>-  18</w:t>
            </w:r>
            <w:proofErr w:type="gramEnd"/>
            <w:r w:rsidRPr="00E54DE0">
              <w:rPr>
                <w:rFonts w:cs="Arial"/>
                <w:sz w:val="20"/>
                <w:szCs w:val="20"/>
              </w:rPr>
              <w:t xml:space="preserve"> or more separately identified specimens</w:t>
            </w:r>
          </w:p>
        </w:tc>
        <w:tc>
          <w:tcPr>
            <w:tcW w:w="1727" w:type="dxa"/>
            <w:noWrap/>
          </w:tcPr>
          <w:p w14:paraId="25B2324A" w14:textId="77777777" w:rsidR="00777F26" w:rsidRPr="00E54DE0" w:rsidRDefault="00777F26" w:rsidP="00E54DE0">
            <w:pPr>
              <w:rPr>
                <w:rFonts w:cs="Arial"/>
                <w:sz w:val="20"/>
                <w:szCs w:val="20"/>
              </w:rPr>
            </w:pPr>
            <w:r w:rsidRPr="00E54DE0">
              <w:rPr>
                <w:rFonts w:cs="Arial"/>
                <w:sz w:val="20"/>
                <w:szCs w:val="20"/>
              </w:rPr>
              <w:t>Change/</w:t>
            </w:r>
          </w:p>
          <w:p w14:paraId="404009DD"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73C739F9" w14:textId="77777777" w:rsidR="00777F26" w:rsidRPr="00E54DE0" w:rsidRDefault="009876E7" w:rsidP="00E54DE0">
            <w:pPr>
              <w:rPr>
                <w:rFonts w:cs="Arial"/>
                <w:sz w:val="20"/>
                <w:szCs w:val="20"/>
              </w:rPr>
            </w:pPr>
            <w:r>
              <w:rPr>
                <w:rFonts w:cs="Arial"/>
                <w:sz w:val="20"/>
                <w:szCs w:val="20"/>
              </w:rPr>
              <w:t>29</w:t>
            </w:r>
          </w:p>
        </w:tc>
      </w:tr>
      <w:tr w:rsidR="00777F26" w:rsidRPr="002A3C88" w14:paraId="48B74DD0"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tcPr>
          <w:p w14:paraId="78B6CB96" w14:textId="77777777" w:rsidR="00777F26" w:rsidRPr="00E54DE0" w:rsidRDefault="00777F26" w:rsidP="00E54DE0">
            <w:pPr>
              <w:rPr>
                <w:rFonts w:cs="Arial"/>
                <w:sz w:val="20"/>
                <w:szCs w:val="20"/>
              </w:rPr>
            </w:pPr>
            <w:r w:rsidRPr="00E54DE0">
              <w:rPr>
                <w:rFonts w:cs="Arial"/>
                <w:sz w:val="20"/>
                <w:szCs w:val="20"/>
              </w:rPr>
              <w:t>72830</w:t>
            </w:r>
          </w:p>
        </w:tc>
        <w:tc>
          <w:tcPr>
            <w:tcW w:w="4594" w:type="dxa"/>
            <w:tcBorders>
              <w:top w:val="single" w:sz="4" w:space="0" w:color="auto"/>
              <w:left w:val="single" w:sz="4" w:space="0" w:color="auto"/>
              <w:bottom w:val="single" w:sz="4" w:space="0" w:color="auto"/>
              <w:right w:val="single" w:sz="4" w:space="0" w:color="auto"/>
            </w:tcBorders>
            <w:noWrap/>
          </w:tcPr>
          <w:p w14:paraId="17AD44B6" w14:textId="77777777" w:rsidR="00777F26" w:rsidRPr="00E54DE0" w:rsidRDefault="00777F26" w:rsidP="00E54DE0">
            <w:pPr>
              <w:rPr>
                <w:rFonts w:cs="Arial"/>
                <w:sz w:val="20"/>
                <w:szCs w:val="20"/>
              </w:rPr>
            </w:pPr>
            <w:r w:rsidRPr="00E54DE0">
              <w:rPr>
                <w:rFonts w:cs="Arial"/>
                <w:sz w:val="20"/>
                <w:szCs w:val="20"/>
              </w:rPr>
              <w:t>Examination of complexity level 5 biopsy material with 1 or more tissue blocks, including specimen dissection, all tissue processing, staining, light microscopy and professional opinion or opinions - 1 or more separately identified specimens</w:t>
            </w:r>
          </w:p>
        </w:tc>
        <w:tc>
          <w:tcPr>
            <w:tcW w:w="1727" w:type="dxa"/>
            <w:noWrap/>
          </w:tcPr>
          <w:p w14:paraId="6D31C079"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28B1D14D" w14:textId="77777777" w:rsidR="00777F26" w:rsidRPr="00E54DE0" w:rsidRDefault="009876E7" w:rsidP="00E54DE0">
            <w:pPr>
              <w:rPr>
                <w:rFonts w:cs="Arial"/>
                <w:sz w:val="20"/>
                <w:szCs w:val="20"/>
              </w:rPr>
            </w:pPr>
            <w:r>
              <w:rPr>
                <w:rFonts w:cs="Arial"/>
                <w:sz w:val="20"/>
                <w:szCs w:val="20"/>
              </w:rPr>
              <w:t>29</w:t>
            </w:r>
          </w:p>
        </w:tc>
      </w:tr>
      <w:tr w:rsidR="00777F26" w:rsidRPr="002A3C88" w14:paraId="3BD0114F"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tcPr>
          <w:p w14:paraId="3B311268" w14:textId="77777777" w:rsidR="00777F26" w:rsidRPr="00E54DE0" w:rsidRDefault="00777F26" w:rsidP="00E54DE0">
            <w:pPr>
              <w:rPr>
                <w:rFonts w:cs="Arial"/>
                <w:sz w:val="20"/>
                <w:szCs w:val="20"/>
              </w:rPr>
            </w:pPr>
            <w:r w:rsidRPr="00E54DE0">
              <w:rPr>
                <w:rFonts w:cs="Arial"/>
                <w:sz w:val="20"/>
                <w:szCs w:val="20"/>
              </w:rPr>
              <w:t>72836</w:t>
            </w:r>
          </w:p>
        </w:tc>
        <w:tc>
          <w:tcPr>
            <w:tcW w:w="4594" w:type="dxa"/>
            <w:tcBorders>
              <w:top w:val="single" w:sz="4" w:space="0" w:color="auto"/>
              <w:left w:val="single" w:sz="4" w:space="0" w:color="auto"/>
              <w:bottom w:val="single" w:sz="4" w:space="0" w:color="auto"/>
              <w:right w:val="single" w:sz="4" w:space="0" w:color="auto"/>
            </w:tcBorders>
            <w:noWrap/>
          </w:tcPr>
          <w:p w14:paraId="649C048F" w14:textId="77777777" w:rsidR="00777F26" w:rsidRPr="00E54DE0" w:rsidRDefault="00777F26" w:rsidP="00E54DE0">
            <w:pPr>
              <w:rPr>
                <w:rFonts w:cs="Arial"/>
                <w:sz w:val="20"/>
                <w:szCs w:val="20"/>
              </w:rPr>
            </w:pPr>
            <w:r w:rsidRPr="00E54DE0">
              <w:rPr>
                <w:rFonts w:cs="Arial"/>
                <w:sz w:val="20"/>
                <w:szCs w:val="20"/>
              </w:rPr>
              <w:t>Examination of complexity level 6 biopsy material with 1 or more tissue blocks, including specimen dissection, all tissue processing, staining, light microscopy and professional opinion or opinions - 1 or more separately identified specimens</w:t>
            </w:r>
          </w:p>
        </w:tc>
        <w:tc>
          <w:tcPr>
            <w:tcW w:w="1727" w:type="dxa"/>
            <w:noWrap/>
          </w:tcPr>
          <w:p w14:paraId="5067C78D" w14:textId="77777777" w:rsidR="00777F26" w:rsidRPr="00E54DE0" w:rsidRDefault="00777F26" w:rsidP="00E54DE0">
            <w:pPr>
              <w:rPr>
                <w:rFonts w:cs="Arial"/>
                <w:sz w:val="20"/>
                <w:szCs w:val="20"/>
              </w:rPr>
            </w:pPr>
            <w:r w:rsidRPr="00E54DE0">
              <w:rPr>
                <w:rFonts w:cs="Arial"/>
                <w:sz w:val="20"/>
                <w:szCs w:val="20"/>
              </w:rPr>
              <w:t xml:space="preserve">Change </w:t>
            </w:r>
          </w:p>
        </w:tc>
        <w:tc>
          <w:tcPr>
            <w:tcW w:w="1788" w:type="dxa"/>
            <w:noWrap/>
          </w:tcPr>
          <w:p w14:paraId="385F51C0" w14:textId="77777777" w:rsidR="00777F26" w:rsidRPr="00E54DE0" w:rsidRDefault="009876E7" w:rsidP="00E54DE0">
            <w:pPr>
              <w:rPr>
                <w:rFonts w:cs="Arial"/>
                <w:sz w:val="20"/>
                <w:szCs w:val="20"/>
              </w:rPr>
            </w:pPr>
            <w:r>
              <w:rPr>
                <w:rFonts w:cs="Arial"/>
                <w:sz w:val="20"/>
                <w:szCs w:val="20"/>
              </w:rPr>
              <w:t>29</w:t>
            </w:r>
          </w:p>
        </w:tc>
      </w:tr>
      <w:tr w:rsidR="00777F26" w:rsidRPr="002A3C88" w14:paraId="3D02F7E7"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tcPr>
          <w:p w14:paraId="3834E661" w14:textId="77777777" w:rsidR="00777F26" w:rsidRPr="00E54DE0" w:rsidRDefault="00777F26" w:rsidP="00E54DE0">
            <w:pPr>
              <w:rPr>
                <w:rFonts w:cs="Arial"/>
                <w:sz w:val="20"/>
                <w:szCs w:val="20"/>
              </w:rPr>
            </w:pPr>
            <w:r w:rsidRPr="00E54DE0">
              <w:rPr>
                <w:rFonts w:cs="Arial"/>
                <w:sz w:val="20"/>
                <w:szCs w:val="20"/>
              </w:rPr>
              <w:t>72838</w:t>
            </w:r>
          </w:p>
        </w:tc>
        <w:tc>
          <w:tcPr>
            <w:tcW w:w="4594" w:type="dxa"/>
            <w:tcBorders>
              <w:top w:val="single" w:sz="4" w:space="0" w:color="auto"/>
              <w:left w:val="single" w:sz="4" w:space="0" w:color="auto"/>
              <w:bottom w:val="single" w:sz="4" w:space="0" w:color="auto"/>
              <w:right w:val="single" w:sz="4" w:space="0" w:color="auto"/>
            </w:tcBorders>
            <w:noWrap/>
          </w:tcPr>
          <w:p w14:paraId="6076F98B" w14:textId="77777777" w:rsidR="00777F26" w:rsidRPr="00E54DE0" w:rsidRDefault="00777F26" w:rsidP="00E54DE0">
            <w:pPr>
              <w:rPr>
                <w:rFonts w:cs="Arial"/>
                <w:sz w:val="20"/>
                <w:szCs w:val="20"/>
              </w:rPr>
            </w:pPr>
            <w:r w:rsidRPr="00E54DE0">
              <w:rPr>
                <w:rFonts w:cs="Arial"/>
                <w:sz w:val="20"/>
                <w:szCs w:val="20"/>
              </w:rPr>
              <w:t xml:space="preserve">Examination of </w:t>
            </w:r>
            <w:r w:rsidR="00BF612A" w:rsidRPr="00E54DE0">
              <w:rPr>
                <w:rFonts w:cs="Arial"/>
                <w:sz w:val="20"/>
                <w:szCs w:val="20"/>
              </w:rPr>
              <w:t>complexity</w:t>
            </w:r>
            <w:r w:rsidRPr="00E54DE0">
              <w:rPr>
                <w:rFonts w:cs="Arial"/>
                <w:sz w:val="20"/>
                <w:szCs w:val="20"/>
              </w:rPr>
              <w:t xml:space="preserve"> level 7 biopsy material with multiple tissue blocks, including specimen dissection, all tissue processing, staining, light microscopy and professional opinion or opinions - 1 or more separately identified specimens.</w:t>
            </w:r>
          </w:p>
        </w:tc>
        <w:tc>
          <w:tcPr>
            <w:tcW w:w="1727" w:type="dxa"/>
            <w:noWrap/>
          </w:tcPr>
          <w:p w14:paraId="4F502F53"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52345739" w14:textId="77777777" w:rsidR="00777F26" w:rsidRPr="00E54DE0" w:rsidRDefault="009876E7" w:rsidP="00E54DE0">
            <w:pPr>
              <w:rPr>
                <w:rFonts w:cs="Arial"/>
                <w:sz w:val="20"/>
                <w:szCs w:val="20"/>
              </w:rPr>
            </w:pPr>
            <w:r>
              <w:rPr>
                <w:rFonts w:cs="Arial"/>
                <w:sz w:val="20"/>
                <w:szCs w:val="20"/>
              </w:rPr>
              <w:t>29</w:t>
            </w:r>
          </w:p>
        </w:tc>
      </w:tr>
      <w:tr w:rsidR="00777F26" w:rsidRPr="002A3C88" w14:paraId="7136B128"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hideMark/>
          </w:tcPr>
          <w:p w14:paraId="35ED3CB9" w14:textId="77777777" w:rsidR="00777F26" w:rsidRPr="00E54DE0" w:rsidRDefault="00777F26" w:rsidP="00E54DE0">
            <w:pPr>
              <w:rPr>
                <w:rFonts w:cs="Arial"/>
                <w:sz w:val="20"/>
                <w:szCs w:val="20"/>
              </w:rPr>
            </w:pPr>
            <w:r w:rsidRPr="00E54DE0">
              <w:rPr>
                <w:rFonts w:cs="Arial"/>
                <w:sz w:val="20"/>
                <w:szCs w:val="20"/>
              </w:rPr>
              <w:t>72844</w:t>
            </w:r>
          </w:p>
        </w:tc>
        <w:tc>
          <w:tcPr>
            <w:tcW w:w="4594" w:type="dxa"/>
            <w:tcBorders>
              <w:top w:val="single" w:sz="4" w:space="0" w:color="auto"/>
              <w:left w:val="single" w:sz="4" w:space="0" w:color="auto"/>
              <w:bottom w:val="single" w:sz="4" w:space="0" w:color="auto"/>
              <w:right w:val="single" w:sz="4" w:space="0" w:color="auto"/>
            </w:tcBorders>
            <w:noWrap/>
          </w:tcPr>
          <w:p w14:paraId="693F5CF2" w14:textId="77777777" w:rsidR="00777F26" w:rsidRPr="00E54DE0" w:rsidRDefault="00777F26" w:rsidP="00E54DE0">
            <w:pPr>
              <w:rPr>
                <w:rFonts w:cs="Arial"/>
                <w:sz w:val="20"/>
                <w:szCs w:val="20"/>
              </w:rPr>
            </w:pPr>
            <w:r w:rsidRPr="00E54DE0">
              <w:rPr>
                <w:rFonts w:cs="Arial"/>
                <w:sz w:val="20"/>
                <w:szCs w:val="20"/>
              </w:rPr>
              <w:t>Enzyme histochemistry of skeletal muscle for investigation of primary degenerative or metabolic muscle diseases or of muscle abnormalities secondary to disease of the central or peripheral nervous system - 1 or more tests</w:t>
            </w:r>
          </w:p>
        </w:tc>
        <w:tc>
          <w:tcPr>
            <w:tcW w:w="1727" w:type="dxa"/>
            <w:noWrap/>
          </w:tcPr>
          <w:p w14:paraId="3EDDA4A7" w14:textId="77777777" w:rsidR="00777F26" w:rsidRPr="00E54DE0" w:rsidRDefault="00777F26" w:rsidP="00E54DE0">
            <w:pPr>
              <w:rPr>
                <w:rFonts w:cs="Arial"/>
                <w:sz w:val="20"/>
                <w:szCs w:val="20"/>
              </w:rPr>
            </w:pPr>
            <w:r w:rsidRPr="00E54DE0">
              <w:rPr>
                <w:rFonts w:cs="Arial"/>
                <w:sz w:val="20"/>
                <w:szCs w:val="20"/>
              </w:rPr>
              <w:t>No change</w:t>
            </w:r>
          </w:p>
        </w:tc>
        <w:tc>
          <w:tcPr>
            <w:tcW w:w="1788" w:type="dxa"/>
            <w:noWrap/>
          </w:tcPr>
          <w:p w14:paraId="5802745B" w14:textId="77777777" w:rsidR="00777F26" w:rsidRPr="00E54DE0" w:rsidRDefault="00777F26" w:rsidP="00E54DE0">
            <w:pPr>
              <w:rPr>
                <w:rFonts w:cs="Arial"/>
                <w:sz w:val="20"/>
                <w:szCs w:val="20"/>
              </w:rPr>
            </w:pPr>
          </w:p>
        </w:tc>
      </w:tr>
      <w:tr w:rsidR="00777F26" w:rsidRPr="002A3C88" w14:paraId="579C3776"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8"/>
        </w:trPr>
        <w:tc>
          <w:tcPr>
            <w:tcW w:w="907" w:type="dxa"/>
            <w:tcBorders>
              <w:top w:val="single" w:sz="4" w:space="0" w:color="auto"/>
              <w:left w:val="single" w:sz="4" w:space="0" w:color="auto"/>
              <w:bottom w:val="single" w:sz="4" w:space="0" w:color="auto"/>
              <w:right w:val="single" w:sz="4" w:space="0" w:color="auto"/>
            </w:tcBorders>
            <w:noWrap/>
            <w:hideMark/>
          </w:tcPr>
          <w:p w14:paraId="5A372D29" w14:textId="77777777" w:rsidR="00777F26" w:rsidRPr="00E54DE0" w:rsidRDefault="00777F26" w:rsidP="00E54DE0">
            <w:pPr>
              <w:rPr>
                <w:rFonts w:cs="Arial"/>
                <w:sz w:val="20"/>
                <w:szCs w:val="20"/>
              </w:rPr>
            </w:pPr>
            <w:r w:rsidRPr="00E54DE0">
              <w:rPr>
                <w:rFonts w:cs="Arial"/>
                <w:sz w:val="20"/>
                <w:szCs w:val="20"/>
              </w:rPr>
              <w:t>72846</w:t>
            </w:r>
          </w:p>
        </w:tc>
        <w:tc>
          <w:tcPr>
            <w:tcW w:w="4594" w:type="dxa"/>
            <w:tcBorders>
              <w:top w:val="single" w:sz="4" w:space="0" w:color="auto"/>
              <w:left w:val="single" w:sz="4" w:space="0" w:color="auto"/>
              <w:bottom w:val="single" w:sz="4" w:space="0" w:color="auto"/>
              <w:right w:val="single" w:sz="4" w:space="0" w:color="auto"/>
            </w:tcBorders>
            <w:noWrap/>
            <w:hideMark/>
          </w:tcPr>
          <w:p w14:paraId="11CC71D0" w14:textId="77777777" w:rsidR="00777F26" w:rsidRPr="00E54DE0" w:rsidRDefault="00777F26" w:rsidP="00E54DE0">
            <w:pPr>
              <w:rPr>
                <w:rFonts w:cs="Arial"/>
                <w:sz w:val="20"/>
                <w:szCs w:val="20"/>
              </w:rPr>
            </w:pPr>
            <w:r w:rsidRPr="00E54DE0">
              <w:rPr>
                <w:rFonts w:cs="Arial"/>
                <w:sz w:val="20"/>
                <w:szCs w:val="20"/>
              </w:rPr>
              <w:t xml:space="preserve">Immunohistochemical examination of biopsy material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 to 3 antibodies except those listed in 72848</w:t>
            </w:r>
          </w:p>
        </w:tc>
        <w:tc>
          <w:tcPr>
            <w:tcW w:w="1727" w:type="dxa"/>
            <w:noWrap/>
          </w:tcPr>
          <w:p w14:paraId="6B36EBF6" w14:textId="77777777" w:rsidR="00777F26" w:rsidRPr="00E54DE0" w:rsidRDefault="00777F26" w:rsidP="00E54DE0">
            <w:pPr>
              <w:rPr>
                <w:rFonts w:cs="Arial"/>
                <w:sz w:val="20"/>
                <w:szCs w:val="20"/>
              </w:rPr>
            </w:pPr>
            <w:r w:rsidRPr="00E54DE0">
              <w:rPr>
                <w:rFonts w:cs="Arial"/>
                <w:sz w:val="20"/>
                <w:szCs w:val="20"/>
              </w:rPr>
              <w:t>Change/</w:t>
            </w:r>
          </w:p>
          <w:p w14:paraId="35072D6F"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6F66D8E8" w14:textId="77777777" w:rsidR="00777F26" w:rsidRPr="00E54DE0" w:rsidRDefault="009876E7" w:rsidP="00E54DE0">
            <w:pPr>
              <w:rPr>
                <w:rFonts w:cs="Arial"/>
                <w:sz w:val="20"/>
                <w:szCs w:val="20"/>
              </w:rPr>
            </w:pPr>
            <w:r>
              <w:rPr>
                <w:rFonts w:cs="Arial"/>
                <w:sz w:val="20"/>
                <w:szCs w:val="20"/>
              </w:rPr>
              <w:t>37</w:t>
            </w:r>
          </w:p>
        </w:tc>
      </w:tr>
      <w:tr w:rsidR="00777F26" w:rsidRPr="002A3C88" w14:paraId="31376602"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hideMark/>
          </w:tcPr>
          <w:p w14:paraId="1F089B63" w14:textId="77777777" w:rsidR="00777F26" w:rsidRPr="00E54DE0" w:rsidRDefault="00777F26" w:rsidP="00E54DE0">
            <w:pPr>
              <w:rPr>
                <w:rFonts w:cs="Arial"/>
                <w:sz w:val="20"/>
                <w:szCs w:val="20"/>
              </w:rPr>
            </w:pPr>
            <w:r w:rsidRPr="00E54DE0">
              <w:rPr>
                <w:rFonts w:cs="Arial"/>
                <w:sz w:val="20"/>
                <w:szCs w:val="20"/>
              </w:rPr>
              <w:t>72847</w:t>
            </w:r>
          </w:p>
        </w:tc>
        <w:tc>
          <w:tcPr>
            <w:tcW w:w="4594" w:type="dxa"/>
            <w:tcBorders>
              <w:top w:val="single" w:sz="4" w:space="0" w:color="auto"/>
              <w:left w:val="single" w:sz="4" w:space="0" w:color="auto"/>
              <w:bottom w:val="single" w:sz="4" w:space="0" w:color="auto"/>
              <w:right w:val="single" w:sz="4" w:space="0" w:color="auto"/>
            </w:tcBorders>
            <w:noWrap/>
            <w:hideMark/>
          </w:tcPr>
          <w:p w14:paraId="283DDF90" w14:textId="77777777" w:rsidR="00777F26" w:rsidRPr="00E54DE0" w:rsidRDefault="00777F26" w:rsidP="00E54DE0">
            <w:pPr>
              <w:rPr>
                <w:rFonts w:cs="Arial"/>
                <w:sz w:val="20"/>
                <w:szCs w:val="20"/>
              </w:rPr>
            </w:pPr>
            <w:r w:rsidRPr="00E54DE0">
              <w:rPr>
                <w:rFonts w:cs="Arial"/>
                <w:sz w:val="20"/>
                <w:szCs w:val="20"/>
              </w:rPr>
              <w:t xml:space="preserve">Immunohistochemical examination of biopsy material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- 4-6 antibodies</w:t>
            </w:r>
          </w:p>
        </w:tc>
        <w:tc>
          <w:tcPr>
            <w:tcW w:w="1727" w:type="dxa"/>
            <w:noWrap/>
          </w:tcPr>
          <w:p w14:paraId="68B64C6F" w14:textId="77777777" w:rsidR="00777F26" w:rsidRPr="00E54DE0" w:rsidRDefault="00777F26" w:rsidP="00E54DE0">
            <w:pPr>
              <w:rPr>
                <w:rFonts w:cs="Arial"/>
                <w:sz w:val="20"/>
                <w:szCs w:val="20"/>
              </w:rPr>
            </w:pPr>
            <w:r w:rsidRPr="00E54DE0">
              <w:rPr>
                <w:rFonts w:cs="Arial"/>
                <w:sz w:val="20"/>
                <w:szCs w:val="20"/>
              </w:rPr>
              <w:t>Change/</w:t>
            </w:r>
          </w:p>
          <w:p w14:paraId="349F3636"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5AEF8112" w14:textId="77777777" w:rsidR="00777F26" w:rsidRPr="00E54DE0" w:rsidRDefault="009876E7" w:rsidP="00E54DE0">
            <w:pPr>
              <w:rPr>
                <w:rFonts w:cs="Arial"/>
                <w:sz w:val="20"/>
                <w:szCs w:val="20"/>
              </w:rPr>
            </w:pPr>
            <w:r>
              <w:rPr>
                <w:rFonts w:cs="Arial"/>
                <w:sz w:val="20"/>
                <w:szCs w:val="20"/>
              </w:rPr>
              <w:t>37</w:t>
            </w:r>
          </w:p>
        </w:tc>
      </w:tr>
      <w:tr w:rsidR="00777F26" w:rsidRPr="002A3C88" w14:paraId="25FFFD04"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tcBorders>
              <w:top w:val="single" w:sz="4" w:space="0" w:color="auto"/>
              <w:left w:val="single" w:sz="4" w:space="0" w:color="auto"/>
              <w:bottom w:val="single" w:sz="4" w:space="0" w:color="auto"/>
              <w:right w:val="single" w:sz="4" w:space="0" w:color="auto"/>
            </w:tcBorders>
            <w:noWrap/>
            <w:hideMark/>
          </w:tcPr>
          <w:p w14:paraId="355125BB" w14:textId="77777777" w:rsidR="00777F26" w:rsidRPr="00E54DE0" w:rsidRDefault="00777F26" w:rsidP="00E54DE0">
            <w:pPr>
              <w:rPr>
                <w:rFonts w:cs="Arial"/>
                <w:sz w:val="20"/>
                <w:szCs w:val="20"/>
              </w:rPr>
            </w:pPr>
            <w:r w:rsidRPr="00E54DE0">
              <w:rPr>
                <w:rFonts w:cs="Arial"/>
                <w:sz w:val="20"/>
                <w:szCs w:val="20"/>
              </w:rPr>
              <w:t>72848</w:t>
            </w:r>
          </w:p>
        </w:tc>
        <w:tc>
          <w:tcPr>
            <w:tcW w:w="4594" w:type="dxa"/>
            <w:tcBorders>
              <w:top w:val="single" w:sz="4" w:space="0" w:color="auto"/>
              <w:left w:val="single" w:sz="4" w:space="0" w:color="auto"/>
              <w:bottom w:val="single" w:sz="4" w:space="0" w:color="auto"/>
              <w:right w:val="single" w:sz="4" w:space="0" w:color="auto"/>
            </w:tcBorders>
            <w:noWrap/>
            <w:hideMark/>
          </w:tcPr>
          <w:p w14:paraId="052149F5" w14:textId="77777777" w:rsidR="00777F26" w:rsidRPr="00E54DE0" w:rsidRDefault="00777F26" w:rsidP="00E54DE0">
            <w:pPr>
              <w:rPr>
                <w:rFonts w:cs="Arial"/>
                <w:sz w:val="20"/>
                <w:szCs w:val="20"/>
              </w:rPr>
            </w:pPr>
            <w:r w:rsidRPr="00E54DE0">
              <w:rPr>
                <w:rFonts w:cs="Arial"/>
                <w:sz w:val="20"/>
                <w:szCs w:val="20"/>
              </w:rPr>
              <w:t xml:space="preserve">Immunohistochemical examination of biopsy material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 to 3 of the following </w:t>
            </w:r>
            <w:r w:rsidRPr="00E54DE0">
              <w:rPr>
                <w:rFonts w:cs="Arial"/>
                <w:sz w:val="20"/>
                <w:szCs w:val="20"/>
              </w:rPr>
              <w:lastRenderedPageBreak/>
              <w:t>antibodies - oestrogen, progesterone and c-erb-B2 (HER2)</w:t>
            </w:r>
          </w:p>
        </w:tc>
        <w:tc>
          <w:tcPr>
            <w:tcW w:w="1727" w:type="dxa"/>
            <w:noWrap/>
          </w:tcPr>
          <w:p w14:paraId="691EF95E" w14:textId="77777777" w:rsidR="00777F26" w:rsidRPr="00E54DE0" w:rsidRDefault="00777F26" w:rsidP="00E54DE0">
            <w:pPr>
              <w:rPr>
                <w:rFonts w:cs="Arial"/>
                <w:sz w:val="20"/>
                <w:szCs w:val="20"/>
              </w:rPr>
            </w:pPr>
            <w:r w:rsidRPr="00E54DE0">
              <w:rPr>
                <w:rFonts w:cs="Arial"/>
                <w:sz w:val="20"/>
                <w:szCs w:val="20"/>
              </w:rPr>
              <w:lastRenderedPageBreak/>
              <w:t>Change</w:t>
            </w:r>
          </w:p>
        </w:tc>
        <w:tc>
          <w:tcPr>
            <w:tcW w:w="1788" w:type="dxa"/>
            <w:noWrap/>
          </w:tcPr>
          <w:p w14:paraId="64518248" w14:textId="77777777" w:rsidR="00777F26" w:rsidRPr="00E54DE0" w:rsidRDefault="009876E7" w:rsidP="00E54DE0">
            <w:pPr>
              <w:rPr>
                <w:rFonts w:cs="Arial"/>
                <w:sz w:val="20"/>
                <w:szCs w:val="20"/>
              </w:rPr>
            </w:pPr>
            <w:r>
              <w:rPr>
                <w:rFonts w:cs="Arial"/>
                <w:sz w:val="20"/>
                <w:szCs w:val="20"/>
              </w:rPr>
              <w:t>37</w:t>
            </w:r>
          </w:p>
        </w:tc>
      </w:tr>
      <w:tr w:rsidR="00777F26" w:rsidRPr="002A3C88" w14:paraId="5B38A618"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689A5BC4" w14:textId="77777777" w:rsidR="00777F26" w:rsidRPr="00E54DE0" w:rsidRDefault="00777F26" w:rsidP="00E54DE0">
            <w:pPr>
              <w:rPr>
                <w:rFonts w:cs="Arial"/>
                <w:sz w:val="20"/>
                <w:szCs w:val="20"/>
              </w:rPr>
            </w:pPr>
            <w:r w:rsidRPr="00E54DE0">
              <w:rPr>
                <w:rFonts w:cs="Arial"/>
                <w:sz w:val="20"/>
                <w:szCs w:val="20"/>
              </w:rPr>
              <w:t>72849</w:t>
            </w:r>
          </w:p>
        </w:tc>
        <w:tc>
          <w:tcPr>
            <w:tcW w:w="4594" w:type="dxa"/>
            <w:noWrap/>
            <w:hideMark/>
          </w:tcPr>
          <w:p w14:paraId="04BF5BD4" w14:textId="77777777" w:rsidR="00777F26" w:rsidRPr="00E54DE0" w:rsidRDefault="00777F26" w:rsidP="00E54DE0">
            <w:pPr>
              <w:rPr>
                <w:rFonts w:cs="Arial"/>
                <w:sz w:val="20"/>
                <w:szCs w:val="20"/>
              </w:rPr>
            </w:pPr>
            <w:r w:rsidRPr="00E54DE0">
              <w:rPr>
                <w:rFonts w:cs="Arial"/>
                <w:sz w:val="20"/>
                <w:szCs w:val="20"/>
              </w:rPr>
              <w:t xml:space="preserve">Immunohistochemical examination of biopsy material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- 7-10 antibodies</w:t>
            </w:r>
          </w:p>
        </w:tc>
        <w:tc>
          <w:tcPr>
            <w:tcW w:w="1727" w:type="dxa"/>
            <w:noWrap/>
          </w:tcPr>
          <w:p w14:paraId="3C327D87" w14:textId="77777777" w:rsidR="00777F26" w:rsidRPr="00E54DE0" w:rsidRDefault="00777F26" w:rsidP="00E54DE0">
            <w:pPr>
              <w:rPr>
                <w:rFonts w:cs="Arial"/>
                <w:sz w:val="20"/>
                <w:szCs w:val="20"/>
              </w:rPr>
            </w:pPr>
            <w:r w:rsidRPr="00E54DE0">
              <w:rPr>
                <w:rFonts w:cs="Arial"/>
                <w:sz w:val="20"/>
                <w:szCs w:val="20"/>
              </w:rPr>
              <w:t>Change/</w:t>
            </w:r>
          </w:p>
          <w:p w14:paraId="78066FA4"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29F5F159" w14:textId="77777777" w:rsidR="00777F26" w:rsidRPr="00E54DE0" w:rsidRDefault="009876E7" w:rsidP="00E54DE0">
            <w:pPr>
              <w:rPr>
                <w:rFonts w:cs="Arial"/>
                <w:sz w:val="20"/>
                <w:szCs w:val="20"/>
              </w:rPr>
            </w:pPr>
            <w:r>
              <w:rPr>
                <w:rFonts w:cs="Arial"/>
                <w:sz w:val="20"/>
                <w:szCs w:val="20"/>
              </w:rPr>
              <w:t>37</w:t>
            </w:r>
          </w:p>
        </w:tc>
      </w:tr>
      <w:tr w:rsidR="00777F26" w:rsidRPr="002A3C88" w14:paraId="70F8F1D6"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2748BA7E" w14:textId="77777777" w:rsidR="00777F26" w:rsidRPr="00E54DE0" w:rsidRDefault="00777F26" w:rsidP="00E54DE0">
            <w:pPr>
              <w:rPr>
                <w:rFonts w:cs="Arial"/>
                <w:sz w:val="20"/>
                <w:szCs w:val="20"/>
              </w:rPr>
            </w:pPr>
            <w:r w:rsidRPr="00E54DE0">
              <w:rPr>
                <w:rFonts w:cs="Arial"/>
                <w:sz w:val="20"/>
                <w:szCs w:val="20"/>
              </w:rPr>
              <w:t>72850</w:t>
            </w:r>
          </w:p>
        </w:tc>
        <w:tc>
          <w:tcPr>
            <w:tcW w:w="4594" w:type="dxa"/>
            <w:noWrap/>
          </w:tcPr>
          <w:p w14:paraId="2C272A19" w14:textId="77777777" w:rsidR="00777F26" w:rsidRPr="00E54DE0" w:rsidRDefault="00777F26" w:rsidP="00E54DE0">
            <w:pPr>
              <w:rPr>
                <w:rFonts w:cs="Arial"/>
                <w:sz w:val="20"/>
                <w:szCs w:val="20"/>
              </w:rPr>
            </w:pPr>
            <w:r w:rsidRPr="00E54DE0">
              <w:rPr>
                <w:rFonts w:cs="Arial"/>
                <w:sz w:val="20"/>
                <w:szCs w:val="20"/>
              </w:rPr>
              <w:t xml:space="preserve">Immunohistochemical examination of biopsy material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- 11 or more antibodies</w:t>
            </w:r>
          </w:p>
        </w:tc>
        <w:tc>
          <w:tcPr>
            <w:tcW w:w="1727" w:type="dxa"/>
            <w:noWrap/>
          </w:tcPr>
          <w:p w14:paraId="7586CF01" w14:textId="77777777" w:rsidR="00777F26" w:rsidRPr="00E54DE0" w:rsidRDefault="00777F26" w:rsidP="00E54DE0">
            <w:pPr>
              <w:rPr>
                <w:rFonts w:cs="Arial"/>
                <w:sz w:val="20"/>
                <w:szCs w:val="20"/>
              </w:rPr>
            </w:pPr>
            <w:r w:rsidRPr="00E54DE0">
              <w:rPr>
                <w:rFonts w:cs="Arial"/>
                <w:sz w:val="20"/>
                <w:szCs w:val="20"/>
              </w:rPr>
              <w:t>Change/</w:t>
            </w:r>
          </w:p>
          <w:p w14:paraId="4FC055F8"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20AEE7A2" w14:textId="77777777" w:rsidR="00777F26" w:rsidRPr="00E54DE0" w:rsidRDefault="009876E7" w:rsidP="00E54DE0">
            <w:pPr>
              <w:rPr>
                <w:rFonts w:cs="Arial"/>
                <w:sz w:val="20"/>
                <w:szCs w:val="20"/>
              </w:rPr>
            </w:pPr>
            <w:r>
              <w:rPr>
                <w:rFonts w:cs="Arial"/>
                <w:sz w:val="20"/>
                <w:szCs w:val="20"/>
              </w:rPr>
              <w:t>37</w:t>
            </w:r>
          </w:p>
        </w:tc>
      </w:tr>
      <w:tr w:rsidR="00777F26" w:rsidRPr="002A3C88" w14:paraId="2D4BE95A"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tcPr>
          <w:p w14:paraId="1962A398" w14:textId="77777777" w:rsidR="00777F26" w:rsidRPr="00E54DE0" w:rsidRDefault="00777F26" w:rsidP="00E54DE0">
            <w:pPr>
              <w:rPr>
                <w:rFonts w:cs="Arial"/>
                <w:sz w:val="20"/>
                <w:szCs w:val="20"/>
              </w:rPr>
            </w:pPr>
            <w:r w:rsidRPr="00E54DE0">
              <w:rPr>
                <w:rFonts w:cs="Arial"/>
                <w:sz w:val="20"/>
                <w:szCs w:val="20"/>
              </w:rPr>
              <w:t>72851</w:t>
            </w:r>
          </w:p>
        </w:tc>
        <w:tc>
          <w:tcPr>
            <w:tcW w:w="4594" w:type="dxa"/>
            <w:noWrap/>
          </w:tcPr>
          <w:p w14:paraId="782AB3A4" w14:textId="77777777" w:rsidR="00777F26" w:rsidRPr="00E54DE0" w:rsidRDefault="00777F26" w:rsidP="00E54DE0">
            <w:pPr>
              <w:rPr>
                <w:rFonts w:cs="Arial"/>
                <w:sz w:val="20"/>
                <w:szCs w:val="20"/>
              </w:rPr>
            </w:pPr>
            <w:r w:rsidRPr="00E54DE0">
              <w:rPr>
                <w:rFonts w:cs="Arial"/>
                <w:sz w:val="20"/>
                <w:szCs w:val="20"/>
              </w:rPr>
              <w:t>Electron microscopic examination of biopsy material - 1 separately identified specimen</w:t>
            </w:r>
          </w:p>
        </w:tc>
        <w:tc>
          <w:tcPr>
            <w:tcW w:w="1727" w:type="dxa"/>
            <w:noWrap/>
          </w:tcPr>
          <w:p w14:paraId="193A87FA"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757F3CC9" w14:textId="77777777" w:rsidR="00777F26" w:rsidRPr="00E54DE0" w:rsidRDefault="009876E7" w:rsidP="00E54DE0">
            <w:pPr>
              <w:rPr>
                <w:rFonts w:cs="Arial"/>
                <w:sz w:val="20"/>
                <w:szCs w:val="20"/>
              </w:rPr>
            </w:pPr>
            <w:r>
              <w:rPr>
                <w:rFonts w:cs="Arial"/>
                <w:sz w:val="20"/>
                <w:szCs w:val="20"/>
              </w:rPr>
              <w:t>44</w:t>
            </w:r>
          </w:p>
        </w:tc>
      </w:tr>
      <w:tr w:rsidR="00777F26" w:rsidRPr="002A3C88" w14:paraId="73BE12C3"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5443DEC3" w14:textId="77777777" w:rsidR="00777F26" w:rsidRPr="00E54DE0" w:rsidRDefault="00777F26" w:rsidP="00E54DE0">
            <w:pPr>
              <w:rPr>
                <w:rFonts w:cs="Arial"/>
                <w:sz w:val="20"/>
                <w:szCs w:val="20"/>
              </w:rPr>
            </w:pPr>
            <w:r w:rsidRPr="00E54DE0">
              <w:rPr>
                <w:rFonts w:cs="Arial"/>
                <w:sz w:val="20"/>
                <w:szCs w:val="20"/>
              </w:rPr>
              <w:t>72852</w:t>
            </w:r>
          </w:p>
        </w:tc>
        <w:tc>
          <w:tcPr>
            <w:tcW w:w="4594" w:type="dxa"/>
            <w:noWrap/>
            <w:hideMark/>
          </w:tcPr>
          <w:p w14:paraId="4AC5BA1A" w14:textId="77777777" w:rsidR="00777F26" w:rsidRPr="00E54DE0" w:rsidRDefault="00777F26" w:rsidP="00E54DE0">
            <w:pPr>
              <w:rPr>
                <w:rFonts w:cs="Arial"/>
                <w:sz w:val="20"/>
                <w:szCs w:val="20"/>
              </w:rPr>
            </w:pPr>
            <w:r w:rsidRPr="00E54DE0">
              <w:rPr>
                <w:rFonts w:cs="Arial"/>
                <w:sz w:val="20"/>
                <w:szCs w:val="20"/>
              </w:rPr>
              <w:t xml:space="preserve"> Electron microscopic examination of biopsy material - 2 or more separately identified specimens</w:t>
            </w:r>
          </w:p>
        </w:tc>
        <w:tc>
          <w:tcPr>
            <w:tcW w:w="1727" w:type="dxa"/>
            <w:noWrap/>
          </w:tcPr>
          <w:p w14:paraId="1E815A6E" w14:textId="77777777" w:rsidR="00777F26" w:rsidRPr="00E54DE0" w:rsidRDefault="00777F26" w:rsidP="00E54DE0">
            <w:pPr>
              <w:rPr>
                <w:rFonts w:cs="Arial"/>
                <w:sz w:val="20"/>
                <w:szCs w:val="20"/>
              </w:rPr>
            </w:pPr>
            <w:r w:rsidRPr="00E54DE0">
              <w:rPr>
                <w:rFonts w:cs="Arial"/>
                <w:sz w:val="20"/>
                <w:szCs w:val="20"/>
              </w:rPr>
              <w:t>Change/</w:t>
            </w:r>
          </w:p>
          <w:p w14:paraId="6376DF69"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6265BAD9" w14:textId="77777777" w:rsidR="00777F26" w:rsidRPr="00E54DE0" w:rsidRDefault="009876E7" w:rsidP="00E54DE0">
            <w:pPr>
              <w:rPr>
                <w:rFonts w:cs="Arial"/>
                <w:sz w:val="20"/>
                <w:szCs w:val="20"/>
              </w:rPr>
            </w:pPr>
            <w:r>
              <w:rPr>
                <w:rFonts w:cs="Arial"/>
                <w:sz w:val="20"/>
                <w:szCs w:val="20"/>
              </w:rPr>
              <w:t>44</w:t>
            </w:r>
          </w:p>
        </w:tc>
      </w:tr>
      <w:tr w:rsidR="00777F26" w:rsidRPr="002A3C88" w14:paraId="72E74EDF"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5DE2AD50" w14:textId="77777777" w:rsidR="00777F26" w:rsidRPr="00E54DE0" w:rsidRDefault="00777F26" w:rsidP="00E54DE0">
            <w:pPr>
              <w:rPr>
                <w:rFonts w:cs="Arial"/>
                <w:sz w:val="20"/>
                <w:szCs w:val="20"/>
              </w:rPr>
            </w:pPr>
            <w:r w:rsidRPr="00E54DE0">
              <w:rPr>
                <w:rFonts w:cs="Arial"/>
                <w:sz w:val="20"/>
                <w:szCs w:val="20"/>
              </w:rPr>
              <w:t>72855</w:t>
            </w:r>
          </w:p>
        </w:tc>
        <w:tc>
          <w:tcPr>
            <w:tcW w:w="4594" w:type="dxa"/>
            <w:noWrap/>
            <w:hideMark/>
          </w:tcPr>
          <w:p w14:paraId="5C1FB43F" w14:textId="77777777" w:rsidR="00777F26" w:rsidRPr="00E54DE0" w:rsidRDefault="00777F26" w:rsidP="00E54DE0">
            <w:pPr>
              <w:rPr>
                <w:rFonts w:cs="Arial"/>
                <w:sz w:val="20"/>
                <w:szCs w:val="20"/>
              </w:rPr>
            </w:pPr>
            <w:r w:rsidRPr="00E54DE0">
              <w:rPr>
                <w:rFonts w:cs="Arial"/>
                <w:sz w:val="20"/>
                <w:szCs w:val="20"/>
              </w:rPr>
              <w:t>Intraoperative consultation and examination of biopsy material by frozen section or tissue imprint or smear - 1 separately identified specimen</w:t>
            </w:r>
          </w:p>
        </w:tc>
        <w:tc>
          <w:tcPr>
            <w:tcW w:w="1727" w:type="dxa"/>
            <w:noWrap/>
          </w:tcPr>
          <w:p w14:paraId="4752BB17"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4BE031E7" w14:textId="77777777" w:rsidR="00777F26" w:rsidRPr="00E54DE0" w:rsidRDefault="009876E7" w:rsidP="00E54DE0">
            <w:pPr>
              <w:rPr>
                <w:rFonts w:cs="Arial"/>
                <w:sz w:val="20"/>
                <w:szCs w:val="20"/>
              </w:rPr>
            </w:pPr>
            <w:r>
              <w:rPr>
                <w:rFonts w:cs="Arial"/>
                <w:sz w:val="20"/>
                <w:szCs w:val="20"/>
              </w:rPr>
              <w:t>46</w:t>
            </w:r>
          </w:p>
        </w:tc>
      </w:tr>
      <w:tr w:rsidR="00777F26" w:rsidRPr="002A3C88" w14:paraId="0BA28B6A"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2EC9A6B1" w14:textId="77777777" w:rsidR="00777F26" w:rsidRPr="00E54DE0" w:rsidRDefault="00777F26" w:rsidP="00E54DE0">
            <w:pPr>
              <w:rPr>
                <w:rFonts w:cs="Arial"/>
                <w:sz w:val="20"/>
                <w:szCs w:val="20"/>
              </w:rPr>
            </w:pPr>
            <w:r w:rsidRPr="00E54DE0">
              <w:rPr>
                <w:rFonts w:cs="Arial"/>
                <w:sz w:val="20"/>
                <w:szCs w:val="20"/>
              </w:rPr>
              <w:t>72856</w:t>
            </w:r>
          </w:p>
        </w:tc>
        <w:tc>
          <w:tcPr>
            <w:tcW w:w="4594" w:type="dxa"/>
            <w:noWrap/>
            <w:hideMark/>
          </w:tcPr>
          <w:p w14:paraId="090C9A83" w14:textId="77777777" w:rsidR="00777F26" w:rsidRPr="00E54DE0" w:rsidRDefault="00777F26" w:rsidP="00E54DE0">
            <w:pPr>
              <w:rPr>
                <w:rFonts w:cs="Arial"/>
                <w:sz w:val="20"/>
                <w:szCs w:val="20"/>
              </w:rPr>
            </w:pPr>
            <w:r w:rsidRPr="00E54DE0">
              <w:rPr>
                <w:rFonts w:cs="Arial"/>
                <w:sz w:val="20"/>
                <w:szCs w:val="20"/>
              </w:rPr>
              <w:t>Intraoperative consultation and examination of biopsy material by frozen section or tissue imprint or smear - 2 to 4 separately identified specimens</w:t>
            </w:r>
          </w:p>
        </w:tc>
        <w:tc>
          <w:tcPr>
            <w:tcW w:w="1727" w:type="dxa"/>
            <w:noWrap/>
          </w:tcPr>
          <w:p w14:paraId="43904EA2" w14:textId="77777777" w:rsidR="00777F26" w:rsidRPr="00E54DE0" w:rsidRDefault="00777F26" w:rsidP="00E54DE0">
            <w:pPr>
              <w:rPr>
                <w:rFonts w:cs="Arial"/>
                <w:sz w:val="20"/>
                <w:szCs w:val="20"/>
              </w:rPr>
            </w:pPr>
            <w:r w:rsidRPr="00E54DE0">
              <w:rPr>
                <w:rFonts w:cs="Arial"/>
                <w:sz w:val="20"/>
                <w:szCs w:val="20"/>
              </w:rPr>
              <w:t>Change/</w:t>
            </w:r>
          </w:p>
          <w:p w14:paraId="12257BCA"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430AAD2E" w14:textId="77777777" w:rsidR="00777F26" w:rsidRPr="00E54DE0" w:rsidRDefault="009876E7" w:rsidP="00E54DE0">
            <w:pPr>
              <w:rPr>
                <w:rFonts w:cs="Arial"/>
                <w:sz w:val="20"/>
                <w:szCs w:val="20"/>
              </w:rPr>
            </w:pPr>
            <w:r>
              <w:rPr>
                <w:rFonts w:cs="Arial"/>
                <w:sz w:val="20"/>
                <w:szCs w:val="20"/>
              </w:rPr>
              <w:t>46</w:t>
            </w:r>
          </w:p>
        </w:tc>
      </w:tr>
      <w:tr w:rsidR="00777F26" w:rsidRPr="002A3C88" w14:paraId="22421C33"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tcPr>
          <w:p w14:paraId="75CB22D8" w14:textId="77777777" w:rsidR="00777F26" w:rsidRPr="00E54DE0" w:rsidRDefault="00777F26" w:rsidP="00E54DE0">
            <w:pPr>
              <w:rPr>
                <w:rFonts w:cs="Arial"/>
                <w:sz w:val="20"/>
                <w:szCs w:val="20"/>
              </w:rPr>
            </w:pPr>
            <w:r w:rsidRPr="00E54DE0">
              <w:rPr>
                <w:rFonts w:cs="Arial"/>
                <w:sz w:val="20"/>
                <w:szCs w:val="20"/>
              </w:rPr>
              <w:t>72857</w:t>
            </w:r>
          </w:p>
        </w:tc>
        <w:tc>
          <w:tcPr>
            <w:tcW w:w="4594" w:type="dxa"/>
            <w:noWrap/>
          </w:tcPr>
          <w:p w14:paraId="0D04A14C" w14:textId="77777777" w:rsidR="00777F26" w:rsidRPr="00E54DE0" w:rsidRDefault="00777F26" w:rsidP="00E54DE0">
            <w:pPr>
              <w:rPr>
                <w:rFonts w:cs="Arial"/>
                <w:sz w:val="20"/>
                <w:szCs w:val="20"/>
              </w:rPr>
            </w:pPr>
            <w:r w:rsidRPr="00E54DE0">
              <w:rPr>
                <w:rFonts w:cs="Arial"/>
                <w:sz w:val="20"/>
                <w:szCs w:val="20"/>
              </w:rPr>
              <w:t>Intraoperative consultation and examination of biopsy material by frozen section or tissue imprint or smear - 5 or more separately identified specimens</w:t>
            </w:r>
          </w:p>
        </w:tc>
        <w:tc>
          <w:tcPr>
            <w:tcW w:w="1727" w:type="dxa"/>
            <w:noWrap/>
          </w:tcPr>
          <w:p w14:paraId="05AC9896" w14:textId="77777777" w:rsidR="00777F26" w:rsidRPr="00E54DE0" w:rsidRDefault="00777F26" w:rsidP="00E54DE0">
            <w:pPr>
              <w:rPr>
                <w:rFonts w:cs="Arial"/>
                <w:sz w:val="20"/>
                <w:szCs w:val="20"/>
              </w:rPr>
            </w:pPr>
            <w:r w:rsidRPr="00E54DE0">
              <w:rPr>
                <w:rFonts w:cs="Arial"/>
                <w:sz w:val="20"/>
                <w:szCs w:val="20"/>
              </w:rPr>
              <w:t>Change/</w:t>
            </w:r>
          </w:p>
          <w:p w14:paraId="496659E7" w14:textId="77777777" w:rsidR="00777F26" w:rsidRPr="00E54DE0" w:rsidRDefault="00777F26" w:rsidP="00E54DE0">
            <w:pPr>
              <w:rPr>
                <w:rFonts w:cs="Arial"/>
                <w:sz w:val="20"/>
                <w:szCs w:val="20"/>
              </w:rPr>
            </w:pPr>
            <w:r w:rsidRPr="00E54DE0">
              <w:rPr>
                <w:rFonts w:cs="Arial"/>
                <w:sz w:val="20"/>
                <w:szCs w:val="20"/>
              </w:rPr>
              <w:t>Consolidate</w:t>
            </w:r>
          </w:p>
        </w:tc>
        <w:tc>
          <w:tcPr>
            <w:tcW w:w="1788" w:type="dxa"/>
            <w:noWrap/>
          </w:tcPr>
          <w:p w14:paraId="7693E196" w14:textId="77777777" w:rsidR="00777F26" w:rsidRPr="00E54DE0" w:rsidRDefault="009876E7" w:rsidP="00E54DE0">
            <w:pPr>
              <w:rPr>
                <w:rFonts w:cs="Arial"/>
                <w:sz w:val="20"/>
                <w:szCs w:val="20"/>
              </w:rPr>
            </w:pPr>
            <w:r>
              <w:rPr>
                <w:rFonts w:cs="Arial"/>
                <w:sz w:val="20"/>
                <w:szCs w:val="20"/>
              </w:rPr>
              <w:t>46</w:t>
            </w:r>
          </w:p>
        </w:tc>
      </w:tr>
      <w:tr w:rsidR="00777F26" w:rsidRPr="002A3C88" w14:paraId="77F25220"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tcPr>
          <w:p w14:paraId="5D4088CC" w14:textId="77777777" w:rsidR="00777F26" w:rsidRPr="00E54DE0" w:rsidRDefault="00777F26" w:rsidP="00E54DE0">
            <w:pPr>
              <w:rPr>
                <w:rFonts w:cs="Arial"/>
                <w:sz w:val="20"/>
                <w:szCs w:val="20"/>
              </w:rPr>
            </w:pPr>
            <w:r w:rsidRPr="00E54DE0">
              <w:rPr>
                <w:rFonts w:cs="Arial"/>
                <w:sz w:val="20"/>
                <w:szCs w:val="20"/>
              </w:rPr>
              <w:t>72858</w:t>
            </w:r>
          </w:p>
        </w:tc>
        <w:tc>
          <w:tcPr>
            <w:tcW w:w="4594" w:type="dxa"/>
            <w:noWrap/>
          </w:tcPr>
          <w:p w14:paraId="0FCCE3C3" w14:textId="77777777" w:rsidR="00777F26" w:rsidRPr="00E54DE0" w:rsidRDefault="00777F26" w:rsidP="00E54DE0">
            <w:pPr>
              <w:rPr>
                <w:rFonts w:cs="Arial"/>
                <w:sz w:val="20"/>
                <w:szCs w:val="20"/>
              </w:rPr>
            </w:pPr>
            <w:r w:rsidRPr="00E54DE0">
              <w:rPr>
                <w:rFonts w:cs="Arial"/>
                <w:sz w:val="20"/>
                <w:szCs w:val="20"/>
              </w:rPr>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1727" w:type="dxa"/>
            <w:noWrap/>
          </w:tcPr>
          <w:p w14:paraId="424A67A9"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3B77A499" w14:textId="77777777" w:rsidR="00777F26" w:rsidRPr="00E54DE0" w:rsidRDefault="009876E7" w:rsidP="00E54DE0">
            <w:pPr>
              <w:rPr>
                <w:rFonts w:cs="Arial"/>
                <w:sz w:val="20"/>
                <w:szCs w:val="20"/>
              </w:rPr>
            </w:pPr>
            <w:r>
              <w:rPr>
                <w:rFonts w:cs="Arial"/>
                <w:sz w:val="20"/>
                <w:szCs w:val="20"/>
              </w:rPr>
              <w:t>48</w:t>
            </w:r>
          </w:p>
        </w:tc>
      </w:tr>
      <w:tr w:rsidR="00777F26" w:rsidRPr="002A3C88" w14:paraId="68561FFE"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907" w:type="dxa"/>
            <w:noWrap/>
            <w:hideMark/>
          </w:tcPr>
          <w:p w14:paraId="26459FF2" w14:textId="77777777" w:rsidR="00777F26" w:rsidRPr="00E54DE0" w:rsidRDefault="00777F26" w:rsidP="00E54DE0">
            <w:pPr>
              <w:rPr>
                <w:rFonts w:cs="Arial"/>
                <w:sz w:val="20"/>
                <w:szCs w:val="20"/>
              </w:rPr>
            </w:pPr>
            <w:r w:rsidRPr="00E54DE0">
              <w:rPr>
                <w:rFonts w:cs="Arial"/>
                <w:sz w:val="20"/>
                <w:szCs w:val="20"/>
              </w:rPr>
              <w:t xml:space="preserve">72859 </w:t>
            </w:r>
          </w:p>
        </w:tc>
        <w:tc>
          <w:tcPr>
            <w:tcW w:w="4594" w:type="dxa"/>
            <w:noWrap/>
          </w:tcPr>
          <w:p w14:paraId="5815C661" w14:textId="77777777" w:rsidR="00777F26" w:rsidRPr="00E54DE0" w:rsidRDefault="00777F26" w:rsidP="00E54DE0">
            <w:pPr>
              <w:rPr>
                <w:rFonts w:cs="Arial"/>
                <w:sz w:val="20"/>
                <w:szCs w:val="20"/>
              </w:rPr>
            </w:pPr>
            <w:r w:rsidRPr="00E54DE0">
              <w:rPr>
                <w:rFonts w:cs="Arial"/>
                <w:sz w:val="20"/>
                <w:szCs w:val="20"/>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1727" w:type="dxa"/>
            <w:noWrap/>
          </w:tcPr>
          <w:p w14:paraId="56684B4F" w14:textId="77777777" w:rsidR="00777F26" w:rsidRPr="00E54DE0" w:rsidRDefault="00777F26" w:rsidP="00E54DE0">
            <w:pPr>
              <w:rPr>
                <w:rFonts w:cs="Arial"/>
                <w:sz w:val="20"/>
                <w:szCs w:val="20"/>
              </w:rPr>
            </w:pPr>
            <w:r w:rsidRPr="00E54DE0">
              <w:rPr>
                <w:rFonts w:cs="Arial"/>
                <w:sz w:val="20"/>
                <w:szCs w:val="20"/>
              </w:rPr>
              <w:t>Change</w:t>
            </w:r>
          </w:p>
        </w:tc>
        <w:tc>
          <w:tcPr>
            <w:tcW w:w="1788" w:type="dxa"/>
            <w:noWrap/>
          </w:tcPr>
          <w:p w14:paraId="7A1DE7E4" w14:textId="77777777" w:rsidR="00777F26" w:rsidRPr="00E54DE0" w:rsidRDefault="009876E7" w:rsidP="00E54DE0">
            <w:pPr>
              <w:rPr>
                <w:rFonts w:cs="Arial"/>
                <w:sz w:val="20"/>
                <w:szCs w:val="20"/>
              </w:rPr>
            </w:pPr>
            <w:r>
              <w:rPr>
                <w:rFonts w:cs="Arial"/>
                <w:sz w:val="20"/>
                <w:szCs w:val="20"/>
              </w:rPr>
              <w:t>48</w:t>
            </w:r>
          </w:p>
        </w:tc>
      </w:tr>
    </w:tbl>
    <w:p w14:paraId="4B165161" w14:textId="77777777" w:rsidR="00645F9A" w:rsidRDefault="00645F9A">
      <w:pPr>
        <w:spacing w:before="0" w:after="0"/>
        <w:rPr>
          <w:b/>
          <w:i/>
        </w:rPr>
      </w:pPr>
      <w:r>
        <w:rPr>
          <w:b/>
          <w:i/>
        </w:rPr>
        <w:br w:type="page"/>
      </w:r>
    </w:p>
    <w:p w14:paraId="323CC49D" w14:textId="77777777" w:rsidR="00645F9A" w:rsidRPr="00C92803" w:rsidRDefault="00645F9A" w:rsidP="00D42CED">
      <w:pPr>
        <w:pStyle w:val="Caption"/>
        <w:rPr>
          <w:b w:val="0"/>
        </w:rPr>
      </w:pPr>
      <w:bookmarkStart w:id="103" w:name="_Toc482213848"/>
      <w:r>
        <w:lastRenderedPageBreak/>
        <w:t xml:space="preserve">Table </w:t>
      </w:r>
      <w:r w:rsidR="009876E7">
        <w:t>21</w:t>
      </w:r>
      <w:r>
        <w:t xml:space="preserve">. </w:t>
      </w:r>
      <w:r w:rsidRPr="00B335FB">
        <w:t>Cytopathology items</w:t>
      </w:r>
      <w:bookmarkEnd w:id="103"/>
      <w:r w:rsidR="008B0239">
        <w:t xml:space="preserve"> recommendations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884"/>
        <w:gridCol w:w="4452"/>
        <w:gridCol w:w="1943"/>
        <w:gridCol w:w="1737"/>
      </w:tblGrid>
      <w:tr w:rsidR="00777F26" w:rsidRPr="00C92803" w14:paraId="44F14AD6" w14:textId="77777777" w:rsidTr="00DF7C6A">
        <w:trPr>
          <w:trHeight w:val="182"/>
          <w:tblHeader/>
        </w:trPr>
        <w:tc>
          <w:tcPr>
            <w:tcW w:w="884" w:type="dxa"/>
            <w:shd w:val="clear" w:color="auto" w:fill="F2F2F2" w:themeFill="background1" w:themeFillShade="F2"/>
            <w:tcMar>
              <w:top w:w="57" w:type="dxa"/>
              <w:left w:w="57" w:type="dxa"/>
              <w:bottom w:w="57" w:type="dxa"/>
            </w:tcMar>
            <w:vAlign w:val="bottom"/>
          </w:tcPr>
          <w:p w14:paraId="604F94B9" w14:textId="77777777" w:rsidR="00777F26" w:rsidRPr="00E54DE0" w:rsidRDefault="00777F26" w:rsidP="00E54DE0">
            <w:pPr>
              <w:spacing w:before="20" w:after="20"/>
              <w:rPr>
                <w:rFonts w:cs="Arial"/>
                <w:b/>
                <w:sz w:val="20"/>
                <w:szCs w:val="20"/>
              </w:rPr>
            </w:pPr>
            <w:r w:rsidRPr="00E54DE0">
              <w:rPr>
                <w:rFonts w:cs="Arial"/>
                <w:b/>
                <w:sz w:val="20"/>
                <w:szCs w:val="20"/>
              </w:rPr>
              <w:t>Item</w:t>
            </w:r>
          </w:p>
        </w:tc>
        <w:tc>
          <w:tcPr>
            <w:tcW w:w="4452" w:type="dxa"/>
            <w:shd w:val="clear" w:color="auto" w:fill="F2F2F2" w:themeFill="background1" w:themeFillShade="F2"/>
            <w:tcMar>
              <w:top w:w="57" w:type="dxa"/>
              <w:left w:w="57" w:type="dxa"/>
              <w:bottom w:w="57" w:type="dxa"/>
            </w:tcMar>
            <w:vAlign w:val="bottom"/>
          </w:tcPr>
          <w:p w14:paraId="6809674E" w14:textId="77777777" w:rsidR="00777F26" w:rsidRPr="00E54DE0" w:rsidRDefault="00777F26" w:rsidP="00E54DE0">
            <w:pPr>
              <w:spacing w:before="20" w:after="20"/>
              <w:rPr>
                <w:rFonts w:cs="Arial"/>
                <w:b/>
                <w:sz w:val="20"/>
                <w:szCs w:val="20"/>
              </w:rPr>
            </w:pPr>
            <w:r w:rsidRPr="00E54DE0">
              <w:rPr>
                <w:rFonts w:cs="Arial"/>
                <w:b/>
                <w:sz w:val="20"/>
                <w:szCs w:val="20"/>
              </w:rPr>
              <w:t>Current descriptor</w:t>
            </w:r>
          </w:p>
        </w:tc>
        <w:tc>
          <w:tcPr>
            <w:tcW w:w="1943" w:type="dxa"/>
            <w:shd w:val="clear" w:color="auto" w:fill="F2F2F2" w:themeFill="background1" w:themeFillShade="F2"/>
            <w:tcMar>
              <w:top w:w="57" w:type="dxa"/>
              <w:left w:w="57" w:type="dxa"/>
              <w:bottom w:w="57" w:type="dxa"/>
            </w:tcMar>
            <w:vAlign w:val="bottom"/>
          </w:tcPr>
          <w:p w14:paraId="4BCCFCF8" w14:textId="77777777" w:rsidR="00777F26" w:rsidRPr="00E54DE0" w:rsidRDefault="00777F26" w:rsidP="00E54DE0">
            <w:pPr>
              <w:spacing w:before="20" w:after="20"/>
              <w:rPr>
                <w:rFonts w:cs="Arial"/>
                <w:b/>
                <w:sz w:val="20"/>
                <w:szCs w:val="20"/>
              </w:rPr>
            </w:pPr>
            <w:r w:rsidRPr="00E54DE0">
              <w:rPr>
                <w:rFonts w:cs="Arial"/>
                <w:b/>
                <w:sz w:val="20"/>
                <w:szCs w:val="20"/>
              </w:rPr>
              <w:t>Recommendation</w:t>
            </w:r>
          </w:p>
        </w:tc>
        <w:tc>
          <w:tcPr>
            <w:tcW w:w="1737" w:type="dxa"/>
            <w:shd w:val="clear" w:color="auto" w:fill="F2F2F2" w:themeFill="background1" w:themeFillShade="F2"/>
            <w:tcMar>
              <w:top w:w="57" w:type="dxa"/>
              <w:left w:w="57" w:type="dxa"/>
              <w:bottom w:w="57" w:type="dxa"/>
            </w:tcMar>
            <w:vAlign w:val="bottom"/>
          </w:tcPr>
          <w:p w14:paraId="12118393" w14:textId="77777777" w:rsidR="00777F26" w:rsidRPr="00E54DE0" w:rsidRDefault="00777F26" w:rsidP="00E54DE0">
            <w:pPr>
              <w:spacing w:before="20" w:after="20"/>
              <w:rPr>
                <w:rFonts w:cs="Arial"/>
                <w:b/>
                <w:sz w:val="20"/>
                <w:szCs w:val="20"/>
              </w:rPr>
            </w:pPr>
            <w:r w:rsidRPr="00E54DE0">
              <w:rPr>
                <w:rFonts w:cs="Arial"/>
                <w:b/>
                <w:sz w:val="20"/>
                <w:szCs w:val="20"/>
              </w:rPr>
              <w:t>Page reference</w:t>
            </w:r>
          </w:p>
        </w:tc>
      </w:tr>
      <w:tr w:rsidR="00777F26" w:rsidRPr="00136E9D" w14:paraId="098DD6FF"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77D0C290" w14:textId="77777777" w:rsidR="00777F26" w:rsidRPr="00E54DE0" w:rsidRDefault="00777F26" w:rsidP="00E54DE0">
            <w:pPr>
              <w:rPr>
                <w:rFonts w:cs="Arial"/>
                <w:sz w:val="20"/>
                <w:szCs w:val="20"/>
              </w:rPr>
            </w:pPr>
            <w:r w:rsidRPr="00E54DE0">
              <w:rPr>
                <w:rFonts w:cs="Arial"/>
                <w:sz w:val="20"/>
                <w:szCs w:val="20"/>
              </w:rPr>
              <w:t xml:space="preserve">73043 </w:t>
            </w:r>
          </w:p>
        </w:tc>
        <w:tc>
          <w:tcPr>
            <w:tcW w:w="4452" w:type="dxa"/>
            <w:noWrap/>
            <w:hideMark/>
          </w:tcPr>
          <w:p w14:paraId="1EC511D0" w14:textId="77777777" w:rsidR="00777F26" w:rsidRPr="00E54DE0" w:rsidRDefault="00777F26" w:rsidP="00DF7C6A">
            <w:pPr>
              <w:rPr>
                <w:rFonts w:cs="Arial"/>
                <w:sz w:val="20"/>
                <w:szCs w:val="20"/>
              </w:rPr>
            </w:pPr>
            <w:r w:rsidRPr="00E54DE0">
              <w:rPr>
                <w:rFonts w:cs="Arial"/>
                <w:sz w:val="20"/>
                <w:szCs w:val="20"/>
              </w:rPr>
              <w:t xml:space="preserve">Cytology (including serial examinations) of nipple discharge or smears from skin, lip, mouth, nose or anus for detection of precancerous or cancerous </w:t>
            </w:r>
            <w:proofErr w:type="gramStart"/>
            <w:r w:rsidRPr="00E54DE0">
              <w:rPr>
                <w:rFonts w:cs="Arial"/>
                <w:sz w:val="20"/>
                <w:szCs w:val="20"/>
              </w:rPr>
              <w:t>changes  1</w:t>
            </w:r>
            <w:proofErr w:type="gramEnd"/>
            <w:r w:rsidRPr="00E54DE0">
              <w:rPr>
                <w:rFonts w:cs="Arial"/>
                <w:sz w:val="20"/>
                <w:szCs w:val="20"/>
              </w:rPr>
              <w:t xml:space="preserve"> or more tests</w:t>
            </w:r>
          </w:p>
        </w:tc>
        <w:tc>
          <w:tcPr>
            <w:tcW w:w="1943" w:type="dxa"/>
            <w:noWrap/>
          </w:tcPr>
          <w:p w14:paraId="09492A03"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56DD7993" w14:textId="77777777" w:rsidR="00777F26" w:rsidRPr="00E54DE0" w:rsidRDefault="009876E7" w:rsidP="00E54DE0">
            <w:pPr>
              <w:rPr>
                <w:rFonts w:cs="Arial"/>
                <w:sz w:val="20"/>
                <w:szCs w:val="20"/>
              </w:rPr>
            </w:pPr>
            <w:r>
              <w:rPr>
                <w:rFonts w:cs="Arial"/>
                <w:sz w:val="20"/>
                <w:szCs w:val="20"/>
              </w:rPr>
              <w:t>34</w:t>
            </w:r>
          </w:p>
        </w:tc>
      </w:tr>
      <w:tr w:rsidR="00777F26" w:rsidRPr="00136E9D" w14:paraId="3141E547"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217D98E7" w14:textId="77777777" w:rsidR="00777F26" w:rsidRPr="00E54DE0" w:rsidRDefault="00777F26" w:rsidP="00E54DE0">
            <w:pPr>
              <w:rPr>
                <w:rFonts w:cs="Arial"/>
                <w:sz w:val="20"/>
                <w:szCs w:val="20"/>
              </w:rPr>
            </w:pPr>
            <w:r w:rsidRPr="00E54DE0">
              <w:rPr>
                <w:rFonts w:cs="Arial"/>
                <w:sz w:val="20"/>
                <w:szCs w:val="20"/>
              </w:rPr>
              <w:t>73045</w:t>
            </w:r>
          </w:p>
        </w:tc>
        <w:tc>
          <w:tcPr>
            <w:tcW w:w="4452" w:type="dxa"/>
            <w:noWrap/>
            <w:hideMark/>
          </w:tcPr>
          <w:p w14:paraId="6A5FAC75" w14:textId="77777777" w:rsidR="00777F26" w:rsidRPr="00E54DE0" w:rsidRDefault="00777F26" w:rsidP="00E54DE0">
            <w:pPr>
              <w:rPr>
                <w:rFonts w:cs="Arial"/>
                <w:sz w:val="20"/>
                <w:szCs w:val="20"/>
              </w:rPr>
            </w:pPr>
            <w:r w:rsidRPr="00E54DE0">
              <w:rPr>
                <w:rFonts w:cs="Arial"/>
                <w:sz w:val="20"/>
                <w:szCs w:val="20"/>
              </w:rPr>
              <w:t xml:space="preserve">Cytology (including serial examinations) for malignancy (other than an examination mentioned in item 73053); and including any Group P5 service, if performed on: </w:t>
            </w:r>
          </w:p>
          <w:p w14:paraId="7367FCD6" w14:textId="77777777" w:rsidR="00777F26" w:rsidRPr="00E54DE0" w:rsidRDefault="00777F26" w:rsidP="00E54DE0">
            <w:pPr>
              <w:rPr>
                <w:rFonts w:cs="Arial"/>
                <w:sz w:val="20"/>
                <w:szCs w:val="20"/>
              </w:rPr>
            </w:pPr>
            <w:r w:rsidRPr="00E54DE0">
              <w:rPr>
                <w:rFonts w:cs="Arial"/>
                <w:sz w:val="20"/>
                <w:szCs w:val="20"/>
              </w:rPr>
              <w:t xml:space="preserve">(a)    specimens resulting from washings or brushings from sites not specified in item 73043; or </w:t>
            </w:r>
          </w:p>
          <w:p w14:paraId="775B9300" w14:textId="77777777" w:rsidR="00777F26" w:rsidRPr="00E54DE0" w:rsidRDefault="00777F26" w:rsidP="00E54DE0">
            <w:pPr>
              <w:rPr>
                <w:rFonts w:cs="Arial"/>
                <w:sz w:val="20"/>
                <w:szCs w:val="20"/>
              </w:rPr>
            </w:pPr>
            <w:r w:rsidRPr="00E54DE0">
              <w:rPr>
                <w:rFonts w:cs="Arial"/>
                <w:sz w:val="20"/>
                <w:szCs w:val="20"/>
              </w:rPr>
              <w:t xml:space="preserve">(b)    a single specimen of sputum or urine; or </w:t>
            </w:r>
          </w:p>
          <w:p w14:paraId="0F23718C" w14:textId="77777777" w:rsidR="00777F26" w:rsidRPr="00E54DE0" w:rsidRDefault="00777F26" w:rsidP="00E54DE0">
            <w:pPr>
              <w:rPr>
                <w:rFonts w:cs="Arial"/>
                <w:sz w:val="20"/>
                <w:szCs w:val="20"/>
              </w:rPr>
            </w:pPr>
            <w:r w:rsidRPr="00E54DE0">
              <w:rPr>
                <w:rFonts w:cs="Arial"/>
                <w:sz w:val="20"/>
                <w:szCs w:val="20"/>
              </w:rPr>
              <w:t xml:space="preserve">(c)    1 or more specimens of other body </w:t>
            </w:r>
            <w:proofErr w:type="gramStart"/>
            <w:r w:rsidRPr="00E54DE0">
              <w:rPr>
                <w:rFonts w:cs="Arial"/>
                <w:sz w:val="20"/>
                <w:szCs w:val="20"/>
              </w:rPr>
              <w:t>fluids;</w:t>
            </w:r>
            <w:proofErr w:type="gramEnd"/>
            <w:r w:rsidRPr="00E54DE0">
              <w:rPr>
                <w:rFonts w:cs="Arial"/>
                <w:sz w:val="20"/>
                <w:szCs w:val="20"/>
              </w:rPr>
              <w:t xml:space="preserve"> </w:t>
            </w:r>
          </w:p>
          <w:p w14:paraId="5DC7B5CA" w14:textId="77777777" w:rsidR="00777F26" w:rsidRPr="00E54DE0" w:rsidRDefault="00777F26" w:rsidP="00E54DE0">
            <w:pPr>
              <w:rPr>
                <w:rFonts w:cs="Arial"/>
                <w:sz w:val="20"/>
                <w:szCs w:val="20"/>
              </w:rPr>
            </w:pPr>
            <w:r w:rsidRPr="00E54DE0">
              <w:rPr>
                <w:rFonts w:cs="Arial"/>
                <w:sz w:val="20"/>
                <w:szCs w:val="20"/>
              </w:rPr>
              <w:t>1 or more test</w:t>
            </w:r>
          </w:p>
        </w:tc>
        <w:tc>
          <w:tcPr>
            <w:tcW w:w="1943" w:type="dxa"/>
            <w:noWrap/>
          </w:tcPr>
          <w:p w14:paraId="5195ED7C"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7FC4857C" w14:textId="77777777" w:rsidR="00777F26" w:rsidRPr="00E54DE0" w:rsidRDefault="009876E7" w:rsidP="00E54DE0">
            <w:pPr>
              <w:rPr>
                <w:rFonts w:cs="Arial"/>
                <w:sz w:val="20"/>
                <w:szCs w:val="20"/>
              </w:rPr>
            </w:pPr>
            <w:r>
              <w:rPr>
                <w:rFonts w:cs="Arial"/>
                <w:sz w:val="20"/>
                <w:szCs w:val="20"/>
              </w:rPr>
              <w:t>34</w:t>
            </w:r>
          </w:p>
        </w:tc>
      </w:tr>
      <w:tr w:rsidR="00777F26" w:rsidRPr="00136E9D" w14:paraId="7C056735"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480598C1" w14:textId="77777777" w:rsidR="00777F26" w:rsidRPr="00E54DE0" w:rsidRDefault="00777F26" w:rsidP="00E54DE0">
            <w:pPr>
              <w:rPr>
                <w:rFonts w:cs="Arial"/>
                <w:sz w:val="20"/>
                <w:szCs w:val="20"/>
              </w:rPr>
            </w:pPr>
            <w:r w:rsidRPr="00E54DE0">
              <w:rPr>
                <w:rFonts w:cs="Arial"/>
                <w:sz w:val="20"/>
                <w:szCs w:val="20"/>
              </w:rPr>
              <w:t>73047</w:t>
            </w:r>
          </w:p>
        </w:tc>
        <w:tc>
          <w:tcPr>
            <w:tcW w:w="4452" w:type="dxa"/>
            <w:noWrap/>
            <w:hideMark/>
          </w:tcPr>
          <w:p w14:paraId="19C1F44A" w14:textId="77777777" w:rsidR="00777F26" w:rsidRPr="00E54DE0" w:rsidRDefault="00777F26" w:rsidP="00DF7C6A">
            <w:pPr>
              <w:rPr>
                <w:rFonts w:cs="Arial"/>
                <w:sz w:val="20"/>
                <w:szCs w:val="20"/>
              </w:rPr>
            </w:pPr>
            <w:r w:rsidRPr="00E54DE0">
              <w:rPr>
                <w:rFonts w:cs="Arial"/>
                <w:sz w:val="20"/>
                <w:szCs w:val="20"/>
              </w:rPr>
              <w:t>Cytology of a series of 3 sputum or urine specimens for malignant cells</w:t>
            </w:r>
          </w:p>
        </w:tc>
        <w:tc>
          <w:tcPr>
            <w:tcW w:w="1943" w:type="dxa"/>
            <w:noWrap/>
          </w:tcPr>
          <w:p w14:paraId="40C57BFF"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7332B98E" w14:textId="77777777" w:rsidR="00777F26" w:rsidRPr="00E54DE0" w:rsidRDefault="009876E7" w:rsidP="00E54DE0">
            <w:pPr>
              <w:rPr>
                <w:rFonts w:cs="Arial"/>
                <w:sz w:val="20"/>
                <w:szCs w:val="20"/>
              </w:rPr>
            </w:pPr>
            <w:r>
              <w:rPr>
                <w:rFonts w:cs="Arial"/>
                <w:sz w:val="20"/>
                <w:szCs w:val="20"/>
              </w:rPr>
              <w:t>34</w:t>
            </w:r>
          </w:p>
        </w:tc>
      </w:tr>
      <w:tr w:rsidR="00777F26" w:rsidRPr="00136E9D" w14:paraId="5689206B"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7655485F" w14:textId="77777777" w:rsidR="00777F26" w:rsidRPr="00E54DE0" w:rsidRDefault="00777F26" w:rsidP="00E54DE0">
            <w:pPr>
              <w:rPr>
                <w:rFonts w:cs="Arial"/>
                <w:sz w:val="20"/>
                <w:szCs w:val="20"/>
              </w:rPr>
            </w:pPr>
            <w:r w:rsidRPr="00E54DE0">
              <w:rPr>
                <w:rFonts w:cs="Arial"/>
                <w:sz w:val="20"/>
                <w:szCs w:val="20"/>
              </w:rPr>
              <w:t>73049</w:t>
            </w:r>
          </w:p>
        </w:tc>
        <w:tc>
          <w:tcPr>
            <w:tcW w:w="4452" w:type="dxa"/>
            <w:noWrap/>
            <w:hideMark/>
          </w:tcPr>
          <w:p w14:paraId="40C668E9" w14:textId="77777777" w:rsidR="00777F26" w:rsidRPr="00E54DE0" w:rsidRDefault="00777F26" w:rsidP="00DF7C6A">
            <w:pPr>
              <w:rPr>
                <w:rFonts w:cs="Arial"/>
                <w:sz w:val="20"/>
                <w:szCs w:val="20"/>
              </w:rPr>
            </w:pPr>
            <w:r w:rsidRPr="00E54DE0">
              <w:rPr>
                <w:rFonts w:cs="Arial"/>
                <w:sz w:val="20"/>
                <w:szCs w:val="20"/>
              </w:rPr>
              <w:t>Cytology of material obtained directly from a patient by fine needle aspiration of solid tissue or tissues - 1 identified site</w:t>
            </w:r>
          </w:p>
        </w:tc>
        <w:tc>
          <w:tcPr>
            <w:tcW w:w="1943" w:type="dxa"/>
            <w:noWrap/>
          </w:tcPr>
          <w:p w14:paraId="16B38AFD"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00E7C54F" w14:textId="77777777" w:rsidR="00777F26" w:rsidRPr="00E54DE0" w:rsidRDefault="009876E7" w:rsidP="00E54DE0">
            <w:pPr>
              <w:rPr>
                <w:rFonts w:cs="Arial"/>
                <w:sz w:val="20"/>
                <w:szCs w:val="20"/>
              </w:rPr>
            </w:pPr>
            <w:r>
              <w:rPr>
                <w:rFonts w:cs="Arial"/>
                <w:sz w:val="20"/>
                <w:szCs w:val="20"/>
              </w:rPr>
              <w:t>34</w:t>
            </w:r>
          </w:p>
        </w:tc>
      </w:tr>
      <w:tr w:rsidR="00777F26" w:rsidRPr="00136E9D" w14:paraId="59799066"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65AD95F7" w14:textId="77777777" w:rsidR="00777F26" w:rsidRPr="00E54DE0" w:rsidRDefault="00777F26" w:rsidP="00E54DE0">
            <w:pPr>
              <w:rPr>
                <w:rFonts w:cs="Arial"/>
                <w:sz w:val="20"/>
                <w:szCs w:val="20"/>
              </w:rPr>
            </w:pPr>
            <w:r w:rsidRPr="00E54DE0">
              <w:rPr>
                <w:rFonts w:cs="Arial"/>
                <w:sz w:val="20"/>
                <w:szCs w:val="20"/>
              </w:rPr>
              <w:t>73051</w:t>
            </w:r>
          </w:p>
        </w:tc>
        <w:tc>
          <w:tcPr>
            <w:tcW w:w="4452" w:type="dxa"/>
            <w:noWrap/>
            <w:hideMark/>
          </w:tcPr>
          <w:p w14:paraId="4F5F1C04" w14:textId="77777777" w:rsidR="00777F26" w:rsidRPr="00E54DE0" w:rsidRDefault="00777F26" w:rsidP="00DF7C6A">
            <w:pPr>
              <w:rPr>
                <w:rFonts w:cs="Arial"/>
                <w:sz w:val="20"/>
                <w:szCs w:val="20"/>
              </w:rPr>
            </w:pPr>
            <w:r w:rsidRPr="00E54DE0">
              <w:rPr>
                <w:rFonts w:cs="Arial"/>
                <w:sz w:val="20"/>
                <w:szCs w:val="20"/>
              </w:rPr>
              <w:t xml:space="preserve">Cytology of material obtained directly from a patient at one identified site by fine needle aspiration of solid tissue or tissues if a recognized pathologist: </w:t>
            </w:r>
          </w:p>
          <w:p w14:paraId="0EC2A5E4" w14:textId="77777777" w:rsidR="00777F26" w:rsidRPr="00E54DE0" w:rsidRDefault="00777F26" w:rsidP="00DF7C6A">
            <w:pPr>
              <w:rPr>
                <w:rFonts w:cs="Arial"/>
                <w:sz w:val="20"/>
                <w:szCs w:val="20"/>
              </w:rPr>
            </w:pPr>
            <w:r w:rsidRPr="00E54DE0">
              <w:rPr>
                <w:rFonts w:cs="Arial"/>
                <w:sz w:val="20"/>
                <w:szCs w:val="20"/>
              </w:rPr>
              <w:t xml:space="preserve">(a)    performs the aspiration; or </w:t>
            </w:r>
          </w:p>
          <w:p w14:paraId="5C62C689" w14:textId="77777777" w:rsidR="00777F26" w:rsidRPr="00E54DE0" w:rsidRDefault="00777F26" w:rsidP="00DF7C6A">
            <w:pPr>
              <w:rPr>
                <w:rFonts w:cs="Arial"/>
                <w:sz w:val="20"/>
                <w:szCs w:val="20"/>
              </w:rPr>
            </w:pPr>
            <w:r w:rsidRPr="00E54DE0">
              <w:rPr>
                <w:rFonts w:cs="Arial"/>
                <w:sz w:val="20"/>
                <w:szCs w:val="20"/>
              </w:rPr>
              <w:t>(b)    attends the aspiration and performs cytological examination during the attendance</w:t>
            </w:r>
          </w:p>
        </w:tc>
        <w:tc>
          <w:tcPr>
            <w:tcW w:w="1943" w:type="dxa"/>
            <w:noWrap/>
          </w:tcPr>
          <w:p w14:paraId="54676423"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1D7981E9" w14:textId="77777777" w:rsidR="00777F26" w:rsidRPr="00E54DE0" w:rsidRDefault="009876E7" w:rsidP="00E54DE0">
            <w:pPr>
              <w:rPr>
                <w:rFonts w:cs="Arial"/>
                <w:sz w:val="20"/>
                <w:szCs w:val="20"/>
              </w:rPr>
            </w:pPr>
            <w:r>
              <w:rPr>
                <w:rFonts w:cs="Arial"/>
                <w:sz w:val="20"/>
                <w:szCs w:val="20"/>
              </w:rPr>
              <w:t>34</w:t>
            </w:r>
          </w:p>
        </w:tc>
      </w:tr>
      <w:tr w:rsidR="00777F26" w:rsidRPr="00136E9D" w14:paraId="4FF5B1E7"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27A58135" w14:textId="77777777" w:rsidR="00777F26" w:rsidRPr="00E54DE0" w:rsidRDefault="00777F26" w:rsidP="00E54DE0">
            <w:pPr>
              <w:rPr>
                <w:rFonts w:cs="Arial"/>
                <w:sz w:val="20"/>
                <w:szCs w:val="20"/>
              </w:rPr>
            </w:pPr>
            <w:r w:rsidRPr="00E54DE0">
              <w:rPr>
                <w:rFonts w:cs="Arial"/>
                <w:sz w:val="20"/>
                <w:szCs w:val="20"/>
              </w:rPr>
              <w:t>73053</w:t>
            </w:r>
          </w:p>
        </w:tc>
        <w:tc>
          <w:tcPr>
            <w:tcW w:w="4452" w:type="dxa"/>
            <w:noWrap/>
            <w:hideMark/>
          </w:tcPr>
          <w:p w14:paraId="135A942A" w14:textId="77777777" w:rsidR="00777F26" w:rsidRPr="00E54DE0" w:rsidRDefault="00777F26" w:rsidP="00DF7C6A">
            <w:pPr>
              <w:rPr>
                <w:rFonts w:cs="Arial"/>
                <w:sz w:val="20"/>
                <w:szCs w:val="20"/>
              </w:rPr>
            </w:pPr>
            <w:r w:rsidRPr="00E54DE0">
              <w:rPr>
                <w:rFonts w:cs="Arial"/>
                <w:sz w:val="20"/>
                <w:szCs w:val="20"/>
              </w:rPr>
              <w:t xml:space="preserve">Cytology of a smear from cervix where the smear is prepared by direct application of the specimen to a slide, excluding the use of liquid based slide preparation techniques, and the stained smear is microscopically examined by or on behalf of a pathologist - each examination </w:t>
            </w:r>
          </w:p>
          <w:p w14:paraId="14F2D4CB" w14:textId="77777777" w:rsidR="00777F26" w:rsidRPr="00E54DE0" w:rsidRDefault="00777F26" w:rsidP="00DF7C6A">
            <w:pPr>
              <w:rPr>
                <w:rFonts w:cs="Arial"/>
                <w:sz w:val="20"/>
                <w:szCs w:val="20"/>
              </w:rPr>
            </w:pPr>
            <w:r w:rsidRPr="00E54DE0">
              <w:rPr>
                <w:rFonts w:cs="Arial"/>
                <w:sz w:val="20"/>
                <w:szCs w:val="20"/>
              </w:rPr>
              <w:t xml:space="preserve">(a)        for the detection of precancerous or cancerous changes in women with no symptoms, signs or recent history suggestive of cervical neoplasia, or </w:t>
            </w:r>
          </w:p>
          <w:p w14:paraId="42DA38CD" w14:textId="77777777" w:rsidR="00777F26" w:rsidRPr="00E54DE0" w:rsidRDefault="00777F26" w:rsidP="00DF7C6A">
            <w:pPr>
              <w:rPr>
                <w:rFonts w:cs="Arial"/>
                <w:sz w:val="20"/>
                <w:szCs w:val="20"/>
              </w:rPr>
            </w:pPr>
            <w:r w:rsidRPr="00E54DE0">
              <w:rPr>
                <w:rFonts w:cs="Arial"/>
                <w:sz w:val="20"/>
                <w:szCs w:val="20"/>
              </w:rPr>
              <w:t xml:space="preserve">(b)        if a further specimen is taken due to an unsatisfactory smear taken for the purposes of paragraph (a); or </w:t>
            </w:r>
          </w:p>
          <w:p w14:paraId="48C1EE22" w14:textId="77777777" w:rsidR="00777F26" w:rsidRPr="00E54DE0" w:rsidRDefault="00777F26" w:rsidP="00DF7C6A">
            <w:pPr>
              <w:rPr>
                <w:rFonts w:cs="Arial"/>
                <w:sz w:val="20"/>
                <w:szCs w:val="20"/>
              </w:rPr>
            </w:pPr>
            <w:r w:rsidRPr="00E54DE0">
              <w:rPr>
                <w:rFonts w:cs="Arial"/>
                <w:sz w:val="20"/>
                <w:szCs w:val="20"/>
              </w:rPr>
              <w:t>(c)        if there is inadequate information provided to use item 73055;</w:t>
            </w:r>
          </w:p>
        </w:tc>
        <w:tc>
          <w:tcPr>
            <w:tcW w:w="1943" w:type="dxa"/>
            <w:noWrap/>
          </w:tcPr>
          <w:p w14:paraId="52D96A23" w14:textId="77777777" w:rsidR="00777F26" w:rsidRPr="00E54DE0" w:rsidRDefault="00777F26" w:rsidP="00E54DE0">
            <w:pPr>
              <w:rPr>
                <w:rFonts w:cs="Arial"/>
                <w:sz w:val="20"/>
                <w:szCs w:val="20"/>
              </w:rPr>
            </w:pPr>
            <w:r w:rsidRPr="00E54DE0">
              <w:rPr>
                <w:rFonts w:cs="Arial"/>
                <w:sz w:val="20"/>
                <w:szCs w:val="20"/>
              </w:rPr>
              <w:t xml:space="preserve">No recommendation </w:t>
            </w:r>
          </w:p>
          <w:p w14:paraId="79C9AE1B" w14:textId="77777777" w:rsidR="00777F26" w:rsidRPr="00E54DE0" w:rsidRDefault="00777F26" w:rsidP="00E54DE0">
            <w:pPr>
              <w:rPr>
                <w:rFonts w:cs="Arial"/>
                <w:sz w:val="20"/>
                <w:szCs w:val="20"/>
              </w:rPr>
            </w:pPr>
            <w:r w:rsidRPr="00E54DE0">
              <w:rPr>
                <w:rFonts w:cs="Arial"/>
                <w:sz w:val="20"/>
                <w:szCs w:val="20"/>
              </w:rPr>
              <w:t>(New items for National Cervical Screening Program)</w:t>
            </w:r>
          </w:p>
        </w:tc>
        <w:tc>
          <w:tcPr>
            <w:tcW w:w="1737" w:type="dxa"/>
            <w:noWrap/>
          </w:tcPr>
          <w:p w14:paraId="49294981" w14:textId="77777777" w:rsidR="00777F26" w:rsidRPr="00E54DE0" w:rsidRDefault="00777F26" w:rsidP="00E54DE0">
            <w:pPr>
              <w:rPr>
                <w:rFonts w:cs="Arial"/>
                <w:sz w:val="20"/>
                <w:szCs w:val="20"/>
              </w:rPr>
            </w:pPr>
          </w:p>
        </w:tc>
      </w:tr>
      <w:tr w:rsidR="00777F26" w:rsidRPr="00136E9D" w14:paraId="040F1D7C"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1FB6D52B" w14:textId="77777777" w:rsidR="00777F26" w:rsidRPr="00E54DE0" w:rsidRDefault="00777F26" w:rsidP="00E54DE0">
            <w:pPr>
              <w:rPr>
                <w:rFonts w:cs="Arial"/>
                <w:sz w:val="20"/>
                <w:szCs w:val="20"/>
              </w:rPr>
            </w:pPr>
            <w:r w:rsidRPr="00E54DE0">
              <w:rPr>
                <w:rFonts w:cs="Arial"/>
                <w:sz w:val="20"/>
                <w:szCs w:val="20"/>
              </w:rPr>
              <w:lastRenderedPageBreak/>
              <w:t>73055</w:t>
            </w:r>
          </w:p>
        </w:tc>
        <w:tc>
          <w:tcPr>
            <w:tcW w:w="4452" w:type="dxa"/>
            <w:noWrap/>
            <w:hideMark/>
          </w:tcPr>
          <w:p w14:paraId="441C9BD3" w14:textId="77777777" w:rsidR="00777F26" w:rsidRPr="00E54DE0" w:rsidRDefault="00777F26" w:rsidP="00DF7C6A">
            <w:pPr>
              <w:rPr>
                <w:rFonts w:cs="Arial"/>
                <w:sz w:val="20"/>
                <w:szCs w:val="20"/>
              </w:rPr>
            </w:pPr>
            <w:r w:rsidRPr="00E54DE0">
              <w:rPr>
                <w:rFonts w:cs="Arial"/>
                <w:sz w:val="20"/>
                <w:szCs w:val="20"/>
              </w:rPr>
              <w:t xml:space="preserve">Cytology of a smear from cervix, not associated with item 73053, where the smear is prepared by direct application of the specimen to a slide, excluding the use of liquid based slide preparation techniques, and the stained smear is microscopically examined by or on behalf of a pathologist - each test </w:t>
            </w:r>
          </w:p>
          <w:p w14:paraId="1892D941" w14:textId="77777777" w:rsidR="00777F26" w:rsidRPr="00E54DE0" w:rsidRDefault="00777F26" w:rsidP="00DF7C6A">
            <w:pPr>
              <w:rPr>
                <w:rFonts w:cs="Arial"/>
                <w:sz w:val="20"/>
                <w:szCs w:val="20"/>
              </w:rPr>
            </w:pPr>
            <w:r w:rsidRPr="00E54DE0">
              <w:rPr>
                <w:rFonts w:cs="Arial"/>
                <w:sz w:val="20"/>
                <w:szCs w:val="20"/>
              </w:rPr>
              <w:t xml:space="preserve">(a)    for the management of previously detected abnormalities including precancerous or cancerous conditions; or </w:t>
            </w:r>
          </w:p>
          <w:p w14:paraId="54A53FCB" w14:textId="77777777" w:rsidR="00777F26" w:rsidRPr="00E54DE0" w:rsidRDefault="00777F26" w:rsidP="00DF7C6A">
            <w:pPr>
              <w:rPr>
                <w:rFonts w:cs="Arial"/>
                <w:sz w:val="20"/>
                <w:szCs w:val="20"/>
              </w:rPr>
            </w:pPr>
            <w:r w:rsidRPr="00E54DE0">
              <w:rPr>
                <w:rFonts w:cs="Arial"/>
                <w:sz w:val="20"/>
                <w:szCs w:val="20"/>
              </w:rPr>
              <w:t>(b)    for the investigation of women with symptoms, signs or recent history suggestive of cervical neoplasia;</w:t>
            </w:r>
          </w:p>
        </w:tc>
        <w:tc>
          <w:tcPr>
            <w:tcW w:w="1943" w:type="dxa"/>
            <w:noWrap/>
          </w:tcPr>
          <w:p w14:paraId="628D3CE4" w14:textId="77777777" w:rsidR="00777F26" w:rsidRPr="00E54DE0" w:rsidRDefault="00777F26" w:rsidP="00E54DE0">
            <w:pPr>
              <w:rPr>
                <w:rFonts w:cs="Arial"/>
                <w:sz w:val="20"/>
                <w:szCs w:val="20"/>
              </w:rPr>
            </w:pPr>
            <w:r w:rsidRPr="00E54DE0">
              <w:rPr>
                <w:rFonts w:cs="Arial"/>
                <w:sz w:val="20"/>
                <w:szCs w:val="20"/>
              </w:rPr>
              <w:t>No recommendation (New items for National Cervical Screening Program)</w:t>
            </w:r>
          </w:p>
          <w:p w14:paraId="5F65D11D" w14:textId="77777777" w:rsidR="00777F26" w:rsidRPr="00E54DE0" w:rsidRDefault="00777F26" w:rsidP="00E54DE0">
            <w:pPr>
              <w:rPr>
                <w:rFonts w:cs="Arial"/>
                <w:sz w:val="20"/>
                <w:szCs w:val="20"/>
              </w:rPr>
            </w:pPr>
          </w:p>
        </w:tc>
        <w:tc>
          <w:tcPr>
            <w:tcW w:w="1737" w:type="dxa"/>
            <w:noWrap/>
          </w:tcPr>
          <w:p w14:paraId="60144104" w14:textId="77777777" w:rsidR="00777F26" w:rsidRPr="00E54DE0" w:rsidRDefault="00777F26" w:rsidP="00E54DE0">
            <w:pPr>
              <w:rPr>
                <w:rFonts w:cs="Arial"/>
                <w:sz w:val="20"/>
                <w:szCs w:val="20"/>
              </w:rPr>
            </w:pPr>
          </w:p>
        </w:tc>
      </w:tr>
      <w:tr w:rsidR="00777F26" w:rsidRPr="00136E9D" w14:paraId="27C3AAC2"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52EAC828" w14:textId="77777777" w:rsidR="00777F26" w:rsidRPr="00E54DE0" w:rsidRDefault="00777F26" w:rsidP="00E54DE0">
            <w:pPr>
              <w:rPr>
                <w:rFonts w:cs="Arial"/>
                <w:sz w:val="20"/>
                <w:szCs w:val="20"/>
              </w:rPr>
            </w:pPr>
            <w:r w:rsidRPr="00E54DE0">
              <w:rPr>
                <w:rFonts w:cs="Arial"/>
                <w:sz w:val="20"/>
                <w:szCs w:val="20"/>
              </w:rPr>
              <w:t>73057</w:t>
            </w:r>
          </w:p>
        </w:tc>
        <w:tc>
          <w:tcPr>
            <w:tcW w:w="4452" w:type="dxa"/>
            <w:noWrap/>
          </w:tcPr>
          <w:p w14:paraId="140D8385" w14:textId="77777777" w:rsidR="00777F26" w:rsidRPr="00E54DE0" w:rsidRDefault="00777F26" w:rsidP="00DF7C6A">
            <w:pPr>
              <w:rPr>
                <w:rFonts w:cs="Arial"/>
                <w:sz w:val="20"/>
                <w:szCs w:val="20"/>
              </w:rPr>
            </w:pPr>
            <w:r w:rsidRPr="00E54DE0">
              <w:rPr>
                <w:rFonts w:cs="Arial"/>
                <w:sz w:val="20"/>
                <w:szCs w:val="20"/>
              </w:rPr>
              <w:t>Cytology of smears from vagina, not associated with item 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 - each test</w:t>
            </w:r>
          </w:p>
        </w:tc>
        <w:tc>
          <w:tcPr>
            <w:tcW w:w="1943" w:type="dxa"/>
            <w:noWrap/>
          </w:tcPr>
          <w:p w14:paraId="657B48C0" w14:textId="77777777" w:rsidR="00777F26" w:rsidRPr="00E54DE0" w:rsidRDefault="00777F26" w:rsidP="00E54DE0">
            <w:pPr>
              <w:rPr>
                <w:rFonts w:cs="Arial"/>
                <w:sz w:val="20"/>
                <w:szCs w:val="20"/>
              </w:rPr>
            </w:pPr>
            <w:r w:rsidRPr="00E54DE0">
              <w:rPr>
                <w:rFonts w:cs="Arial"/>
                <w:sz w:val="20"/>
                <w:szCs w:val="20"/>
              </w:rPr>
              <w:t>No recommendation</w:t>
            </w:r>
          </w:p>
          <w:p w14:paraId="45A2D9DF" w14:textId="77777777" w:rsidR="00777F26" w:rsidRPr="00E54DE0" w:rsidRDefault="00777F26" w:rsidP="00E54DE0">
            <w:pPr>
              <w:rPr>
                <w:rFonts w:cs="Arial"/>
                <w:sz w:val="20"/>
                <w:szCs w:val="20"/>
              </w:rPr>
            </w:pPr>
            <w:r w:rsidRPr="00E54DE0">
              <w:rPr>
                <w:rFonts w:cs="Arial"/>
                <w:sz w:val="20"/>
                <w:szCs w:val="20"/>
              </w:rPr>
              <w:t>(New items for National Cervical Screening Program)</w:t>
            </w:r>
          </w:p>
        </w:tc>
        <w:tc>
          <w:tcPr>
            <w:tcW w:w="1737" w:type="dxa"/>
            <w:noWrap/>
          </w:tcPr>
          <w:p w14:paraId="138D1DFA" w14:textId="77777777" w:rsidR="00777F26" w:rsidRPr="00E54DE0" w:rsidRDefault="00777F26" w:rsidP="00E54DE0">
            <w:pPr>
              <w:rPr>
                <w:rFonts w:cs="Arial"/>
                <w:sz w:val="20"/>
                <w:szCs w:val="20"/>
              </w:rPr>
            </w:pPr>
          </w:p>
        </w:tc>
      </w:tr>
      <w:tr w:rsidR="00777F26" w:rsidRPr="00136E9D" w14:paraId="5152F707"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187A8B07" w14:textId="77777777" w:rsidR="00777F26" w:rsidRPr="00E54DE0" w:rsidRDefault="00777F26" w:rsidP="00E54DE0">
            <w:pPr>
              <w:rPr>
                <w:rFonts w:cs="Arial"/>
                <w:sz w:val="20"/>
                <w:szCs w:val="20"/>
              </w:rPr>
            </w:pPr>
            <w:r w:rsidRPr="00E54DE0">
              <w:rPr>
                <w:rFonts w:cs="Arial"/>
                <w:sz w:val="20"/>
                <w:szCs w:val="20"/>
              </w:rPr>
              <w:t>73059</w:t>
            </w:r>
          </w:p>
        </w:tc>
        <w:tc>
          <w:tcPr>
            <w:tcW w:w="4452" w:type="dxa"/>
            <w:noWrap/>
            <w:hideMark/>
          </w:tcPr>
          <w:p w14:paraId="30344803" w14:textId="77777777" w:rsidR="00777F26" w:rsidRPr="00E54DE0" w:rsidRDefault="00777F26" w:rsidP="00DF7C6A">
            <w:pPr>
              <w:rPr>
                <w:rFonts w:cs="Arial"/>
                <w:sz w:val="20"/>
                <w:szCs w:val="20"/>
              </w:rPr>
            </w:pPr>
            <w:r w:rsidRPr="00E54DE0">
              <w:rPr>
                <w:rFonts w:cs="Arial"/>
                <w:sz w:val="20"/>
                <w:szCs w:val="20"/>
              </w:rPr>
              <w:t xml:space="preserve">Immunocytochemical examination of material obtained by procedures described in items 73045, 73047, 73049, 73051, 73062, 73063, 73066 and 73067 for the characterisation of a malignancy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 to 3 antibodies except those listed in 73061</w:t>
            </w:r>
          </w:p>
        </w:tc>
        <w:tc>
          <w:tcPr>
            <w:tcW w:w="1943" w:type="dxa"/>
            <w:noWrap/>
          </w:tcPr>
          <w:p w14:paraId="60BB64F8"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101D5BAF" w14:textId="77777777" w:rsidR="00777F26" w:rsidRPr="00E54DE0" w:rsidRDefault="009876E7" w:rsidP="00E54DE0">
            <w:pPr>
              <w:rPr>
                <w:rFonts w:cs="Arial"/>
                <w:sz w:val="20"/>
                <w:szCs w:val="20"/>
              </w:rPr>
            </w:pPr>
            <w:r>
              <w:rPr>
                <w:rFonts w:cs="Arial"/>
                <w:sz w:val="20"/>
                <w:szCs w:val="20"/>
              </w:rPr>
              <w:t>37</w:t>
            </w:r>
          </w:p>
        </w:tc>
      </w:tr>
      <w:tr w:rsidR="00777F26" w:rsidRPr="00136E9D" w14:paraId="1FE82A18"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76DBB90E" w14:textId="77777777" w:rsidR="00777F26" w:rsidRPr="00E54DE0" w:rsidRDefault="00777F26" w:rsidP="00E54DE0">
            <w:pPr>
              <w:rPr>
                <w:rFonts w:cs="Arial"/>
                <w:sz w:val="20"/>
                <w:szCs w:val="20"/>
              </w:rPr>
            </w:pPr>
            <w:r w:rsidRPr="00E54DE0">
              <w:rPr>
                <w:rFonts w:cs="Arial"/>
                <w:sz w:val="20"/>
                <w:szCs w:val="20"/>
              </w:rPr>
              <w:t>73060</w:t>
            </w:r>
          </w:p>
        </w:tc>
        <w:tc>
          <w:tcPr>
            <w:tcW w:w="4452" w:type="dxa"/>
            <w:noWrap/>
            <w:hideMark/>
          </w:tcPr>
          <w:p w14:paraId="66575568" w14:textId="77777777" w:rsidR="00777F26" w:rsidRPr="00E54DE0" w:rsidRDefault="00777F26" w:rsidP="00DF7C6A">
            <w:pPr>
              <w:rPr>
                <w:rFonts w:cs="Arial"/>
                <w:sz w:val="20"/>
                <w:szCs w:val="20"/>
              </w:rPr>
            </w:pPr>
            <w:r w:rsidRPr="00E54DE0">
              <w:rPr>
                <w:rFonts w:cs="Arial"/>
                <w:sz w:val="20"/>
                <w:szCs w:val="20"/>
              </w:rPr>
              <w:t xml:space="preserve">Immunocytochemical examination of material obtained by procedures described in items 73045, 73047, 73049, 73051, 73062, 73063, 73066 and </w:t>
            </w:r>
            <w:proofErr w:type="gramStart"/>
            <w:r w:rsidRPr="00E54DE0">
              <w:rPr>
                <w:rFonts w:cs="Arial"/>
                <w:sz w:val="20"/>
                <w:szCs w:val="20"/>
              </w:rPr>
              <w:t>73067  for</w:t>
            </w:r>
            <w:proofErr w:type="gramEnd"/>
            <w:r w:rsidRPr="00E54DE0">
              <w:rPr>
                <w:rFonts w:cs="Arial"/>
                <w:sz w:val="20"/>
                <w:szCs w:val="20"/>
              </w:rPr>
              <w:t xml:space="preserve"> the characterisation of a malignancy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- 4 to 6  antibodies</w:t>
            </w:r>
          </w:p>
        </w:tc>
        <w:tc>
          <w:tcPr>
            <w:tcW w:w="1943" w:type="dxa"/>
            <w:noWrap/>
          </w:tcPr>
          <w:p w14:paraId="3F74526B"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6C8AB254" w14:textId="77777777" w:rsidR="00777F26" w:rsidRPr="00E54DE0" w:rsidRDefault="009876E7" w:rsidP="00E54DE0">
            <w:pPr>
              <w:rPr>
                <w:rFonts w:cs="Arial"/>
                <w:sz w:val="20"/>
                <w:szCs w:val="20"/>
              </w:rPr>
            </w:pPr>
            <w:r>
              <w:rPr>
                <w:rFonts w:cs="Arial"/>
                <w:sz w:val="20"/>
                <w:szCs w:val="20"/>
              </w:rPr>
              <w:t>37</w:t>
            </w:r>
          </w:p>
        </w:tc>
      </w:tr>
      <w:tr w:rsidR="00777F26" w:rsidRPr="00136E9D" w14:paraId="49F4E8F9"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tcPr>
          <w:p w14:paraId="28A38BA6" w14:textId="77777777" w:rsidR="00777F26" w:rsidRPr="00E54DE0" w:rsidRDefault="00777F26" w:rsidP="00E54DE0">
            <w:pPr>
              <w:rPr>
                <w:rFonts w:cs="Arial"/>
                <w:sz w:val="20"/>
                <w:szCs w:val="20"/>
              </w:rPr>
            </w:pPr>
            <w:r w:rsidRPr="00E54DE0">
              <w:rPr>
                <w:rFonts w:cs="Arial"/>
                <w:sz w:val="20"/>
                <w:szCs w:val="20"/>
              </w:rPr>
              <w:t>73061</w:t>
            </w:r>
          </w:p>
        </w:tc>
        <w:tc>
          <w:tcPr>
            <w:tcW w:w="4452" w:type="dxa"/>
            <w:tcBorders>
              <w:top w:val="single" w:sz="4" w:space="0" w:color="auto"/>
              <w:left w:val="single" w:sz="4" w:space="0" w:color="auto"/>
              <w:bottom w:val="single" w:sz="4" w:space="0" w:color="auto"/>
              <w:right w:val="single" w:sz="4" w:space="0" w:color="auto"/>
            </w:tcBorders>
            <w:noWrap/>
          </w:tcPr>
          <w:p w14:paraId="25312A3C" w14:textId="77777777" w:rsidR="00777F26" w:rsidRPr="00E54DE0" w:rsidRDefault="00777F26" w:rsidP="00DF7C6A">
            <w:pPr>
              <w:rPr>
                <w:rFonts w:cs="Arial"/>
                <w:sz w:val="20"/>
                <w:szCs w:val="20"/>
              </w:rPr>
            </w:pPr>
            <w:r w:rsidRPr="00E54DE0">
              <w:rPr>
                <w:rFonts w:cs="Arial"/>
                <w:sz w:val="20"/>
                <w:szCs w:val="20"/>
              </w:rPr>
              <w:t xml:space="preserve">Immunocytochemical examination of material obtained by procedures described in items 73045, 73047, 73049, 73051, 73062, 73063, 73066 and 73067 for the characterisation of a malignancy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 to 3 of the following antibodies - oestrogen, progesterone and c-erb-B2 (HER2)</w:t>
            </w:r>
          </w:p>
        </w:tc>
        <w:tc>
          <w:tcPr>
            <w:tcW w:w="1943" w:type="dxa"/>
            <w:noWrap/>
          </w:tcPr>
          <w:p w14:paraId="6A2E0BD9"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03896BB0" w14:textId="77777777" w:rsidR="00777F26" w:rsidRPr="00E54DE0" w:rsidRDefault="009876E7" w:rsidP="00E54DE0">
            <w:pPr>
              <w:rPr>
                <w:rFonts w:cs="Arial"/>
                <w:sz w:val="20"/>
                <w:szCs w:val="20"/>
              </w:rPr>
            </w:pPr>
            <w:r>
              <w:rPr>
                <w:rFonts w:cs="Arial"/>
                <w:sz w:val="20"/>
                <w:szCs w:val="20"/>
              </w:rPr>
              <w:t>37</w:t>
            </w:r>
          </w:p>
        </w:tc>
      </w:tr>
      <w:tr w:rsidR="00777F26" w:rsidRPr="00136E9D" w14:paraId="42DD4AED"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tcPr>
          <w:p w14:paraId="539A6E79" w14:textId="77777777" w:rsidR="00777F26" w:rsidRPr="00E54DE0" w:rsidRDefault="00777F26" w:rsidP="00E54DE0">
            <w:pPr>
              <w:rPr>
                <w:rFonts w:cs="Arial"/>
                <w:sz w:val="20"/>
                <w:szCs w:val="20"/>
              </w:rPr>
            </w:pPr>
            <w:r w:rsidRPr="00E54DE0">
              <w:rPr>
                <w:rFonts w:cs="Arial"/>
                <w:sz w:val="20"/>
                <w:szCs w:val="20"/>
              </w:rPr>
              <w:lastRenderedPageBreak/>
              <w:t>73062</w:t>
            </w:r>
          </w:p>
        </w:tc>
        <w:tc>
          <w:tcPr>
            <w:tcW w:w="4452" w:type="dxa"/>
            <w:tcBorders>
              <w:top w:val="single" w:sz="4" w:space="0" w:color="auto"/>
              <w:left w:val="single" w:sz="4" w:space="0" w:color="auto"/>
              <w:bottom w:val="single" w:sz="4" w:space="0" w:color="auto"/>
              <w:right w:val="single" w:sz="4" w:space="0" w:color="auto"/>
            </w:tcBorders>
            <w:noWrap/>
          </w:tcPr>
          <w:p w14:paraId="668D05E0" w14:textId="77777777" w:rsidR="00777F26" w:rsidRPr="00E54DE0" w:rsidRDefault="00777F26" w:rsidP="00DF7C6A">
            <w:pPr>
              <w:rPr>
                <w:rFonts w:cs="Arial"/>
                <w:sz w:val="20"/>
                <w:szCs w:val="20"/>
              </w:rPr>
            </w:pPr>
            <w:r w:rsidRPr="00E54DE0">
              <w:rPr>
                <w:rFonts w:cs="Arial"/>
                <w:sz w:val="20"/>
                <w:szCs w:val="20"/>
              </w:rPr>
              <w:t>Cytology of material obtained directly from a patient by fine needle aspiration of solid tissue or tissues - 2 or more separately identified sites.</w:t>
            </w:r>
          </w:p>
        </w:tc>
        <w:tc>
          <w:tcPr>
            <w:tcW w:w="1943" w:type="dxa"/>
            <w:noWrap/>
          </w:tcPr>
          <w:p w14:paraId="4B274E1F"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3DECDCBE" w14:textId="77777777" w:rsidR="00777F26" w:rsidRPr="00E54DE0" w:rsidRDefault="009876E7" w:rsidP="00E54DE0">
            <w:pPr>
              <w:rPr>
                <w:rFonts w:cs="Arial"/>
                <w:sz w:val="20"/>
                <w:szCs w:val="20"/>
              </w:rPr>
            </w:pPr>
            <w:r>
              <w:rPr>
                <w:rFonts w:cs="Arial"/>
                <w:sz w:val="20"/>
                <w:szCs w:val="20"/>
              </w:rPr>
              <w:t>34</w:t>
            </w:r>
          </w:p>
        </w:tc>
      </w:tr>
      <w:tr w:rsidR="00777F26" w:rsidRPr="00136E9D" w14:paraId="1DDF878B"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tcPr>
          <w:p w14:paraId="3E904123" w14:textId="77777777" w:rsidR="00777F26" w:rsidRPr="00E54DE0" w:rsidRDefault="00777F26" w:rsidP="00E54DE0">
            <w:pPr>
              <w:rPr>
                <w:rFonts w:cs="Arial"/>
                <w:sz w:val="20"/>
                <w:szCs w:val="20"/>
              </w:rPr>
            </w:pPr>
            <w:r w:rsidRPr="00E54DE0">
              <w:rPr>
                <w:rFonts w:cs="Arial"/>
                <w:sz w:val="20"/>
                <w:szCs w:val="20"/>
              </w:rPr>
              <w:t>73063</w:t>
            </w:r>
          </w:p>
        </w:tc>
        <w:tc>
          <w:tcPr>
            <w:tcW w:w="4452" w:type="dxa"/>
            <w:tcBorders>
              <w:top w:val="single" w:sz="4" w:space="0" w:color="auto"/>
              <w:left w:val="single" w:sz="4" w:space="0" w:color="auto"/>
              <w:bottom w:val="single" w:sz="4" w:space="0" w:color="auto"/>
              <w:right w:val="single" w:sz="4" w:space="0" w:color="auto"/>
            </w:tcBorders>
            <w:noWrap/>
          </w:tcPr>
          <w:p w14:paraId="3F1FA9CA" w14:textId="77777777" w:rsidR="00777F26" w:rsidRPr="00E54DE0" w:rsidRDefault="00777F26" w:rsidP="00DF7C6A">
            <w:pPr>
              <w:rPr>
                <w:rFonts w:cs="Arial"/>
                <w:sz w:val="20"/>
                <w:szCs w:val="20"/>
              </w:rPr>
            </w:pPr>
            <w:r w:rsidRPr="00E54DE0">
              <w:rPr>
                <w:rFonts w:cs="Arial"/>
                <w:sz w:val="20"/>
                <w:szCs w:val="20"/>
              </w:rPr>
              <w:t>Cytology of material obtained directly from a patient at one identified site by fine needle aspiration of solid tissue or tissues if an employee of an approved pathology authority attends the aspiration for confirmation of sample adequacy.</w:t>
            </w:r>
          </w:p>
        </w:tc>
        <w:tc>
          <w:tcPr>
            <w:tcW w:w="1943" w:type="dxa"/>
            <w:noWrap/>
          </w:tcPr>
          <w:p w14:paraId="3CC18E90" w14:textId="77777777" w:rsidR="00777F26" w:rsidRPr="00E54DE0" w:rsidRDefault="00777F26" w:rsidP="00E54DE0">
            <w:pPr>
              <w:rPr>
                <w:rFonts w:cs="Arial"/>
                <w:sz w:val="20"/>
                <w:szCs w:val="20"/>
              </w:rPr>
            </w:pPr>
            <w:r w:rsidRPr="00E54DE0">
              <w:rPr>
                <w:rFonts w:cs="Arial"/>
                <w:sz w:val="20"/>
                <w:szCs w:val="20"/>
              </w:rPr>
              <w:t>Change</w:t>
            </w:r>
          </w:p>
        </w:tc>
        <w:tc>
          <w:tcPr>
            <w:tcW w:w="1737" w:type="dxa"/>
            <w:noWrap/>
          </w:tcPr>
          <w:p w14:paraId="6886FE88" w14:textId="77777777" w:rsidR="00777F26" w:rsidRPr="00E54DE0" w:rsidRDefault="009876E7" w:rsidP="00E54DE0">
            <w:pPr>
              <w:rPr>
                <w:rFonts w:cs="Arial"/>
                <w:sz w:val="20"/>
                <w:szCs w:val="20"/>
              </w:rPr>
            </w:pPr>
            <w:r>
              <w:rPr>
                <w:rFonts w:cs="Arial"/>
                <w:sz w:val="20"/>
                <w:szCs w:val="20"/>
              </w:rPr>
              <w:t>34</w:t>
            </w:r>
          </w:p>
        </w:tc>
      </w:tr>
      <w:tr w:rsidR="00777F26" w:rsidRPr="00136E9D" w14:paraId="4190D478"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noWrap/>
            <w:hideMark/>
          </w:tcPr>
          <w:p w14:paraId="235F94B2" w14:textId="77777777" w:rsidR="00777F26" w:rsidRPr="00E54DE0" w:rsidRDefault="00777F26" w:rsidP="00E54DE0">
            <w:pPr>
              <w:rPr>
                <w:rFonts w:cs="Arial"/>
                <w:sz w:val="20"/>
                <w:szCs w:val="20"/>
              </w:rPr>
            </w:pPr>
            <w:r w:rsidRPr="00E54DE0">
              <w:rPr>
                <w:rFonts w:cs="Arial"/>
                <w:sz w:val="20"/>
                <w:szCs w:val="20"/>
              </w:rPr>
              <w:t>73064</w:t>
            </w:r>
          </w:p>
        </w:tc>
        <w:tc>
          <w:tcPr>
            <w:tcW w:w="4452" w:type="dxa"/>
            <w:noWrap/>
          </w:tcPr>
          <w:p w14:paraId="24D84928" w14:textId="77777777" w:rsidR="00777F26" w:rsidRPr="00E54DE0" w:rsidRDefault="00777F26" w:rsidP="00DF7C6A">
            <w:pPr>
              <w:rPr>
                <w:rFonts w:cs="Arial"/>
                <w:sz w:val="20"/>
                <w:szCs w:val="20"/>
              </w:rPr>
            </w:pPr>
            <w:r w:rsidRPr="00E54DE0">
              <w:rPr>
                <w:rFonts w:cs="Arial"/>
                <w:sz w:val="20"/>
                <w:szCs w:val="20"/>
              </w:rPr>
              <w:t xml:space="preserve">Immunocytochemical examination of material obtained by procedures described in items 73045, 73047, 73049, 73051, 73062, 73063, 73066 and 73067 for the characterisation of a malignancy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- 7 to 10 antibodies</w:t>
            </w:r>
          </w:p>
        </w:tc>
        <w:tc>
          <w:tcPr>
            <w:tcW w:w="1943" w:type="dxa"/>
            <w:noWrap/>
          </w:tcPr>
          <w:p w14:paraId="187B4ADE"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4CF3D720" w14:textId="77777777" w:rsidR="00777F26" w:rsidRPr="00E54DE0" w:rsidRDefault="009876E7" w:rsidP="00E54DE0">
            <w:pPr>
              <w:rPr>
                <w:rFonts w:cs="Arial"/>
                <w:sz w:val="20"/>
                <w:szCs w:val="20"/>
              </w:rPr>
            </w:pPr>
            <w:r>
              <w:rPr>
                <w:rFonts w:cs="Arial"/>
                <w:sz w:val="20"/>
                <w:szCs w:val="20"/>
              </w:rPr>
              <w:t>37</w:t>
            </w:r>
          </w:p>
        </w:tc>
      </w:tr>
      <w:tr w:rsidR="00777F26" w:rsidRPr="00136E9D" w14:paraId="683F4F31"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hideMark/>
          </w:tcPr>
          <w:p w14:paraId="6C33E45F" w14:textId="77777777" w:rsidR="00777F26" w:rsidRPr="00E54DE0" w:rsidRDefault="00777F26" w:rsidP="00E54DE0">
            <w:pPr>
              <w:rPr>
                <w:rFonts w:cs="Arial"/>
                <w:sz w:val="20"/>
                <w:szCs w:val="20"/>
              </w:rPr>
            </w:pPr>
            <w:r w:rsidRPr="00E54DE0">
              <w:rPr>
                <w:rFonts w:cs="Arial"/>
                <w:sz w:val="20"/>
                <w:szCs w:val="20"/>
              </w:rPr>
              <w:t>73065</w:t>
            </w:r>
          </w:p>
        </w:tc>
        <w:tc>
          <w:tcPr>
            <w:tcW w:w="4452" w:type="dxa"/>
            <w:tcBorders>
              <w:top w:val="single" w:sz="4" w:space="0" w:color="auto"/>
              <w:left w:val="single" w:sz="4" w:space="0" w:color="auto"/>
              <w:bottom w:val="single" w:sz="4" w:space="0" w:color="auto"/>
              <w:right w:val="single" w:sz="4" w:space="0" w:color="auto"/>
            </w:tcBorders>
            <w:noWrap/>
          </w:tcPr>
          <w:p w14:paraId="1DCCF61E" w14:textId="77777777" w:rsidR="00777F26" w:rsidRPr="00E54DE0" w:rsidRDefault="00777F26" w:rsidP="00DF7C6A">
            <w:pPr>
              <w:rPr>
                <w:rFonts w:cs="Arial"/>
                <w:sz w:val="20"/>
                <w:szCs w:val="20"/>
              </w:rPr>
            </w:pPr>
            <w:r w:rsidRPr="00E54DE0">
              <w:rPr>
                <w:rFonts w:cs="Arial"/>
                <w:sz w:val="20"/>
                <w:szCs w:val="20"/>
              </w:rPr>
              <w:t xml:space="preserve">Immunocytochemical examination of material obtained by procedures described in items 73045, 73047, 73049, 73051, 73062, 73063, 73066 and 73067 for the characterisation of a malignancy by immunofluorescence, </w:t>
            </w:r>
            <w:proofErr w:type="spellStart"/>
            <w:r w:rsidRPr="00E54DE0">
              <w:rPr>
                <w:rFonts w:cs="Arial"/>
                <w:sz w:val="20"/>
                <w:szCs w:val="20"/>
              </w:rPr>
              <w:t>immunoperoxidase</w:t>
            </w:r>
            <w:proofErr w:type="spellEnd"/>
            <w:r w:rsidRPr="00E54DE0">
              <w:rPr>
                <w:rFonts w:cs="Arial"/>
                <w:sz w:val="20"/>
                <w:szCs w:val="20"/>
              </w:rPr>
              <w:t xml:space="preserve"> or other labelled antibody techniques with multiple antigenic specificities per specimen - 11 or more antibodies</w:t>
            </w:r>
          </w:p>
        </w:tc>
        <w:tc>
          <w:tcPr>
            <w:tcW w:w="1943" w:type="dxa"/>
            <w:noWrap/>
          </w:tcPr>
          <w:p w14:paraId="5B0A9C10"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4111F05F" w14:textId="77777777" w:rsidR="00777F26" w:rsidRPr="00E54DE0" w:rsidRDefault="009876E7" w:rsidP="00E54DE0">
            <w:pPr>
              <w:rPr>
                <w:rFonts w:cs="Arial"/>
                <w:sz w:val="20"/>
                <w:szCs w:val="20"/>
              </w:rPr>
            </w:pPr>
            <w:r>
              <w:rPr>
                <w:rFonts w:cs="Arial"/>
                <w:sz w:val="20"/>
                <w:szCs w:val="20"/>
              </w:rPr>
              <w:t>37</w:t>
            </w:r>
          </w:p>
        </w:tc>
      </w:tr>
      <w:tr w:rsidR="00777F26" w:rsidRPr="00136E9D" w14:paraId="24A90E1F"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hideMark/>
          </w:tcPr>
          <w:p w14:paraId="5FCDED1B" w14:textId="77777777" w:rsidR="00777F26" w:rsidRPr="00E54DE0" w:rsidRDefault="00777F26" w:rsidP="00E54DE0">
            <w:pPr>
              <w:rPr>
                <w:rFonts w:cs="Arial"/>
                <w:sz w:val="20"/>
                <w:szCs w:val="20"/>
              </w:rPr>
            </w:pPr>
            <w:r w:rsidRPr="00E54DE0">
              <w:rPr>
                <w:rFonts w:cs="Arial"/>
                <w:sz w:val="20"/>
                <w:szCs w:val="20"/>
              </w:rPr>
              <w:t>73066</w:t>
            </w:r>
          </w:p>
        </w:tc>
        <w:tc>
          <w:tcPr>
            <w:tcW w:w="4452" w:type="dxa"/>
            <w:tcBorders>
              <w:top w:val="single" w:sz="4" w:space="0" w:color="auto"/>
              <w:left w:val="single" w:sz="4" w:space="0" w:color="auto"/>
              <w:bottom w:val="single" w:sz="4" w:space="0" w:color="auto"/>
              <w:right w:val="single" w:sz="4" w:space="0" w:color="auto"/>
            </w:tcBorders>
            <w:noWrap/>
            <w:hideMark/>
          </w:tcPr>
          <w:p w14:paraId="7A0E0AA2" w14:textId="77777777" w:rsidR="00777F26" w:rsidRPr="00E54DE0" w:rsidRDefault="00777F26" w:rsidP="00DF7C6A">
            <w:pPr>
              <w:rPr>
                <w:rFonts w:cs="Arial"/>
                <w:sz w:val="20"/>
                <w:szCs w:val="20"/>
              </w:rPr>
            </w:pPr>
            <w:r w:rsidRPr="00E54DE0">
              <w:rPr>
                <w:rFonts w:cs="Arial"/>
                <w:sz w:val="20"/>
                <w:szCs w:val="20"/>
              </w:rPr>
              <w:t xml:space="preserve">Cytology of material obtained directly from a patient at 2 or more separately identified sites by fine needle aspiration of solid tissue or tissues if a recognized pathologist: </w:t>
            </w:r>
          </w:p>
          <w:p w14:paraId="07BAE34A" w14:textId="77777777" w:rsidR="00777F26" w:rsidRPr="00E54DE0" w:rsidRDefault="00777F26" w:rsidP="00DF7C6A">
            <w:pPr>
              <w:rPr>
                <w:rFonts w:cs="Arial"/>
                <w:sz w:val="20"/>
                <w:szCs w:val="20"/>
              </w:rPr>
            </w:pPr>
            <w:r w:rsidRPr="00E54DE0">
              <w:rPr>
                <w:rFonts w:cs="Arial"/>
                <w:sz w:val="20"/>
                <w:szCs w:val="20"/>
              </w:rPr>
              <w:t xml:space="preserve">(a)    performs the aspiration; or </w:t>
            </w:r>
          </w:p>
          <w:p w14:paraId="27AE39DE" w14:textId="77777777" w:rsidR="00777F26" w:rsidRPr="00E54DE0" w:rsidRDefault="00777F26" w:rsidP="00DF7C6A">
            <w:pPr>
              <w:rPr>
                <w:rFonts w:cs="Arial"/>
                <w:sz w:val="20"/>
                <w:szCs w:val="20"/>
              </w:rPr>
            </w:pPr>
            <w:r w:rsidRPr="00E54DE0">
              <w:rPr>
                <w:rFonts w:cs="Arial"/>
                <w:sz w:val="20"/>
                <w:szCs w:val="20"/>
              </w:rPr>
              <w:t>(b)   attends the aspiration and performs cytological examination during the attendance.</w:t>
            </w:r>
          </w:p>
        </w:tc>
        <w:tc>
          <w:tcPr>
            <w:tcW w:w="1943" w:type="dxa"/>
            <w:noWrap/>
          </w:tcPr>
          <w:p w14:paraId="61EEC506"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20096D0B" w14:textId="77777777" w:rsidR="00777F26" w:rsidRPr="00E54DE0" w:rsidRDefault="009876E7" w:rsidP="00E54DE0">
            <w:pPr>
              <w:rPr>
                <w:rFonts w:cs="Arial"/>
                <w:sz w:val="20"/>
                <w:szCs w:val="20"/>
              </w:rPr>
            </w:pPr>
            <w:r>
              <w:rPr>
                <w:rFonts w:cs="Arial"/>
                <w:sz w:val="20"/>
                <w:szCs w:val="20"/>
              </w:rPr>
              <w:t>34</w:t>
            </w:r>
          </w:p>
        </w:tc>
      </w:tr>
      <w:tr w:rsidR="00777F26" w:rsidRPr="00136E9D" w14:paraId="4279BB80" w14:textId="77777777" w:rsidTr="00DF7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4" w:type="dxa"/>
            <w:tcBorders>
              <w:top w:val="single" w:sz="4" w:space="0" w:color="auto"/>
              <w:left w:val="single" w:sz="4" w:space="0" w:color="auto"/>
              <w:bottom w:val="single" w:sz="4" w:space="0" w:color="auto"/>
              <w:right w:val="single" w:sz="4" w:space="0" w:color="auto"/>
            </w:tcBorders>
            <w:noWrap/>
            <w:hideMark/>
          </w:tcPr>
          <w:p w14:paraId="048F8DE9" w14:textId="77777777" w:rsidR="00777F26" w:rsidRPr="00E54DE0" w:rsidRDefault="00777F26" w:rsidP="00E54DE0">
            <w:pPr>
              <w:rPr>
                <w:rFonts w:cs="Arial"/>
                <w:sz w:val="20"/>
                <w:szCs w:val="20"/>
              </w:rPr>
            </w:pPr>
            <w:r w:rsidRPr="00E54DE0">
              <w:rPr>
                <w:rFonts w:cs="Arial"/>
                <w:sz w:val="20"/>
                <w:szCs w:val="20"/>
              </w:rPr>
              <w:t>73067</w:t>
            </w:r>
          </w:p>
        </w:tc>
        <w:tc>
          <w:tcPr>
            <w:tcW w:w="4452" w:type="dxa"/>
            <w:tcBorders>
              <w:top w:val="single" w:sz="4" w:space="0" w:color="auto"/>
              <w:left w:val="single" w:sz="4" w:space="0" w:color="auto"/>
              <w:bottom w:val="single" w:sz="4" w:space="0" w:color="auto"/>
              <w:right w:val="single" w:sz="4" w:space="0" w:color="auto"/>
            </w:tcBorders>
            <w:noWrap/>
            <w:hideMark/>
          </w:tcPr>
          <w:p w14:paraId="1243E489" w14:textId="77777777" w:rsidR="00777F26" w:rsidRPr="00E54DE0" w:rsidRDefault="00777F26" w:rsidP="00DF7C6A">
            <w:pPr>
              <w:rPr>
                <w:rFonts w:cs="Arial"/>
                <w:sz w:val="20"/>
                <w:szCs w:val="20"/>
              </w:rPr>
            </w:pPr>
            <w:r w:rsidRPr="00E54DE0">
              <w:rPr>
                <w:rFonts w:cs="Arial"/>
                <w:sz w:val="20"/>
                <w:szCs w:val="20"/>
              </w:rPr>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1943" w:type="dxa"/>
            <w:noWrap/>
          </w:tcPr>
          <w:p w14:paraId="51A31AC9" w14:textId="77777777" w:rsidR="00777F26" w:rsidRPr="00E54DE0" w:rsidRDefault="00777F26" w:rsidP="00E54DE0">
            <w:pPr>
              <w:rPr>
                <w:rFonts w:cs="Arial"/>
                <w:sz w:val="20"/>
                <w:szCs w:val="20"/>
              </w:rPr>
            </w:pPr>
            <w:r w:rsidRPr="00E54DE0">
              <w:rPr>
                <w:rFonts w:cs="Arial"/>
                <w:sz w:val="20"/>
                <w:szCs w:val="20"/>
              </w:rPr>
              <w:t>Change/Consolidate</w:t>
            </w:r>
          </w:p>
        </w:tc>
        <w:tc>
          <w:tcPr>
            <w:tcW w:w="1737" w:type="dxa"/>
            <w:noWrap/>
          </w:tcPr>
          <w:p w14:paraId="794761A4" w14:textId="77777777" w:rsidR="00777F26" w:rsidRPr="00E54DE0" w:rsidRDefault="009876E7" w:rsidP="00E54DE0">
            <w:pPr>
              <w:rPr>
                <w:rFonts w:cs="Arial"/>
                <w:sz w:val="20"/>
                <w:szCs w:val="20"/>
              </w:rPr>
            </w:pPr>
            <w:r>
              <w:rPr>
                <w:rFonts w:cs="Arial"/>
                <w:sz w:val="20"/>
                <w:szCs w:val="20"/>
              </w:rPr>
              <w:t>34</w:t>
            </w:r>
          </w:p>
        </w:tc>
      </w:tr>
    </w:tbl>
    <w:p w14:paraId="531AFF21" w14:textId="77777777" w:rsidR="00793DCE" w:rsidRDefault="00793DCE">
      <w:pPr>
        <w:rPr>
          <w:rFonts w:ascii="Arial" w:hAnsi="Arial" w:cs="Arial"/>
          <w:sz w:val="18"/>
          <w:szCs w:val="18"/>
        </w:rPr>
      </w:pPr>
    </w:p>
    <w:p w14:paraId="4DBA88D4" w14:textId="77777777" w:rsidR="00793DCE" w:rsidRDefault="00793DCE">
      <w:pPr>
        <w:spacing w:before="0" w:after="0"/>
        <w:rPr>
          <w:rFonts w:ascii="Arial" w:hAnsi="Arial" w:cs="Arial"/>
          <w:sz w:val="18"/>
          <w:szCs w:val="18"/>
        </w:rPr>
      </w:pPr>
      <w:r>
        <w:rPr>
          <w:rFonts w:ascii="Arial" w:hAnsi="Arial" w:cs="Arial"/>
          <w:sz w:val="18"/>
          <w:szCs w:val="18"/>
        </w:rPr>
        <w:br w:type="page"/>
      </w:r>
    </w:p>
    <w:p w14:paraId="081FFFD1" w14:textId="77777777" w:rsidR="00777F26" w:rsidRDefault="00777F26">
      <w:pPr>
        <w:rPr>
          <w:rFonts w:ascii="Arial" w:hAnsi="Arial" w:cs="Arial"/>
          <w:sz w:val="18"/>
          <w:szCs w:val="18"/>
        </w:rPr>
      </w:pPr>
    </w:p>
    <w:p w14:paraId="4EA59D63" w14:textId="77777777" w:rsidR="00136E9D" w:rsidRPr="00BE48E3" w:rsidRDefault="00136E9D">
      <w:pPr>
        <w:pStyle w:val="Caption"/>
        <w:rPr>
          <w:highlight w:val="lightGray"/>
        </w:rPr>
      </w:pPr>
      <w:bookmarkStart w:id="104" w:name="_Toc482213849"/>
      <w:r>
        <w:t>Table</w:t>
      </w:r>
      <w:r w:rsidR="009876E7">
        <w:t xml:space="preserve"> 22</w:t>
      </w:r>
      <w:r>
        <w:t xml:space="preserve">. </w:t>
      </w:r>
      <w:r w:rsidR="009876E7">
        <w:t>Items considered in discussion</w:t>
      </w:r>
      <w:r w:rsidR="008B0239">
        <w:t xml:space="preserve"> </w:t>
      </w:r>
      <w:r w:rsidRPr="00D67454">
        <w:t>with Genetics Working Group</w:t>
      </w:r>
      <w:bookmarkEnd w:id="104"/>
    </w:p>
    <w:tbl>
      <w:tblPr>
        <w:tblStyle w:val="TableGrid3"/>
        <w:tblpPr w:leftFromText="180" w:rightFromText="180" w:vertAnchor="text" w:tblpY="1"/>
        <w:tblOverlap w:val="never"/>
        <w:tblW w:w="471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888"/>
        <w:gridCol w:w="7612"/>
      </w:tblGrid>
      <w:tr w:rsidR="00777F26" w:rsidRPr="00124177" w14:paraId="070CEFCF" w14:textId="77777777" w:rsidTr="00E54DE0">
        <w:trPr>
          <w:trHeight w:val="182"/>
          <w:tblHeader/>
        </w:trPr>
        <w:tc>
          <w:tcPr>
            <w:tcW w:w="888" w:type="dxa"/>
            <w:shd w:val="clear" w:color="auto" w:fill="F2F2F2" w:themeFill="background1" w:themeFillShade="F2"/>
            <w:tcMar>
              <w:top w:w="57" w:type="dxa"/>
              <w:left w:w="57" w:type="dxa"/>
              <w:bottom w:w="57" w:type="dxa"/>
            </w:tcMar>
            <w:vAlign w:val="bottom"/>
          </w:tcPr>
          <w:p w14:paraId="4293BC1A" w14:textId="77777777" w:rsidR="00777F26" w:rsidRPr="00E54DE0" w:rsidRDefault="00777F26" w:rsidP="00E54DE0">
            <w:pPr>
              <w:rPr>
                <w:rFonts w:cs="Arial"/>
                <w:b/>
                <w:sz w:val="20"/>
                <w:szCs w:val="20"/>
              </w:rPr>
            </w:pPr>
            <w:r w:rsidRPr="00E54DE0">
              <w:rPr>
                <w:rFonts w:cs="Arial"/>
                <w:b/>
                <w:sz w:val="20"/>
                <w:szCs w:val="20"/>
              </w:rPr>
              <w:t>Item</w:t>
            </w:r>
          </w:p>
        </w:tc>
        <w:tc>
          <w:tcPr>
            <w:tcW w:w="7612" w:type="dxa"/>
            <w:shd w:val="clear" w:color="auto" w:fill="F2F2F2" w:themeFill="background1" w:themeFillShade="F2"/>
            <w:tcMar>
              <w:top w:w="57" w:type="dxa"/>
              <w:left w:w="57" w:type="dxa"/>
              <w:bottom w:w="57" w:type="dxa"/>
            </w:tcMar>
            <w:vAlign w:val="bottom"/>
          </w:tcPr>
          <w:p w14:paraId="38A402D1" w14:textId="77777777" w:rsidR="00777F26" w:rsidRPr="00E54DE0" w:rsidRDefault="00777F26" w:rsidP="00E54DE0">
            <w:pPr>
              <w:rPr>
                <w:rFonts w:cs="Arial"/>
                <w:b/>
                <w:sz w:val="20"/>
                <w:szCs w:val="20"/>
              </w:rPr>
            </w:pPr>
            <w:r w:rsidRPr="00E54DE0">
              <w:rPr>
                <w:rFonts w:cs="Arial"/>
                <w:b/>
                <w:sz w:val="20"/>
                <w:szCs w:val="20"/>
              </w:rPr>
              <w:t>Current descriptor</w:t>
            </w:r>
          </w:p>
        </w:tc>
      </w:tr>
      <w:tr w:rsidR="00777F26" w:rsidRPr="00124177" w14:paraId="576CD399"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8" w:type="dxa"/>
            <w:noWrap/>
            <w:hideMark/>
          </w:tcPr>
          <w:p w14:paraId="1658908C" w14:textId="77777777" w:rsidR="00777F26" w:rsidRPr="00E54DE0" w:rsidRDefault="00777F26" w:rsidP="00E54DE0">
            <w:pPr>
              <w:rPr>
                <w:rFonts w:cs="Arial"/>
                <w:sz w:val="20"/>
                <w:szCs w:val="20"/>
              </w:rPr>
            </w:pPr>
            <w:r w:rsidRPr="00E54DE0">
              <w:rPr>
                <w:rFonts w:cs="Arial"/>
                <w:sz w:val="20"/>
                <w:szCs w:val="20"/>
              </w:rPr>
              <w:t>73332</w:t>
            </w:r>
          </w:p>
        </w:tc>
        <w:tc>
          <w:tcPr>
            <w:tcW w:w="7612" w:type="dxa"/>
            <w:noWrap/>
            <w:hideMark/>
          </w:tcPr>
          <w:p w14:paraId="5EAE151D" w14:textId="77777777" w:rsidR="00777F26" w:rsidRPr="00E54DE0" w:rsidRDefault="00777F26" w:rsidP="00E54DE0">
            <w:pPr>
              <w:rPr>
                <w:rFonts w:cs="Arial"/>
                <w:sz w:val="20"/>
                <w:szCs w:val="20"/>
              </w:rPr>
            </w:pPr>
            <w:r w:rsidRPr="00E54DE0">
              <w:rPr>
                <w:rFonts w:cs="Arial"/>
                <w:sz w:val="20"/>
                <w:szCs w:val="20"/>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tc>
      </w:tr>
      <w:tr w:rsidR="00777F26" w:rsidRPr="00124177" w14:paraId="52754D15"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8" w:type="dxa"/>
            <w:noWrap/>
            <w:hideMark/>
          </w:tcPr>
          <w:p w14:paraId="04FE7B2A" w14:textId="77777777" w:rsidR="00777F26" w:rsidRPr="00E54DE0" w:rsidRDefault="00777F26" w:rsidP="00E54DE0">
            <w:pPr>
              <w:rPr>
                <w:rFonts w:cs="Arial"/>
                <w:sz w:val="20"/>
                <w:szCs w:val="20"/>
              </w:rPr>
            </w:pPr>
            <w:r w:rsidRPr="00E54DE0">
              <w:rPr>
                <w:rFonts w:cs="Arial"/>
                <w:sz w:val="20"/>
                <w:szCs w:val="20"/>
              </w:rPr>
              <w:t>73336</w:t>
            </w:r>
          </w:p>
        </w:tc>
        <w:tc>
          <w:tcPr>
            <w:tcW w:w="7612" w:type="dxa"/>
            <w:noWrap/>
            <w:hideMark/>
          </w:tcPr>
          <w:p w14:paraId="31C7A0EC" w14:textId="77777777" w:rsidR="00777F26" w:rsidRPr="00E54DE0" w:rsidRDefault="00777F26" w:rsidP="00E54DE0">
            <w:pPr>
              <w:rPr>
                <w:rFonts w:cs="Arial"/>
                <w:sz w:val="20"/>
                <w:szCs w:val="20"/>
              </w:rPr>
            </w:pPr>
            <w:r w:rsidRPr="00E54DE0">
              <w:rPr>
                <w:rFonts w:cs="Arial"/>
                <w:sz w:val="20"/>
                <w:szCs w:val="20"/>
              </w:rPr>
              <w:t>A test of tumour tissue from a patient with unresectable stage III or stage IV metastatic cutaneous melanoma, requested by, or on behalf of, a specialist or consultant physician, to determine if the requirements relating to BRAF V600 mutation status for access to dabrafenib or vemurafenib under the Pharmaceutical Benefits Scheme are fulfilled.</w:t>
            </w:r>
          </w:p>
        </w:tc>
      </w:tr>
      <w:tr w:rsidR="00777F26" w:rsidRPr="00124177" w14:paraId="634FED28"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47"/>
        </w:trPr>
        <w:tc>
          <w:tcPr>
            <w:tcW w:w="888" w:type="dxa"/>
            <w:noWrap/>
            <w:hideMark/>
          </w:tcPr>
          <w:p w14:paraId="791B062D" w14:textId="77777777" w:rsidR="00777F26" w:rsidRPr="00E54DE0" w:rsidRDefault="00777F26" w:rsidP="00E54DE0">
            <w:pPr>
              <w:rPr>
                <w:rFonts w:cs="Arial"/>
                <w:sz w:val="20"/>
                <w:szCs w:val="20"/>
              </w:rPr>
            </w:pPr>
            <w:r w:rsidRPr="00E54DE0">
              <w:rPr>
                <w:rFonts w:cs="Arial"/>
                <w:sz w:val="20"/>
                <w:szCs w:val="20"/>
              </w:rPr>
              <w:t>73337</w:t>
            </w:r>
          </w:p>
        </w:tc>
        <w:tc>
          <w:tcPr>
            <w:tcW w:w="7612" w:type="dxa"/>
            <w:noWrap/>
            <w:hideMark/>
          </w:tcPr>
          <w:p w14:paraId="1CC8ED9A" w14:textId="77777777" w:rsidR="00777F26" w:rsidRPr="00E54DE0" w:rsidRDefault="00777F26" w:rsidP="00E54DE0">
            <w:pPr>
              <w:rPr>
                <w:rFonts w:cs="Arial"/>
                <w:sz w:val="20"/>
                <w:szCs w:val="20"/>
              </w:rPr>
            </w:pPr>
            <w:r w:rsidRPr="00E54DE0">
              <w:rPr>
                <w:rFonts w:cs="Arial"/>
                <w:sz w:val="20"/>
                <w:szCs w:val="20"/>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(PBS) are fulfilled.</w:t>
            </w:r>
          </w:p>
        </w:tc>
      </w:tr>
      <w:tr w:rsidR="00777F26" w:rsidRPr="00124177" w14:paraId="006E7717"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8" w:type="dxa"/>
            <w:noWrap/>
            <w:hideMark/>
          </w:tcPr>
          <w:p w14:paraId="0C4A0AED" w14:textId="77777777" w:rsidR="00777F26" w:rsidRPr="00E54DE0" w:rsidRDefault="00777F26" w:rsidP="00E54DE0">
            <w:pPr>
              <w:rPr>
                <w:rFonts w:cs="Arial"/>
                <w:sz w:val="20"/>
                <w:szCs w:val="20"/>
              </w:rPr>
            </w:pPr>
            <w:r w:rsidRPr="00E54DE0">
              <w:rPr>
                <w:rFonts w:cs="Arial"/>
                <w:sz w:val="20"/>
                <w:szCs w:val="20"/>
              </w:rPr>
              <w:t>73338</w:t>
            </w:r>
          </w:p>
        </w:tc>
        <w:tc>
          <w:tcPr>
            <w:tcW w:w="7612" w:type="dxa"/>
            <w:noWrap/>
            <w:hideMark/>
          </w:tcPr>
          <w:p w14:paraId="0F91CF16" w14:textId="77777777" w:rsidR="00777F26" w:rsidRPr="00E54DE0" w:rsidRDefault="00777F26" w:rsidP="00E54DE0">
            <w:pPr>
              <w:contextualSpacing/>
              <w:rPr>
                <w:rFonts w:cs="Arial"/>
                <w:sz w:val="20"/>
                <w:szCs w:val="20"/>
              </w:rPr>
            </w:pPr>
            <w:r w:rsidRPr="00E54DE0">
              <w:rPr>
                <w:rFonts w:cs="Arial"/>
                <w:sz w:val="20"/>
                <w:szCs w:val="20"/>
              </w:rPr>
              <w:t xml:space="preserve">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(PBS) are fulfilled, if: </w:t>
            </w:r>
          </w:p>
          <w:p w14:paraId="67C2402D" w14:textId="77777777" w:rsidR="00777F26" w:rsidRPr="00E54DE0" w:rsidRDefault="00777F26" w:rsidP="00E54DE0">
            <w:pPr>
              <w:contextualSpacing/>
              <w:rPr>
                <w:rFonts w:cs="Arial"/>
                <w:sz w:val="20"/>
                <w:szCs w:val="20"/>
              </w:rPr>
            </w:pPr>
            <w:r w:rsidRPr="00E54DE0">
              <w:rPr>
                <w:rFonts w:cs="Arial"/>
                <w:sz w:val="20"/>
                <w:szCs w:val="20"/>
              </w:rPr>
              <w:t xml:space="preserve">(a) the test is conducted for all clinically relevant mutations on KRAS exons 2, 3 and 4 and NRAS exons 2, 3, and 4; or </w:t>
            </w:r>
          </w:p>
          <w:p w14:paraId="2224FF9A" w14:textId="77777777" w:rsidR="00777F26" w:rsidRPr="00E54DE0" w:rsidRDefault="00777F26" w:rsidP="00E54DE0">
            <w:pPr>
              <w:contextualSpacing/>
              <w:rPr>
                <w:rFonts w:cs="Arial"/>
                <w:sz w:val="20"/>
                <w:szCs w:val="20"/>
              </w:rPr>
            </w:pPr>
            <w:r w:rsidRPr="00E54DE0">
              <w:rPr>
                <w:rFonts w:cs="Arial"/>
                <w:sz w:val="20"/>
                <w:szCs w:val="20"/>
              </w:rPr>
              <w:t>(b) a RAS mutation is found.</w:t>
            </w:r>
          </w:p>
        </w:tc>
      </w:tr>
      <w:tr w:rsidR="00777F26" w:rsidRPr="00124177" w14:paraId="0FDEAD7B"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8" w:type="dxa"/>
            <w:noWrap/>
            <w:hideMark/>
          </w:tcPr>
          <w:p w14:paraId="28DB4D0D" w14:textId="77777777" w:rsidR="00777F26" w:rsidRPr="00E54DE0" w:rsidRDefault="00777F26" w:rsidP="00E54DE0">
            <w:pPr>
              <w:rPr>
                <w:rFonts w:cs="Arial"/>
                <w:sz w:val="20"/>
                <w:szCs w:val="20"/>
              </w:rPr>
            </w:pPr>
            <w:r w:rsidRPr="00E54DE0">
              <w:rPr>
                <w:rFonts w:cs="Arial"/>
                <w:sz w:val="20"/>
                <w:szCs w:val="20"/>
              </w:rPr>
              <w:t>73341</w:t>
            </w:r>
          </w:p>
        </w:tc>
        <w:tc>
          <w:tcPr>
            <w:tcW w:w="7612" w:type="dxa"/>
            <w:noWrap/>
            <w:hideMark/>
          </w:tcPr>
          <w:p w14:paraId="0027BF33" w14:textId="77777777" w:rsidR="00777F26" w:rsidRPr="00E54DE0" w:rsidRDefault="00777F26" w:rsidP="00E54DE0">
            <w:pPr>
              <w:rPr>
                <w:rFonts w:cs="Arial"/>
                <w:sz w:val="20"/>
                <w:szCs w:val="20"/>
              </w:rPr>
            </w:pPr>
            <w:r w:rsidRPr="00E54DE0">
              <w:rPr>
                <w:rFonts w:cs="Arial"/>
                <w:sz w:val="20"/>
                <w:szCs w:val="20"/>
              </w:rPr>
              <w:t xml:space="preserve">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 if requirements relating to ALK gene rearrangement status for access to </w:t>
            </w:r>
            <w:proofErr w:type="spellStart"/>
            <w:r w:rsidRPr="00E54DE0">
              <w:rPr>
                <w:rFonts w:cs="Arial"/>
                <w:sz w:val="20"/>
                <w:szCs w:val="20"/>
              </w:rPr>
              <w:t>crizotinib</w:t>
            </w:r>
            <w:proofErr w:type="spellEnd"/>
            <w:r w:rsidRPr="00E54DE0">
              <w:rPr>
                <w:rFonts w:cs="Arial"/>
                <w:sz w:val="20"/>
                <w:szCs w:val="20"/>
              </w:rPr>
              <w:t xml:space="preserve"> or </w:t>
            </w:r>
            <w:proofErr w:type="spellStart"/>
            <w:r w:rsidRPr="00E54DE0">
              <w:rPr>
                <w:rFonts w:cs="Arial"/>
                <w:sz w:val="20"/>
                <w:szCs w:val="20"/>
              </w:rPr>
              <w:t>ceritinib</w:t>
            </w:r>
            <w:proofErr w:type="spellEnd"/>
            <w:r w:rsidRPr="00E54DE0">
              <w:rPr>
                <w:rFonts w:cs="Arial"/>
                <w:sz w:val="20"/>
                <w:szCs w:val="20"/>
              </w:rPr>
              <w:t xml:space="preserve"> under the Pharmaceutical Benefits Scheme (PBS) are fulfilled</w:t>
            </w:r>
          </w:p>
        </w:tc>
      </w:tr>
      <w:tr w:rsidR="00777F26" w:rsidRPr="00124177" w14:paraId="444B4D47" w14:textId="77777777" w:rsidTr="00E54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888" w:type="dxa"/>
            <w:noWrap/>
            <w:hideMark/>
          </w:tcPr>
          <w:p w14:paraId="6CB20E61" w14:textId="77777777" w:rsidR="00777F26" w:rsidRPr="00E54DE0" w:rsidRDefault="00777F26" w:rsidP="00E54DE0">
            <w:pPr>
              <w:rPr>
                <w:rFonts w:cs="Arial"/>
                <w:sz w:val="20"/>
                <w:szCs w:val="20"/>
              </w:rPr>
            </w:pPr>
            <w:r w:rsidRPr="00E54DE0">
              <w:rPr>
                <w:rFonts w:cs="Arial"/>
                <w:sz w:val="20"/>
                <w:szCs w:val="20"/>
              </w:rPr>
              <w:t>73342</w:t>
            </w:r>
          </w:p>
        </w:tc>
        <w:tc>
          <w:tcPr>
            <w:tcW w:w="7612" w:type="dxa"/>
            <w:noWrap/>
            <w:hideMark/>
          </w:tcPr>
          <w:p w14:paraId="05DE82C4" w14:textId="77777777" w:rsidR="00777F26" w:rsidRPr="00E54DE0" w:rsidRDefault="00777F26" w:rsidP="00E54DE0">
            <w:pPr>
              <w:rPr>
                <w:rFonts w:cs="Arial"/>
                <w:sz w:val="20"/>
                <w:szCs w:val="20"/>
              </w:rPr>
            </w:pPr>
            <w:r w:rsidRPr="00E54DE0">
              <w:rPr>
                <w:rFonts w:cs="Arial"/>
                <w:sz w:val="20"/>
                <w:szCs w:val="20"/>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r>
    </w:tbl>
    <w:p w14:paraId="17E07FDA" w14:textId="77777777" w:rsidR="00777F26" w:rsidRDefault="00136E9D">
      <w:pPr>
        <w:rPr>
          <w:rFonts w:ascii="Arial" w:hAnsi="Arial" w:cs="Arial"/>
          <w:sz w:val="18"/>
          <w:szCs w:val="18"/>
        </w:rPr>
      </w:pPr>
      <w:r>
        <w:rPr>
          <w:rFonts w:ascii="Arial" w:hAnsi="Arial" w:cs="Arial"/>
          <w:sz w:val="18"/>
          <w:szCs w:val="18"/>
        </w:rPr>
        <w:br w:type="textWrapping" w:clear="all"/>
      </w:r>
    </w:p>
    <w:p w14:paraId="1A95869E" w14:textId="77777777" w:rsidR="00777F26" w:rsidRPr="00BE060E" w:rsidRDefault="00777F26" w:rsidP="00DF7C6A">
      <w:pPr>
        <w:rPr>
          <w:rFonts w:ascii="Arial" w:hAnsi="Arial" w:cs="Arial"/>
          <w:color w:val="FF0000"/>
          <w:sz w:val="18"/>
          <w:szCs w:val="18"/>
        </w:rPr>
      </w:pPr>
      <w:r w:rsidRPr="00BE060E">
        <w:rPr>
          <w:rFonts w:ascii="Arial" w:hAnsi="Arial" w:cs="Arial"/>
          <w:color w:val="FF0000"/>
          <w:sz w:val="18"/>
          <w:szCs w:val="18"/>
        </w:rPr>
        <w:br w:type="page"/>
      </w:r>
    </w:p>
    <w:p w14:paraId="755A2C9E" w14:textId="77777777" w:rsidR="00777F26" w:rsidRDefault="00777F26" w:rsidP="00793DCE">
      <w:pPr>
        <w:pStyle w:val="Heading1"/>
        <w:numPr>
          <w:ilvl w:val="0"/>
          <w:numId w:val="0"/>
        </w:numPr>
        <w:ind w:left="567" w:hanging="567"/>
      </w:pPr>
      <w:bookmarkStart w:id="105" w:name="_Toc514243842"/>
      <w:r w:rsidRPr="00DF5475">
        <w:lastRenderedPageBreak/>
        <w:t>Appendix B- New</w:t>
      </w:r>
      <w:r>
        <w:t xml:space="preserve"> or split</w:t>
      </w:r>
      <w:r w:rsidRPr="00DF5475">
        <w:t xml:space="preserve"> items</w:t>
      </w:r>
      <w:bookmarkEnd w:id="105"/>
      <w:r w:rsidRPr="00DF5475">
        <w:t xml:space="preserve"> </w:t>
      </w:r>
    </w:p>
    <w:p w14:paraId="1F6EA5B5" w14:textId="77777777" w:rsidR="008B0239" w:rsidRPr="008B0239" w:rsidRDefault="008B0239" w:rsidP="008B0239">
      <w:pPr>
        <w:pStyle w:val="Caption"/>
        <w:rPr>
          <w:highlight w:val="lightGray"/>
        </w:rPr>
      </w:pPr>
      <w:r>
        <w:t xml:space="preserve">Table 23.  New or split items recommendations </w:t>
      </w:r>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720"/>
        <w:gridCol w:w="4498"/>
        <w:gridCol w:w="1907"/>
        <w:gridCol w:w="1891"/>
      </w:tblGrid>
      <w:tr w:rsidR="00777F26" w:rsidRPr="00DF5475" w14:paraId="4A702497" w14:textId="77777777" w:rsidTr="009876E7">
        <w:trPr>
          <w:trHeight w:val="460"/>
          <w:tblHeader/>
        </w:trPr>
        <w:tc>
          <w:tcPr>
            <w:tcW w:w="723" w:type="dxa"/>
            <w:shd w:val="clear" w:color="auto" w:fill="F2F2F2" w:themeFill="background1" w:themeFillShade="F2"/>
            <w:vAlign w:val="bottom"/>
          </w:tcPr>
          <w:p w14:paraId="72D7D16A" w14:textId="77777777" w:rsidR="00777F26" w:rsidRPr="00E54DE0" w:rsidRDefault="00777F26" w:rsidP="00E54DE0">
            <w:pPr>
              <w:rPr>
                <w:rFonts w:cs="Arial"/>
                <w:sz w:val="20"/>
                <w:szCs w:val="20"/>
              </w:rPr>
            </w:pPr>
            <w:r w:rsidRPr="00E54DE0">
              <w:rPr>
                <w:rFonts w:cs="Arial"/>
                <w:b/>
                <w:sz w:val="20"/>
                <w:szCs w:val="20"/>
              </w:rPr>
              <w:t>Item</w:t>
            </w:r>
          </w:p>
        </w:tc>
        <w:tc>
          <w:tcPr>
            <w:tcW w:w="4539" w:type="dxa"/>
            <w:shd w:val="clear" w:color="auto" w:fill="F2F2F2" w:themeFill="background1" w:themeFillShade="F2"/>
            <w:vAlign w:val="bottom"/>
          </w:tcPr>
          <w:p w14:paraId="5C89C658" w14:textId="77777777" w:rsidR="00777F26" w:rsidRPr="00E54DE0" w:rsidRDefault="00777F26" w:rsidP="00E54DE0">
            <w:pPr>
              <w:rPr>
                <w:rFonts w:cs="Arial"/>
                <w:sz w:val="20"/>
                <w:szCs w:val="20"/>
              </w:rPr>
            </w:pPr>
            <w:r w:rsidRPr="00E54DE0">
              <w:rPr>
                <w:rFonts w:cs="Arial"/>
                <w:b/>
                <w:sz w:val="20"/>
                <w:szCs w:val="20"/>
              </w:rPr>
              <w:t>Descriptor</w:t>
            </w:r>
          </w:p>
        </w:tc>
        <w:tc>
          <w:tcPr>
            <w:tcW w:w="1913" w:type="dxa"/>
            <w:shd w:val="clear" w:color="auto" w:fill="F2F2F2" w:themeFill="background1" w:themeFillShade="F2"/>
            <w:vAlign w:val="bottom"/>
          </w:tcPr>
          <w:p w14:paraId="2C8AFB1B" w14:textId="77777777" w:rsidR="00777F26" w:rsidRPr="00E54DE0" w:rsidRDefault="00777F26" w:rsidP="00E54DE0">
            <w:pPr>
              <w:rPr>
                <w:rFonts w:cs="Arial"/>
                <w:sz w:val="20"/>
                <w:szCs w:val="20"/>
              </w:rPr>
            </w:pPr>
            <w:r w:rsidRPr="00E54DE0">
              <w:rPr>
                <w:rFonts w:cs="Arial"/>
                <w:b/>
                <w:sz w:val="20"/>
                <w:szCs w:val="20"/>
              </w:rPr>
              <w:t>Recommendation</w:t>
            </w:r>
          </w:p>
        </w:tc>
        <w:tc>
          <w:tcPr>
            <w:tcW w:w="1907" w:type="dxa"/>
            <w:shd w:val="clear" w:color="auto" w:fill="F2F2F2" w:themeFill="background1" w:themeFillShade="F2"/>
            <w:vAlign w:val="bottom"/>
          </w:tcPr>
          <w:p w14:paraId="6AD00C2E" w14:textId="77777777" w:rsidR="00777F26" w:rsidRPr="00E54DE0" w:rsidRDefault="00777F26" w:rsidP="00E54DE0">
            <w:pPr>
              <w:rPr>
                <w:rFonts w:cs="Arial"/>
                <w:sz w:val="20"/>
                <w:szCs w:val="20"/>
              </w:rPr>
            </w:pPr>
            <w:r w:rsidRPr="00E54DE0">
              <w:rPr>
                <w:rFonts w:cs="Arial"/>
                <w:b/>
                <w:sz w:val="20"/>
                <w:szCs w:val="20"/>
              </w:rPr>
              <w:t>Page reference</w:t>
            </w:r>
          </w:p>
        </w:tc>
      </w:tr>
      <w:tr w:rsidR="00777F26" w:rsidRPr="00DF5475" w14:paraId="5FA1F25F" w14:textId="77777777" w:rsidTr="009876E7">
        <w:tc>
          <w:tcPr>
            <w:tcW w:w="723" w:type="dxa"/>
          </w:tcPr>
          <w:p w14:paraId="4B3893A4" w14:textId="77777777" w:rsidR="00777F26" w:rsidRPr="00E54DE0" w:rsidRDefault="00777F26" w:rsidP="00E54DE0">
            <w:pPr>
              <w:rPr>
                <w:rFonts w:cs="Arial"/>
                <w:sz w:val="20"/>
                <w:szCs w:val="20"/>
                <w:lang w:val="en-US"/>
              </w:rPr>
            </w:pPr>
            <w:r w:rsidRPr="00E54DE0">
              <w:rPr>
                <w:rFonts w:cs="Arial"/>
                <w:sz w:val="20"/>
                <w:szCs w:val="20"/>
                <w:lang w:val="en-US"/>
              </w:rPr>
              <w:t>728xx</w:t>
            </w:r>
          </w:p>
        </w:tc>
        <w:tc>
          <w:tcPr>
            <w:tcW w:w="4539" w:type="dxa"/>
          </w:tcPr>
          <w:p w14:paraId="5484CBCD" w14:textId="77777777" w:rsidR="00777F26" w:rsidRPr="00E54DE0" w:rsidRDefault="00777F26" w:rsidP="00E54DE0">
            <w:pPr>
              <w:rPr>
                <w:rFonts w:cs="Arial"/>
                <w:sz w:val="20"/>
                <w:szCs w:val="20"/>
                <w:lang w:val="en-US"/>
              </w:rPr>
            </w:pPr>
            <w:r w:rsidRPr="00E54DE0">
              <w:rPr>
                <w:rFonts w:cs="Arial"/>
                <w:sz w:val="20"/>
                <w:szCs w:val="20"/>
                <w:lang w:val="en-US"/>
              </w:rPr>
              <w:t xml:space="preserve">A second opinion, provided in a written report, where the opinion and report together require more than 30 minutes to complete, on a patient specimen, initiated </w:t>
            </w:r>
            <w:r w:rsidRPr="009876E7">
              <w:rPr>
                <w:rFonts w:cs="Arial"/>
                <w:sz w:val="20"/>
                <w:szCs w:val="20"/>
                <w:u w:val="single"/>
                <w:lang w:val="en-US"/>
              </w:rPr>
              <w:t>by the reporting pathologist</w:t>
            </w:r>
            <w:r w:rsidRPr="00E54DE0">
              <w:rPr>
                <w:rFonts w:cs="Arial"/>
                <w:sz w:val="20"/>
                <w:szCs w:val="20"/>
                <w:lang w:val="en-US"/>
              </w:rPr>
              <w:t xml:space="preserve"> and co-requested by a treating practitioner, where further information is needed for accurate diagnosis and/or appropriate patient management.</w:t>
            </w:r>
          </w:p>
        </w:tc>
        <w:tc>
          <w:tcPr>
            <w:tcW w:w="1913" w:type="dxa"/>
          </w:tcPr>
          <w:p w14:paraId="058B4D6B" w14:textId="77777777" w:rsidR="00777F26" w:rsidRPr="00E54DE0" w:rsidRDefault="00777F26" w:rsidP="00E54DE0">
            <w:pPr>
              <w:rPr>
                <w:rFonts w:cs="Arial"/>
                <w:sz w:val="20"/>
                <w:szCs w:val="20"/>
                <w:lang w:val="en-US"/>
              </w:rPr>
            </w:pPr>
            <w:r w:rsidRPr="00E54DE0">
              <w:rPr>
                <w:rFonts w:cs="Arial"/>
                <w:sz w:val="20"/>
                <w:szCs w:val="20"/>
                <w:lang w:val="en-US"/>
              </w:rPr>
              <w:t xml:space="preserve">Split item 72858 into: pathologist-requested second opinions and non-pathologist clinician requested second opinions. </w:t>
            </w:r>
          </w:p>
        </w:tc>
        <w:tc>
          <w:tcPr>
            <w:tcW w:w="1907" w:type="dxa"/>
          </w:tcPr>
          <w:p w14:paraId="4C25C275" w14:textId="77777777" w:rsidR="00777F26" w:rsidRPr="00E54DE0" w:rsidRDefault="008B0239" w:rsidP="00E54DE0">
            <w:pPr>
              <w:rPr>
                <w:rFonts w:cs="Arial"/>
                <w:sz w:val="20"/>
                <w:szCs w:val="20"/>
                <w:lang w:val="en-US"/>
              </w:rPr>
            </w:pPr>
            <w:r>
              <w:rPr>
                <w:rFonts w:cs="Arial"/>
                <w:sz w:val="20"/>
                <w:szCs w:val="20"/>
                <w:lang w:val="en-US"/>
              </w:rPr>
              <w:t>48</w:t>
            </w:r>
          </w:p>
        </w:tc>
      </w:tr>
      <w:tr w:rsidR="009876E7" w:rsidRPr="00DF5475" w14:paraId="054668F9" w14:textId="77777777" w:rsidTr="008B0239">
        <w:tc>
          <w:tcPr>
            <w:tcW w:w="723" w:type="dxa"/>
          </w:tcPr>
          <w:p w14:paraId="62DC079E" w14:textId="77777777" w:rsidR="009876E7" w:rsidRPr="00E54DE0" w:rsidRDefault="009876E7" w:rsidP="008B0239">
            <w:pPr>
              <w:rPr>
                <w:rFonts w:cs="Arial"/>
                <w:sz w:val="20"/>
                <w:szCs w:val="20"/>
                <w:lang w:val="en-US"/>
              </w:rPr>
            </w:pPr>
            <w:r w:rsidRPr="00E54DE0">
              <w:rPr>
                <w:rFonts w:cs="Arial"/>
                <w:sz w:val="20"/>
                <w:szCs w:val="20"/>
                <w:lang w:val="en-US"/>
              </w:rPr>
              <w:t>728xx</w:t>
            </w:r>
          </w:p>
        </w:tc>
        <w:tc>
          <w:tcPr>
            <w:tcW w:w="4539" w:type="dxa"/>
          </w:tcPr>
          <w:p w14:paraId="2E1D21D3" w14:textId="77777777" w:rsidR="009876E7" w:rsidRPr="00E54DE0" w:rsidRDefault="009876E7" w:rsidP="008B0239">
            <w:pPr>
              <w:rPr>
                <w:rFonts w:cs="Arial"/>
                <w:sz w:val="20"/>
                <w:szCs w:val="20"/>
                <w:lang w:val="en-US"/>
              </w:rPr>
            </w:pPr>
            <w:r w:rsidRPr="00E54DE0">
              <w:rPr>
                <w:rFonts w:cs="Arial"/>
                <w:sz w:val="20"/>
                <w:szCs w:val="20"/>
                <w:lang w:val="en-US"/>
              </w:rPr>
              <w:t xml:space="preserve">A second opinion, provided in a written report, where the opinion and report together require more than 30 minutes to complete, on a patient specimen, initiated </w:t>
            </w:r>
            <w:r w:rsidRPr="009876E7">
              <w:rPr>
                <w:rFonts w:cs="Arial"/>
                <w:sz w:val="20"/>
                <w:szCs w:val="20"/>
                <w:u w:val="single"/>
                <w:lang w:val="en-US"/>
              </w:rPr>
              <w:t>by the reporting pathologist</w:t>
            </w:r>
            <w:r w:rsidRPr="00E54DE0">
              <w:rPr>
                <w:rFonts w:cs="Arial"/>
                <w:sz w:val="20"/>
                <w:szCs w:val="20"/>
                <w:lang w:val="en-US"/>
              </w:rPr>
              <w:t xml:space="preserve"> and co-requested by a treating practitioner, where further information is needed for accurate diagnosis and/or appropriate patient management.</w:t>
            </w:r>
          </w:p>
        </w:tc>
        <w:tc>
          <w:tcPr>
            <w:tcW w:w="1913" w:type="dxa"/>
          </w:tcPr>
          <w:p w14:paraId="2EA764EF" w14:textId="77777777" w:rsidR="009876E7" w:rsidRPr="00E54DE0" w:rsidRDefault="009876E7" w:rsidP="008B0239">
            <w:pPr>
              <w:rPr>
                <w:rFonts w:cs="Arial"/>
                <w:sz w:val="20"/>
                <w:szCs w:val="20"/>
                <w:lang w:val="en-US"/>
              </w:rPr>
            </w:pPr>
            <w:r w:rsidRPr="00E54DE0">
              <w:rPr>
                <w:rFonts w:cs="Arial"/>
                <w:sz w:val="20"/>
                <w:szCs w:val="20"/>
                <w:lang w:val="en-US"/>
              </w:rPr>
              <w:t>Split item 72859 into: pathologist-requested second opinions and non-pathologist clinician requested second opinions.</w:t>
            </w:r>
          </w:p>
        </w:tc>
        <w:tc>
          <w:tcPr>
            <w:tcW w:w="1907" w:type="dxa"/>
          </w:tcPr>
          <w:p w14:paraId="66D7F106" w14:textId="77777777" w:rsidR="009876E7" w:rsidRPr="00E54DE0" w:rsidRDefault="008B0239" w:rsidP="008B0239">
            <w:pPr>
              <w:rPr>
                <w:rFonts w:cs="Arial"/>
                <w:sz w:val="20"/>
                <w:szCs w:val="20"/>
                <w:lang w:val="en-US"/>
              </w:rPr>
            </w:pPr>
            <w:r>
              <w:rPr>
                <w:rFonts w:cs="Arial"/>
                <w:sz w:val="20"/>
                <w:szCs w:val="20"/>
                <w:lang w:val="en-US"/>
              </w:rPr>
              <w:t>48</w:t>
            </w:r>
          </w:p>
        </w:tc>
      </w:tr>
      <w:tr w:rsidR="009876E7" w:rsidRPr="00DF5475" w14:paraId="57F33E84" w14:textId="77777777" w:rsidTr="008B0239">
        <w:tc>
          <w:tcPr>
            <w:tcW w:w="723" w:type="dxa"/>
          </w:tcPr>
          <w:p w14:paraId="7935BA3F" w14:textId="77777777" w:rsidR="009876E7" w:rsidRPr="00F73114" w:rsidRDefault="009876E7" w:rsidP="008B0239">
            <w:pPr>
              <w:rPr>
                <w:rFonts w:cs="Arial"/>
                <w:sz w:val="20"/>
                <w:szCs w:val="20"/>
                <w:lang w:val="en-US"/>
              </w:rPr>
            </w:pPr>
            <w:r w:rsidRPr="00F73114">
              <w:rPr>
                <w:rFonts w:cs="Arial"/>
                <w:sz w:val="20"/>
                <w:szCs w:val="20"/>
                <w:lang w:val="en-US"/>
              </w:rPr>
              <w:t>728xx</w:t>
            </w:r>
          </w:p>
        </w:tc>
        <w:tc>
          <w:tcPr>
            <w:tcW w:w="4539" w:type="dxa"/>
          </w:tcPr>
          <w:p w14:paraId="1D370005" w14:textId="77777777" w:rsidR="009876E7" w:rsidRPr="00F73114" w:rsidRDefault="00322862" w:rsidP="00322862">
            <w:pPr>
              <w:rPr>
                <w:rFonts w:cs="Arial"/>
                <w:sz w:val="20"/>
                <w:szCs w:val="20"/>
                <w:lang w:val="en-US"/>
              </w:rPr>
            </w:pPr>
            <w:r w:rsidRPr="00F73114">
              <w:rPr>
                <w:rFonts w:cs="Arial"/>
                <w:sz w:val="20"/>
                <w:szCs w:val="20"/>
                <w:lang w:val="en-US"/>
              </w:rPr>
              <w:t xml:space="preserve">Chromogenic in situ hybridization performed on biopsy material </w:t>
            </w:r>
            <w:proofErr w:type="gramStart"/>
            <w:r w:rsidRPr="00F73114">
              <w:rPr>
                <w:rFonts w:cs="Arial"/>
                <w:sz w:val="20"/>
                <w:szCs w:val="20"/>
                <w:lang w:val="en-US"/>
              </w:rPr>
              <w:t>involving  immunohistochemical</w:t>
            </w:r>
            <w:proofErr w:type="gramEnd"/>
            <w:r w:rsidRPr="00F73114">
              <w:rPr>
                <w:rFonts w:cs="Arial"/>
                <w:sz w:val="20"/>
                <w:szCs w:val="20"/>
                <w:lang w:val="en-US"/>
              </w:rPr>
              <w:t xml:space="preserve"> localization of nucleic acid target</w:t>
            </w:r>
          </w:p>
        </w:tc>
        <w:tc>
          <w:tcPr>
            <w:tcW w:w="1913" w:type="dxa"/>
          </w:tcPr>
          <w:p w14:paraId="6208807A" w14:textId="77777777" w:rsidR="009876E7" w:rsidRPr="00F73114" w:rsidRDefault="009876E7" w:rsidP="008B0239">
            <w:pPr>
              <w:rPr>
                <w:rFonts w:cs="Arial"/>
                <w:sz w:val="20"/>
                <w:szCs w:val="20"/>
                <w:lang w:val="en-US"/>
              </w:rPr>
            </w:pPr>
            <w:r w:rsidRPr="00F73114">
              <w:rPr>
                <w:rFonts w:cs="Arial"/>
                <w:sz w:val="20"/>
                <w:szCs w:val="20"/>
                <w:lang w:val="en-US"/>
              </w:rPr>
              <w:t>Create 3</w:t>
            </w:r>
            <w:r w:rsidRPr="00F73114">
              <w:rPr>
                <w:rFonts w:cs="Arial"/>
                <w:sz w:val="20"/>
                <w:szCs w:val="20"/>
                <w:vertAlign w:val="superscript"/>
                <w:lang w:val="en-US"/>
              </w:rPr>
              <w:t>rd</w:t>
            </w:r>
            <w:r w:rsidRPr="00F73114">
              <w:rPr>
                <w:rFonts w:cs="Arial"/>
                <w:sz w:val="20"/>
                <w:szCs w:val="20"/>
                <w:lang w:val="en-US"/>
              </w:rPr>
              <w:t xml:space="preserve"> tier IHC item for use of chromogenic in situ hybridization assays on tissue sections </w:t>
            </w:r>
          </w:p>
        </w:tc>
        <w:tc>
          <w:tcPr>
            <w:tcW w:w="1907" w:type="dxa"/>
          </w:tcPr>
          <w:p w14:paraId="7B35BF27" w14:textId="77777777" w:rsidR="009876E7" w:rsidRPr="00F73114" w:rsidRDefault="00322862" w:rsidP="008B0239">
            <w:pPr>
              <w:rPr>
                <w:rFonts w:cs="Arial"/>
                <w:sz w:val="20"/>
                <w:szCs w:val="20"/>
                <w:lang w:val="en-US"/>
              </w:rPr>
            </w:pPr>
            <w:r w:rsidRPr="00F73114">
              <w:rPr>
                <w:rFonts w:cs="Arial"/>
                <w:sz w:val="20"/>
                <w:szCs w:val="20"/>
                <w:lang w:val="en-US"/>
              </w:rPr>
              <w:t>37</w:t>
            </w:r>
          </w:p>
        </w:tc>
      </w:tr>
    </w:tbl>
    <w:p w14:paraId="29B237D4" w14:textId="77777777" w:rsidR="009876E7" w:rsidRDefault="009876E7" w:rsidP="009549A0">
      <w:pPr>
        <w:pStyle w:val="AppendixStyle1"/>
        <w:numPr>
          <w:ilvl w:val="0"/>
          <w:numId w:val="0"/>
        </w:numPr>
        <w:ind w:left="360" w:hanging="360"/>
      </w:pPr>
      <w:bookmarkStart w:id="106" w:name="_Toc482203599"/>
    </w:p>
    <w:p w14:paraId="35148CBE" w14:textId="77777777" w:rsidR="009876E7" w:rsidRDefault="009876E7" w:rsidP="009549A0">
      <w:pPr>
        <w:pStyle w:val="AppendixStyle1"/>
        <w:numPr>
          <w:ilvl w:val="0"/>
          <w:numId w:val="0"/>
        </w:numPr>
        <w:ind w:left="360" w:hanging="360"/>
      </w:pPr>
    </w:p>
    <w:p w14:paraId="70682EDC" w14:textId="77777777" w:rsidR="009876E7" w:rsidRDefault="009876E7" w:rsidP="009549A0">
      <w:pPr>
        <w:pStyle w:val="AppendixStyle1"/>
        <w:numPr>
          <w:ilvl w:val="0"/>
          <w:numId w:val="0"/>
        </w:numPr>
        <w:ind w:left="360" w:hanging="360"/>
      </w:pPr>
    </w:p>
    <w:p w14:paraId="67DAA5F4" w14:textId="77777777" w:rsidR="009876E7" w:rsidRDefault="009876E7" w:rsidP="009549A0">
      <w:pPr>
        <w:pStyle w:val="AppendixStyle1"/>
        <w:numPr>
          <w:ilvl w:val="0"/>
          <w:numId w:val="0"/>
        </w:numPr>
        <w:ind w:left="360" w:hanging="360"/>
      </w:pPr>
    </w:p>
    <w:p w14:paraId="4A1D818B" w14:textId="77777777" w:rsidR="009876E7" w:rsidRDefault="009876E7" w:rsidP="009549A0">
      <w:pPr>
        <w:pStyle w:val="AppendixStyle1"/>
        <w:numPr>
          <w:ilvl w:val="0"/>
          <w:numId w:val="0"/>
        </w:numPr>
        <w:ind w:left="360" w:hanging="360"/>
      </w:pPr>
    </w:p>
    <w:p w14:paraId="68FF8DA8" w14:textId="77777777" w:rsidR="009876E7" w:rsidRDefault="009876E7" w:rsidP="009549A0">
      <w:pPr>
        <w:pStyle w:val="AppendixStyle1"/>
        <w:numPr>
          <w:ilvl w:val="0"/>
          <w:numId w:val="0"/>
        </w:numPr>
        <w:ind w:left="360" w:hanging="360"/>
      </w:pPr>
    </w:p>
    <w:p w14:paraId="2EEA4FE8" w14:textId="77777777" w:rsidR="009876E7" w:rsidRDefault="009876E7" w:rsidP="009549A0">
      <w:pPr>
        <w:pStyle w:val="AppendixStyle1"/>
        <w:numPr>
          <w:ilvl w:val="0"/>
          <w:numId w:val="0"/>
        </w:numPr>
        <w:ind w:left="360" w:hanging="360"/>
      </w:pPr>
    </w:p>
    <w:p w14:paraId="6E084401" w14:textId="77777777" w:rsidR="009876E7" w:rsidRDefault="009876E7" w:rsidP="009549A0">
      <w:pPr>
        <w:pStyle w:val="AppendixStyle1"/>
        <w:numPr>
          <w:ilvl w:val="0"/>
          <w:numId w:val="0"/>
        </w:numPr>
        <w:ind w:left="360" w:hanging="360"/>
      </w:pPr>
    </w:p>
    <w:p w14:paraId="4E25DA91" w14:textId="77777777" w:rsidR="009876E7" w:rsidRDefault="009876E7" w:rsidP="009549A0">
      <w:pPr>
        <w:pStyle w:val="AppendixStyle1"/>
        <w:numPr>
          <w:ilvl w:val="0"/>
          <w:numId w:val="0"/>
        </w:numPr>
        <w:ind w:left="360" w:hanging="360"/>
      </w:pPr>
    </w:p>
    <w:p w14:paraId="1D3EBE6D" w14:textId="77777777" w:rsidR="009876E7" w:rsidRDefault="009876E7" w:rsidP="009549A0">
      <w:pPr>
        <w:pStyle w:val="AppendixStyle1"/>
        <w:numPr>
          <w:ilvl w:val="0"/>
          <w:numId w:val="0"/>
        </w:numPr>
        <w:ind w:left="360" w:hanging="360"/>
      </w:pPr>
    </w:p>
    <w:p w14:paraId="0B1C1599" w14:textId="77777777" w:rsidR="009876E7" w:rsidRDefault="009876E7" w:rsidP="009549A0">
      <w:pPr>
        <w:pStyle w:val="AppendixStyle1"/>
        <w:numPr>
          <w:ilvl w:val="0"/>
          <w:numId w:val="0"/>
        </w:numPr>
        <w:ind w:left="360" w:hanging="360"/>
      </w:pPr>
    </w:p>
    <w:p w14:paraId="4F753252" w14:textId="77777777" w:rsidR="009876E7" w:rsidRDefault="009876E7" w:rsidP="009549A0">
      <w:pPr>
        <w:pStyle w:val="AppendixStyle1"/>
        <w:numPr>
          <w:ilvl w:val="0"/>
          <w:numId w:val="0"/>
        </w:numPr>
        <w:ind w:left="360" w:hanging="360"/>
      </w:pPr>
    </w:p>
    <w:p w14:paraId="5E186647" w14:textId="77777777" w:rsidR="009876E7" w:rsidRDefault="009876E7" w:rsidP="009549A0">
      <w:pPr>
        <w:pStyle w:val="AppendixStyle1"/>
        <w:numPr>
          <w:ilvl w:val="0"/>
          <w:numId w:val="0"/>
        </w:numPr>
        <w:ind w:left="360" w:hanging="360"/>
      </w:pPr>
    </w:p>
    <w:p w14:paraId="6918A09C" w14:textId="77777777" w:rsidR="009876E7" w:rsidRDefault="009876E7" w:rsidP="009549A0">
      <w:pPr>
        <w:pStyle w:val="AppendixStyle1"/>
        <w:numPr>
          <w:ilvl w:val="0"/>
          <w:numId w:val="0"/>
        </w:numPr>
        <w:ind w:left="360" w:hanging="360"/>
      </w:pPr>
    </w:p>
    <w:p w14:paraId="70D6734F" w14:textId="77777777" w:rsidR="009876E7" w:rsidRDefault="009876E7" w:rsidP="009549A0">
      <w:pPr>
        <w:pStyle w:val="AppendixStyle1"/>
        <w:numPr>
          <w:ilvl w:val="0"/>
          <w:numId w:val="0"/>
        </w:numPr>
        <w:ind w:left="360" w:hanging="360"/>
      </w:pPr>
    </w:p>
    <w:p w14:paraId="6E129A74" w14:textId="77777777" w:rsidR="009876E7" w:rsidRDefault="009876E7" w:rsidP="009549A0">
      <w:pPr>
        <w:pStyle w:val="AppendixStyle1"/>
        <w:numPr>
          <w:ilvl w:val="0"/>
          <w:numId w:val="0"/>
        </w:numPr>
        <w:ind w:left="360" w:hanging="360"/>
      </w:pPr>
    </w:p>
    <w:p w14:paraId="5ABC3E9D" w14:textId="77777777" w:rsidR="009876E7" w:rsidRDefault="009876E7" w:rsidP="009549A0">
      <w:pPr>
        <w:pStyle w:val="AppendixStyle1"/>
        <w:numPr>
          <w:ilvl w:val="0"/>
          <w:numId w:val="0"/>
        </w:numPr>
        <w:ind w:left="360" w:hanging="360"/>
      </w:pPr>
    </w:p>
    <w:p w14:paraId="02BAEB39" w14:textId="77777777" w:rsidR="00ED7D2E" w:rsidRPr="00EE461D" w:rsidRDefault="006F10C0" w:rsidP="009549A0">
      <w:pPr>
        <w:pStyle w:val="AppendixStyle1"/>
        <w:numPr>
          <w:ilvl w:val="0"/>
          <w:numId w:val="0"/>
        </w:numPr>
        <w:ind w:left="360" w:hanging="360"/>
        <w:rPr>
          <w:highlight w:val="yellow"/>
        </w:rPr>
      </w:pPr>
      <w:bookmarkStart w:id="107" w:name="_Toc514243843"/>
      <w:r>
        <w:lastRenderedPageBreak/>
        <w:t>Appendix C</w:t>
      </w:r>
      <w:r w:rsidR="00E04CA8">
        <w:tab/>
      </w:r>
      <w:r w:rsidR="009734E5">
        <w:t>Summary for consumers</w:t>
      </w:r>
      <w:bookmarkEnd w:id="106"/>
      <w:bookmarkEnd w:id="107"/>
    </w:p>
    <w:p w14:paraId="57DEA98B" w14:textId="77777777" w:rsidR="0076706F" w:rsidRPr="0095071F" w:rsidRDefault="00765A97" w:rsidP="00772F53">
      <w:pPr>
        <w:pStyle w:val="AppendixStyle2"/>
        <w:numPr>
          <w:ilvl w:val="0"/>
          <w:numId w:val="0"/>
        </w:numPr>
      </w:pPr>
      <w:bookmarkStart w:id="108" w:name="_Toc459291163"/>
      <w:bookmarkStart w:id="109" w:name="_Toc482203600"/>
      <w:bookmarkStart w:id="110" w:name="_Toc514243844"/>
      <w:r>
        <w:t>Pathology</w:t>
      </w:r>
      <w:r w:rsidR="00ED7D2E">
        <w:t xml:space="preserve"> Clinical Committee</w:t>
      </w:r>
      <w:r w:rsidR="00ED7D2E" w:rsidRPr="00227512">
        <w:t xml:space="preserve"> </w:t>
      </w:r>
      <w:r>
        <w:t>(Anatomical Pathology/Cytology Working Group)</w:t>
      </w:r>
      <w:r w:rsidR="00DF10F2">
        <w:t xml:space="preserve"> </w:t>
      </w:r>
      <w:r w:rsidR="00ED7D2E" w:rsidRPr="00227512">
        <w:t>recommendations</w:t>
      </w:r>
      <w:bookmarkEnd w:id="108"/>
      <w:bookmarkEnd w:id="109"/>
      <w:bookmarkEnd w:id="110"/>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76706F" w:rsidRPr="00ED7D2E" w14:paraId="721D00BC" w14:textId="77777777" w:rsidTr="009C162C">
        <w:trPr>
          <w:cantSplit/>
          <w:tblHeader/>
        </w:trPr>
        <w:tc>
          <w:tcPr>
            <w:tcW w:w="14174" w:type="dxa"/>
            <w:shd w:val="clear" w:color="auto" w:fill="BFBFBF" w:themeFill="background1" w:themeFillShade="BF"/>
          </w:tcPr>
          <w:p w14:paraId="141B306A" w14:textId="77777777" w:rsidR="0076706F" w:rsidRPr="00101410" w:rsidRDefault="0076706F" w:rsidP="00AC5FDC">
            <w:pPr>
              <w:spacing w:before="40" w:after="40"/>
              <w:rPr>
                <w:rFonts w:cs="Arial"/>
                <w:b/>
                <w:sz w:val="18"/>
                <w:szCs w:val="18"/>
                <w:lang w:val="en-US" w:eastAsia="en-US"/>
              </w:rPr>
            </w:pPr>
            <w:r w:rsidRPr="007D1E62">
              <w:rPr>
                <w:b/>
              </w:rPr>
              <w:t xml:space="preserve">Recommendation 1: </w:t>
            </w:r>
            <w:r w:rsidR="00765A97">
              <w:rPr>
                <w:rFonts w:ascii="Calibri" w:hAnsi="Calibri"/>
                <w:b/>
              </w:rPr>
              <w:t>Changes to the complexity table</w:t>
            </w:r>
          </w:p>
        </w:tc>
      </w:tr>
    </w:tbl>
    <w:p w14:paraId="5DB22F45" w14:textId="77777777" w:rsidR="00491E26" w:rsidRDefault="00A85E42" w:rsidP="00A85E42">
      <w:pPr>
        <w:spacing w:before="120" w:after="0"/>
        <w:rPr>
          <w:sz w:val="20"/>
          <w:szCs w:val="20"/>
        </w:rPr>
      </w:pPr>
      <w:r w:rsidRPr="00E04CA8">
        <w:rPr>
          <w:sz w:val="20"/>
          <w:szCs w:val="20"/>
        </w:rPr>
        <w:t xml:space="preserve">Histopathology (or histology) is the examination of </w:t>
      </w:r>
      <w:r w:rsidR="0082635D">
        <w:rPr>
          <w:sz w:val="20"/>
          <w:szCs w:val="20"/>
        </w:rPr>
        <w:t>tissue samples</w:t>
      </w:r>
      <w:r w:rsidRPr="00E04CA8">
        <w:rPr>
          <w:sz w:val="20"/>
          <w:szCs w:val="20"/>
        </w:rPr>
        <w:t xml:space="preserve">. </w:t>
      </w:r>
      <w:r w:rsidR="00D220D1">
        <w:rPr>
          <w:sz w:val="20"/>
          <w:szCs w:val="20"/>
        </w:rPr>
        <w:t xml:space="preserve">It is also known as Tissue Pathology or Anatomical Pathology. </w:t>
      </w:r>
      <w:r w:rsidRPr="00E04CA8">
        <w:rPr>
          <w:sz w:val="20"/>
          <w:szCs w:val="20"/>
        </w:rPr>
        <w:t>Unlike other areas of pathology, there is</w:t>
      </w:r>
      <w:r w:rsidRPr="00A85E42">
        <w:rPr>
          <w:sz w:val="20"/>
          <w:szCs w:val="20"/>
        </w:rPr>
        <w:t xml:space="preserve"> minimal automation of the process</w:t>
      </w:r>
      <w:r w:rsidR="00491E26">
        <w:rPr>
          <w:sz w:val="20"/>
          <w:szCs w:val="20"/>
        </w:rPr>
        <w:t>.</w:t>
      </w:r>
    </w:p>
    <w:p w14:paraId="17CC5764" w14:textId="77777777" w:rsidR="00491E26" w:rsidRDefault="000F2A04" w:rsidP="00A85E42">
      <w:pPr>
        <w:spacing w:before="120" w:after="0"/>
        <w:rPr>
          <w:sz w:val="20"/>
          <w:szCs w:val="20"/>
        </w:rPr>
      </w:pPr>
      <w:r>
        <w:rPr>
          <w:sz w:val="20"/>
          <w:szCs w:val="20"/>
        </w:rPr>
        <w:t xml:space="preserve">Before </w:t>
      </w:r>
      <w:r w:rsidR="00A85E42" w:rsidRPr="00A85E42">
        <w:rPr>
          <w:sz w:val="20"/>
          <w:szCs w:val="20"/>
        </w:rPr>
        <w:t>microscopic examination, scientists prepare the specimen</w:t>
      </w:r>
      <w:r w:rsidR="00491E26">
        <w:rPr>
          <w:sz w:val="20"/>
          <w:szCs w:val="20"/>
        </w:rPr>
        <w:t>.</w:t>
      </w:r>
      <w:r w:rsidR="00CE6155">
        <w:rPr>
          <w:sz w:val="20"/>
          <w:szCs w:val="20"/>
        </w:rPr>
        <w:t xml:space="preserve"> </w:t>
      </w:r>
      <w:r w:rsidR="00A85E42" w:rsidRPr="00A85E42">
        <w:rPr>
          <w:sz w:val="20"/>
          <w:szCs w:val="20"/>
        </w:rPr>
        <w:t xml:space="preserve">The preparation of </w:t>
      </w:r>
      <w:r w:rsidR="0082635D">
        <w:rPr>
          <w:sz w:val="20"/>
          <w:szCs w:val="20"/>
        </w:rPr>
        <w:t xml:space="preserve">tissue </w:t>
      </w:r>
      <w:r w:rsidR="00A85E42" w:rsidRPr="00A85E42">
        <w:rPr>
          <w:sz w:val="20"/>
          <w:szCs w:val="20"/>
        </w:rPr>
        <w:t xml:space="preserve">specimens can be very labour </w:t>
      </w:r>
      <w:proofErr w:type="gramStart"/>
      <w:r w:rsidR="00A85E42" w:rsidRPr="00A85E42">
        <w:rPr>
          <w:sz w:val="20"/>
          <w:szCs w:val="20"/>
        </w:rPr>
        <w:t>intensive</w:t>
      </w:r>
      <w:proofErr w:type="gramEnd"/>
      <w:r w:rsidR="00A85E42" w:rsidRPr="00A85E42">
        <w:rPr>
          <w:sz w:val="20"/>
          <w:szCs w:val="20"/>
        </w:rPr>
        <w:t xml:space="preserve"> and the scientists must be highly skilled</w:t>
      </w:r>
      <w:r w:rsidR="00491E26">
        <w:rPr>
          <w:sz w:val="20"/>
          <w:szCs w:val="20"/>
        </w:rPr>
        <w:t>.</w:t>
      </w:r>
    </w:p>
    <w:p w14:paraId="15414B55" w14:textId="77777777" w:rsidR="00491E26" w:rsidRDefault="00A85E42" w:rsidP="00A85E42">
      <w:pPr>
        <w:spacing w:before="120" w:after="0"/>
        <w:rPr>
          <w:rFonts w:ascii="Calibri" w:hAnsi="Calibri" w:cs="Arial"/>
          <w:sz w:val="20"/>
          <w:szCs w:val="20"/>
        </w:rPr>
      </w:pPr>
      <w:r w:rsidRPr="00A85E42">
        <w:rPr>
          <w:sz w:val="20"/>
          <w:szCs w:val="20"/>
        </w:rPr>
        <w:t>Examination is then performed by a specialist doctor, known as an anatomical pathologist</w:t>
      </w:r>
      <w:r w:rsidR="00491E26">
        <w:rPr>
          <w:sz w:val="20"/>
          <w:szCs w:val="20"/>
        </w:rPr>
        <w:t>.</w:t>
      </w:r>
      <w:r w:rsidR="00CE6155">
        <w:rPr>
          <w:sz w:val="20"/>
          <w:szCs w:val="20"/>
        </w:rPr>
        <w:t xml:space="preserve"> </w:t>
      </w:r>
      <w:r w:rsidRPr="00A85E42">
        <w:rPr>
          <w:sz w:val="20"/>
          <w:szCs w:val="20"/>
        </w:rPr>
        <w:t xml:space="preserve">The examination requires a careful </w:t>
      </w:r>
      <w:r w:rsidR="0082635D">
        <w:rPr>
          <w:sz w:val="20"/>
          <w:szCs w:val="20"/>
        </w:rPr>
        <w:t>examination under a microscope</w:t>
      </w:r>
      <w:r w:rsidRPr="00A85E42">
        <w:rPr>
          <w:sz w:val="20"/>
          <w:szCs w:val="20"/>
        </w:rPr>
        <w:t xml:space="preserve"> and preparation of a written diagnostic report</w:t>
      </w:r>
      <w:r w:rsidR="00491E26">
        <w:rPr>
          <w:rFonts w:ascii="Calibri" w:hAnsi="Calibri" w:cs="Arial"/>
          <w:sz w:val="20"/>
          <w:szCs w:val="20"/>
        </w:rPr>
        <w:t>.</w:t>
      </w:r>
    </w:p>
    <w:p w14:paraId="04F3B19B" w14:textId="77777777" w:rsidR="000F2A04" w:rsidRPr="00E54DE0" w:rsidRDefault="00765A97" w:rsidP="00A85E42">
      <w:pPr>
        <w:spacing w:before="120" w:after="0"/>
        <w:rPr>
          <w:sz w:val="20"/>
          <w:szCs w:val="20"/>
        </w:rPr>
      </w:pPr>
      <w:r w:rsidRPr="00A85E42">
        <w:rPr>
          <w:rFonts w:ascii="Calibri" w:hAnsi="Calibri" w:cs="Arial"/>
          <w:sz w:val="20"/>
          <w:szCs w:val="20"/>
        </w:rPr>
        <w:t xml:space="preserve">Large tissue specimens can be whole organs or parts of an </w:t>
      </w:r>
      <w:r w:rsidRPr="00E54DE0">
        <w:rPr>
          <w:sz w:val="20"/>
          <w:szCs w:val="20"/>
        </w:rPr>
        <w:t>organ from the body that are removed during surgery</w:t>
      </w:r>
      <w:r w:rsidR="00491E26">
        <w:rPr>
          <w:sz w:val="20"/>
          <w:szCs w:val="20"/>
        </w:rPr>
        <w:t>.</w:t>
      </w:r>
      <w:r w:rsidR="00CE6155">
        <w:rPr>
          <w:sz w:val="20"/>
          <w:szCs w:val="20"/>
        </w:rPr>
        <w:t xml:space="preserve"> </w:t>
      </w:r>
      <w:r w:rsidRPr="00E54DE0">
        <w:rPr>
          <w:sz w:val="20"/>
          <w:szCs w:val="20"/>
        </w:rPr>
        <w:t xml:space="preserve">Smaller pieces of tissue removed from </w:t>
      </w:r>
      <w:r w:rsidR="008F09D8" w:rsidRPr="00E54DE0">
        <w:rPr>
          <w:sz w:val="20"/>
          <w:szCs w:val="20"/>
        </w:rPr>
        <w:t xml:space="preserve">skin or </w:t>
      </w:r>
      <w:r w:rsidRPr="00E54DE0">
        <w:rPr>
          <w:sz w:val="20"/>
          <w:szCs w:val="20"/>
        </w:rPr>
        <w:t>organs are called biopsies.</w:t>
      </w:r>
    </w:p>
    <w:p w14:paraId="13F143DB" w14:textId="77777777" w:rsidR="00491E26" w:rsidRDefault="00765A97" w:rsidP="00A85E42">
      <w:pPr>
        <w:spacing w:before="120" w:after="0"/>
        <w:rPr>
          <w:rFonts w:ascii="Calibri" w:hAnsi="Calibri" w:cs="Arial"/>
          <w:sz w:val="20"/>
          <w:szCs w:val="20"/>
        </w:rPr>
      </w:pPr>
      <w:r w:rsidRPr="00E54DE0">
        <w:rPr>
          <w:rFonts w:ascii="Calibri" w:hAnsi="Calibri" w:cs="Arial"/>
          <w:sz w:val="20"/>
          <w:szCs w:val="20"/>
        </w:rPr>
        <w:t>The Complexity Table is part of the MBS and contains an alphabetical list of different specimen types classified according to the amount of the time it takes to prepare and examine samples from these different organs</w:t>
      </w:r>
      <w:r w:rsidR="00491E26">
        <w:rPr>
          <w:rFonts w:ascii="Calibri" w:hAnsi="Calibri" w:cs="Arial"/>
          <w:sz w:val="20"/>
          <w:szCs w:val="20"/>
        </w:rPr>
        <w:t>.</w:t>
      </w:r>
    </w:p>
    <w:p w14:paraId="29C4D30B" w14:textId="77777777" w:rsidR="00CE6155" w:rsidRDefault="00765A97" w:rsidP="00A85E42">
      <w:pPr>
        <w:spacing w:before="120" w:after="0"/>
        <w:rPr>
          <w:rFonts w:ascii="Calibri" w:hAnsi="Calibri" w:cs="Arial"/>
          <w:sz w:val="20"/>
          <w:szCs w:val="20"/>
        </w:rPr>
      </w:pPr>
      <w:r w:rsidRPr="00E54DE0">
        <w:rPr>
          <w:rFonts w:ascii="Calibri" w:hAnsi="Calibri" w:cs="Arial"/>
          <w:sz w:val="20"/>
          <w:szCs w:val="20"/>
        </w:rPr>
        <w:t xml:space="preserve">The proposed changes to the </w:t>
      </w:r>
      <w:r w:rsidR="000F2A04">
        <w:rPr>
          <w:rFonts w:ascii="Calibri" w:hAnsi="Calibri" w:cs="Arial"/>
          <w:sz w:val="20"/>
          <w:szCs w:val="20"/>
        </w:rPr>
        <w:t>C</w:t>
      </w:r>
      <w:r w:rsidR="000F2A04" w:rsidRPr="00E54DE0">
        <w:rPr>
          <w:rFonts w:ascii="Calibri" w:hAnsi="Calibri" w:cs="Arial"/>
          <w:sz w:val="20"/>
          <w:szCs w:val="20"/>
        </w:rPr>
        <w:t xml:space="preserve">omplexity </w:t>
      </w:r>
      <w:r w:rsidR="000F2A04">
        <w:rPr>
          <w:rFonts w:ascii="Calibri" w:hAnsi="Calibri" w:cs="Arial"/>
          <w:sz w:val="20"/>
          <w:szCs w:val="20"/>
        </w:rPr>
        <w:t>T</w:t>
      </w:r>
      <w:r w:rsidR="000F2A04" w:rsidRPr="00E54DE0">
        <w:rPr>
          <w:rFonts w:ascii="Calibri" w:hAnsi="Calibri" w:cs="Arial"/>
          <w:sz w:val="20"/>
          <w:szCs w:val="20"/>
        </w:rPr>
        <w:t xml:space="preserve">able </w:t>
      </w:r>
      <w:r w:rsidRPr="00E54DE0">
        <w:rPr>
          <w:rFonts w:ascii="Calibri" w:hAnsi="Calibri" w:cs="Arial"/>
          <w:sz w:val="20"/>
          <w:szCs w:val="20"/>
        </w:rPr>
        <w:t xml:space="preserve">are to ensure that the classification of samples </w:t>
      </w:r>
      <w:r w:rsidR="00A50A03" w:rsidRPr="00E54DE0">
        <w:rPr>
          <w:rFonts w:ascii="Calibri" w:hAnsi="Calibri" w:cs="Arial"/>
          <w:sz w:val="20"/>
          <w:szCs w:val="20"/>
        </w:rPr>
        <w:t xml:space="preserve">from </w:t>
      </w:r>
      <w:r w:rsidRPr="00E54DE0">
        <w:rPr>
          <w:rFonts w:ascii="Calibri" w:hAnsi="Calibri" w:cs="Arial"/>
          <w:sz w:val="20"/>
          <w:szCs w:val="20"/>
        </w:rPr>
        <w:t xml:space="preserve">different organs is accurate and reflects the effort required to </w:t>
      </w:r>
      <w:r w:rsidR="00A50A03" w:rsidRPr="00E54DE0">
        <w:rPr>
          <w:rFonts w:ascii="Calibri" w:hAnsi="Calibri" w:cs="Arial"/>
          <w:sz w:val="20"/>
          <w:szCs w:val="20"/>
        </w:rPr>
        <w:t xml:space="preserve">examine </w:t>
      </w:r>
      <w:r w:rsidRPr="00E54DE0">
        <w:rPr>
          <w:rFonts w:ascii="Calibri" w:hAnsi="Calibri" w:cs="Arial"/>
          <w:sz w:val="20"/>
          <w:szCs w:val="20"/>
        </w:rPr>
        <w:t>them</w:t>
      </w:r>
      <w:r w:rsidR="00491E26">
        <w:rPr>
          <w:rFonts w:ascii="Calibri" w:hAnsi="Calibri" w:cs="Arial"/>
          <w:sz w:val="20"/>
          <w:szCs w:val="20"/>
        </w:rPr>
        <w:t>.</w:t>
      </w:r>
      <w:r w:rsidR="00CE6155">
        <w:rPr>
          <w:rFonts w:ascii="Calibri" w:hAnsi="Calibri" w:cs="Arial"/>
          <w:sz w:val="20"/>
          <w:szCs w:val="20"/>
        </w:rPr>
        <w:t xml:space="preserve"> </w:t>
      </w:r>
      <w:r w:rsidR="00A50A03" w:rsidRPr="00E54DE0">
        <w:rPr>
          <w:rFonts w:ascii="Calibri" w:hAnsi="Calibri" w:cs="Arial"/>
          <w:sz w:val="20"/>
          <w:szCs w:val="20"/>
        </w:rPr>
        <w:t>The proposed changes would potentially result in a 5% increase in payment for the work done by an average laboratory</w:t>
      </w:r>
      <w:r w:rsidR="00491E26">
        <w:rPr>
          <w:rFonts w:ascii="Calibri" w:hAnsi="Calibri" w:cs="Arial"/>
          <w:sz w:val="20"/>
          <w:szCs w:val="20"/>
        </w:rPr>
        <w:t>.</w:t>
      </w:r>
    </w:p>
    <w:p w14:paraId="7EE12675" w14:textId="77777777" w:rsidR="0076706F" w:rsidRPr="00E54DE0" w:rsidRDefault="00A50A03" w:rsidP="00CE6155">
      <w:pPr>
        <w:spacing w:before="120" w:after="240"/>
        <w:rPr>
          <w:rFonts w:ascii="Calibri" w:hAnsi="Calibri" w:cs="Arial"/>
          <w:sz w:val="20"/>
          <w:szCs w:val="20"/>
        </w:rPr>
      </w:pPr>
      <w:r w:rsidRPr="00E54DE0">
        <w:rPr>
          <w:rFonts w:ascii="Calibri" w:hAnsi="Calibri" w:cs="Arial"/>
          <w:sz w:val="20"/>
          <w:szCs w:val="20"/>
        </w:rPr>
        <w:t>This will help maintain the viability of laboratories</w:t>
      </w:r>
      <w:r w:rsidR="000F2A04">
        <w:rPr>
          <w:rFonts w:ascii="Calibri" w:hAnsi="Calibri" w:cs="Arial"/>
          <w:sz w:val="20"/>
          <w:szCs w:val="20"/>
        </w:rPr>
        <w:t>,</w:t>
      </w:r>
      <w:r w:rsidRPr="00E54DE0">
        <w:rPr>
          <w:rFonts w:ascii="Calibri" w:hAnsi="Calibri" w:cs="Arial"/>
          <w:sz w:val="20"/>
          <w:szCs w:val="20"/>
        </w:rPr>
        <w:t xml:space="preserve"> which are currently underfunded for the work they do</w:t>
      </w:r>
      <w:r w:rsidR="00491E26">
        <w:rPr>
          <w:rFonts w:ascii="Calibri" w:hAnsi="Calibri" w:cs="Arial"/>
          <w:sz w:val="20"/>
          <w:szCs w:val="20"/>
        </w:rPr>
        <w:t>.</w:t>
      </w:r>
      <w:r w:rsidR="00CE6155">
        <w:rPr>
          <w:rFonts w:ascii="Calibri" w:hAnsi="Calibri" w:cs="Arial"/>
          <w:sz w:val="20"/>
          <w:szCs w:val="20"/>
        </w:rPr>
        <w:t xml:space="preserve"> </w:t>
      </w:r>
      <w:r w:rsidR="0082635D" w:rsidRPr="00E54DE0">
        <w:rPr>
          <w:rFonts w:ascii="Calibri" w:hAnsi="Calibri" w:cs="Arial"/>
          <w:sz w:val="20"/>
          <w:szCs w:val="20"/>
        </w:rPr>
        <w:t>This is important to ensure that access and equity issues for both the patient and the service are addressed</w:t>
      </w:r>
      <w:r w:rsidR="00CE6155">
        <w:rPr>
          <w:rFonts w:ascii="Calibri" w:hAnsi="Calibri" w:cs="Arial"/>
          <w:sz w:val="20"/>
          <w:szCs w:val="20"/>
        </w:rPr>
        <w:t>.</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76706F" w:rsidRPr="00ED7D2E" w14:paraId="2E91F785" w14:textId="77777777" w:rsidTr="00AC5FDC">
        <w:trPr>
          <w:cantSplit/>
          <w:tblHeader/>
        </w:trPr>
        <w:tc>
          <w:tcPr>
            <w:tcW w:w="14122" w:type="dxa"/>
            <w:shd w:val="clear" w:color="auto" w:fill="BFBFBF" w:themeFill="background1" w:themeFillShade="BF"/>
          </w:tcPr>
          <w:p w14:paraId="1E8D5210" w14:textId="77777777" w:rsidR="0076706F" w:rsidRPr="00101410" w:rsidRDefault="0076706F" w:rsidP="00C01291">
            <w:pPr>
              <w:spacing w:before="40" w:after="40"/>
              <w:rPr>
                <w:rFonts w:cs="Arial"/>
                <w:b/>
                <w:sz w:val="18"/>
                <w:szCs w:val="18"/>
                <w:lang w:val="en-US" w:eastAsia="en-US"/>
              </w:rPr>
            </w:pPr>
            <w:r w:rsidRPr="00101410">
              <w:rPr>
                <w:b/>
              </w:rPr>
              <w:t xml:space="preserve">Recommendation </w:t>
            </w:r>
            <w:r>
              <w:rPr>
                <w:b/>
              </w:rPr>
              <w:t xml:space="preserve">2: </w:t>
            </w:r>
            <w:r w:rsidR="00A50A03">
              <w:rPr>
                <w:rFonts w:ascii="Calibri" w:hAnsi="Calibri"/>
                <w:b/>
              </w:rPr>
              <w:t xml:space="preserve">Changes to coning in </w:t>
            </w:r>
            <w:r w:rsidR="00C01291">
              <w:rPr>
                <w:rFonts w:ascii="Calibri" w:hAnsi="Calibri"/>
                <w:b/>
              </w:rPr>
              <w:t xml:space="preserve">Anatomical Pathology </w:t>
            </w:r>
            <w:r w:rsidR="00A50A03">
              <w:rPr>
                <w:rFonts w:ascii="Calibri" w:hAnsi="Calibri"/>
                <w:b/>
              </w:rPr>
              <w:t>items</w:t>
            </w:r>
          </w:p>
        </w:tc>
      </w:tr>
    </w:tbl>
    <w:p w14:paraId="30D17CA3" w14:textId="77777777" w:rsidR="00491E26" w:rsidRDefault="00A50A03" w:rsidP="000F2A04">
      <w:pPr>
        <w:spacing w:before="120" w:after="0"/>
        <w:rPr>
          <w:rFonts w:ascii="Calibri" w:hAnsi="Calibri" w:cs="Arial"/>
          <w:sz w:val="20"/>
          <w:szCs w:val="20"/>
        </w:rPr>
      </w:pPr>
      <w:r w:rsidRPr="00E54DE0">
        <w:rPr>
          <w:rFonts w:ascii="Calibri" w:hAnsi="Calibri" w:cs="Arial"/>
          <w:sz w:val="20"/>
          <w:szCs w:val="20"/>
        </w:rPr>
        <w:t xml:space="preserve">Currently the funding received by Anatomical Pathology laboratories for the work they do examining </w:t>
      </w:r>
      <w:r w:rsidR="0082635D" w:rsidRPr="00E54DE0">
        <w:rPr>
          <w:rFonts w:ascii="Calibri" w:hAnsi="Calibri" w:cs="Arial"/>
          <w:sz w:val="20"/>
          <w:szCs w:val="20"/>
        </w:rPr>
        <w:t xml:space="preserve">tissue </w:t>
      </w:r>
      <w:r w:rsidRPr="00E54DE0">
        <w:rPr>
          <w:rFonts w:ascii="Calibri" w:hAnsi="Calibri" w:cs="Arial"/>
          <w:sz w:val="20"/>
          <w:szCs w:val="20"/>
        </w:rPr>
        <w:t>specimens is limited by complicated tiering and coning rules</w:t>
      </w:r>
      <w:r w:rsidR="00491E26">
        <w:rPr>
          <w:rFonts w:ascii="Calibri" w:hAnsi="Calibri" w:cs="Arial"/>
          <w:sz w:val="20"/>
          <w:szCs w:val="20"/>
        </w:rPr>
        <w:t>.</w:t>
      </w:r>
      <w:r w:rsidR="00CE6155">
        <w:rPr>
          <w:rFonts w:ascii="Calibri" w:hAnsi="Calibri" w:cs="Arial"/>
          <w:sz w:val="20"/>
          <w:szCs w:val="20"/>
        </w:rPr>
        <w:t xml:space="preserve"> </w:t>
      </w:r>
      <w:r w:rsidR="0082635D" w:rsidRPr="00E54DE0">
        <w:rPr>
          <w:rFonts w:ascii="Calibri" w:hAnsi="Calibri" w:cs="Arial"/>
          <w:sz w:val="20"/>
          <w:szCs w:val="20"/>
        </w:rPr>
        <w:t xml:space="preserve">This </w:t>
      </w:r>
      <w:r w:rsidRPr="00E54DE0">
        <w:rPr>
          <w:rFonts w:ascii="Calibri" w:hAnsi="Calibri" w:cs="Arial"/>
          <w:sz w:val="20"/>
          <w:szCs w:val="20"/>
        </w:rPr>
        <w:t>effectively means that 30</w:t>
      </w:r>
      <w:r w:rsidR="000F2A04">
        <w:rPr>
          <w:rFonts w:ascii="Calibri" w:hAnsi="Calibri" w:cs="Arial"/>
          <w:sz w:val="20"/>
          <w:szCs w:val="20"/>
        </w:rPr>
        <w:t xml:space="preserve">% to </w:t>
      </w:r>
      <w:r w:rsidRPr="00E54DE0">
        <w:rPr>
          <w:rFonts w:ascii="Calibri" w:hAnsi="Calibri" w:cs="Arial"/>
          <w:sz w:val="20"/>
          <w:szCs w:val="20"/>
        </w:rPr>
        <w:t xml:space="preserve">50% of the work </w:t>
      </w:r>
      <w:r w:rsidR="0082635D" w:rsidRPr="00E54DE0">
        <w:rPr>
          <w:rFonts w:ascii="Calibri" w:hAnsi="Calibri" w:cs="Arial"/>
          <w:sz w:val="20"/>
          <w:szCs w:val="20"/>
        </w:rPr>
        <w:t>performed</w:t>
      </w:r>
      <w:r w:rsidRPr="00E54DE0">
        <w:rPr>
          <w:rFonts w:ascii="Calibri" w:hAnsi="Calibri" w:cs="Arial"/>
          <w:sz w:val="20"/>
          <w:szCs w:val="20"/>
        </w:rPr>
        <w:t xml:space="preserve"> is not funded</w:t>
      </w:r>
      <w:r w:rsidR="00491E26">
        <w:rPr>
          <w:rFonts w:ascii="Calibri" w:hAnsi="Calibri" w:cs="Arial"/>
          <w:sz w:val="20"/>
          <w:szCs w:val="20"/>
        </w:rPr>
        <w:t>.</w:t>
      </w:r>
    </w:p>
    <w:p w14:paraId="6FA75274" w14:textId="77777777" w:rsidR="00491E26" w:rsidRDefault="00A50A03" w:rsidP="000F2A04">
      <w:pPr>
        <w:spacing w:before="120" w:after="0"/>
        <w:rPr>
          <w:rFonts w:ascii="Calibri" w:hAnsi="Calibri" w:cs="Arial"/>
          <w:sz w:val="20"/>
          <w:szCs w:val="20"/>
        </w:rPr>
      </w:pPr>
      <w:r w:rsidRPr="00E54DE0">
        <w:rPr>
          <w:rFonts w:ascii="Calibri" w:hAnsi="Calibri" w:cs="Arial"/>
          <w:sz w:val="20"/>
          <w:szCs w:val="20"/>
        </w:rPr>
        <w:t>This underfunding is impacting on the viability of laboratories</w:t>
      </w:r>
      <w:r w:rsidR="00491E26">
        <w:rPr>
          <w:rFonts w:ascii="Calibri" w:hAnsi="Calibri" w:cs="Arial"/>
          <w:sz w:val="20"/>
          <w:szCs w:val="20"/>
        </w:rPr>
        <w:t>.</w:t>
      </w:r>
      <w:r w:rsidR="00CE6155">
        <w:rPr>
          <w:rFonts w:ascii="Calibri" w:hAnsi="Calibri" w:cs="Arial"/>
          <w:sz w:val="20"/>
          <w:szCs w:val="20"/>
        </w:rPr>
        <w:t xml:space="preserve"> </w:t>
      </w:r>
      <w:r w:rsidRPr="00E54DE0">
        <w:rPr>
          <w:rFonts w:ascii="Calibri" w:hAnsi="Calibri" w:cs="Arial"/>
          <w:sz w:val="20"/>
          <w:szCs w:val="20"/>
        </w:rPr>
        <w:t>It also affects staffing</w:t>
      </w:r>
      <w:r w:rsidR="000F2A04">
        <w:rPr>
          <w:rFonts w:ascii="Calibri" w:hAnsi="Calibri" w:cs="Arial"/>
          <w:sz w:val="20"/>
          <w:szCs w:val="20"/>
        </w:rPr>
        <w:t>,</w:t>
      </w:r>
      <w:r w:rsidRPr="00E54DE0">
        <w:rPr>
          <w:rFonts w:ascii="Calibri" w:hAnsi="Calibri" w:cs="Arial"/>
          <w:sz w:val="20"/>
          <w:szCs w:val="20"/>
        </w:rPr>
        <w:t xml:space="preserve"> which has potential impacts on the time taken to get results to patients</w:t>
      </w:r>
      <w:r w:rsidR="0082635D" w:rsidRPr="00E54DE0">
        <w:rPr>
          <w:rFonts w:ascii="Calibri" w:hAnsi="Calibri" w:cs="Arial"/>
          <w:sz w:val="20"/>
          <w:szCs w:val="20"/>
        </w:rPr>
        <w:t>, which may delay diagnosis and have an adverse effect on patient outcomes</w:t>
      </w:r>
      <w:r w:rsidR="00491E26">
        <w:rPr>
          <w:rFonts w:ascii="Calibri" w:hAnsi="Calibri" w:cs="Arial"/>
          <w:sz w:val="20"/>
          <w:szCs w:val="20"/>
        </w:rPr>
        <w:t>.</w:t>
      </w:r>
      <w:r w:rsidR="00CE6155">
        <w:rPr>
          <w:rFonts w:ascii="Calibri" w:hAnsi="Calibri" w:cs="Arial"/>
          <w:sz w:val="20"/>
          <w:szCs w:val="20"/>
        </w:rPr>
        <w:t xml:space="preserve"> </w:t>
      </w:r>
      <w:r w:rsidRPr="00E54DE0">
        <w:rPr>
          <w:rFonts w:ascii="Calibri" w:hAnsi="Calibri" w:cs="Arial"/>
          <w:sz w:val="20"/>
          <w:szCs w:val="20"/>
        </w:rPr>
        <w:t>It may even affect the accuracy of those results, as overworked</w:t>
      </w:r>
      <w:r w:rsidR="00EE54E9" w:rsidRPr="00E54DE0">
        <w:rPr>
          <w:rFonts w:ascii="Calibri" w:hAnsi="Calibri" w:cs="Arial"/>
          <w:sz w:val="20"/>
          <w:szCs w:val="20"/>
        </w:rPr>
        <w:t xml:space="preserve"> </w:t>
      </w:r>
      <w:r w:rsidRPr="00E54DE0">
        <w:rPr>
          <w:rFonts w:ascii="Calibri" w:hAnsi="Calibri" w:cs="Arial"/>
          <w:sz w:val="20"/>
          <w:szCs w:val="20"/>
        </w:rPr>
        <w:t>staff</w:t>
      </w:r>
      <w:r w:rsidR="00D2543A" w:rsidRPr="00E54DE0">
        <w:rPr>
          <w:rFonts w:ascii="Calibri" w:hAnsi="Calibri" w:cs="Arial"/>
          <w:sz w:val="20"/>
          <w:szCs w:val="20"/>
        </w:rPr>
        <w:t xml:space="preserve"> </w:t>
      </w:r>
      <w:r w:rsidRPr="00E54DE0">
        <w:rPr>
          <w:rFonts w:ascii="Calibri" w:hAnsi="Calibri" w:cs="Arial"/>
          <w:sz w:val="20"/>
          <w:szCs w:val="20"/>
        </w:rPr>
        <w:t>are more likely to make errors</w:t>
      </w:r>
      <w:r w:rsidR="00491E26">
        <w:rPr>
          <w:rFonts w:ascii="Calibri" w:hAnsi="Calibri" w:cs="Arial"/>
          <w:sz w:val="20"/>
          <w:szCs w:val="20"/>
        </w:rPr>
        <w:t>.</w:t>
      </w:r>
    </w:p>
    <w:p w14:paraId="011312CC" w14:textId="77777777" w:rsidR="0076706F" w:rsidRPr="00E54DE0" w:rsidRDefault="00A50A03" w:rsidP="00E54DE0">
      <w:pPr>
        <w:spacing w:before="120" w:after="240"/>
        <w:rPr>
          <w:rFonts w:ascii="Calibri" w:hAnsi="Calibri"/>
          <w:sz w:val="20"/>
          <w:szCs w:val="20"/>
        </w:rPr>
      </w:pPr>
      <w:r w:rsidRPr="00E54DE0">
        <w:rPr>
          <w:rFonts w:ascii="Calibri" w:hAnsi="Calibri" w:cs="Arial"/>
          <w:sz w:val="20"/>
          <w:szCs w:val="20"/>
        </w:rPr>
        <w:t xml:space="preserve">The Committee is recommending simplification of the </w:t>
      </w:r>
      <w:r w:rsidR="00443E65" w:rsidRPr="00E54DE0">
        <w:rPr>
          <w:rFonts w:ascii="Calibri" w:hAnsi="Calibri" w:cs="Arial"/>
          <w:sz w:val="20"/>
          <w:szCs w:val="20"/>
        </w:rPr>
        <w:t xml:space="preserve">items and </w:t>
      </w:r>
      <w:r w:rsidRPr="00E54DE0">
        <w:rPr>
          <w:rFonts w:ascii="Calibri" w:hAnsi="Calibri" w:cs="Arial"/>
          <w:sz w:val="20"/>
          <w:szCs w:val="20"/>
        </w:rPr>
        <w:t>coning rules and a fairer way of calculating the payment for examining tissue specimens.</w:t>
      </w:r>
    </w:p>
    <w:tbl>
      <w:tblPr>
        <w:tblStyle w:val="TableGrid"/>
        <w:tblW w:w="1457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14574"/>
      </w:tblGrid>
      <w:tr w:rsidR="0076706F" w:rsidRPr="00ED7D2E" w14:paraId="3F8208FF" w14:textId="77777777" w:rsidTr="009C162C">
        <w:trPr>
          <w:cantSplit/>
          <w:tblHeader/>
        </w:trPr>
        <w:tc>
          <w:tcPr>
            <w:tcW w:w="14574" w:type="dxa"/>
            <w:shd w:val="clear" w:color="auto" w:fill="BFBFBF" w:themeFill="background1" w:themeFillShade="BF"/>
          </w:tcPr>
          <w:p w14:paraId="53C4C9E4" w14:textId="77777777" w:rsidR="0076706F" w:rsidRPr="00101410" w:rsidRDefault="0076706F" w:rsidP="00C01291">
            <w:pPr>
              <w:spacing w:before="40" w:after="40"/>
              <w:rPr>
                <w:rFonts w:cs="Arial"/>
                <w:b/>
                <w:sz w:val="18"/>
                <w:szCs w:val="18"/>
                <w:lang w:val="en-US" w:eastAsia="en-US"/>
              </w:rPr>
            </w:pPr>
            <w:r w:rsidRPr="00101410">
              <w:rPr>
                <w:b/>
              </w:rPr>
              <w:t xml:space="preserve">Recommendation </w:t>
            </w:r>
            <w:r>
              <w:rPr>
                <w:b/>
              </w:rPr>
              <w:t xml:space="preserve">3: </w:t>
            </w:r>
            <w:r w:rsidR="00C01291">
              <w:rPr>
                <w:rFonts w:ascii="Calibri" w:hAnsi="Calibri"/>
                <w:b/>
              </w:rPr>
              <w:t>Changes to coning in Cytology items</w:t>
            </w:r>
          </w:p>
        </w:tc>
      </w:tr>
    </w:tbl>
    <w:p w14:paraId="7A9FE36B" w14:textId="77777777" w:rsidR="00491E26" w:rsidRDefault="00C01291" w:rsidP="000F2A04">
      <w:pPr>
        <w:spacing w:before="120" w:after="0"/>
        <w:rPr>
          <w:rFonts w:ascii="Calibri" w:hAnsi="Calibri" w:cs="Arial"/>
          <w:sz w:val="20"/>
          <w:szCs w:val="20"/>
        </w:rPr>
      </w:pPr>
      <w:r w:rsidRPr="00E54DE0">
        <w:rPr>
          <w:rFonts w:ascii="Calibri" w:hAnsi="Calibri" w:cs="Arial"/>
          <w:sz w:val="20"/>
          <w:szCs w:val="20"/>
        </w:rPr>
        <w:t xml:space="preserve">Cytology is the examination of cells </w:t>
      </w:r>
      <w:r w:rsidR="000F2A04">
        <w:rPr>
          <w:rFonts w:ascii="Calibri" w:hAnsi="Calibri" w:cs="Arial"/>
          <w:sz w:val="20"/>
          <w:szCs w:val="20"/>
        </w:rPr>
        <w:t xml:space="preserve">that </w:t>
      </w:r>
      <w:r w:rsidRPr="00E54DE0">
        <w:rPr>
          <w:rFonts w:ascii="Calibri" w:hAnsi="Calibri" w:cs="Arial"/>
          <w:sz w:val="20"/>
          <w:szCs w:val="20"/>
        </w:rPr>
        <w:t xml:space="preserve">have been removed from </w:t>
      </w:r>
      <w:r w:rsidR="0082635D" w:rsidRPr="00E54DE0">
        <w:rPr>
          <w:rFonts w:ascii="Calibri" w:hAnsi="Calibri" w:cs="Arial"/>
          <w:sz w:val="20"/>
          <w:szCs w:val="20"/>
        </w:rPr>
        <w:t>the</w:t>
      </w:r>
      <w:r w:rsidRPr="00E54DE0">
        <w:rPr>
          <w:rFonts w:ascii="Calibri" w:hAnsi="Calibri" w:cs="Arial"/>
          <w:sz w:val="20"/>
          <w:szCs w:val="20"/>
        </w:rPr>
        <w:t xml:space="preserve"> body and placed onto glass slides for examination</w:t>
      </w:r>
      <w:r w:rsidR="00491E26">
        <w:rPr>
          <w:rFonts w:ascii="Calibri" w:hAnsi="Calibri" w:cs="Arial"/>
          <w:sz w:val="20"/>
          <w:szCs w:val="20"/>
        </w:rPr>
        <w:t>.</w:t>
      </w:r>
      <w:r w:rsidR="007D2A61">
        <w:rPr>
          <w:rFonts w:ascii="Calibri" w:hAnsi="Calibri" w:cs="Arial"/>
          <w:sz w:val="20"/>
          <w:szCs w:val="20"/>
        </w:rPr>
        <w:t xml:space="preserve"> </w:t>
      </w:r>
      <w:r w:rsidRPr="00E54DE0">
        <w:rPr>
          <w:rFonts w:ascii="Calibri" w:hAnsi="Calibri" w:cs="Arial"/>
          <w:sz w:val="20"/>
          <w:szCs w:val="20"/>
        </w:rPr>
        <w:t xml:space="preserve">The </w:t>
      </w:r>
      <w:proofErr w:type="gramStart"/>
      <w:r w:rsidRPr="00E54DE0">
        <w:rPr>
          <w:rFonts w:ascii="Calibri" w:hAnsi="Calibri" w:cs="Arial"/>
          <w:sz w:val="20"/>
          <w:szCs w:val="20"/>
        </w:rPr>
        <w:t>best known</w:t>
      </w:r>
      <w:proofErr w:type="gramEnd"/>
      <w:r w:rsidRPr="00E54DE0">
        <w:rPr>
          <w:rFonts w:ascii="Calibri" w:hAnsi="Calibri" w:cs="Arial"/>
          <w:sz w:val="20"/>
          <w:szCs w:val="20"/>
        </w:rPr>
        <w:t xml:space="preserve"> example is the </w:t>
      </w:r>
      <w:r w:rsidR="005F36BA" w:rsidRPr="00E54DE0">
        <w:rPr>
          <w:rFonts w:ascii="Calibri" w:hAnsi="Calibri" w:cs="Arial"/>
          <w:sz w:val="20"/>
          <w:szCs w:val="20"/>
        </w:rPr>
        <w:t xml:space="preserve">cervical </w:t>
      </w:r>
      <w:r w:rsidR="000F2A04">
        <w:rPr>
          <w:rFonts w:ascii="Calibri" w:hAnsi="Calibri" w:cs="Arial"/>
          <w:sz w:val="20"/>
          <w:szCs w:val="20"/>
        </w:rPr>
        <w:t>Pap</w:t>
      </w:r>
      <w:r w:rsidRPr="00E54DE0">
        <w:rPr>
          <w:rFonts w:ascii="Calibri" w:hAnsi="Calibri" w:cs="Arial"/>
          <w:sz w:val="20"/>
          <w:szCs w:val="20"/>
        </w:rPr>
        <w:t xml:space="preserve"> smear, but similar testing can be performed on cells from many sites</w:t>
      </w:r>
      <w:r w:rsidR="00491E26">
        <w:rPr>
          <w:rFonts w:ascii="Calibri" w:hAnsi="Calibri" w:cs="Arial"/>
          <w:sz w:val="20"/>
          <w:szCs w:val="20"/>
        </w:rPr>
        <w:t>.</w:t>
      </w:r>
      <w:r w:rsidR="007D2A61">
        <w:rPr>
          <w:rFonts w:ascii="Calibri" w:hAnsi="Calibri" w:cs="Arial"/>
          <w:sz w:val="20"/>
          <w:szCs w:val="20"/>
        </w:rPr>
        <w:t xml:space="preserve"> </w:t>
      </w:r>
      <w:r w:rsidRPr="00E54DE0">
        <w:rPr>
          <w:rFonts w:ascii="Calibri" w:hAnsi="Calibri" w:cs="Arial"/>
          <w:sz w:val="20"/>
          <w:szCs w:val="20"/>
        </w:rPr>
        <w:t>Cytology is usually divided into gynaecological (e</w:t>
      </w:r>
      <w:r w:rsidR="000F2A04">
        <w:rPr>
          <w:rFonts w:ascii="Calibri" w:hAnsi="Calibri" w:cs="Arial"/>
          <w:sz w:val="20"/>
          <w:szCs w:val="20"/>
        </w:rPr>
        <w:t>.</w:t>
      </w:r>
      <w:r w:rsidRPr="00E54DE0">
        <w:rPr>
          <w:rFonts w:ascii="Calibri" w:hAnsi="Calibri" w:cs="Arial"/>
          <w:sz w:val="20"/>
          <w:szCs w:val="20"/>
        </w:rPr>
        <w:t>g</w:t>
      </w:r>
      <w:r w:rsidR="00491E26">
        <w:rPr>
          <w:rFonts w:ascii="Calibri" w:hAnsi="Calibri" w:cs="Arial"/>
          <w:sz w:val="20"/>
          <w:szCs w:val="20"/>
        </w:rPr>
        <w:t>.</w:t>
      </w:r>
      <w:r w:rsidR="007D2A61">
        <w:rPr>
          <w:rFonts w:ascii="Calibri" w:hAnsi="Calibri" w:cs="Arial"/>
          <w:sz w:val="20"/>
          <w:szCs w:val="20"/>
        </w:rPr>
        <w:t xml:space="preserve"> </w:t>
      </w:r>
      <w:r w:rsidR="000F2A04">
        <w:rPr>
          <w:rFonts w:ascii="Calibri" w:hAnsi="Calibri" w:cs="Arial"/>
          <w:sz w:val="20"/>
          <w:szCs w:val="20"/>
        </w:rPr>
        <w:t>Pap</w:t>
      </w:r>
      <w:r w:rsidRPr="00E54DE0">
        <w:rPr>
          <w:rFonts w:ascii="Calibri" w:hAnsi="Calibri" w:cs="Arial"/>
          <w:sz w:val="20"/>
          <w:szCs w:val="20"/>
        </w:rPr>
        <w:t xml:space="preserve"> smears) and non-gynaecological testing</w:t>
      </w:r>
      <w:r w:rsidR="00491E26">
        <w:rPr>
          <w:rFonts w:ascii="Calibri" w:hAnsi="Calibri" w:cs="Arial"/>
          <w:sz w:val="20"/>
          <w:szCs w:val="20"/>
        </w:rPr>
        <w:t>.</w:t>
      </w:r>
    </w:p>
    <w:p w14:paraId="62E47655" w14:textId="77777777" w:rsidR="00491E26" w:rsidRDefault="00C01291" w:rsidP="000F2A04">
      <w:pPr>
        <w:spacing w:before="120" w:after="0"/>
        <w:rPr>
          <w:rFonts w:ascii="Calibri" w:hAnsi="Calibri" w:cs="Arial"/>
          <w:sz w:val="20"/>
          <w:szCs w:val="20"/>
        </w:rPr>
      </w:pPr>
      <w:r w:rsidRPr="00E54DE0">
        <w:rPr>
          <w:rFonts w:ascii="Calibri" w:hAnsi="Calibri" w:cs="Arial"/>
          <w:sz w:val="20"/>
          <w:szCs w:val="20"/>
        </w:rPr>
        <w:t>Currently there are different</w:t>
      </w:r>
      <w:r w:rsidR="00EC409E" w:rsidRPr="00E54DE0">
        <w:rPr>
          <w:rFonts w:ascii="Calibri" w:hAnsi="Calibri" w:cs="Arial"/>
          <w:sz w:val="20"/>
          <w:szCs w:val="20"/>
        </w:rPr>
        <w:t xml:space="preserve"> MBS</w:t>
      </w:r>
      <w:r w:rsidRPr="00E54DE0">
        <w:rPr>
          <w:rFonts w:ascii="Calibri" w:hAnsi="Calibri" w:cs="Arial"/>
          <w:sz w:val="20"/>
          <w:szCs w:val="20"/>
        </w:rPr>
        <w:t xml:space="preserve"> items for non-gynaecological cytology related to the degree of effort required in preparing and examining the sample, bu</w:t>
      </w:r>
      <w:r w:rsidR="00EC409E" w:rsidRPr="00E54DE0">
        <w:rPr>
          <w:rFonts w:ascii="Calibri" w:hAnsi="Calibri" w:cs="Arial"/>
          <w:sz w:val="20"/>
          <w:szCs w:val="20"/>
        </w:rPr>
        <w:t xml:space="preserve">t as in Histology, coning rules mean the </w:t>
      </w:r>
      <w:r w:rsidR="00D2543A" w:rsidRPr="00E54DE0">
        <w:rPr>
          <w:rFonts w:ascii="Calibri" w:hAnsi="Calibri" w:cs="Arial"/>
          <w:sz w:val="20"/>
          <w:szCs w:val="20"/>
        </w:rPr>
        <w:t>funding does</w:t>
      </w:r>
      <w:r w:rsidR="00EC409E" w:rsidRPr="00E54DE0">
        <w:rPr>
          <w:rFonts w:ascii="Calibri" w:hAnsi="Calibri" w:cs="Arial"/>
          <w:sz w:val="20"/>
          <w:szCs w:val="20"/>
        </w:rPr>
        <w:t xml:space="preserve"> not </w:t>
      </w:r>
      <w:r w:rsidR="00D2543A" w:rsidRPr="00142D26">
        <w:rPr>
          <w:rFonts w:ascii="Calibri" w:hAnsi="Calibri" w:cs="Arial"/>
          <w:sz w:val="20"/>
          <w:szCs w:val="20"/>
        </w:rPr>
        <w:t xml:space="preserve">accurately </w:t>
      </w:r>
      <w:r w:rsidR="00EC409E" w:rsidRPr="00142D26">
        <w:rPr>
          <w:rFonts w:ascii="Calibri" w:hAnsi="Calibri" w:cs="Arial"/>
          <w:sz w:val="20"/>
          <w:szCs w:val="20"/>
        </w:rPr>
        <w:t>reflect the amount of work done</w:t>
      </w:r>
      <w:r w:rsidR="00491E26">
        <w:rPr>
          <w:rFonts w:ascii="Calibri" w:hAnsi="Calibri" w:cs="Arial"/>
          <w:sz w:val="20"/>
          <w:szCs w:val="20"/>
        </w:rPr>
        <w:t>.</w:t>
      </w:r>
      <w:r w:rsidR="007D2A61">
        <w:rPr>
          <w:rFonts w:ascii="Calibri" w:hAnsi="Calibri" w:cs="Arial"/>
          <w:sz w:val="20"/>
          <w:szCs w:val="20"/>
        </w:rPr>
        <w:t xml:space="preserve"> </w:t>
      </w:r>
      <w:r w:rsidRPr="00142D26">
        <w:rPr>
          <w:rFonts w:ascii="Calibri" w:hAnsi="Calibri" w:cs="Arial"/>
          <w:sz w:val="20"/>
          <w:szCs w:val="20"/>
        </w:rPr>
        <w:t xml:space="preserve">This underfunding is impacting on the viability of </w:t>
      </w:r>
      <w:r w:rsidR="00EC409E" w:rsidRPr="00142D26">
        <w:rPr>
          <w:rFonts w:ascii="Calibri" w:hAnsi="Calibri" w:cs="Arial"/>
          <w:sz w:val="20"/>
          <w:szCs w:val="20"/>
        </w:rPr>
        <w:t xml:space="preserve">cytology </w:t>
      </w:r>
      <w:r w:rsidRPr="00142D26">
        <w:rPr>
          <w:rFonts w:ascii="Calibri" w:hAnsi="Calibri" w:cs="Arial"/>
          <w:sz w:val="20"/>
          <w:szCs w:val="20"/>
        </w:rPr>
        <w:t>laboratories</w:t>
      </w:r>
      <w:r w:rsidR="00EC409E" w:rsidRPr="00142D26">
        <w:rPr>
          <w:rFonts w:ascii="Calibri" w:hAnsi="Calibri" w:cs="Arial"/>
          <w:sz w:val="20"/>
          <w:szCs w:val="20"/>
        </w:rPr>
        <w:t xml:space="preserve">, which are already under considerable stress due to changes in the National Cervical Screening </w:t>
      </w:r>
      <w:r w:rsidR="009C66E4">
        <w:rPr>
          <w:rFonts w:ascii="Calibri" w:hAnsi="Calibri" w:cs="Arial"/>
          <w:sz w:val="20"/>
          <w:szCs w:val="20"/>
        </w:rPr>
        <w:t>P</w:t>
      </w:r>
      <w:r w:rsidR="009C66E4" w:rsidRPr="00142D26">
        <w:rPr>
          <w:rFonts w:ascii="Calibri" w:hAnsi="Calibri" w:cs="Arial"/>
          <w:sz w:val="20"/>
          <w:szCs w:val="20"/>
        </w:rPr>
        <w:t xml:space="preserve">rogram </w:t>
      </w:r>
      <w:r w:rsidR="00EC409E" w:rsidRPr="00142D26">
        <w:rPr>
          <w:rFonts w:ascii="Calibri" w:hAnsi="Calibri" w:cs="Arial"/>
          <w:sz w:val="20"/>
          <w:szCs w:val="20"/>
        </w:rPr>
        <w:t xml:space="preserve">and loss of </w:t>
      </w:r>
      <w:r w:rsidR="000F2A04">
        <w:rPr>
          <w:rFonts w:ascii="Calibri" w:hAnsi="Calibri" w:cs="Arial"/>
          <w:sz w:val="20"/>
          <w:szCs w:val="20"/>
        </w:rPr>
        <w:t>Pap</w:t>
      </w:r>
      <w:r w:rsidR="00EC409E" w:rsidRPr="00142D26">
        <w:rPr>
          <w:rFonts w:ascii="Calibri" w:hAnsi="Calibri" w:cs="Arial"/>
          <w:sz w:val="20"/>
          <w:szCs w:val="20"/>
        </w:rPr>
        <w:t xml:space="preserve"> smear work</w:t>
      </w:r>
      <w:r w:rsidR="00491E26">
        <w:rPr>
          <w:rFonts w:ascii="Calibri" w:hAnsi="Calibri" w:cs="Arial"/>
          <w:sz w:val="20"/>
          <w:szCs w:val="20"/>
        </w:rPr>
        <w:t>.</w:t>
      </w:r>
    </w:p>
    <w:p w14:paraId="719C7B75" w14:textId="77777777" w:rsidR="0076706F" w:rsidRPr="00142D26" w:rsidRDefault="00C01291" w:rsidP="00142D26">
      <w:pPr>
        <w:spacing w:before="120" w:after="240"/>
        <w:rPr>
          <w:rFonts w:ascii="Calibri" w:hAnsi="Calibri"/>
          <w:sz w:val="20"/>
          <w:szCs w:val="20"/>
        </w:rPr>
      </w:pPr>
      <w:r w:rsidRPr="00142D26">
        <w:rPr>
          <w:rFonts w:ascii="Calibri" w:hAnsi="Calibri" w:cs="Arial"/>
          <w:sz w:val="20"/>
          <w:szCs w:val="20"/>
        </w:rPr>
        <w:t xml:space="preserve">The Committee is recommending simplification of the </w:t>
      </w:r>
      <w:r w:rsidR="00443E65" w:rsidRPr="00142D26">
        <w:rPr>
          <w:rFonts w:ascii="Calibri" w:hAnsi="Calibri" w:cs="Arial"/>
          <w:sz w:val="20"/>
          <w:szCs w:val="20"/>
        </w:rPr>
        <w:t xml:space="preserve">items and </w:t>
      </w:r>
      <w:r w:rsidRPr="00142D26">
        <w:rPr>
          <w:rFonts w:ascii="Calibri" w:hAnsi="Calibri" w:cs="Arial"/>
          <w:sz w:val="20"/>
          <w:szCs w:val="20"/>
        </w:rPr>
        <w:t xml:space="preserve">coning rules and a fairer way of calculating the payment for examining </w:t>
      </w:r>
      <w:r w:rsidR="00443E65" w:rsidRPr="00142D26">
        <w:rPr>
          <w:rFonts w:ascii="Calibri" w:hAnsi="Calibri" w:cs="Arial"/>
          <w:sz w:val="20"/>
          <w:szCs w:val="20"/>
        </w:rPr>
        <w:t>cytology</w:t>
      </w:r>
      <w:r w:rsidRPr="00142D26">
        <w:rPr>
          <w:rFonts w:ascii="Calibri" w:hAnsi="Calibri" w:cs="Arial"/>
          <w:sz w:val="20"/>
          <w:szCs w:val="20"/>
        </w:rPr>
        <w:t xml:space="preserve"> specimens.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DF10F2" w:rsidRPr="00ED7D2E" w14:paraId="7DE14380" w14:textId="77777777" w:rsidTr="00316B8E">
        <w:trPr>
          <w:cantSplit/>
          <w:tblHeader/>
        </w:trPr>
        <w:tc>
          <w:tcPr>
            <w:tcW w:w="14122" w:type="dxa"/>
            <w:shd w:val="clear" w:color="auto" w:fill="BFBFBF" w:themeFill="background1" w:themeFillShade="BF"/>
          </w:tcPr>
          <w:p w14:paraId="1B393CE1" w14:textId="77777777" w:rsidR="00DF10F2" w:rsidRPr="00101410" w:rsidRDefault="00DF10F2" w:rsidP="00DF10F2">
            <w:pPr>
              <w:spacing w:before="40" w:after="40"/>
              <w:rPr>
                <w:rFonts w:cs="Arial"/>
                <w:b/>
                <w:sz w:val="18"/>
                <w:szCs w:val="18"/>
                <w:lang w:val="en-US" w:eastAsia="en-US"/>
              </w:rPr>
            </w:pPr>
            <w:r w:rsidRPr="00101410">
              <w:rPr>
                <w:b/>
              </w:rPr>
              <w:t xml:space="preserve">Recommendation </w:t>
            </w:r>
            <w:r>
              <w:rPr>
                <w:b/>
              </w:rPr>
              <w:t xml:space="preserve">4: </w:t>
            </w:r>
            <w:r>
              <w:rPr>
                <w:rFonts w:ascii="Calibri" w:hAnsi="Calibri"/>
                <w:b/>
              </w:rPr>
              <w:t>Alignment of Immunohistochemistry and Immunocytochemistry items and consideration of coning</w:t>
            </w:r>
          </w:p>
        </w:tc>
      </w:tr>
    </w:tbl>
    <w:p w14:paraId="45E77571" w14:textId="77777777" w:rsidR="00491E26" w:rsidRDefault="00DF10F2" w:rsidP="000F2A04">
      <w:pPr>
        <w:spacing w:before="120" w:after="0"/>
        <w:rPr>
          <w:rFonts w:ascii="Calibri" w:hAnsi="Calibri" w:cs="Arial"/>
          <w:sz w:val="20"/>
          <w:szCs w:val="20"/>
        </w:rPr>
      </w:pPr>
      <w:r w:rsidRPr="00142D26">
        <w:rPr>
          <w:rFonts w:ascii="Calibri" w:hAnsi="Calibri" w:cs="Arial"/>
          <w:sz w:val="20"/>
          <w:szCs w:val="20"/>
        </w:rPr>
        <w:lastRenderedPageBreak/>
        <w:t>Immunohistochemistry is the use of monoclonal antibody stains to identify certain proteins or other targets in cells and tissues</w:t>
      </w:r>
      <w:r w:rsidR="00491E26">
        <w:rPr>
          <w:rFonts w:ascii="Calibri" w:hAnsi="Calibri" w:cs="Arial"/>
          <w:sz w:val="20"/>
          <w:szCs w:val="20"/>
        </w:rPr>
        <w:t>.</w:t>
      </w:r>
      <w:r w:rsidR="007D2A61">
        <w:rPr>
          <w:rFonts w:ascii="Calibri" w:hAnsi="Calibri" w:cs="Arial"/>
          <w:sz w:val="20"/>
          <w:szCs w:val="20"/>
        </w:rPr>
        <w:t xml:space="preserve"> </w:t>
      </w:r>
      <w:r w:rsidRPr="00142D26">
        <w:rPr>
          <w:rFonts w:ascii="Calibri" w:hAnsi="Calibri" w:cs="Arial"/>
          <w:sz w:val="20"/>
          <w:szCs w:val="20"/>
        </w:rPr>
        <w:t xml:space="preserve">This </w:t>
      </w:r>
      <w:r w:rsidR="00D2543A" w:rsidRPr="00142D26">
        <w:rPr>
          <w:rFonts w:ascii="Calibri" w:hAnsi="Calibri" w:cs="Arial"/>
          <w:sz w:val="20"/>
          <w:szCs w:val="20"/>
        </w:rPr>
        <w:t>is most frequently</w:t>
      </w:r>
      <w:r w:rsidRPr="00142D26">
        <w:rPr>
          <w:rFonts w:ascii="Calibri" w:hAnsi="Calibri" w:cs="Arial"/>
          <w:sz w:val="20"/>
          <w:szCs w:val="20"/>
        </w:rPr>
        <w:t xml:space="preserve"> used to identify what type of tumour is present in a biopsy</w:t>
      </w:r>
      <w:r w:rsidR="00491E26">
        <w:rPr>
          <w:rFonts w:ascii="Calibri" w:hAnsi="Calibri" w:cs="Arial"/>
          <w:sz w:val="20"/>
          <w:szCs w:val="20"/>
        </w:rPr>
        <w:t>.</w:t>
      </w:r>
      <w:r w:rsidR="007D2A61">
        <w:rPr>
          <w:rFonts w:ascii="Calibri" w:hAnsi="Calibri" w:cs="Arial"/>
          <w:sz w:val="20"/>
          <w:szCs w:val="20"/>
        </w:rPr>
        <w:t xml:space="preserve"> </w:t>
      </w:r>
      <w:r w:rsidRPr="00142D26">
        <w:rPr>
          <w:rFonts w:ascii="Calibri" w:hAnsi="Calibri" w:cs="Arial"/>
          <w:sz w:val="20"/>
          <w:szCs w:val="20"/>
        </w:rPr>
        <w:t xml:space="preserve">If </w:t>
      </w:r>
      <w:r w:rsidR="00D2543A" w:rsidRPr="00142D26">
        <w:rPr>
          <w:rFonts w:ascii="Calibri" w:hAnsi="Calibri" w:cs="Arial"/>
          <w:sz w:val="20"/>
          <w:szCs w:val="20"/>
        </w:rPr>
        <w:t xml:space="preserve">performed </w:t>
      </w:r>
      <w:r w:rsidRPr="00142D26">
        <w:rPr>
          <w:rFonts w:ascii="Calibri" w:hAnsi="Calibri" w:cs="Arial"/>
          <w:sz w:val="20"/>
          <w:szCs w:val="20"/>
        </w:rPr>
        <w:t xml:space="preserve">on cytology samples it </w:t>
      </w:r>
      <w:r w:rsidR="00D2543A" w:rsidRPr="00142D26">
        <w:rPr>
          <w:rFonts w:ascii="Calibri" w:hAnsi="Calibri" w:cs="Arial"/>
          <w:sz w:val="20"/>
          <w:szCs w:val="20"/>
        </w:rPr>
        <w:t>is</w:t>
      </w:r>
      <w:r w:rsidRPr="00142D26">
        <w:rPr>
          <w:rFonts w:ascii="Calibri" w:hAnsi="Calibri" w:cs="Arial"/>
          <w:sz w:val="20"/>
          <w:szCs w:val="20"/>
        </w:rPr>
        <w:t xml:space="preserve"> also known as </w:t>
      </w:r>
      <w:r w:rsidR="009C66E4">
        <w:rPr>
          <w:rFonts w:ascii="Calibri" w:hAnsi="Calibri" w:cs="Arial"/>
          <w:sz w:val="20"/>
          <w:szCs w:val="20"/>
        </w:rPr>
        <w:t>i</w:t>
      </w:r>
      <w:r w:rsidR="009C66E4" w:rsidRPr="00142D26">
        <w:rPr>
          <w:rFonts w:ascii="Calibri" w:hAnsi="Calibri" w:cs="Arial"/>
          <w:sz w:val="20"/>
          <w:szCs w:val="20"/>
        </w:rPr>
        <w:t>mmunocytochemistry</w:t>
      </w:r>
      <w:r w:rsidRPr="00142D26">
        <w:rPr>
          <w:rFonts w:ascii="Calibri" w:hAnsi="Calibri" w:cs="Arial"/>
          <w:sz w:val="20"/>
          <w:szCs w:val="20"/>
        </w:rPr>
        <w:t xml:space="preserve">, but it is actually </w:t>
      </w:r>
      <w:proofErr w:type="gramStart"/>
      <w:r w:rsidRPr="00142D26">
        <w:rPr>
          <w:rFonts w:ascii="Calibri" w:hAnsi="Calibri" w:cs="Arial"/>
          <w:sz w:val="20"/>
          <w:szCs w:val="20"/>
        </w:rPr>
        <w:t>exactly the same</w:t>
      </w:r>
      <w:proofErr w:type="gramEnd"/>
      <w:r w:rsidRPr="00142D26">
        <w:rPr>
          <w:rFonts w:ascii="Calibri" w:hAnsi="Calibri" w:cs="Arial"/>
          <w:sz w:val="20"/>
          <w:szCs w:val="20"/>
        </w:rPr>
        <w:t xml:space="preserve"> test</w:t>
      </w:r>
      <w:r w:rsidR="00491E26">
        <w:rPr>
          <w:rFonts w:ascii="Calibri" w:hAnsi="Calibri" w:cs="Arial"/>
          <w:sz w:val="20"/>
          <w:szCs w:val="20"/>
        </w:rPr>
        <w:t>.</w:t>
      </w:r>
    </w:p>
    <w:p w14:paraId="5B915846" w14:textId="77777777" w:rsidR="00491E26" w:rsidRDefault="00DF10F2" w:rsidP="000F2A04">
      <w:pPr>
        <w:spacing w:before="120" w:after="0"/>
        <w:rPr>
          <w:rFonts w:ascii="Calibri" w:hAnsi="Calibri" w:cs="Arial"/>
          <w:sz w:val="20"/>
          <w:szCs w:val="20"/>
        </w:rPr>
      </w:pPr>
      <w:r w:rsidRPr="00142D26">
        <w:rPr>
          <w:rFonts w:ascii="Calibri" w:hAnsi="Calibri" w:cs="Arial"/>
          <w:sz w:val="20"/>
          <w:szCs w:val="20"/>
        </w:rPr>
        <w:t>Multiple different items for this test are present in the MBS for both Histology and Cytology, relating to the number of different antibody stains done</w:t>
      </w:r>
      <w:r w:rsidR="00491E26">
        <w:rPr>
          <w:rFonts w:ascii="Calibri" w:hAnsi="Calibri" w:cs="Arial"/>
          <w:sz w:val="20"/>
          <w:szCs w:val="20"/>
        </w:rPr>
        <w:t>.</w:t>
      </w:r>
      <w:r w:rsidR="007D2A61">
        <w:rPr>
          <w:rFonts w:ascii="Calibri" w:hAnsi="Calibri" w:cs="Arial"/>
          <w:sz w:val="20"/>
          <w:szCs w:val="20"/>
        </w:rPr>
        <w:t xml:space="preserve"> </w:t>
      </w:r>
      <w:r w:rsidRPr="00142D26">
        <w:rPr>
          <w:rFonts w:ascii="Calibri" w:hAnsi="Calibri" w:cs="Arial"/>
          <w:sz w:val="20"/>
          <w:szCs w:val="20"/>
        </w:rPr>
        <w:t>Over time, the rebates</w:t>
      </w:r>
      <w:r w:rsidR="00D2543A" w:rsidRPr="00142D26">
        <w:rPr>
          <w:rFonts w:ascii="Calibri" w:hAnsi="Calibri" w:cs="Arial"/>
          <w:sz w:val="20"/>
          <w:szCs w:val="20"/>
        </w:rPr>
        <w:t xml:space="preserve"> for</w:t>
      </w:r>
      <w:r w:rsidRPr="00142D26">
        <w:rPr>
          <w:rFonts w:ascii="Calibri" w:hAnsi="Calibri" w:cs="Arial"/>
          <w:sz w:val="20"/>
          <w:szCs w:val="20"/>
        </w:rPr>
        <w:t xml:space="preserve"> </w:t>
      </w:r>
      <w:r w:rsidR="009C66E4">
        <w:rPr>
          <w:rFonts w:ascii="Calibri" w:hAnsi="Calibri" w:cs="Arial"/>
          <w:sz w:val="20"/>
          <w:szCs w:val="20"/>
        </w:rPr>
        <w:t>i</w:t>
      </w:r>
      <w:r w:rsidR="009C66E4" w:rsidRPr="00142D26">
        <w:rPr>
          <w:rFonts w:ascii="Calibri" w:hAnsi="Calibri" w:cs="Arial"/>
          <w:sz w:val="20"/>
          <w:szCs w:val="20"/>
        </w:rPr>
        <w:t xml:space="preserve">mmunohistochemistry </w:t>
      </w:r>
      <w:r w:rsidRPr="00142D26">
        <w:rPr>
          <w:rFonts w:ascii="Calibri" w:hAnsi="Calibri" w:cs="Arial"/>
          <w:sz w:val="20"/>
          <w:szCs w:val="20"/>
        </w:rPr>
        <w:t xml:space="preserve">and </w:t>
      </w:r>
      <w:r w:rsidR="009C66E4">
        <w:rPr>
          <w:rFonts w:ascii="Calibri" w:hAnsi="Calibri" w:cs="Arial"/>
          <w:sz w:val="20"/>
          <w:szCs w:val="20"/>
        </w:rPr>
        <w:t>i</w:t>
      </w:r>
      <w:r w:rsidR="009C66E4" w:rsidRPr="00142D26">
        <w:rPr>
          <w:rFonts w:ascii="Calibri" w:hAnsi="Calibri" w:cs="Arial"/>
          <w:sz w:val="20"/>
          <w:szCs w:val="20"/>
        </w:rPr>
        <w:t xml:space="preserve">mmunocytochemistry </w:t>
      </w:r>
      <w:r w:rsidRPr="00142D26">
        <w:rPr>
          <w:rFonts w:ascii="Calibri" w:hAnsi="Calibri" w:cs="Arial"/>
          <w:sz w:val="20"/>
          <w:szCs w:val="20"/>
        </w:rPr>
        <w:t xml:space="preserve">have </w:t>
      </w:r>
      <w:r w:rsidR="009C66E4">
        <w:rPr>
          <w:rFonts w:ascii="Calibri" w:hAnsi="Calibri" w:cs="Arial"/>
          <w:sz w:val="20"/>
          <w:szCs w:val="20"/>
        </w:rPr>
        <w:t>‘</w:t>
      </w:r>
      <w:r w:rsidRPr="00142D26">
        <w:rPr>
          <w:rFonts w:ascii="Calibri" w:hAnsi="Calibri" w:cs="Arial"/>
          <w:sz w:val="20"/>
          <w:szCs w:val="20"/>
        </w:rPr>
        <w:t xml:space="preserve">got out of </w:t>
      </w:r>
      <w:r w:rsidR="0082635D" w:rsidRPr="00142D26">
        <w:rPr>
          <w:rFonts w:ascii="Calibri" w:hAnsi="Calibri" w:cs="Arial"/>
          <w:sz w:val="20"/>
          <w:szCs w:val="20"/>
        </w:rPr>
        <w:t>sync</w:t>
      </w:r>
      <w:r w:rsidR="009C66E4">
        <w:rPr>
          <w:rFonts w:ascii="Calibri" w:hAnsi="Calibri" w:cs="Arial"/>
          <w:sz w:val="20"/>
          <w:szCs w:val="20"/>
        </w:rPr>
        <w:t>’</w:t>
      </w:r>
      <w:r w:rsidR="00491E26">
        <w:rPr>
          <w:rFonts w:ascii="Calibri" w:hAnsi="Calibri" w:cs="Arial"/>
          <w:sz w:val="20"/>
          <w:szCs w:val="20"/>
        </w:rPr>
        <w:t>.</w:t>
      </w:r>
      <w:r w:rsidR="007D2A61">
        <w:rPr>
          <w:rFonts w:ascii="Calibri" w:hAnsi="Calibri" w:cs="Arial"/>
          <w:sz w:val="20"/>
          <w:szCs w:val="20"/>
        </w:rPr>
        <w:t xml:space="preserve"> </w:t>
      </w:r>
      <w:r w:rsidRPr="00142D26">
        <w:rPr>
          <w:rFonts w:ascii="Calibri" w:hAnsi="Calibri" w:cs="Arial"/>
          <w:sz w:val="20"/>
          <w:szCs w:val="20"/>
        </w:rPr>
        <w:t xml:space="preserve">They should be funded </w:t>
      </w:r>
      <w:proofErr w:type="gramStart"/>
      <w:r w:rsidRPr="00142D26">
        <w:rPr>
          <w:rFonts w:ascii="Calibri" w:hAnsi="Calibri" w:cs="Arial"/>
          <w:sz w:val="20"/>
          <w:szCs w:val="20"/>
        </w:rPr>
        <w:t>exactly the same</w:t>
      </w:r>
      <w:proofErr w:type="gramEnd"/>
      <w:r w:rsidR="00D2543A" w:rsidRPr="00142D26">
        <w:rPr>
          <w:rFonts w:ascii="Calibri" w:hAnsi="Calibri" w:cs="Arial"/>
          <w:sz w:val="20"/>
          <w:szCs w:val="20"/>
        </w:rPr>
        <w:t xml:space="preserve"> way</w:t>
      </w:r>
      <w:r w:rsidR="00491E26">
        <w:rPr>
          <w:rFonts w:ascii="Calibri" w:hAnsi="Calibri" w:cs="Arial"/>
          <w:sz w:val="20"/>
          <w:szCs w:val="20"/>
        </w:rPr>
        <w:t>.</w:t>
      </w:r>
    </w:p>
    <w:p w14:paraId="71F468AB" w14:textId="77777777" w:rsidR="00DF10F2" w:rsidRDefault="00DF10F2" w:rsidP="00D220D1">
      <w:pPr>
        <w:spacing w:before="120" w:after="0"/>
        <w:rPr>
          <w:rFonts w:ascii="Calibri" w:hAnsi="Calibri" w:cs="Arial"/>
          <w:sz w:val="20"/>
          <w:szCs w:val="20"/>
        </w:rPr>
      </w:pPr>
      <w:r w:rsidRPr="00142D26">
        <w:rPr>
          <w:rFonts w:ascii="Calibri" w:hAnsi="Calibri" w:cs="Arial"/>
          <w:sz w:val="20"/>
          <w:szCs w:val="20"/>
        </w:rPr>
        <w:t xml:space="preserve">The Committee also considers that the current complicated tiering/coning rules are illogical and should be replaced by </w:t>
      </w:r>
      <w:r w:rsidR="00E04CA8" w:rsidRPr="00142D26">
        <w:rPr>
          <w:rFonts w:ascii="Calibri" w:hAnsi="Calibri" w:cs="Arial"/>
          <w:sz w:val="20"/>
          <w:szCs w:val="20"/>
        </w:rPr>
        <w:t xml:space="preserve">two basic </w:t>
      </w:r>
      <w:r w:rsidRPr="00142D26">
        <w:rPr>
          <w:rFonts w:ascii="Calibri" w:hAnsi="Calibri" w:cs="Arial"/>
          <w:sz w:val="20"/>
          <w:szCs w:val="20"/>
        </w:rPr>
        <w:t>item</w:t>
      </w:r>
      <w:r w:rsidR="00E04CA8" w:rsidRPr="00142D26">
        <w:rPr>
          <w:rFonts w:ascii="Calibri" w:hAnsi="Calibri" w:cs="Arial"/>
          <w:sz w:val="20"/>
          <w:szCs w:val="20"/>
        </w:rPr>
        <w:t>s (simple and complex</w:t>
      </w:r>
      <w:r w:rsidR="0082635D" w:rsidRPr="00142D26">
        <w:rPr>
          <w:rFonts w:ascii="Calibri" w:hAnsi="Calibri" w:cs="Arial"/>
          <w:sz w:val="20"/>
          <w:szCs w:val="20"/>
        </w:rPr>
        <w:t xml:space="preserve"> immunohistochemistry</w:t>
      </w:r>
      <w:r w:rsidR="00E04CA8" w:rsidRPr="00142D26">
        <w:rPr>
          <w:rFonts w:ascii="Calibri" w:hAnsi="Calibri" w:cs="Arial"/>
          <w:sz w:val="20"/>
          <w:szCs w:val="20"/>
        </w:rPr>
        <w:t>)</w:t>
      </w:r>
      <w:r w:rsidRPr="00142D26">
        <w:rPr>
          <w:rFonts w:ascii="Calibri" w:hAnsi="Calibri" w:cs="Arial"/>
          <w:sz w:val="20"/>
          <w:szCs w:val="20"/>
        </w:rPr>
        <w:t xml:space="preserve"> funded at an appropriate</w:t>
      </w:r>
      <w:r w:rsidR="0082635D" w:rsidRPr="00142D26">
        <w:rPr>
          <w:rFonts w:ascii="Calibri" w:hAnsi="Calibri" w:cs="Arial"/>
          <w:sz w:val="20"/>
          <w:szCs w:val="20"/>
        </w:rPr>
        <w:t xml:space="preserve"> </w:t>
      </w:r>
      <w:r w:rsidR="00B21D4A" w:rsidRPr="00142D26">
        <w:rPr>
          <w:rFonts w:ascii="Calibri" w:hAnsi="Calibri" w:cs="Arial"/>
          <w:sz w:val="20"/>
          <w:szCs w:val="20"/>
        </w:rPr>
        <w:t>level</w:t>
      </w:r>
      <w:r w:rsidR="0082635D" w:rsidRPr="00142D26">
        <w:rPr>
          <w:rFonts w:ascii="Calibri" w:hAnsi="Calibri" w:cs="Arial"/>
          <w:sz w:val="20"/>
          <w:szCs w:val="20"/>
        </w:rPr>
        <w:t>.</w:t>
      </w:r>
    </w:p>
    <w:p w14:paraId="48604FE6" w14:textId="77777777" w:rsidR="00D220D1" w:rsidRPr="00142D26" w:rsidRDefault="00D220D1" w:rsidP="00142D26">
      <w:pPr>
        <w:spacing w:before="120" w:after="240"/>
        <w:rPr>
          <w:rFonts w:ascii="Calibri" w:hAnsi="Calibri" w:cs="Arial"/>
          <w:sz w:val="20"/>
          <w:szCs w:val="20"/>
        </w:rPr>
      </w:pPr>
      <w:r w:rsidRPr="00F73114">
        <w:rPr>
          <w:rFonts w:ascii="Calibri" w:hAnsi="Calibri" w:cs="Arial"/>
          <w:sz w:val="20"/>
          <w:szCs w:val="20"/>
        </w:rPr>
        <w:t>The Committee has also recommended the introduction of a third item to adequately rebate the use of in situ hybridization assays, which involve detection of a DNA/RNA target in cells using a procedure which incorporates an immunohistochemistry step, but is much more costly to perform.</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DF10F2" w:rsidRPr="00ED7D2E" w14:paraId="5DD0C48E" w14:textId="77777777" w:rsidTr="00316B8E">
        <w:trPr>
          <w:cantSplit/>
          <w:tblHeader/>
        </w:trPr>
        <w:tc>
          <w:tcPr>
            <w:tcW w:w="14122" w:type="dxa"/>
            <w:shd w:val="clear" w:color="auto" w:fill="BFBFBF" w:themeFill="background1" w:themeFillShade="BF"/>
          </w:tcPr>
          <w:p w14:paraId="31E5F40F" w14:textId="77777777" w:rsidR="00DF10F2" w:rsidRPr="00101410" w:rsidRDefault="00DF10F2" w:rsidP="00DF10F2">
            <w:pPr>
              <w:spacing w:before="40" w:after="40"/>
              <w:rPr>
                <w:rFonts w:cs="Arial"/>
                <w:b/>
                <w:sz w:val="18"/>
                <w:szCs w:val="18"/>
                <w:lang w:val="en-US" w:eastAsia="en-US"/>
              </w:rPr>
            </w:pPr>
            <w:r w:rsidRPr="00101410">
              <w:rPr>
                <w:b/>
              </w:rPr>
              <w:t xml:space="preserve">Recommendation </w:t>
            </w:r>
            <w:r>
              <w:rPr>
                <w:b/>
              </w:rPr>
              <w:t>5: Electron microscope items</w:t>
            </w:r>
            <w:r w:rsidR="00E11BC0">
              <w:rPr>
                <w:b/>
              </w:rPr>
              <w:t xml:space="preserve"> </w:t>
            </w:r>
            <w:r w:rsidR="00D2543A">
              <w:rPr>
                <w:b/>
              </w:rPr>
              <w:t>72851, 72852</w:t>
            </w:r>
          </w:p>
        </w:tc>
      </w:tr>
    </w:tbl>
    <w:p w14:paraId="2D116503" w14:textId="77777777" w:rsidR="00491E26" w:rsidRDefault="00DF10F2" w:rsidP="000F2A04">
      <w:pPr>
        <w:spacing w:before="120" w:after="0"/>
        <w:rPr>
          <w:rFonts w:ascii="Calibri" w:hAnsi="Calibri" w:cs="Arial"/>
          <w:sz w:val="20"/>
          <w:szCs w:val="20"/>
        </w:rPr>
      </w:pPr>
      <w:r w:rsidRPr="00142D26">
        <w:rPr>
          <w:rFonts w:ascii="Calibri" w:hAnsi="Calibri" w:cs="Arial"/>
          <w:sz w:val="20"/>
          <w:szCs w:val="20"/>
        </w:rPr>
        <w:t>Electron microscopic examination of a specimen involves looking at extremely high magnification (up to 2</w:t>
      </w:r>
      <w:r w:rsidR="000B1037">
        <w:rPr>
          <w:rFonts w:ascii="Calibri" w:hAnsi="Calibri" w:cs="Arial"/>
          <w:sz w:val="20"/>
          <w:szCs w:val="20"/>
        </w:rPr>
        <w:t> </w:t>
      </w:r>
      <w:r w:rsidRPr="00142D26">
        <w:rPr>
          <w:rFonts w:ascii="Calibri" w:hAnsi="Calibri" w:cs="Arial"/>
          <w:sz w:val="20"/>
          <w:szCs w:val="20"/>
        </w:rPr>
        <w:t>million times) at a specially prepared sample using speciali</w:t>
      </w:r>
      <w:r w:rsidR="009C66E4">
        <w:rPr>
          <w:rFonts w:ascii="Calibri" w:hAnsi="Calibri" w:cs="Arial"/>
          <w:sz w:val="20"/>
          <w:szCs w:val="20"/>
        </w:rPr>
        <w:t>s</w:t>
      </w:r>
      <w:r w:rsidRPr="00142D26">
        <w:rPr>
          <w:rFonts w:ascii="Calibri" w:hAnsi="Calibri" w:cs="Arial"/>
          <w:sz w:val="20"/>
          <w:szCs w:val="20"/>
        </w:rPr>
        <w:t xml:space="preserve">ed </w:t>
      </w:r>
      <w:r w:rsidR="0082635D" w:rsidRPr="00142D26">
        <w:rPr>
          <w:rFonts w:ascii="Calibri" w:hAnsi="Calibri" w:cs="Arial"/>
          <w:sz w:val="20"/>
          <w:szCs w:val="20"/>
        </w:rPr>
        <w:t xml:space="preserve">and </w:t>
      </w:r>
      <w:r w:rsidRPr="00142D26">
        <w:rPr>
          <w:rFonts w:ascii="Calibri" w:hAnsi="Calibri" w:cs="Arial"/>
          <w:sz w:val="20"/>
          <w:szCs w:val="20"/>
        </w:rPr>
        <w:t>expensive equipment which uses beams of electrons instead of light rays</w:t>
      </w:r>
      <w:r w:rsidR="00491E26">
        <w:rPr>
          <w:rFonts w:ascii="Calibri" w:hAnsi="Calibri" w:cs="Arial"/>
          <w:sz w:val="20"/>
          <w:szCs w:val="20"/>
        </w:rPr>
        <w:t>.</w:t>
      </w:r>
      <w:r w:rsidR="000B1037">
        <w:rPr>
          <w:rFonts w:ascii="Calibri" w:hAnsi="Calibri" w:cs="Arial"/>
          <w:sz w:val="20"/>
          <w:szCs w:val="20"/>
        </w:rPr>
        <w:t xml:space="preserve"> </w:t>
      </w:r>
      <w:r w:rsidRPr="00142D26">
        <w:rPr>
          <w:rFonts w:ascii="Calibri" w:hAnsi="Calibri" w:cs="Arial"/>
          <w:sz w:val="20"/>
          <w:szCs w:val="20"/>
        </w:rPr>
        <w:t xml:space="preserve">It is </w:t>
      </w:r>
      <w:proofErr w:type="gramStart"/>
      <w:r w:rsidRPr="00142D26">
        <w:rPr>
          <w:rFonts w:ascii="Calibri" w:hAnsi="Calibri" w:cs="Arial"/>
          <w:sz w:val="20"/>
          <w:szCs w:val="20"/>
        </w:rPr>
        <w:t>most commonly done</w:t>
      </w:r>
      <w:proofErr w:type="gramEnd"/>
      <w:r w:rsidRPr="00142D26">
        <w:rPr>
          <w:rFonts w:ascii="Calibri" w:hAnsi="Calibri" w:cs="Arial"/>
          <w:sz w:val="20"/>
          <w:szCs w:val="20"/>
        </w:rPr>
        <w:t xml:space="preserve"> on kidney biopsies to help determine why the kidney is failing</w:t>
      </w:r>
      <w:r w:rsidR="00491E26">
        <w:rPr>
          <w:rFonts w:ascii="Calibri" w:hAnsi="Calibri" w:cs="Arial"/>
          <w:sz w:val="20"/>
          <w:szCs w:val="20"/>
        </w:rPr>
        <w:t>.</w:t>
      </w:r>
    </w:p>
    <w:p w14:paraId="0F5CED5F" w14:textId="77777777" w:rsidR="00491E26" w:rsidRDefault="00DF10F2" w:rsidP="000F2A04">
      <w:pPr>
        <w:spacing w:before="120" w:after="0"/>
        <w:rPr>
          <w:rFonts w:ascii="Calibri" w:hAnsi="Calibri" w:cs="Arial"/>
          <w:sz w:val="20"/>
          <w:szCs w:val="20"/>
        </w:rPr>
      </w:pPr>
      <w:r w:rsidRPr="00142D26">
        <w:rPr>
          <w:rFonts w:ascii="Calibri" w:hAnsi="Calibri" w:cs="Arial"/>
          <w:sz w:val="20"/>
          <w:szCs w:val="20"/>
        </w:rPr>
        <w:t>Not all laboratories can do this test and it is done in speciali</w:t>
      </w:r>
      <w:r w:rsidR="009C66E4">
        <w:rPr>
          <w:rFonts w:ascii="Calibri" w:hAnsi="Calibri" w:cs="Arial"/>
          <w:sz w:val="20"/>
          <w:szCs w:val="20"/>
        </w:rPr>
        <w:t>s</w:t>
      </w:r>
      <w:r w:rsidRPr="00142D26">
        <w:rPr>
          <w:rFonts w:ascii="Calibri" w:hAnsi="Calibri" w:cs="Arial"/>
          <w:sz w:val="20"/>
          <w:szCs w:val="20"/>
        </w:rPr>
        <w:t>ed laboratories with experienced staff</w:t>
      </w:r>
      <w:r w:rsidR="00491E26">
        <w:rPr>
          <w:rFonts w:ascii="Calibri" w:hAnsi="Calibri" w:cs="Arial"/>
          <w:sz w:val="20"/>
          <w:szCs w:val="20"/>
        </w:rPr>
        <w:t>.</w:t>
      </w:r>
      <w:r w:rsidR="000B1037">
        <w:rPr>
          <w:rFonts w:ascii="Calibri" w:hAnsi="Calibri" w:cs="Arial"/>
          <w:sz w:val="20"/>
          <w:szCs w:val="20"/>
        </w:rPr>
        <w:t xml:space="preserve"> </w:t>
      </w:r>
      <w:r w:rsidRPr="00142D26">
        <w:rPr>
          <w:rFonts w:ascii="Calibri" w:hAnsi="Calibri" w:cs="Arial"/>
          <w:sz w:val="20"/>
          <w:szCs w:val="20"/>
        </w:rPr>
        <w:t>It has been</w:t>
      </w:r>
      <w:r w:rsidR="0082635D" w:rsidRPr="00142D26">
        <w:rPr>
          <w:rFonts w:ascii="Calibri" w:hAnsi="Calibri" w:cs="Arial"/>
          <w:sz w:val="20"/>
          <w:szCs w:val="20"/>
        </w:rPr>
        <w:t xml:space="preserve"> consistently</w:t>
      </w:r>
      <w:r w:rsidRPr="00142D26">
        <w:rPr>
          <w:rFonts w:ascii="Calibri" w:hAnsi="Calibri" w:cs="Arial"/>
          <w:sz w:val="20"/>
          <w:szCs w:val="20"/>
        </w:rPr>
        <w:t xml:space="preserve"> underfunded </w:t>
      </w:r>
      <w:r w:rsidR="0082635D" w:rsidRPr="00142D26">
        <w:rPr>
          <w:rFonts w:ascii="Calibri" w:hAnsi="Calibri" w:cs="Arial"/>
          <w:sz w:val="20"/>
          <w:szCs w:val="20"/>
        </w:rPr>
        <w:t>for decades</w:t>
      </w:r>
      <w:r w:rsidRPr="00142D26">
        <w:rPr>
          <w:rFonts w:ascii="Calibri" w:hAnsi="Calibri" w:cs="Arial"/>
          <w:sz w:val="20"/>
          <w:szCs w:val="20"/>
        </w:rPr>
        <w:t>, despite efforts to have it reviewed</w:t>
      </w:r>
      <w:r w:rsidR="00491E26">
        <w:rPr>
          <w:rFonts w:ascii="Calibri" w:hAnsi="Calibri" w:cs="Arial"/>
          <w:sz w:val="20"/>
          <w:szCs w:val="20"/>
        </w:rPr>
        <w:t>.</w:t>
      </w:r>
    </w:p>
    <w:p w14:paraId="7B0B21B6" w14:textId="77777777" w:rsidR="00DF10F2" w:rsidRPr="00142D26" w:rsidRDefault="00DF10F2" w:rsidP="00142D26">
      <w:pPr>
        <w:spacing w:before="120" w:after="240"/>
        <w:rPr>
          <w:rFonts w:ascii="Calibri" w:hAnsi="Calibri" w:cs="Arial"/>
          <w:sz w:val="20"/>
          <w:szCs w:val="20"/>
        </w:rPr>
      </w:pPr>
      <w:r w:rsidRPr="00142D26">
        <w:rPr>
          <w:rFonts w:ascii="Calibri" w:hAnsi="Calibri" w:cs="Arial"/>
          <w:sz w:val="20"/>
          <w:szCs w:val="20"/>
        </w:rPr>
        <w:t xml:space="preserve">The Committee recommends the rebate </w:t>
      </w:r>
      <w:r w:rsidR="009C66E4">
        <w:rPr>
          <w:rFonts w:ascii="Calibri" w:hAnsi="Calibri" w:cs="Arial"/>
          <w:sz w:val="20"/>
          <w:szCs w:val="20"/>
        </w:rPr>
        <w:t xml:space="preserve">be </w:t>
      </w:r>
      <w:r w:rsidRPr="00142D26">
        <w:rPr>
          <w:rFonts w:ascii="Calibri" w:hAnsi="Calibri" w:cs="Arial"/>
          <w:sz w:val="20"/>
          <w:szCs w:val="20"/>
        </w:rPr>
        <w:t xml:space="preserve">increased to maintain the availability of this </w:t>
      </w:r>
      <w:proofErr w:type="gramStart"/>
      <w:r w:rsidRPr="00142D26">
        <w:rPr>
          <w:rFonts w:ascii="Calibri" w:hAnsi="Calibri" w:cs="Arial"/>
          <w:sz w:val="20"/>
          <w:szCs w:val="20"/>
        </w:rPr>
        <w:t>low</w:t>
      </w:r>
      <w:r w:rsidR="009C66E4">
        <w:rPr>
          <w:rFonts w:ascii="Calibri" w:hAnsi="Calibri" w:cs="Arial"/>
          <w:sz w:val="20"/>
          <w:szCs w:val="20"/>
        </w:rPr>
        <w:t>-</w:t>
      </w:r>
      <w:r w:rsidRPr="00142D26">
        <w:rPr>
          <w:rFonts w:ascii="Calibri" w:hAnsi="Calibri" w:cs="Arial"/>
          <w:sz w:val="20"/>
          <w:szCs w:val="20"/>
        </w:rPr>
        <w:t>volume</w:t>
      </w:r>
      <w:proofErr w:type="gramEnd"/>
      <w:r w:rsidRPr="00142D26">
        <w:rPr>
          <w:rFonts w:ascii="Calibri" w:hAnsi="Calibri" w:cs="Arial"/>
          <w:sz w:val="20"/>
          <w:szCs w:val="20"/>
        </w:rPr>
        <w:t xml:space="preserve"> but very important test.</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DF10F2" w:rsidRPr="00ED7D2E" w14:paraId="63A8E46F" w14:textId="77777777" w:rsidTr="00316B8E">
        <w:trPr>
          <w:cantSplit/>
          <w:tblHeader/>
        </w:trPr>
        <w:tc>
          <w:tcPr>
            <w:tcW w:w="14122" w:type="dxa"/>
            <w:shd w:val="clear" w:color="auto" w:fill="BFBFBF" w:themeFill="background1" w:themeFillShade="BF"/>
          </w:tcPr>
          <w:p w14:paraId="751938E7" w14:textId="77777777" w:rsidR="00DF10F2" w:rsidRPr="00101410" w:rsidRDefault="00DF10F2" w:rsidP="00DF10F2">
            <w:pPr>
              <w:spacing w:before="40" w:after="40"/>
              <w:rPr>
                <w:rFonts w:cs="Arial"/>
                <w:b/>
                <w:sz w:val="18"/>
                <w:szCs w:val="18"/>
                <w:lang w:val="en-US" w:eastAsia="en-US"/>
              </w:rPr>
            </w:pPr>
            <w:r w:rsidRPr="00101410">
              <w:rPr>
                <w:b/>
              </w:rPr>
              <w:t xml:space="preserve">Recommendation </w:t>
            </w:r>
            <w:r>
              <w:rPr>
                <w:b/>
              </w:rPr>
              <w:t>6: Frozen</w:t>
            </w:r>
            <w:r w:rsidR="009C66E4">
              <w:rPr>
                <w:b/>
              </w:rPr>
              <w:t>-s</w:t>
            </w:r>
            <w:r>
              <w:rPr>
                <w:b/>
              </w:rPr>
              <w:t>ection items</w:t>
            </w:r>
            <w:r w:rsidR="00D2543A">
              <w:rPr>
                <w:b/>
              </w:rPr>
              <w:t xml:space="preserve"> 72855, 72856, 72857</w:t>
            </w:r>
          </w:p>
        </w:tc>
      </w:tr>
    </w:tbl>
    <w:p w14:paraId="61507387" w14:textId="77777777" w:rsidR="00491E26" w:rsidRDefault="00DF10F2" w:rsidP="000F2A04">
      <w:pPr>
        <w:spacing w:before="120" w:after="0"/>
        <w:rPr>
          <w:rFonts w:ascii="Calibri" w:hAnsi="Calibri" w:cs="Arial"/>
          <w:sz w:val="20"/>
          <w:szCs w:val="20"/>
        </w:rPr>
      </w:pPr>
      <w:r w:rsidRPr="00142D26">
        <w:rPr>
          <w:rFonts w:ascii="Calibri" w:hAnsi="Calibri" w:cs="Arial"/>
          <w:sz w:val="20"/>
          <w:szCs w:val="20"/>
        </w:rPr>
        <w:t>A tissue biopsy taken from a patient in the operating theatre can be frozen and cut very thinly onto a slide to enable the pathologist to make a preliminary diagnosis while the patient is still asleep</w:t>
      </w:r>
      <w:r w:rsidR="00491E26">
        <w:rPr>
          <w:rFonts w:ascii="Calibri" w:hAnsi="Calibri" w:cs="Arial"/>
          <w:sz w:val="20"/>
          <w:szCs w:val="20"/>
        </w:rPr>
        <w:t>.</w:t>
      </w:r>
      <w:r w:rsidR="0080072E">
        <w:rPr>
          <w:rFonts w:ascii="Calibri" w:hAnsi="Calibri" w:cs="Arial"/>
          <w:sz w:val="20"/>
          <w:szCs w:val="20"/>
        </w:rPr>
        <w:t xml:space="preserve"> </w:t>
      </w:r>
      <w:r w:rsidRPr="00142D26">
        <w:rPr>
          <w:rFonts w:ascii="Calibri" w:hAnsi="Calibri" w:cs="Arial"/>
          <w:sz w:val="20"/>
          <w:szCs w:val="20"/>
        </w:rPr>
        <w:t>This can help the surgeon plan</w:t>
      </w:r>
      <w:r w:rsidR="004D5CCA" w:rsidRPr="00142D26">
        <w:rPr>
          <w:rFonts w:ascii="Calibri" w:hAnsi="Calibri" w:cs="Arial"/>
          <w:sz w:val="20"/>
          <w:szCs w:val="20"/>
        </w:rPr>
        <w:t xml:space="preserve"> how to proceed with the operation</w:t>
      </w:r>
      <w:r w:rsidR="00491E26">
        <w:rPr>
          <w:rFonts w:ascii="Calibri" w:hAnsi="Calibri" w:cs="Arial"/>
          <w:sz w:val="20"/>
          <w:szCs w:val="20"/>
        </w:rPr>
        <w:t>.</w:t>
      </w:r>
    </w:p>
    <w:p w14:paraId="666CEFE3" w14:textId="77777777" w:rsidR="00DF10F2" w:rsidRPr="00142D26" w:rsidRDefault="004D5CCA" w:rsidP="00142D26">
      <w:pPr>
        <w:spacing w:before="120" w:after="240"/>
        <w:rPr>
          <w:rFonts w:ascii="Calibri" w:hAnsi="Calibri" w:cs="Arial"/>
          <w:sz w:val="20"/>
          <w:szCs w:val="20"/>
        </w:rPr>
      </w:pPr>
      <w:r w:rsidRPr="00142D26">
        <w:rPr>
          <w:rFonts w:ascii="Calibri" w:hAnsi="Calibri" w:cs="Arial"/>
          <w:sz w:val="20"/>
          <w:szCs w:val="20"/>
        </w:rPr>
        <w:t>Currently there are coning rules that limit the funding available for this very</w:t>
      </w:r>
      <w:r w:rsidR="00D220D1">
        <w:rPr>
          <w:rFonts w:ascii="Calibri" w:hAnsi="Calibri" w:cs="Arial"/>
          <w:sz w:val="20"/>
          <w:szCs w:val="20"/>
        </w:rPr>
        <w:t xml:space="preserve"> </w:t>
      </w:r>
      <w:r w:rsidRPr="00142D26">
        <w:rPr>
          <w:rFonts w:ascii="Calibri" w:hAnsi="Calibri" w:cs="Arial"/>
          <w:sz w:val="20"/>
          <w:szCs w:val="20"/>
        </w:rPr>
        <w:t>labour</w:t>
      </w:r>
      <w:r w:rsidR="00D2543A" w:rsidRPr="00142D26">
        <w:rPr>
          <w:rFonts w:ascii="Calibri" w:hAnsi="Calibri" w:cs="Arial"/>
          <w:sz w:val="20"/>
          <w:szCs w:val="20"/>
        </w:rPr>
        <w:t>-</w:t>
      </w:r>
      <w:r w:rsidRPr="00142D26">
        <w:rPr>
          <w:rFonts w:ascii="Calibri" w:hAnsi="Calibri" w:cs="Arial"/>
          <w:sz w:val="20"/>
          <w:szCs w:val="20"/>
        </w:rPr>
        <w:t>intensive</w:t>
      </w:r>
      <w:r w:rsidR="00D2543A" w:rsidRPr="00142D26">
        <w:rPr>
          <w:rFonts w:ascii="Calibri" w:hAnsi="Calibri" w:cs="Arial"/>
          <w:sz w:val="20"/>
          <w:szCs w:val="20"/>
        </w:rPr>
        <w:t xml:space="preserve"> </w:t>
      </w:r>
      <w:r w:rsidRPr="00142D26">
        <w:rPr>
          <w:rFonts w:ascii="Calibri" w:hAnsi="Calibri" w:cs="Arial"/>
          <w:sz w:val="20"/>
          <w:szCs w:val="20"/>
        </w:rPr>
        <w:t>test</w:t>
      </w:r>
      <w:r w:rsidR="00491E26">
        <w:rPr>
          <w:rFonts w:ascii="Calibri" w:hAnsi="Calibri" w:cs="Arial"/>
          <w:sz w:val="20"/>
          <w:szCs w:val="20"/>
        </w:rPr>
        <w:t>.</w:t>
      </w:r>
      <w:r w:rsidR="0080072E">
        <w:rPr>
          <w:rFonts w:ascii="Calibri" w:hAnsi="Calibri" w:cs="Arial"/>
          <w:sz w:val="20"/>
          <w:szCs w:val="20"/>
        </w:rPr>
        <w:t xml:space="preserve"> </w:t>
      </w:r>
      <w:r w:rsidRPr="00142D26">
        <w:rPr>
          <w:rFonts w:ascii="Calibri" w:hAnsi="Calibri" w:cs="Arial"/>
          <w:sz w:val="20"/>
          <w:szCs w:val="20"/>
        </w:rPr>
        <w:t xml:space="preserve">The Committee recommends removing these rules and </w:t>
      </w:r>
      <w:r w:rsidR="000C4972" w:rsidRPr="00142D26">
        <w:rPr>
          <w:rFonts w:ascii="Calibri" w:hAnsi="Calibri" w:cs="Arial"/>
          <w:sz w:val="20"/>
          <w:szCs w:val="20"/>
        </w:rPr>
        <w:t xml:space="preserve">calculating the payment for </w:t>
      </w:r>
      <w:r w:rsidR="009C66E4">
        <w:rPr>
          <w:rFonts w:ascii="Calibri" w:hAnsi="Calibri" w:cs="Arial"/>
          <w:sz w:val="20"/>
          <w:szCs w:val="20"/>
        </w:rPr>
        <w:t>f</w:t>
      </w:r>
      <w:r w:rsidR="009C66E4" w:rsidRPr="00142D26">
        <w:rPr>
          <w:rFonts w:ascii="Calibri" w:hAnsi="Calibri" w:cs="Arial"/>
          <w:sz w:val="20"/>
          <w:szCs w:val="20"/>
        </w:rPr>
        <w:t xml:space="preserve">rozen </w:t>
      </w:r>
      <w:r w:rsidR="009C66E4">
        <w:rPr>
          <w:rFonts w:ascii="Calibri" w:hAnsi="Calibri" w:cs="Arial"/>
          <w:sz w:val="20"/>
          <w:szCs w:val="20"/>
        </w:rPr>
        <w:t>s</w:t>
      </w:r>
      <w:r w:rsidR="009C66E4" w:rsidRPr="00142D26">
        <w:rPr>
          <w:rFonts w:ascii="Calibri" w:hAnsi="Calibri" w:cs="Arial"/>
          <w:sz w:val="20"/>
          <w:szCs w:val="20"/>
        </w:rPr>
        <w:t xml:space="preserve">ections </w:t>
      </w:r>
      <w:r w:rsidR="000C4972" w:rsidRPr="00142D26">
        <w:rPr>
          <w:rFonts w:ascii="Calibri" w:hAnsi="Calibri" w:cs="Arial"/>
          <w:sz w:val="20"/>
          <w:szCs w:val="20"/>
        </w:rPr>
        <w:t>in a fairer way.</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DF10F2" w:rsidRPr="00ED7D2E" w14:paraId="1AB17C21" w14:textId="77777777" w:rsidTr="00316B8E">
        <w:trPr>
          <w:cantSplit/>
          <w:tblHeader/>
        </w:trPr>
        <w:tc>
          <w:tcPr>
            <w:tcW w:w="14122" w:type="dxa"/>
            <w:shd w:val="clear" w:color="auto" w:fill="BFBFBF" w:themeFill="background1" w:themeFillShade="BF"/>
          </w:tcPr>
          <w:p w14:paraId="7C3BBC3D" w14:textId="77777777" w:rsidR="00DF10F2" w:rsidRPr="00101410" w:rsidRDefault="00DF10F2" w:rsidP="00D2543A">
            <w:pPr>
              <w:spacing w:before="40" w:after="40"/>
              <w:rPr>
                <w:rFonts w:cs="Arial"/>
                <w:b/>
                <w:sz w:val="18"/>
                <w:szCs w:val="18"/>
                <w:lang w:val="en-US" w:eastAsia="en-US"/>
              </w:rPr>
            </w:pPr>
            <w:r w:rsidRPr="00101410">
              <w:rPr>
                <w:b/>
              </w:rPr>
              <w:t xml:space="preserve">Recommendation </w:t>
            </w:r>
            <w:r>
              <w:rPr>
                <w:b/>
              </w:rPr>
              <w:t>7: Second</w:t>
            </w:r>
            <w:r w:rsidR="009C66E4">
              <w:rPr>
                <w:b/>
              </w:rPr>
              <w:t>-o</w:t>
            </w:r>
            <w:r>
              <w:rPr>
                <w:b/>
              </w:rPr>
              <w:t>pinion items</w:t>
            </w:r>
            <w:r w:rsidR="00E11BC0">
              <w:rPr>
                <w:b/>
              </w:rPr>
              <w:t xml:space="preserve"> </w:t>
            </w:r>
            <w:r w:rsidR="004D5CCA" w:rsidRPr="00D2543A">
              <w:rPr>
                <w:rFonts w:ascii="Calibri" w:hAnsi="Calibri" w:cs="Arial"/>
                <w:b/>
                <w:color w:val="222222"/>
                <w:szCs w:val="22"/>
              </w:rPr>
              <w:t>72858, 72859</w:t>
            </w:r>
          </w:p>
        </w:tc>
      </w:tr>
    </w:tbl>
    <w:p w14:paraId="25F3BD28" w14:textId="77777777" w:rsidR="00491E26" w:rsidRDefault="004D5CCA" w:rsidP="000F2A04">
      <w:pPr>
        <w:spacing w:before="120" w:after="0"/>
        <w:rPr>
          <w:rFonts w:ascii="Calibri" w:hAnsi="Calibri" w:cs="Arial"/>
          <w:sz w:val="20"/>
          <w:szCs w:val="20"/>
        </w:rPr>
      </w:pPr>
      <w:r w:rsidRPr="00142D26">
        <w:rPr>
          <w:rFonts w:ascii="Calibri" w:hAnsi="Calibri" w:cs="Arial"/>
          <w:sz w:val="20"/>
          <w:szCs w:val="20"/>
        </w:rPr>
        <w:t xml:space="preserve">New items recently added to the MBS allow a pathologist or other </w:t>
      </w:r>
      <w:r w:rsidR="00316B8E" w:rsidRPr="00142D26">
        <w:rPr>
          <w:rFonts w:ascii="Calibri" w:hAnsi="Calibri" w:cs="Arial"/>
          <w:sz w:val="20"/>
          <w:szCs w:val="20"/>
        </w:rPr>
        <w:t>doctor</w:t>
      </w:r>
      <w:r w:rsidRPr="00142D26">
        <w:rPr>
          <w:rFonts w:ascii="Calibri" w:hAnsi="Calibri" w:cs="Arial"/>
          <w:sz w:val="20"/>
          <w:szCs w:val="20"/>
        </w:rPr>
        <w:t xml:space="preserve"> to request a second opinion from another pathologist in a difficult case</w:t>
      </w:r>
      <w:r w:rsidR="00491E26">
        <w:rPr>
          <w:rFonts w:ascii="Calibri" w:hAnsi="Calibri" w:cs="Arial"/>
          <w:sz w:val="20"/>
          <w:szCs w:val="20"/>
        </w:rPr>
        <w:t>.</w:t>
      </w:r>
      <w:r w:rsidR="00E11498">
        <w:rPr>
          <w:rFonts w:ascii="Calibri" w:hAnsi="Calibri" w:cs="Arial"/>
          <w:sz w:val="20"/>
          <w:szCs w:val="20"/>
        </w:rPr>
        <w:t xml:space="preserve"> </w:t>
      </w:r>
      <w:r w:rsidR="000C4972" w:rsidRPr="00142D26">
        <w:rPr>
          <w:rFonts w:ascii="Calibri" w:hAnsi="Calibri" w:cs="Arial"/>
          <w:sz w:val="20"/>
          <w:szCs w:val="20"/>
        </w:rPr>
        <w:t>Confusion exists</w:t>
      </w:r>
      <w:r w:rsidRPr="00142D26">
        <w:rPr>
          <w:rFonts w:ascii="Calibri" w:hAnsi="Calibri" w:cs="Arial"/>
          <w:sz w:val="20"/>
          <w:szCs w:val="20"/>
        </w:rPr>
        <w:t xml:space="preserve"> about how this is to be ordered</w:t>
      </w:r>
      <w:r w:rsidR="00491E26">
        <w:rPr>
          <w:rFonts w:ascii="Calibri" w:hAnsi="Calibri" w:cs="Arial"/>
          <w:sz w:val="20"/>
          <w:szCs w:val="20"/>
        </w:rPr>
        <w:t>.</w:t>
      </w:r>
    </w:p>
    <w:p w14:paraId="12AC5FBB" w14:textId="77777777" w:rsidR="00DF10F2" w:rsidRPr="00142D26" w:rsidRDefault="004D5CCA" w:rsidP="00142D26">
      <w:pPr>
        <w:spacing w:before="120" w:after="240"/>
        <w:rPr>
          <w:rFonts w:ascii="Calibri" w:hAnsi="Calibri" w:cs="Arial"/>
          <w:sz w:val="20"/>
          <w:szCs w:val="20"/>
        </w:rPr>
      </w:pPr>
      <w:r w:rsidRPr="00142D26">
        <w:rPr>
          <w:rFonts w:ascii="Calibri" w:hAnsi="Calibri" w:cs="Arial"/>
          <w:sz w:val="20"/>
          <w:szCs w:val="20"/>
        </w:rPr>
        <w:t xml:space="preserve">The Committee recommends splitting the items so it can be seen who is requesting the second opinion (pathologist or other </w:t>
      </w:r>
      <w:r w:rsidR="00316B8E" w:rsidRPr="00142D26">
        <w:rPr>
          <w:rFonts w:ascii="Calibri" w:hAnsi="Calibri" w:cs="Arial"/>
          <w:sz w:val="20"/>
          <w:szCs w:val="20"/>
        </w:rPr>
        <w:t>doctor</w:t>
      </w:r>
      <w:r w:rsidRPr="00142D26">
        <w:rPr>
          <w:rFonts w:ascii="Calibri" w:hAnsi="Calibri" w:cs="Arial"/>
          <w:sz w:val="20"/>
          <w:szCs w:val="20"/>
        </w:rPr>
        <w:t>) and clarifying the wording</w:t>
      </w:r>
      <w:r w:rsidR="00316B8E" w:rsidRPr="00142D26">
        <w:rPr>
          <w:rFonts w:ascii="Calibri" w:hAnsi="Calibri" w:cs="Arial"/>
          <w:sz w:val="20"/>
          <w:szCs w:val="20"/>
        </w:rPr>
        <w:t xml:space="preserve"> to ensure the items are used appropriately</w:t>
      </w:r>
      <w:r w:rsidRPr="00142D26">
        <w:rPr>
          <w:rFonts w:ascii="Calibri" w:hAnsi="Calibri" w:cs="Arial"/>
          <w:sz w:val="20"/>
          <w:szCs w:val="20"/>
        </w:rPr>
        <w:t>.</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Pr>
      <w:tblGrid>
        <w:gridCol w:w="9026"/>
      </w:tblGrid>
      <w:tr w:rsidR="00DF10F2" w:rsidRPr="00ED7D2E" w14:paraId="522A8A8E" w14:textId="77777777" w:rsidTr="00316B8E">
        <w:trPr>
          <w:cantSplit/>
          <w:tblHeader/>
        </w:trPr>
        <w:tc>
          <w:tcPr>
            <w:tcW w:w="14122" w:type="dxa"/>
            <w:shd w:val="clear" w:color="auto" w:fill="BFBFBF" w:themeFill="background1" w:themeFillShade="BF"/>
          </w:tcPr>
          <w:p w14:paraId="79E1453F" w14:textId="77777777" w:rsidR="00DF10F2" w:rsidRPr="00101410" w:rsidRDefault="00DF10F2" w:rsidP="00DF10F2">
            <w:pPr>
              <w:spacing w:before="40" w:after="40"/>
              <w:rPr>
                <w:rFonts w:cs="Arial"/>
                <w:b/>
                <w:sz w:val="18"/>
                <w:szCs w:val="18"/>
                <w:lang w:val="en-US" w:eastAsia="en-US"/>
              </w:rPr>
            </w:pPr>
            <w:r w:rsidRPr="00101410">
              <w:rPr>
                <w:b/>
              </w:rPr>
              <w:t xml:space="preserve">Recommendation </w:t>
            </w:r>
            <w:r>
              <w:rPr>
                <w:b/>
              </w:rPr>
              <w:t>8: Pathologist</w:t>
            </w:r>
            <w:r w:rsidR="009C66E4">
              <w:rPr>
                <w:b/>
              </w:rPr>
              <w:t>-</w:t>
            </w:r>
            <w:r>
              <w:rPr>
                <w:b/>
              </w:rPr>
              <w:t>determinable items</w:t>
            </w:r>
            <w:r w:rsidR="00D2543A">
              <w:rPr>
                <w:b/>
              </w:rPr>
              <w:t xml:space="preserve"> </w:t>
            </w:r>
          </w:p>
        </w:tc>
      </w:tr>
    </w:tbl>
    <w:p w14:paraId="45124F6A" w14:textId="77777777" w:rsidR="00491E26" w:rsidRDefault="004D5CCA" w:rsidP="000F2A04">
      <w:pPr>
        <w:spacing w:before="120" w:after="0"/>
        <w:rPr>
          <w:rFonts w:ascii="Calibri" w:hAnsi="Calibri" w:cs="Arial"/>
          <w:sz w:val="20"/>
          <w:szCs w:val="20"/>
        </w:rPr>
      </w:pPr>
      <w:r w:rsidRPr="00BE48E3">
        <w:rPr>
          <w:rFonts w:ascii="Calibri" w:hAnsi="Calibri" w:cs="Arial"/>
          <w:sz w:val="20"/>
          <w:szCs w:val="20"/>
        </w:rPr>
        <w:t xml:space="preserve">Certain tests on the MBS are </w:t>
      </w:r>
      <w:r w:rsidR="009C66E4">
        <w:rPr>
          <w:rFonts w:ascii="Calibri" w:hAnsi="Calibri" w:cs="Arial"/>
          <w:sz w:val="20"/>
          <w:szCs w:val="20"/>
        </w:rPr>
        <w:t>‘</w:t>
      </w:r>
      <w:r w:rsidRPr="00BE48E3">
        <w:rPr>
          <w:rFonts w:ascii="Calibri" w:hAnsi="Calibri" w:cs="Arial"/>
          <w:sz w:val="20"/>
          <w:szCs w:val="20"/>
        </w:rPr>
        <w:t>pathologist determinable</w:t>
      </w:r>
      <w:r w:rsidR="009C66E4">
        <w:rPr>
          <w:rFonts w:ascii="Calibri" w:hAnsi="Calibri" w:cs="Arial"/>
          <w:sz w:val="20"/>
          <w:szCs w:val="20"/>
        </w:rPr>
        <w:t>’</w:t>
      </w:r>
      <w:r w:rsidR="009C66E4" w:rsidRPr="00BE48E3">
        <w:rPr>
          <w:rFonts w:ascii="Calibri" w:hAnsi="Calibri" w:cs="Arial"/>
          <w:sz w:val="20"/>
          <w:szCs w:val="20"/>
        </w:rPr>
        <w:t xml:space="preserve">, </w:t>
      </w:r>
      <w:r w:rsidRPr="00BE48E3">
        <w:rPr>
          <w:rFonts w:ascii="Calibri" w:hAnsi="Calibri" w:cs="Arial"/>
          <w:sz w:val="20"/>
          <w:szCs w:val="20"/>
        </w:rPr>
        <w:t>meaning that a pathologist can add them on to a request without a written request from the clinician who sent the biopsy</w:t>
      </w:r>
      <w:r w:rsidR="00491E26">
        <w:rPr>
          <w:rFonts w:ascii="Calibri" w:hAnsi="Calibri" w:cs="Arial"/>
          <w:sz w:val="20"/>
          <w:szCs w:val="20"/>
        </w:rPr>
        <w:t>.</w:t>
      </w:r>
      <w:r w:rsidR="00E11498">
        <w:rPr>
          <w:rFonts w:ascii="Calibri" w:hAnsi="Calibri" w:cs="Arial"/>
          <w:sz w:val="20"/>
          <w:szCs w:val="20"/>
        </w:rPr>
        <w:t xml:space="preserve"> </w:t>
      </w:r>
      <w:r w:rsidRPr="00BE48E3">
        <w:rPr>
          <w:rFonts w:ascii="Calibri" w:hAnsi="Calibri" w:cs="Arial"/>
          <w:sz w:val="20"/>
          <w:szCs w:val="20"/>
        </w:rPr>
        <w:t>Immunohistochemistry is one such test, which is frequently required to classify a particular tumour</w:t>
      </w:r>
      <w:r w:rsidR="00491E26">
        <w:rPr>
          <w:rFonts w:ascii="Calibri" w:hAnsi="Calibri" w:cs="Arial"/>
          <w:sz w:val="20"/>
          <w:szCs w:val="20"/>
        </w:rPr>
        <w:t>.</w:t>
      </w:r>
    </w:p>
    <w:p w14:paraId="6A7D6993" w14:textId="77777777" w:rsidR="00491E26" w:rsidRDefault="004D5CCA" w:rsidP="000F2A04">
      <w:pPr>
        <w:spacing w:before="120" w:after="0"/>
        <w:rPr>
          <w:rFonts w:ascii="Calibri" w:hAnsi="Calibri" w:cs="Arial"/>
          <w:sz w:val="20"/>
          <w:szCs w:val="20"/>
        </w:rPr>
      </w:pPr>
      <w:r w:rsidRPr="00BE48E3">
        <w:rPr>
          <w:rFonts w:ascii="Calibri" w:hAnsi="Calibri" w:cs="Arial"/>
          <w:sz w:val="20"/>
          <w:szCs w:val="20"/>
        </w:rPr>
        <w:t xml:space="preserve">Other genetic tests </w:t>
      </w:r>
      <w:r w:rsidR="009C66E4">
        <w:rPr>
          <w:rFonts w:ascii="Calibri" w:hAnsi="Calibri" w:cs="Arial"/>
          <w:sz w:val="20"/>
          <w:szCs w:val="20"/>
        </w:rPr>
        <w:t xml:space="preserve">that </w:t>
      </w:r>
      <w:r w:rsidRPr="00BE48E3">
        <w:rPr>
          <w:rFonts w:ascii="Calibri" w:hAnsi="Calibri" w:cs="Arial"/>
          <w:sz w:val="20"/>
          <w:szCs w:val="20"/>
        </w:rPr>
        <w:t xml:space="preserve">allow access to certain targeted cancer therapies are also </w:t>
      </w:r>
      <w:r w:rsidR="009C66E4">
        <w:rPr>
          <w:rFonts w:ascii="Calibri" w:hAnsi="Calibri" w:cs="Arial"/>
          <w:sz w:val="20"/>
          <w:szCs w:val="20"/>
        </w:rPr>
        <w:t>‘</w:t>
      </w:r>
      <w:r w:rsidRPr="00BE48E3">
        <w:rPr>
          <w:rFonts w:ascii="Calibri" w:hAnsi="Calibri" w:cs="Arial"/>
          <w:sz w:val="20"/>
          <w:szCs w:val="20"/>
        </w:rPr>
        <w:t>pathologist determinable</w:t>
      </w:r>
      <w:r w:rsidR="009C66E4">
        <w:rPr>
          <w:rFonts w:ascii="Calibri" w:hAnsi="Calibri" w:cs="Arial"/>
          <w:sz w:val="20"/>
          <w:szCs w:val="20"/>
        </w:rPr>
        <w:t>’</w:t>
      </w:r>
      <w:r w:rsidR="009C66E4" w:rsidRPr="00BE48E3">
        <w:rPr>
          <w:rFonts w:ascii="Calibri" w:hAnsi="Calibri" w:cs="Arial"/>
          <w:sz w:val="20"/>
          <w:szCs w:val="20"/>
        </w:rPr>
        <w:t xml:space="preserve"> </w:t>
      </w:r>
      <w:r w:rsidRPr="00BE48E3">
        <w:rPr>
          <w:rFonts w:ascii="Calibri" w:hAnsi="Calibri" w:cs="Arial"/>
          <w:sz w:val="20"/>
          <w:szCs w:val="20"/>
        </w:rPr>
        <w:t>(</w:t>
      </w:r>
      <w:r w:rsidR="00C40C8C">
        <w:rPr>
          <w:rFonts w:ascii="Calibri" w:hAnsi="Calibri" w:cs="Arial"/>
          <w:sz w:val="20"/>
          <w:szCs w:val="20"/>
        </w:rPr>
        <w:t>HER2</w:t>
      </w:r>
      <w:r w:rsidRPr="00BE48E3">
        <w:rPr>
          <w:rFonts w:ascii="Calibri" w:hAnsi="Calibri" w:cs="Arial"/>
          <w:sz w:val="20"/>
          <w:szCs w:val="20"/>
        </w:rPr>
        <w:t xml:space="preserve"> testing in breast cancer</w:t>
      </w:r>
      <w:r w:rsidR="000C4972" w:rsidRPr="00BE48E3">
        <w:rPr>
          <w:rFonts w:ascii="Calibri" w:hAnsi="Calibri" w:cs="Arial"/>
          <w:sz w:val="20"/>
          <w:szCs w:val="20"/>
        </w:rPr>
        <w:t xml:space="preserve"> and </w:t>
      </w:r>
      <w:r w:rsidR="006F10C0" w:rsidRPr="006F10C0">
        <w:rPr>
          <w:rFonts w:ascii="Calibri" w:hAnsi="Calibri" w:cs="Arial"/>
          <w:sz w:val="20"/>
          <w:szCs w:val="20"/>
        </w:rPr>
        <w:t>epidermal growth factor receptor</w:t>
      </w:r>
      <w:r w:rsidR="006F10C0">
        <w:rPr>
          <w:rFonts w:ascii="Calibri" w:hAnsi="Calibri" w:cs="Arial"/>
          <w:sz w:val="20"/>
          <w:szCs w:val="20"/>
        </w:rPr>
        <w:t xml:space="preserve"> [EGFR]</w:t>
      </w:r>
      <w:r w:rsidR="006F10C0" w:rsidRPr="006F10C0">
        <w:rPr>
          <w:rFonts w:ascii="Calibri" w:hAnsi="Calibri" w:cs="Arial"/>
          <w:sz w:val="20"/>
          <w:szCs w:val="20"/>
        </w:rPr>
        <w:t xml:space="preserve"> </w:t>
      </w:r>
      <w:r w:rsidR="000C4972" w:rsidRPr="00BE48E3">
        <w:rPr>
          <w:rFonts w:ascii="Calibri" w:hAnsi="Calibri" w:cs="Arial"/>
          <w:sz w:val="20"/>
          <w:szCs w:val="20"/>
        </w:rPr>
        <w:t>testing in lung cancer</w:t>
      </w:r>
      <w:r w:rsidRPr="00BE48E3">
        <w:rPr>
          <w:rFonts w:ascii="Calibri" w:hAnsi="Calibri" w:cs="Arial"/>
          <w:sz w:val="20"/>
          <w:szCs w:val="20"/>
        </w:rPr>
        <w:t xml:space="preserve">), but if a pathologist needs to send the </w:t>
      </w:r>
      <w:r w:rsidR="00D220D1">
        <w:rPr>
          <w:rFonts w:ascii="Calibri" w:hAnsi="Calibri" w:cs="Arial"/>
          <w:sz w:val="20"/>
          <w:szCs w:val="20"/>
        </w:rPr>
        <w:t>specimen to a second pathology laboratory</w:t>
      </w:r>
      <w:r w:rsidRPr="00BE48E3">
        <w:rPr>
          <w:rFonts w:ascii="Calibri" w:hAnsi="Calibri" w:cs="Arial"/>
          <w:sz w:val="20"/>
          <w:szCs w:val="20"/>
        </w:rPr>
        <w:t xml:space="preserve"> to do the testing, it is no longer </w:t>
      </w:r>
      <w:r w:rsidR="009C66E4">
        <w:rPr>
          <w:rFonts w:ascii="Calibri" w:hAnsi="Calibri" w:cs="Arial"/>
          <w:sz w:val="20"/>
          <w:szCs w:val="20"/>
        </w:rPr>
        <w:t>‘</w:t>
      </w:r>
      <w:r w:rsidRPr="00BE48E3">
        <w:rPr>
          <w:rFonts w:ascii="Calibri" w:hAnsi="Calibri" w:cs="Arial"/>
          <w:sz w:val="20"/>
          <w:szCs w:val="20"/>
        </w:rPr>
        <w:t>pathologist determinable</w:t>
      </w:r>
      <w:r w:rsidR="009C66E4">
        <w:rPr>
          <w:rFonts w:ascii="Calibri" w:hAnsi="Calibri" w:cs="Arial"/>
          <w:sz w:val="20"/>
          <w:szCs w:val="20"/>
        </w:rPr>
        <w:t>’</w:t>
      </w:r>
      <w:r w:rsidR="00D220D1">
        <w:rPr>
          <w:rFonts w:ascii="Calibri" w:hAnsi="Calibri" w:cs="Arial"/>
          <w:sz w:val="20"/>
          <w:szCs w:val="20"/>
        </w:rPr>
        <w:t xml:space="preserve"> and a delay may occur while a second request form is obtained from the clinician.</w:t>
      </w:r>
    </w:p>
    <w:p w14:paraId="684824F6" w14:textId="77777777" w:rsidR="005B4FEA" w:rsidRPr="0060697D" w:rsidRDefault="004D5CCA" w:rsidP="00BE48E3">
      <w:pPr>
        <w:spacing w:before="120" w:after="0"/>
        <w:rPr>
          <w:sz w:val="20"/>
          <w:szCs w:val="20"/>
        </w:rPr>
      </w:pPr>
      <w:r w:rsidRPr="00BE48E3">
        <w:rPr>
          <w:rFonts w:ascii="Calibri" w:hAnsi="Calibri" w:cs="Arial"/>
          <w:sz w:val="20"/>
          <w:szCs w:val="20"/>
        </w:rPr>
        <w:t>The Committee recommends that the Department of Health review this issue to provide greater clarity.</w:t>
      </w:r>
    </w:p>
    <w:sectPr w:rsidR="005B4FEA" w:rsidRPr="0060697D" w:rsidSect="00327C01">
      <w:footerReference w:type="default" r:id="rId24"/>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33F2" w14:textId="77777777" w:rsidR="00044B06" w:rsidRDefault="00044B06" w:rsidP="000D1CF6">
      <w:r>
        <w:separator/>
      </w:r>
    </w:p>
    <w:p w14:paraId="37EE92D9" w14:textId="77777777" w:rsidR="00044B06" w:rsidRDefault="00044B06" w:rsidP="000D1CF6"/>
    <w:p w14:paraId="568450B1" w14:textId="77777777" w:rsidR="00044B06" w:rsidRDefault="00044B06"/>
  </w:endnote>
  <w:endnote w:type="continuationSeparator" w:id="0">
    <w:p w14:paraId="21615AE9" w14:textId="77777777" w:rsidR="00044B06" w:rsidRDefault="00044B06" w:rsidP="000D1CF6">
      <w:r>
        <w:continuationSeparator/>
      </w:r>
    </w:p>
    <w:p w14:paraId="2EE96613" w14:textId="77777777" w:rsidR="00044B06" w:rsidRDefault="00044B06" w:rsidP="000D1CF6"/>
    <w:p w14:paraId="4AFDC10A" w14:textId="77777777" w:rsidR="00044B06" w:rsidRDefault="00044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00000001" w:usb1="00000001"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CF9E" w14:textId="77777777" w:rsidR="008B0239" w:rsidRDefault="008B0239" w:rsidP="00381125">
    <w:pPr>
      <w:pStyle w:val="Footer"/>
      <w:pBdr>
        <w:top w:val="single" w:sz="4" w:space="1" w:color="B56012"/>
      </w:pBdr>
      <w:tabs>
        <w:tab w:val="clear" w:pos="4513"/>
      </w:tabs>
      <w:jc w:val="center"/>
    </w:pPr>
    <w:r w:rsidRPr="000869E6">
      <w:rPr>
        <w:color w:val="01653F"/>
        <w:sz w:val="16"/>
      </w:rPr>
      <w:t xml:space="preserve">Report from the </w:t>
    </w:r>
    <w:r>
      <w:rPr>
        <w:color w:val="01653F"/>
        <w:sz w:val="16"/>
      </w:rPr>
      <w:t>Anatomical Pathology/Cytology Clinical Committee – May 2017</w:t>
    </w:r>
    <w:r>
      <w:rPr>
        <w:color w:val="01653F"/>
        <w:sz w:val="16"/>
      </w:rPr>
      <w:tab/>
    </w:r>
    <w:r w:rsidRPr="003B1222">
      <w:rPr>
        <w:color w:val="01653F"/>
        <w:sz w:val="16"/>
      </w:rPr>
      <w:t xml:space="preserve">Page </w:t>
    </w:r>
    <w:r w:rsidR="00555C4C" w:rsidRPr="003B1222">
      <w:rPr>
        <w:color w:val="01653F"/>
      </w:rPr>
      <w:fldChar w:fldCharType="begin"/>
    </w:r>
    <w:r w:rsidRPr="003B1222">
      <w:rPr>
        <w:color w:val="01653F"/>
      </w:rPr>
      <w:instrText xml:space="preserve"> PAGE   \* MERGEFORMAT </w:instrText>
    </w:r>
    <w:r w:rsidR="00555C4C" w:rsidRPr="003B1222">
      <w:rPr>
        <w:color w:val="01653F"/>
      </w:rPr>
      <w:fldChar w:fldCharType="separate"/>
    </w:r>
    <w:r w:rsidR="00B43E80" w:rsidRPr="00B43E80">
      <w:rPr>
        <w:rFonts w:eastAsiaTheme="majorEastAsia"/>
        <w:noProof/>
        <w:color w:val="01653F"/>
        <w:sz w:val="16"/>
      </w:rPr>
      <w:t>46</w:t>
    </w:r>
    <w:r w:rsidR="00555C4C" w:rsidRPr="003B1222">
      <w:rPr>
        <w:rFonts w:eastAsiaTheme="majorEastAsia"/>
        <w:noProof/>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794A" w14:textId="77777777" w:rsidR="008B0239" w:rsidRPr="003B1222" w:rsidRDefault="008B0239"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sidR="00B83572">
      <w:rPr>
        <w:color w:val="01653F"/>
        <w:sz w:val="16"/>
      </w:rPr>
      <w:t>Anatomical Pathology /Cytology</w:t>
    </w:r>
    <w:r w:rsidRPr="000869E6">
      <w:rPr>
        <w:color w:val="01653F"/>
        <w:sz w:val="16"/>
      </w:rPr>
      <w:t xml:space="preserve"> Clinical Committee – </w:t>
    </w:r>
    <w:r w:rsidR="00B83572">
      <w:rPr>
        <w:color w:val="01653F"/>
        <w:sz w:val="16"/>
      </w:rPr>
      <w:t>May 2017</w:t>
    </w:r>
    <w:r w:rsidRPr="003B1222">
      <w:rPr>
        <w:color w:val="01653F"/>
        <w:sz w:val="16"/>
      </w:rPr>
      <w:tab/>
      <w:t xml:space="preserve">Page </w:t>
    </w:r>
    <w:r w:rsidR="00555C4C" w:rsidRPr="003B1222">
      <w:rPr>
        <w:color w:val="01653F"/>
      </w:rPr>
      <w:fldChar w:fldCharType="begin"/>
    </w:r>
    <w:r w:rsidRPr="003B1222">
      <w:rPr>
        <w:color w:val="01653F"/>
      </w:rPr>
      <w:instrText xml:space="preserve"> PAGE   \* MERGEFORMAT </w:instrText>
    </w:r>
    <w:r w:rsidR="00555C4C" w:rsidRPr="003B1222">
      <w:rPr>
        <w:color w:val="01653F"/>
      </w:rPr>
      <w:fldChar w:fldCharType="separate"/>
    </w:r>
    <w:r w:rsidR="00B43E80" w:rsidRPr="00B43E80">
      <w:rPr>
        <w:rFonts w:eastAsiaTheme="majorEastAsia"/>
        <w:noProof/>
        <w:color w:val="01653F"/>
        <w:sz w:val="16"/>
      </w:rPr>
      <w:t>55</w:t>
    </w:r>
    <w:r w:rsidR="00555C4C"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7C4CB" w14:textId="77777777" w:rsidR="00044B06" w:rsidRDefault="00044B06">
      <w:r>
        <w:separator/>
      </w:r>
    </w:p>
  </w:footnote>
  <w:footnote w:type="continuationSeparator" w:id="0">
    <w:p w14:paraId="7B44858F" w14:textId="77777777" w:rsidR="00044B06" w:rsidRDefault="00044B06" w:rsidP="000D1CF6">
      <w:r>
        <w:continuationSeparator/>
      </w:r>
    </w:p>
    <w:p w14:paraId="0EC4B15E" w14:textId="77777777" w:rsidR="00044B06" w:rsidRDefault="00044B06" w:rsidP="000D1CF6"/>
    <w:p w14:paraId="2AD524B6" w14:textId="77777777" w:rsidR="00044B06" w:rsidRDefault="00044B06"/>
  </w:footnote>
  <w:footnote w:id="1">
    <w:p w14:paraId="487A52AF" w14:textId="77777777" w:rsidR="008B0239" w:rsidRDefault="008B0239" w:rsidP="008840F8">
      <w:pPr>
        <w:pStyle w:val="FootnoteText"/>
      </w:pPr>
      <w:r w:rsidRPr="00DF7C6A">
        <w:rPr>
          <w:rStyle w:val="FootnoteReference"/>
          <w:vertAlign w:val="baseline"/>
        </w:rPr>
        <w:t>*</w:t>
      </w:r>
      <w:r>
        <w:t xml:space="preserve"> 11% of practicing pathologists (13% in NSW) are aged &gt; 65 (August 16 Workforce Data, RCPA)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F11481"/>
    <w:multiLevelType w:val="multilevel"/>
    <w:tmpl w:val="7CA8DB08"/>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specVanish w:val="0"/>
      </w:rPr>
    </w:lvl>
    <w:lvl w:ilvl="1">
      <w:start w:val="1"/>
      <w:numFmt w:val="decimal"/>
      <w:pStyle w:val="Heading2"/>
      <w:lvlText w:val="%1.%2"/>
      <w:lvlJc w:val="left"/>
      <w:pPr>
        <w:ind w:left="860"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F968D9"/>
    <w:multiLevelType w:val="multilevel"/>
    <w:tmpl w:val="F09A0A5A"/>
    <w:lvl w:ilvl="0">
      <w:start w:val="1"/>
      <w:numFmt w:val="decimal"/>
      <w:pStyle w:val="Numbering"/>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15:restartNumberingAfterBreak="0">
    <w:nsid w:val="67E9153F"/>
    <w:multiLevelType w:val="hybridMultilevel"/>
    <w:tmpl w:val="1A50C78C"/>
    <w:lvl w:ilvl="0" w:tplc="F7528FD8">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75032C"/>
    <w:multiLevelType w:val="hybridMultilevel"/>
    <w:tmpl w:val="5A3C0E32"/>
    <w:lvl w:ilvl="0" w:tplc="09484BFC">
      <w:start w:val="1"/>
      <w:numFmt w:val="bullet"/>
      <w:lvlText w:val=""/>
      <w:lvlJc w:val="left"/>
      <w:pPr>
        <w:ind w:left="786" w:hanging="360"/>
      </w:pPr>
      <w:rPr>
        <w:rFonts w:ascii="Symbol" w:eastAsia="Times New Roman" w:hAnsi="Symbol"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7AAB358E"/>
    <w:multiLevelType w:val="multilevel"/>
    <w:tmpl w:val="6CEAA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0575B2"/>
    <w:multiLevelType w:val="multilevel"/>
    <w:tmpl w:val="50B219E2"/>
    <w:lvl w:ilvl="0">
      <w:start w:val="1"/>
      <w:numFmt w:val="decimal"/>
      <w:lvlText w:val="%1."/>
      <w:lvlJc w:val="left"/>
      <w:pPr>
        <w:ind w:left="3692" w:hanging="432"/>
      </w:pPr>
      <w:rPr>
        <w:rFonts w:hint="default"/>
      </w:rPr>
    </w:lvl>
    <w:lvl w:ilvl="1">
      <w:start w:val="3"/>
      <w:numFmt w:val="decimal"/>
      <w:lvlText w:val="%1.%2"/>
      <w:lvlJc w:val="left"/>
      <w:pPr>
        <w:ind w:left="860" w:hanging="576"/>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4"/>
  </w:num>
  <w:num w:numId="2">
    <w:abstractNumId w:val="6"/>
  </w:num>
  <w:num w:numId="3">
    <w:abstractNumId w:val="3"/>
  </w:num>
  <w:num w:numId="4">
    <w:abstractNumId w:val="2"/>
  </w:num>
  <w:num w:numId="5">
    <w:abstractNumId w:val="8"/>
  </w:num>
  <w:num w:numId="6">
    <w:abstractNumId w:val="16"/>
  </w:num>
  <w:num w:numId="7">
    <w:abstractNumId w:val="11"/>
  </w:num>
  <w:num w:numId="8">
    <w:abstractNumId w:val="9"/>
  </w:num>
  <w:num w:numId="9">
    <w:abstractNumId w:val="13"/>
  </w:num>
  <w:num w:numId="10">
    <w:abstractNumId w:val="1"/>
  </w:num>
  <w:num w:numId="11">
    <w:abstractNumId w:val="0"/>
  </w:num>
  <w:num w:numId="12">
    <w:abstractNumId w:val="5"/>
  </w:num>
  <w:num w:numId="13">
    <w:abstractNumId w:val="11"/>
  </w:num>
  <w:num w:numId="14">
    <w:abstractNumId w:val="15"/>
  </w:num>
  <w:num w:numId="15">
    <w:abstractNumId w:val="11"/>
  </w:num>
  <w:num w:numId="16">
    <w:abstractNumId w:val="11"/>
  </w:num>
  <w:num w:numId="17">
    <w:abstractNumId w:val="14"/>
  </w:num>
  <w:num w:numId="18">
    <w:abstractNumId w:val="12"/>
  </w:num>
  <w:num w:numId="19">
    <w:abstractNumId w:val="10"/>
  </w:num>
  <w:num w:numId="20">
    <w:abstractNumId w:val="17"/>
  </w:num>
  <w:num w:numId="21">
    <w:abstractNumId w:val="7"/>
  </w:num>
  <w:num w:numId="22">
    <w:abstractNumId w:val="7"/>
  </w:num>
  <w:num w:numId="23">
    <w:abstractNumId w:val="7"/>
  </w:num>
  <w:num w:numId="24">
    <w:abstractNumId w:val="11"/>
  </w:num>
  <w:num w:numId="25">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A37A92"/>
    <w:rsid w:val="000006E3"/>
    <w:rsid w:val="0000150F"/>
    <w:rsid w:val="00001F7B"/>
    <w:rsid w:val="00002477"/>
    <w:rsid w:val="00002678"/>
    <w:rsid w:val="00002A0C"/>
    <w:rsid w:val="0000348C"/>
    <w:rsid w:val="000036E5"/>
    <w:rsid w:val="000044E9"/>
    <w:rsid w:val="00004920"/>
    <w:rsid w:val="00004CCA"/>
    <w:rsid w:val="0000566B"/>
    <w:rsid w:val="00006915"/>
    <w:rsid w:val="0000693D"/>
    <w:rsid w:val="00006AE9"/>
    <w:rsid w:val="00007CFB"/>
    <w:rsid w:val="000107B3"/>
    <w:rsid w:val="0001084A"/>
    <w:rsid w:val="00010918"/>
    <w:rsid w:val="0001385F"/>
    <w:rsid w:val="00013881"/>
    <w:rsid w:val="0001393A"/>
    <w:rsid w:val="000140C8"/>
    <w:rsid w:val="00014712"/>
    <w:rsid w:val="00014860"/>
    <w:rsid w:val="0001545C"/>
    <w:rsid w:val="00015973"/>
    <w:rsid w:val="000174E5"/>
    <w:rsid w:val="00017563"/>
    <w:rsid w:val="00020196"/>
    <w:rsid w:val="00020431"/>
    <w:rsid w:val="00020587"/>
    <w:rsid w:val="000206BB"/>
    <w:rsid w:val="00020E0E"/>
    <w:rsid w:val="000214EB"/>
    <w:rsid w:val="00021A9A"/>
    <w:rsid w:val="00022B12"/>
    <w:rsid w:val="00022E87"/>
    <w:rsid w:val="0002353D"/>
    <w:rsid w:val="00023C89"/>
    <w:rsid w:val="00024FE0"/>
    <w:rsid w:val="0002521B"/>
    <w:rsid w:val="000253EC"/>
    <w:rsid w:val="00027148"/>
    <w:rsid w:val="000278CF"/>
    <w:rsid w:val="00027C07"/>
    <w:rsid w:val="0003055F"/>
    <w:rsid w:val="000309CE"/>
    <w:rsid w:val="00031095"/>
    <w:rsid w:val="00031ADE"/>
    <w:rsid w:val="00031F0C"/>
    <w:rsid w:val="00032108"/>
    <w:rsid w:val="000337EF"/>
    <w:rsid w:val="00033DA4"/>
    <w:rsid w:val="0003544F"/>
    <w:rsid w:val="0003570D"/>
    <w:rsid w:val="00035A74"/>
    <w:rsid w:val="00036C0E"/>
    <w:rsid w:val="00040C79"/>
    <w:rsid w:val="00040EAC"/>
    <w:rsid w:val="00040F54"/>
    <w:rsid w:val="00042A17"/>
    <w:rsid w:val="000435CB"/>
    <w:rsid w:val="00043742"/>
    <w:rsid w:val="000440C2"/>
    <w:rsid w:val="00044B06"/>
    <w:rsid w:val="00045495"/>
    <w:rsid w:val="000459AD"/>
    <w:rsid w:val="00045F1B"/>
    <w:rsid w:val="00045F6B"/>
    <w:rsid w:val="00046AF0"/>
    <w:rsid w:val="00046C3A"/>
    <w:rsid w:val="00046C9C"/>
    <w:rsid w:val="00047145"/>
    <w:rsid w:val="00047FB5"/>
    <w:rsid w:val="000501C9"/>
    <w:rsid w:val="00050ED2"/>
    <w:rsid w:val="00050EF0"/>
    <w:rsid w:val="00053705"/>
    <w:rsid w:val="000537C0"/>
    <w:rsid w:val="00054036"/>
    <w:rsid w:val="000544D2"/>
    <w:rsid w:val="00054D62"/>
    <w:rsid w:val="0005522D"/>
    <w:rsid w:val="0005557F"/>
    <w:rsid w:val="000558E5"/>
    <w:rsid w:val="00056CF7"/>
    <w:rsid w:val="00057AB0"/>
    <w:rsid w:val="00057F0D"/>
    <w:rsid w:val="00060835"/>
    <w:rsid w:val="00060C76"/>
    <w:rsid w:val="00061127"/>
    <w:rsid w:val="000612DC"/>
    <w:rsid w:val="0006140B"/>
    <w:rsid w:val="0006177C"/>
    <w:rsid w:val="00062B74"/>
    <w:rsid w:val="0006309D"/>
    <w:rsid w:val="00064465"/>
    <w:rsid w:val="0006464C"/>
    <w:rsid w:val="00064A52"/>
    <w:rsid w:val="0006504A"/>
    <w:rsid w:val="000653C1"/>
    <w:rsid w:val="000655C1"/>
    <w:rsid w:val="00065ADB"/>
    <w:rsid w:val="00066AF2"/>
    <w:rsid w:val="00067BEC"/>
    <w:rsid w:val="0007015D"/>
    <w:rsid w:val="00070239"/>
    <w:rsid w:val="000703EC"/>
    <w:rsid w:val="000707D3"/>
    <w:rsid w:val="00070C53"/>
    <w:rsid w:val="00070CD8"/>
    <w:rsid w:val="0007194A"/>
    <w:rsid w:val="00071A31"/>
    <w:rsid w:val="0007261D"/>
    <w:rsid w:val="00072D68"/>
    <w:rsid w:val="00073660"/>
    <w:rsid w:val="000737C9"/>
    <w:rsid w:val="00074357"/>
    <w:rsid w:val="000744E0"/>
    <w:rsid w:val="0007506F"/>
    <w:rsid w:val="00075EEC"/>
    <w:rsid w:val="0007623D"/>
    <w:rsid w:val="000765ED"/>
    <w:rsid w:val="00076AB6"/>
    <w:rsid w:val="00081367"/>
    <w:rsid w:val="00081875"/>
    <w:rsid w:val="00081F8E"/>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87BB4"/>
    <w:rsid w:val="00091AC3"/>
    <w:rsid w:val="000923EA"/>
    <w:rsid w:val="00092463"/>
    <w:rsid w:val="0009284F"/>
    <w:rsid w:val="00092AB5"/>
    <w:rsid w:val="00092B5F"/>
    <w:rsid w:val="00093404"/>
    <w:rsid w:val="000936CA"/>
    <w:rsid w:val="00094411"/>
    <w:rsid w:val="000959B5"/>
    <w:rsid w:val="00097A82"/>
    <w:rsid w:val="000A0369"/>
    <w:rsid w:val="000A0939"/>
    <w:rsid w:val="000A0C01"/>
    <w:rsid w:val="000A126D"/>
    <w:rsid w:val="000A24A1"/>
    <w:rsid w:val="000A2C3B"/>
    <w:rsid w:val="000A38E3"/>
    <w:rsid w:val="000A3C55"/>
    <w:rsid w:val="000A3FBE"/>
    <w:rsid w:val="000A4EF9"/>
    <w:rsid w:val="000A5376"/>
    <w:rsid w:val="000A705B"/>
    <w:rsid w:val="000B0FB3"/>
    <w:rsid w:val="000B1037"/>
    <w:rsid w:val="000B167F"/>
    <w:rsid w:val="000B18FD"/>
    <w:rsid w:val="000B197F"/>
    <w:rsid w:val="000B24D3"/>
    <w:rsid w:val="000B2534"/>
    <w:rsid w:val="000B2AAD"/>
    <w:rsid w:val="000B30AF"/>
    <w:rsid w:val="000B3DCA"/>
    <w:rsid w:val="000B48DB"/>
    <w:rsid w:val="000B4B1F"/>
    <w:rsid w:val="000B4CE8"/>
    <w:rsid w:val="000B4D61"/>
    <w:rsid w:val="000B4EB8"/>
    <w:rsid w:val="000B5054"/>
    <w:rsid w:val="000B52C9"/>
    <w:rsid w:val="000B544F"/>
    <w:rsid w:val="000B659E"/>
    <w:rsid w:val="000B67C2"/>
    <w:rsid w:val="000B710A"/>
    <w:rsid w:val="000B7216"/>
    <w:rsid w:val="000B76F2"/>
    <w:rsid w:val="000B7F3F"/>
    <w:rsid w:val="000C0CE4"/>
    <w:rsid w:val="000C10BE"/>
    <w:rsid w:val="000C2086"/>
    <w:rsid w:val="000C2699"/>
    <w:rsid w:val="000C2768"/>
    <w:rsid w:val="000C366C"/>
    <w:rsid w:val="000C4035"/>
    <w:rsid w:val="000C41CB"/>
    <w:rsid w:val="000C421B"/>
    <w:rsid w:val="000C4756"/>
    <w:rsid w:val="000C4972"/>
    <w:rsid w:val="000C498A"/>
    <w:rsid w:val="000C49F4"/>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1BE2"/>
    <w:rsid w:val="000E28DA"/>
    <w:rsid w:val="000E2F64"/>
    <w:rsid w:val="000E4A79"/>
    <w:rsid w:val="000E50B9"/>
    <w:rsid w:val="000E5530"/>
    <w:rsid w:val="000E5E69"/>
    <w:rsid w:val="000E5E9A"/>
    <w:rsid w:val="000E6B0A"/>
    <w:rsid w:val="000E6C56"/>
    <w:rsid w:val="000E70E3"/>
    <w:rsid w:val="000E7727"/>
    <w:rsid w:val="000F0B7D"/>
    <w:rsid w:val="000F0D2A"/>
    <w:rsid w:val="000F0F68"/>
    <w:rsid w:val="000F0F7F"/>
    <w:rsid w:val="000F1102"/>
    <w:rsid w:val="000F2A04"/>
    <w:rsid w:val="000F2CDA"/>
    <w:rsid w:val="000F2E2B"/>
    <w:rsid w:val="000F2E9B"/>
    <w:rsid w:val="000F3C1E"/>
    <w:rsid w:val="000F3F4F"/>
    <w:rsid w:val="000F4DB6"/>
    <w:rsid w:val="000F5115"/>
    <w:rsid w:val="000F705F"/>
    <w:rsid w:val="000F72BF"/>
    <w:rsid w:val="000F7608"/>
    <w:rsid w:val="000F7D1F"/>
    <w:rsid w:val="0010003C"/>
    <w:rsid w:val="0010008F"/>
    <w:rsid w:val="0010112A"/>
    <w:rsid w:val="00101268"/>
    <w:rsid w:val="00101410"/>
    <w:rsid w:val="00101DE4"/>
    <w:rsid w:val="00101E86"/>
    <w:rsid w:val="001035AB"/>
    <w:rsid w:val="00103DA5"/>
    <w:rsid w:val="00104311"/>
    <w:rsid w:val="001051DD"/>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E25"/>
    <w:rsid w:val="001224A5"/>
    <w:rsid w:val="00122E25"/>
    <w:rsid w:val="00123147"/>
    <w:rsid w:val="00123D3B"/>
    <w:rsid w:val="00124901"/>
    <w:rsid w:val="00124A29"/>
    <w:rsid w:val="00125F82"/>
    <w:rsid w:val="00126E67"/>
    <w:rsid w:val="0012711C"/>
    <w:rsid w:val="0012745B"/>
    <w:rsid w:val="00127BD9"/>
    <w:rsid w:val="00131578"/>
    <w:rsid w:val="00132336"/>
    <w:rsid w:val="001323BC"/>
    <w:rsid w:val="0013271D"/>
    <w:rsid w:val="001329BB"/>
    <w:rsid w:val="00132F58"/>
    <w:rsid w:val="00133919"/>
    <w:rsid w:val="00135D05"/>
    <w:rsid w:val="0013638A"/>
    <w:rsid w:val="00136C3E"/>
    <w:rsid w:val="00136E9D"/>
    <w:rsid w:val="00137E28"/>
    <w:rsid w:val="001417DE"/>
    <w:rsid w:val="00142C57"/>
    <w:rsid w:val="00142D26"/>
    <w:rsid w:val="0014315F"/>
    <w:rsid w:val="00143929"/>
    <w:rsid w:val="00143948"/>
    <w:rsid w:val="0014419E"/>
    <w:rsid w:val="00145358"/>
    <w:rsid w:val="001453BB"/>
    <w:rsid w:val="001461F3"/>
    <w:rsid w:val="0014694A"/>
    <w:rsid w:val="001472FA"/>
    <w:rsid w:val="00150C38"/>
    <w:rsid w:val="0015141E"/>
    <w:rsid w:val="001514D7"/>
    <w:rsid w:val="001518DA"/>
    <w:rsid w:val="00151AAE"/>
    <w:rsid w:val="00151F01"/>
    <w:rsid w:val="00152849"/>
    <w:rsid w:val="00152C99"/>
    <w:rsid w:val="00153816"/>
    <w:rsid w:val="001545AB"/>
    <w:rsid w:val="001548FB"/>
    <w:rsid w:val="0015505E"/>
    <w:rsid w:val="001553A5"/>
    <w:rsid w:val="001560F9"/>
    <w:rsid w:val="00157102"/>
    <w:rsid w:val="00157337"/>
    <w:rsid w:val="0015767C"/>
    <w:rsid w:val="0015789A"/>
    <w:rsid w:val="00157F85"/>
    <w:rsid w:val="00160601"/>
    <w:rsid w:val="001614A0"/>
    <w:rsid w:val="001631CB"/>
    <w:rsid w:val="00163874"/>
    <w:rsid w:val="00163AA0"/>
    <w:rsid w:val="001643F5"/>
    <w:rsid w:val="00164423"/>
    <w:rsid w:val="0016604A"/>
    <w:rsid w:val="00166189"/>
    <w:rsid w:val="0016694A"/>
    <w:rsid w:val="00166CAF"/>
    <w:rsid w:val="00166D14"/>
    <w:rsid w:val="00167150"/>
    <w:rsid w:val="001672F2"/>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BD7"/>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4DA7"/>
    <w:rsid w:val="00186CD0"/>
    <w:rsid w:val="00187050"/>
    <w:rsid w:val="001871A8"/>
    <w:rsid w:val="00187333"/>
    <w:rsid w:val="00187F36"/>
    <w:rsid w:val="00190347"/>
    <w:rsid w:val="001906B0"/>
    <w:rsid w:val="00191078"/>
    <w:rsid w:val="0019117E"/>
    <w:rsid w:val="00191B32"/>
    <w:rsid w:val="00192413"/>
    <w:rsid w:val="001925E8"/>
    <w:rsid w:val="00192B0B"/>
    <w:rsid w:val="00192F97"/>
    <w:rsid w:val="001937BB"/>
    <w:rsid w:val="001938F8"/>
    <w:rsid w:val="001951F7"/>
    <w:rsid w:val="00195D92"/>
    <w:rsid w:val="00196AA8"/>
    <w:rsid w:val="00196F67"/>
    <w:rsid w:val="00197283"/>
    <w:rsid w:val="00197454"/>
    <w:rsid w:val="0019747D"/>
    <w:rsid w:val="0019781D"/>
    <w:rsid w:val="00197F7F"/>
    <w:rsid w:val="001A10D5"/>
    <w:rsid w:val="001A1B51"/>
    <w:rsid w:val="001A2772"/>
    <w:rsid w:val="001A2F4C"/>
    <w:rsid w:val="001A3164"/>
    <w:rsid w:val="001A3D86"/>
    <w:rsid w:val="001A5017"/>
    <w:rsid w:val="001A5CFC"/>
    <w:rsid w:val="001A6D80"/>
    <w:rsid w:val="001A71AB"/>
    <w:rsid w:val="001A7644"/>
    <w:rsid w:val="001B0195"/>
    <w:rsid w:val="001B05C2"/>
    <w:rsid w:val="001B0BA9"/>
    <w:rsid w:val="001B0EFC"/>
    <w:rsid w:val="001B1416"/>
    <w:rsid w:val="001B21CA"/>
    <w:rsid w:val="001B3443"/>
    <w:rsid w:val="001B44C3"/>
    <w:rsid w:val="001B4762"/>
    <w:rsid w:val="001B5B16"/>
    <w:rsid w:val="001B7A86"/>
    <w:rsid w:val="001B7D4C"/>
    <w:rsid w:val="001B7DCA"/>
    <w:rsid w:val="001C032F"/>
    <w:rsid w:val="001C09B5"/>
    <w:rsid w:val="001C1428"/>
    <w:rsid w:val="001C152C"/>
    <w:rsid w:val="001C1650"/>
    <w:rsid w:val="001C172A"/>
    <w:rsid w:val="001C1BDF"/>
    <w:rsid w:val="001C2780"/>
    <w:rsid w:val="001C2AA1"/>
    <w:rsid w:val="001C2CAA"/>
    <w:rsid w:val="001C2D99"/>
    <w:rsid w:val="001C2FE0"/>
    <w:rsid w:val="001C37C5"/>
    <w:rsid w:val="001C5E1D"/>
    <w:rsid w:val="001C5E2F"/>
    <w:rsid w:val="001C610D"/>
    <w:rsid w:val="001C71A9"/>
    <w:rsid w:val="001C79A8"/>
    <w:rsid w:val="001D0680"/>
    <w:rsid w:val="001D0D1A"/>
    <w:rsid w:val="001D0F3F"/>
    <w:rsid w:val="001D1098"/>
    <w:rsid w:val="001D2011"/>
    <w:rsid w:val="001D226A"/>
    <w:rsid w:val="001D2AF1"/>
    <w:rsid w:val="001D4C7C"/>
    <w:rsid w:val="001D507E"/>
    <w:rsid w:val="001D658B"/>
    <w:rsid w:val="001D7199"/>
    <w:rsid w:val="001D73E5"/>
    <w:rsid w:val="001D7C3C"/>
    <w:rsid w:val="001D7C4E"/>
    <w:rsid w:val="001D7F51"/>
    <w:rsid w:val="001E0A42"/>
    <w:rsid w:val="001E0B5F"/>
    <w:rsid w:val="001E146E"/>
    <w:rsid w:val="001E18FB"/>
    <w:rsid w:val="001E1B30"/>
    <w:rsid w:val="001E1B6D"/>
    <w:rsid w:val="001E2467"/>
    <w:rsid w:val="001E26B2"/>
    <w:rsid w:val="001E270E"/>
    <w:rsid w:val="001E2778"/>
    <w:rsid w:val="001E2C55"/>
    <w:rsid w:val="001E2E7D"/>
    <w:rsid w:val="001E2EA0"/>
    <w:rsid w:val="001E2FA6"/>
    <w:rsid w:val="001E3134"/>
    <w:rsid w:val="001E3E01"/>
    <w:rsid w:val="001E3E7E"/>
    <w:rsid w:val="001E59A7"/>
    <w:rsid w:val="001E68C9"/>
    <w:rsid w:val="001E7BD7"/>
    <w:rsid w:val="001F051E"/>
    <w:rsid w:val="001F0F85"/>
    <w:rsid w:val="001F1135"/>
    <w:rsid w:val="001F134F"/>
    <w:rsid w:val="001F1810"/>
    <w:rsid w:val="001F297A"/>
    <w:rsid w:val="001F2A1F"/>
    <w:rsid w:val="001F45A9"/>
    <w:rsid w:val="001F50C1"/>
    <w:rsid w:val="001F5A2E"/>
    <w:rsid w:val="001F7405"/>
    <w:rsid w:val="001F743D"/>
    <w:rsid w:val="001F7873"/>
    <w:rsid w:val="002009CD"/>
    <w:rsid w:val="00200F16"/>
    <w:rsid w:val="00201125"/>
    <w:rsid w:val="0020199E"/>
    <w:rsid w:val="00202BBF"/>
    <w:rsid w:val="00202BC7"/>
    <w:rsid w:val="00202DB4"/>
    <w:rsid w:val="00204534"/>
    <w:rsid w:val="00204BEE"/>
    <w:rsid w:val="0020555B"/>
    <w:rsid w:val="00205BC3"/>
    <w:rsid w:val="00205C46"/>
    <w:rsid w:val="00206F6E"/>
    <w:rsid w:val="00206FF1"/>
    <w:rsid w:val="002074CE"/>
    <w:rsid w:val="0020796B"/>
    <w:rsid w:val="00207EFA"/>
    <w:rsid w:val="002105F7"/>
    <w:rsid w:val="0021097C"/>
    <w:rsid w:val="00210A7C"/>
    <w:rsid w:val="00211A73"/>
    <w:rsid w:val="00211FE7"/>
    <w:rsid w:val="002129AE"/>
    <w:rsid w:val="00212AF8"/>
    <w:rsid w:val="00212BB5"/>
    <w:rsid w:val="002132C5"/>
    <w:rsid w:val="00213592"/>
    <w:rsid w:val="00213678"/>
    <w:rsid w:val="002147B7"/>
    <w:rsid w:val="002147CC"/>
    <w:rsid w:val="00214AF6"/>
    <w:rsid w:val="00214EB2"/>
    <w:rsid w:val="00215113"/>
    <w:rsid w:val="00215607"/>
    <w:rsid w:val="002159BB"/>
    <w:rsid w:val="00215CDD"/>
    <w:rsid w:val="002161AE"/>
    <w:rsid w:val="00216340"/>
    <w:rsid w:val="00216DD6"/>
    <w:rsid w:val="002173D9"/>
    <w:rsid w:val="002175F5"/>
    <w:rsid w:val="0021772A"/>
    <w:rsid w:val="00221664"/>
    <w:rsid w:val="0022219C"/>
    <w:rsid w:val="00222225"/>
    <w:rsid w:val="0022244D"/>
    <w:rsid w:val="002227B6"/>
    <w:rsid w:val="002229DB"/>
    <w:rsid w:val="00222E2F"/>
    <w:rsid w:val="0022331C"/>
    <w:rsid w:val="00224135"/>
    <w:rsid w:val="00224520"/>
    <w:rsid w:val="00224AC8"/>
    <w:rsid w:val="00225887"/>
    <w:rsid w:val="00225E41"/>
    <w:rsid w:val="00225F5B"/>
    <w:rsid w:val="002262DB"/>
    <w:rsid w:val="002269B5"/>
    <w:rsid w:val="00226CA6"/>
    <w:rsid w:val="0022729C"/>
    <w:rsid w:val="00227512"/>
    <w:rsid w:val="00230619"/>
    <w:rsid w:val="0023138C"/>
    <w:rsid w:val="00233CC6"/>
    <w:rsid w:val="002345FA"/>
    <w:rsid w:val="00234C6E"/>
    <w:rsid w:val="002355B4"/>
    <w:rsid w:val="00235840"/>
    <w:rsid w:val="00235DD0"/>
    <w:rsid w:val="00236110"/>
    <w:rsid w:val="00236BB7"/>
    <w:rsid w:val="00236FB1"/>
    <w:rsid w:val="00237403"/>
    <w:rsid w:val="002378DB"/>
    <w:rsid w:val="00237BA5"/>
    <w:rsid w:val="002400C9"/>
    <w:rsid w:val="00240205"/>
    <w:rsid w:val="002407CB"/>
    <w:rsid w:val="00240A81"/>
    <w:rsid w:val="00240CAF"/>
    <w:rsid w:val="00241429"/>
    <w:rsid w:val="00241D60"/>
    <w:rsid w:val="00241E3C"/>
    <w:rsid w:val="002429D9"/>
    <w:rsid w:val="00243A06"/>
    <w:rsid w:val="00243BE2"/>
    <w:rsid w:val="00244CFB"/>
    <w:rsid w:val="00245340"/>
    <w:rsid w:val="002454FD"/>
    <w:rsid w:val="0024720B"/>
    <w:rsid w:val="002477A3"/>
    <w:rsid w:val="002478C9"/>
    <w:rsid w:val="00250831"/>
    <w:rsid w:val="002508D0"/>
    <w:rsid w:val="0025096F"/>
    <w:rsid w:val="002513F9"/>
    <w:rsid w:val="00251B9C"/>
    <w:rsid w:val="00251EEE"/>
    <w:rsid w:val="00251FF0"/>
    <w:rsid w:val="00252AC9"/>
    <w:rsid w:val="0025322B"/>
    <w:rsid w:val="00253414"/>
    <w:rsid w:val="00253780"/>
    <w:rsid w:val="00253CBE"/>
    <w:rsid w:val="00253F2C"/>
    <w:rsid w:val="00254AAD"/>
    <w:rsid w:val="00254BE8"/>
    <w:rsid w:val="002552B6"/>
    <w:rsid w:val="0025594F"/>
    <w:rsid w:val="00255AD3"/>
    <w:rsid w:val="00255E89"/>
    <w:rsid w:val="00256FEA"/>
    <w:rsid w:val="0025740C"/>
    <w:rsid w:val="002575B0"/>
    <w:rsid w:val="00257CB6"/>
    <w:rsid w:val="0026010C"/>
    <w:rsid w:val="0026073A"/>
    <w:rsid w:val="00262127"/>
    <w:rsid w:val="002642A6"/>
    <w:rsid w:val="00264364"/>
    <w:rsid w:val="002647E1"/>
    <w:rsid w:val="00264A6B"/>
    <w:rsid w:val="00265446"/>
    <w:rsid w:val="00265DC7"/>
    <w:rsid w:val="00266013"/>
    <w:rsid w:val="00266262"/>
    <w:rsid w:val="00266516"/>
    <w:rsid w:val="0026678E"/>
    <w:rsid w:val="00266968"/>
    <w:rsid w:val="00267E18"/>
    <w:rsid w:val="0027084B"/>
    <w:rsid w:val="00270866"/>
    <w:rsid w:val="00270B7C"/>
    <w:rsid w:val="00270DA4"/>
    <w:rsid w:val="00270E97"/>
    <w:rsid w:val="00270F66"/>
    <w:rsid w:val="00271CD9"/>
    <w:rsid w:val="00272695"/>
    <w:rsid w:val="002726EC"/>
    <w:rsid w:val="00273B42"/>
    <w:rsid w:val="002741EF"/>
    <w:rsid w:val="0027474C"/>
    <w:rsid w:val="002755AF"/>
    <w:rsid w:val="00276A36"/>
    <w:rsid w:val="00277043"/>
    <w:rsid w:val="00277BC0"/>
    <w:rsid w:val="0028172C"/>
    <w:rsid w:val="00281A36"/>
    <w:rsid w:val="0028345C"/>
    <w:rsid w:val="002843C6"/>
    <w:rsid w:val="00284E84"/>
    <w:rsid w:val="00285E03"/>
    <w:rsid w:val="002866D5"/>
    <w:rsid w:val="00286DBC"/>
    <w:rsid w:val="00287FA4"/>
    <w:rsid w:val="00290D04"/>
    <w:rsid w:val="00290D58"/>
    <w:rsid w:val="0029121C"/>
    <w:rsid w:val="00291A31"/>
    <w:rsid w:val="00291BF6"/>
    <w:rsid w:val="002926F0"/>
    <w:rsid w:val="00292C7A"/>
    <w:rsid w:val="0029368F"/>
    <w:rsid w:val="00293AD6"/>
    <w:rsid w:val="00293C64"/>
    <w:rsid w:val="002945B4"/>
    <w:rsid w:val="00294895"/>
    <w:rsid w:val="00295026"/>
    <w:rsid w:val="00295167"/>
    <w:rsid w:val="00295954"/>
    <w:rsid w:val="00295AF0"/>
    <w:rsid w:val="00296439"/>
    <w:rsid w:val="00296C96"/>
    <w:rsid w:val="00297CD3"/>
    <w:rsid w:val="00297D87"/>
    <w:rsid w:val="00297EE4"/>
    <w:rsid w:val="002A0BF1"/>
    <w:rsid w:val="002A1546"/>
    <w:rsid w:val="002A1756"/>
    <w:rsid w:val="002A293E"/>
    <w:rsid w:val="002A3863"/>
    <w:rsid w:val="002A389E"/>
    <w:rsid w:val="002A53CD"/>
    <w:rsid w:val="002A5C75"/>
    <w:rsid w:val="002A5E16"/>
    <w:rsid w:val="002A614A"/>
    <w:rsid w:val="002A6298"/>
    <w:rsid w:val="002A62B0"/>
    <w:rsid w:val="002A7552"/>
    <w:rsid w:val="002A765E"/>
    <w:rsid w:val="002B03B0"/>
    <w:rsid w:val="002B11A3"/>
    <w:rsid w:val="002B137D"/>
    <w:rsid w:val="002B1D8A"/>
    <w:rsid w:val="002B1F64"/>
    <w:rsid w:val="002B2866"/>
    <w:rsid w:val="002B2D5B"/>
    <w:rsid w:val="002B2D9F"/>
    <w:rsid w:val="002B2E9C"/>
    <w:rsid w:val="002B462B"/>
    <w:rsid w:val="002B51FB"/>
    <w:rsid w:val="002B5A1D"/>
    <w:rsid w:val="002B65D4"/>
    <w:rsid w:val="002B7C6B"/>
    <w:rsid w:val="002C14F7"/>
    <w:rsid w:val="002C289D"/>
    <w:rsid w:val="002C2A74"/>
    <w:rsid w:val="002C3AA9"/>
    <w:rsid w:val="002C450D"/>
    <w:rsid w:val="002C4900"/>
    <w:rsid w:val="002C4BDA"/>
    <w:rsid w:val="002C5616"/>
    <w:rsid w:val="002C5905"/>
    <w:rsid w:val="002C5916"/>
    <w:rsid w:val="002C635C"/>
    <w:rsid w:val="002C7647"/>
    <w:rsid w:val="002C7C8F"/>
    <w:rsid w:val="002D19FB"/>
    <w:rsid w:val="002D2021"/>
    <w:rsid w:val="002D2F76"/>
    <w:rsid w:val="002D2FD2"/>
    <w:rsid w:val="002D3019"/>
    <w:rsid w:val="002D3642"/>
    <w:rsid w:val="002D60CE"/>
    <w:rsid w:val="002D63AE"/>
    <w:rsid w:val="002D6FCA"/>
    <w:rsid w:val="002E0FC2"/>
    <w:rsid w:val="002E1602"/>
    <w:rsid w:val="002E1BB1"/>
    <w:rsid w:val="002E1C73"/>
    <w:rsid w:val="002E2665"/>
    <w:rsid w:val="002E28FD"/>
    <w:rsid w:val="002E2F45"/>
    <w:rsid w:val="002E372E"/>
    <w:rsid w:val="002E3CF7"/>
    <w:rsid w:val="002E4168"/>
    <w:rsid w:val="002E44A4"/>
    <w:rsid w:val="002E4513"/>
    <w:rsid w:val="002E531B"/>
    <w:rsid w:val="002E5508"/>
    <w:rsid w:val="002E5CDA"/>
    <w:rsid w:val="002E6BFE"/>
    <w:rsid w:val="002E75C7"/>
    <w:rsid w:val="002E7F34"/>
    <w:rsid w:val="002F08F3"/>
    <w:rsid w:val="002F0CCD"/>
    <w:rsid w:val="002F17BA"/>
    <w:rsid w:val="002F24B5"/>
    <w:rsid w:val="002F300D"/>
    <w:rsid w:val="002F4265"/>
    <w:rsid w:val="002F5A7A"/>
    <w:rsid w:val="002F5F27"/>
    <w:rsid w:val="002F6D24"/>
    <w:rsid w:val="003000F2"/>
    <w:rsid w:val="00301524"/>
    <w:rsid w:val="00301CAE"/>
    <w:rsid w:val="00302F55"/>
    <w:rsid w:val="00303AE1"/>
    <w:rsid w:val="00304630"/>
    <w:rsid w:val="00304A10"/>
    <w:rsid w:val="00305000"/>
    <w:rsid w:val="00305745"/>
    <w:rsid w:val="00305D5C"/>
    <w:rsid w:val="003065EB"/>
    <w:rsid w:val="003067E4"/>
    <w:rsid w:val="00306AC2"/>
    <w:rsid w:val="00306D5B"/>
    <w:rsid w:val="00306EF2"/>
    <w:rsid w:val="003072CD"/>
    <w:rsid w:val="0030786C"/>
    <w:rsid w:val="0030796F"/>
    <w:rsid w:val="00307B0B"/>
    <w:rsid w:val="0031002A"/>
    <w:rsid w:val="00310DC6"/>
    <w:rsid w:val="003126DB"/>
    <w:rsid w:val="0031317F"/>
    <w:rsid w:val="003136F2"/>
    <w:rsid w:val="00313D10"/>
    <w:rsid w:val="00314F69"/>
    <w:rsid w:val="00316B8E"/>
    <w:rsid w:val="00316D32"/>
    <w:rsid w:val="003174CF"/>
    <w:rsid w:val="0031799A"/>
    <w:rsid w:val="00317CD3"/>
    <w:rsid w:val="00320056"/>
    <w:rsid w:val="0032076A"/>
    <w:rsid w:val="003215D3"/>
    <w:rsid w:val="003216B7"/>
    <w:rsid w:val="00322482"/>
    <w:rsid w:val="00322862"/>
    <w:rsid w:val="0032320C"/>
    <w:rsid w:val="00323267"/>
    <w:rsid w:val="00323AE8"/>
    <w:rsid w:val="00323B09"/>
    <w:rsid w:val="00324415"/>
    <w:rsid w:val="003246CB"/>
    <w:rsid w:val="00324818"/>
    <w:rsid w:val="0032559C"/>
    <w:rsid w:val="0032611C"/>
    <w:rsid w:val="00326D7D"/>
    <w:rsid w:val="0032742C"/>
    <w:rsid w:val="00327C01"/>
    <w:rsid w:val="003304D6"/>
    <w:rsid w:val="00331ED5"/>
    <w:rsid w:val="0033219A"/>
    <w:rsid w:val="00332A99"/>
    <w:rsid w:val="00332C4D"/>
    <w:rsid w:val="003344DF"/>
    <w:rsid w:val="00334A38"/>
    <w:rsid w:val="00334DB3"/>
    <w:rsid w:val="00334FFC"/>
    <w:rsid w:val="003357A1"/>
    <w:rsid w:val="003362F6"/>
    <w:rsid w:val="003367CA"/>
    <w:rsid w:val="00336BD9"/>
    <w:rsid w:val="003404A4"/>
    <w:rsid w:val="00341948"/>
    <w:rsid w:val="003420BD"/>
    <w:rsid w:val="00342E98"/>
    <w:rsid w:val="00342F35"/>
    <w:rsid w:val="003444D2"/>
    <w:rsid w:val="00344975"/>
    <w:rsid w:val="00344A70"/>
    <w:rsid w:val="00345FBC"/>
    <w:rsid w:val="0034674B"/>
    <w:rsid w:val="00346F24"/>
    <w:rsid w:val="00346FA4"/>
    <w:rsid w:val="00350453"/>
    <w:rsid w:val="00350813"/>
    <w:rsid w:val="00350D59"/>
    <w:rsid w:val="0035187A"/>
    <w:rsid w:val="00353206"/>
    <w:rsid w:val="00353636"/>
    <w:rsid w:val="0035367B"/>
    <w:rsid w:val="003549AB"/>
    <w:rsid w:val="00354AC7"/>
    <w:rsid w:val="003558C0"/>
    <w:rsid w:val="00355E4D"/>
    <w:rsid w:val="003562BD"/>
    <w:rsid w:val="0036052D"/>
    <w:rsid w:val="00360B7A"/>
    <w:rsid w:val="0036177A"/>
    <w:rsid w:val="00361DDE"/>
    <w:rsid w:val="00361E69"/>
    <w:rsid w:val="003627A4"/>
    <w:rsid w:val="00362D8A"/>
    <w:rsid w:val="0036378A"/>
    <w:rsid w:val="00364BB7"/>
    <w:rsid w:val="00365DB0"/>
    <w:rsid w:val="0036616D"/>
    <w:rsid w:val="00366D0C"/>
    <w:rsid w:val="00370DEF"/>
    <w:rsid w:val="0037183B"/>
    <w:rsid w:val="00371947"/>
    <w:rsid w:val="00371D78"/>
    <w:rsid w:val="00372460"/>
    <w:rsid w:val="003727F5"/>
    <w:rsid w:val="00372A48"/>
    <w:rsid w:val="00372BF0"/>
    <w:rsid w:val="00372E34"/>
    <w:rsid w:val="003741E4"/>
    <w:rsid w:val="003744D6"/>
    <w:rsid w:val="00374D9F"/>
    <w:rsid w:val="003752FB"/>
    <w:rsid w:val="003767F0"/>
    <w:rsid w:val="00381125"/>
    <w:rsid w:val="00381526"/>
    <w:rsid w:val="00381EC6"/>
    <w:rsid w:val="00382C96"/>
    <w:rsid w:val="00382CC5"/>
    <w:rsid w:val="003837AF"/>
    <w:rsid w:val="00384A6E"/>
    <w:rsid w:val="003852C2"/>
    <w:rsid w:val="0038557A"/>
    <w:rsid w:val="00386D66"/>
    <w:rsid w:val="00387321"/>
    <w:rsid w:val="00387F5F"/>
    <w:rsid w:val="0039008B"/>
    <w:rsid w:val="00390BD4"/>
    <w:rsid w:val="00390F34"/>
    <w:rsid w:val="00391B78"/>
    <w:rsid w:val="00391B9B"/>
    <w:rsid w:val="003922A8"/>
    <w:rsid w:val="00392464"/>
    <w:rsid w:val="00392A02"/>
    <w:rsid w:val="00393A1C"/>
    <w:rsid w:val="00394A54"/>
    <w:rsid w:val="00394EAE"/>
    <w:rsid w:val="0039568A"/>
    <w:rsid w:val="00396B69"/>
    <w:rsid w:val="003970A7"/>
    <w:rsid w:val="003A0046"/>
    <w:rsid w:val="003A1AEE"/>
    <w:rsid w:val="003A2586"/>
    <w:rsid w:val="003A418B"/>
    <w:rsid w:val="003A46D2"/>
    <w:rsid w:val="003A527D"/>
    <w:rsid w:val="003A5728"/>
    <w:rsid w:val="003A605D"/>
    <w:rsid w:val="003A6B42"/>
    <w:rsid w:val="003B00FD"/>
    <w:rsid w:val="003B04C3"/>
    <w:rsid w:val="003B0AAD"/>
    <w:rsid w:val="003B0B47"/>
    <w:rsid w:val="003B1222"/>
    <w:rsid w:val="003B23E5"/>
    <w:rsid w:val="003B2657"/>
    <w:rsid w:val="003B2972"/>
    <w:rsid w:val="003B2A2B"/>
    <w:rsid w:val="003B2C42"/>
    <w:rsid w:val="003B2E5C"/>
    <w:rsid w:val="003B3C7F"/>
    <w:rsid w:val="003B44E3"/>
    <w:rsid w:val="003B4C9E"/>
    <w:rsid w:val="003B54BC"/>
    <w:rsid w:val="003B59C4"/>
    <w:rsid w:val="003B5AC1"/>
    <w:rsid w:val="003B6012"/>
    <w:rsid w:val="003B60A7"/>
    <w:rsid w:val="003B6285"/>
    <w:rsid w:val="003B7766"/>
    <w:rsid w:val="003B797C"/>
    <w:rsid w:val="003C0856"/>
    <w:rsid w:val="003C0974"/>
    <w:rsid w:val="003C1DD5"/>
    <w:rsid w:val="003C1F67"/>
    <w:rsid w:val="003C2F8E"/>
    <w:rsid w:val="003C36FF"/>
    <w:rsid w:val="003C3D4B"/>
    <w:rsid w:val="003C3E2A"/>
    <w:rsid w:val="003C502B"/>
    <w:rsid w:val="003C51B9"/>
    <w:rsid w:val="003C6180"/>
    <w:rsid w:val="003C729B"/>
    <w:rsid w:val="003C736D"/>
    <w:rsid w:val="003D0BA7"/>
    <w:rsid w:val="003D0D1C"/>
    <w:rsid w:val="003D1B38"/>
    <w:rsid w:val="003D282A"/>
    <w:rsid w:val="003D2E0F"/>
    <w:rsid w:val="003D2F8F"/>
    <w:rsid w:val="003D3218"/>
    <w:rsid w:val="003D3E15"/>
    <w:rsid w:val="003D56F4"/>
    <w:rsid w:val="003D5E45"/>
    <w:rsid w:val="003D64D2"/>
    <w:rsid w:val="003D6BC1"/>
    <w:rsid w:val="003E058B"/>
    <w:rsid w:val="003E0B50"/>
    <w:rsid w:val="003E129A"/>
    <w:rsid w:val="003E1403"/>
    <w:rsid w:val="003E36C5"/>
    <w:rsid w:val="003E39C7"/>
    <w:rsid w:val="003E3BEF"/>
    <w:rsid w:val="003E4622"/>
    <w:rsid w:val="003E4EDB"/>
    <w:rsid w:val="003E574A"/>
    <w:rsid w:val="003E577A"/>
    <w:rsid w:val="003E63E6"/>
    <w:rsid w:val="003E6B4C"/>
    <w:rsid w:val="003E7AB4"/>
    <w:rsid w:val="003E7ADD"/>
    <w:rsid w:val="003F03D0"/>
    <w:rsid w:val="003F06B0"/>
    <w:rsid w:val="003F09FF"/>
    <w:rsid w:val="003F19D4"/>
    <w:rsid w:val="003F1DC7"/>
    <w:rsid w:val="003F2A8D"/>
    <w:rsid w:val="003F35FA"/>
    <w:rsid w:val="003F485A"/>
    <w:rsid w:val="003F4CF2"/>
    <w:rsid w:val="003F4E26"/>
    <w:rsid w:val="003F4FE2"/>
    <w:rsid w:val="003F6149"/>
    <w:rsid w:val="003F6163"/>
    <w:rsid w:val="003F64B4"/>
    <w:rsid w:val="003F777B"/>
    <w:rsid w:val="003F7882"/>
    <w:rsid w:val="003F788A"/>
    <w:rsid w:val="003F7A83"/>
    <w:rsid w:val="003F7C16"/>
    <w:rsid w:val="004004C3"/>
    <w:rsid w:val="00400919"/>
    <w:rsid w:val="0040164D"/>
    <w:rsid w:val="00401DCE"/>
    <w:rsid w:val="00401E59"/>
    <w:rsid w:val="00402D30"/>
    <w:rsid w:val="00403E1A"/>
    <w:rsid w:val="00404475"/>
    <w:rsid w:val="004047E9"/>
    <w:rsid w:val="0040678A"/>
    <w:rsid w:val="00406ED1"/>
    <w:rsid w:val="004072A8"/>
    <w:rsid w:val="004074E1"/>
    <w:rsid w:val="00411466"/>
    <w:rsid w:val="004115AD"/>
    <w:rsid w:val="00411892"/>
    <w:rsid w:val="00412122"/>
    <w:rsid w:val="00412607"/>
    <w:rsid w:val="00413087"/>
    <w:rsid w:val="00413992"/>
    <w:rsid w:val="00414954"/>
    <w:rsid w:val="00416622"/>
    <w:rsid w:val="00416976"/>
    <w:rsid w:val="00417FDF"/>
    <w:rsid w:val="00420026"/>
    <w:rsid w:val="0042033B"/>
    <w:rsid w:val="00420391"/>
    <w:rsid w:val="0042071B"/>
    <w:rsid w:val="00420A01"/>
    <w:rsid w:val="00421917"/>
    <w:rsid w:val="00422829"/>
    <w:rsid w:val="00423928"/>
    <w:rsid w:val="00424DB2"/>
    <w:rsid w:val="00424EF3"/>
    <w:rsid w:val="00425681"/>
    <w:rsid w:val="00425A0C"/>
    <w:rsid w:val="00425D06"/>
    <w:rsid w:val="0042614A"/>
    <w:rsid w:val="0042696C"/>
    <w:rsid w:val="0042753C"/>
    <w:rsid w:val="00430314"/>
    <w:rsid w:val="004307C5"/>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3A6F"/>
    <w:rsid w:val="00443E65"/>
    <w:rsid w:val="00444173"/>
    <w:rsid w:val="00445169"/>
    <w:rsid w:val="00445CC7"/>
    <w:rsid w:val="004465C8"/>
    <w:rsid w:val="00446CE4"/>
    <w:rsid w:val="0044734E"/>
    <w:rsid w:val="004477BE"/>
    <w:rsid w:val="00447FEF"/>
    <w:rsid w:val="00450311"/>
    <w:rsid w:val="004503F9"/>
    <w:rsid w:val="00451065"/>
    <w:rsid w:val="00451CA2"/>
    <w:rsid w:val="004520E6"/>
    <w:rsid w:val="0045210D"/>
    <w:rsid w:val="00452C36"/>
    <w:rsid w:val="00454FE1"/>
    <w:rsid w:val="004568D8"/>
    <w:rsid w:val="00456EEC"/>
    <w:rsid w:val="00457661"/>
    <w:rsid w:val="00457693"/>
    <w:rsid w:val="00457A12"/>
    <w:rsid w:val="00460A32"/>
    <w:rsid w:val="004623E8"/>
    <w:rsid w:val="00462C69"/>
    <w:rsid w:val="00462CB1"/>
    <w:rsid w:val="00463319"/>
    <w:rsid w:val="00463683"/>
    <w:rsid w:val="00463B1C"/>
    <w:rsid w:val="00463CE2"/>
    <w:rsid w:val="004644A3"/>
    <w:rsid w:val="004644F9"/>
    <w:rsid w:val="00464B85"/>
    <w:rsid w:val="0046512B"/>
    <w:rsid w:val="00465659"/>
    <w:rsid w:val="004660CC"/>
    <w:rsid w:val="00466953"/>
    <w:rsid w:val="00466A0E"/>
    <w:rsid w:val="0046737D"/>
    <w:rsid w:val="004674FB"/>
    <w:rsid w:val="00470B37"/>
    <w:rsid w:val="00470CDE"/>
    <w:rsid w:val="00471B83"/>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77567"/>
    <w:rsid w:val="0048125A"/>
    <w:rsid w:val="0048144C"/>
    <w:rsid w:val="00481FDB"/>
    <w:rsid w:val="00482932"/>
    <w:rsid w:val="0048327F"/>
    <w:rsid w:val="0048386A"/>
    <w:rsid w:val="00484218"/>
    <w:rsid w:val="004859A5"/>
    <w:rsid w:val="004859DF"/>
    <w:rsid w:val="00485D21"/>
    <w:rsid w:val="00486274"/>
    <w:rsid w:val="004862D3"/>
    <w:rsid w:val="004863D5"/>
    <w:rsid w:val="004867E2"/>
    <w:rsid w:val="00486A7D"/>
    <w:rsid w:val="00490F36"/>
    <w:rsid w:val="00491E26"/>
    <w:rsid w:val="00491F70"/>
    <w:rsid w:val="0049247B"/>
    <w:rsid w:val="00494B98"/>
    <w:rsid w:val="004963B8"/>
    <w:rsid w:val="00496CD3"/>
    <w:rsid w:val="00497603"/>
    <w:rsid w:val="004A1D0D"/>
    <w:rsid w:val="004A253B"/>
    <w:rsid w:val="004A2618"/>
    <w:rsid w:val="004A29C3"/>
    <w:rsid w:val="004A2F14"/>
    <w:rsid w:val="004A40A5"/>
    <w:rsid w:val="004A411E"/>
    <w:rsid w:val="004A43F3"/>
    <w:rsid w:val="004A6E95"/>
    <w:rsid w:val="004A7A4D"/>
    <w:rsid w:val="004B0928"/>
    <w:rsid w:val="004B2987"/>
    <w:rsid w:val="004B2F46"/>
    <w:rsid w:val="004B390F"/>
    <w:rsid w:val="004B4440"/>
    <w:rsid w:val="004B4D10"/>
    <w:rsid w:val="004B6382"/>
    <w:rsid w:val="004B6F11"/>
    <w:rsid w:val="004B7242"/>
    <w:rsid w:val="004C0614"/>
    <w:rsid w:val="004C13B1"/>
    <w:rsid w:val="004C2904"/>
    <w:rsid w:val="004C29CE"/>
    <w:rsid w:val="004C4891"/>
    <w:rsid w:val="004C4951"/>
    <w:rsid w:val="004C4CAD"/>
    <w:rsid w:val="004C5E9C"/>
    <w:rsid w:val="004C64BC"/>
    <w:rsid w:val="004C6985"/>
    <w:rsid w:val="004C710D"/>
    <w:rsid w:val="004C724D"/>
    <w:rsid w:val="004C73C5"/>
    <w:rsid w:val="004D080F"/>
    <w:rsid w:val="004D0A22"/>
    <w:rsid w:val="004D17CB"/>
    <w:rsid w:val="004D2469"/>
    <w:rsid w:val="004D2602"/>
    <w:rsid w:val="004D2685"/>
    <w:rsid w:val="004D2C42"/>
    <w:rsid w:val="004D4525"/>
    <w:rsid w:val="004D482B"/>
    <w:rsid w:val="004D4B8D"/>
    <w:rsid w:val="004D5156"/>
    <w:rsid w:val="004D57AE"/>
    <w:rsid w:val="004D584F"/>
    <w:rsid w:val="004D5CCA"/>
    <w:rsid w:val="004D6453"/>
    <w:rsid w:val="004D67AF"/>
    <w:rsid w:val="004D69BB"/>
    <w:rsid w:val="004D6FB9"/>
    <w:rsid w:val="004D72E6"/>
    <w:rsid w:val="004D781D"/>
    <w:rsid w:val="004D7CBA"/>
    <w:rsid w:val="004E0161"/>
    <w:rsid w:val="004E14A4"/>
    <w:rsid w:val="004E1F3F"/>
    <w:rsid w:val="004E21F8"/>
    <w:rsid w:val="004E4471"/>
    <w:rsid w:val="004E49EA"/>
    <w:rsid w:val="004E5C08"/>
    <w:rsid w:val="004E705F"/>
    <w:rsid w:val="004E72CB"/>
    <w:rsid w:val="004E72CC"/>
    <w:rsid w:val="004E734A"/>
    <w:rsid w:val="004E7364"/>
    <w:rsid w:val="004E7548"/>
    <w:rsid w:val="004F0267"/>
    <w:rsid w:val="004F0CC7"/>
    <w:rsid w:val="004F1023"/>
    <w:rsid w:val="004F12D4"/>
    <w:rsid w:val="004F3775"/>
    <w:rsid w:val="004F42BC"/>
    <w:rsid w:val="004F4A03"/>
    <w:rsid w:val="004F50BA"/>
    <w:rsid w:val="004F56EF"/>
    <w:rsid w:val="004F6D63"/>
    <w:rsid w:val="00501A51"/>
    <w:rsid w:val="005025D0"/>
    <w:rsid w:val="00502A2A"/>
    <w:rsid w:val="00503DC2"/>
    <w:rsid w:val="005040B7"/>
    <w:rsid w:val="005049DD"/>
    <w:rsid w:val="005051FD"/>
    <w:rsid w:val="005057EB"/>
    <w:rsid w:val="00505D08"/>
    <w:rsid w:val="00507402"/>
    <w:rsid w:val="00507F8F"/>
    <w:rsid w:val="00510445"/>
    <w:rsid w:val="00510D4D"/>
    <w:rsid w:val="00511214"/>
    <w:rsid w:val="00512065"/>
    <w:rsid w:val="0051250F"/>
    <w:rsid w:val="00512DE7"/>
    <w:rsid w:val="005130A6"/>
    <w:rsid w:val="005149E5"/>
    <w:rsid w:val="00515C8C"/>
    <w:rsid w:val="00515FDE"/>
    <w:rsid w:val="00516298"/>
    <w:rsid w:val="0051650E"/>
    <w:rsid w:val="00516F16"/>
    <w:rsid w:val="00517383"/>
    <w:rsid w:val="005173EC"/>
    <w:rsid w:val="00517D3C"/>
    <w:rsid w:val="005211BA"/>
    <w:rsid w:val="0052142D"/>
    <w:rsid w:val="00521B95"/>
    <w:rsid w:val="00522B51"/>
    <w:rsid w:val="00523499"/>
    <w:rsid w:val="00523BE9"/>
    <w:rsid w:val="00525F33"/>
    <w:rsid w:val="005262C3"/>
    <w:rsid w:val="00526832"/>
    <w:rsid w:val="005269F1"/>
    <w:rsid w:val="00527034"/>
    <w:rsid w:val="0053053F"/>
    <w:rsid w:val="005307BB"/>
    <w:rsid w:val="00530C46"/>
    <w:rsid w:val="00530ED3"/>
    <w:rsid w:val="00532271"/>
    <w:rsid w:val="00532D8C"/>
    <w:rsid w:val="005332A5"/>
    <w:rsid w:val="00533CFE"/>
    <w:rsid w:val="00534C4A"/>
    <w:rsid w:val="00535E22"/>
    <w:rsid w:val="005364D9"/>
    <w:rsid w:val="005366A2"/>
    <w:rsid w:val="0053694B"/>
    <w:rsid w:val="00536C27"/>
    <w:rsid w:val="00536EB8"/>
    <w:rsid w:val="0053791D"/>
    <w:rsid w:val="00540534"/>
    <w:rsid w:val="005413F6"/>
    <w:rsid w:val="00541E6E"/>
    <w:rsid w:val="00542990"/>
    <w:rsid w:val="0054443F"/>
    <w:rsid w:val="00544C04"/>
    <w:rsid w:val="0054559B"/>
    <w:rsid w:val="0054627D"/>
    <w:rsid w:val="00546C8D"/>
    <w:rsid w:val="00547427"/>
    <w:rsid w:val="00550612"/>
    <w:rsid w:val="005508A4"/>
    <w:rsid w:val="00550D28"/>
    <w:rsid w:val="005521F7"/>
    <w:rsid w:val="0055285B"/>
    <w:rsid w:val="00552935"/>
    <w:rsid w:val="00552F9E"/>
    <w:rsid w:val="0055338F"/>
    <w:rsid w:val="0055458C"/>
    <w:rsid w:val="00555BA9"/>
    <w:rsid w:val="00555C4C"/>
    <w:rsid w:val="0055643B"/>
    <w:rsid w:val="005577C4"/>
    <w:rsid w:val="00557E9F"/>
    <w:rsid w:val="00561614"/>
    <w:rsid w:val="0056191C"/>
    <w:rsid w:val="00562F23"/>
    <w:rsid w:val="00563284"/>
    <w:rsid w:val="005632B5"/>
    <w:rsid w:val="00563CCC"/>
    <w:rsid w:val="00564688"/>
    <w:rsid w:val="00564DA4"/>
    <w:rsid w:val="00565224"/>
    <w:rsid w:val="0056522B"/>
    <w:rsid w:val="005657E4"/>
    <w:rsid w:val="0056626E"/>
    <w:rsid w:val="00566467"/>
    <w:rsid w:val="005668FD"/>
    <w:rsid w:val="00566CE0"/>
    <w:rsid w:val="005673D8"/>
    <w:rsid w:val="00567A33"/>
    <w:rsid w:val="005703A3"/>
    <w:rsid w:val="00570845"/>
    <w:rsid w:val="00570A1E"/>
    <w:rsid w:val="005717BB"/>
    <w:rsid w:val="005719DA"/>
    <w:rsid w:val="005727D3"/>
    <w:rsid w:val="00572B5D"/>
    <w:rsid w:val="00573594"/>
    <w:rsid w:val="00573D95"/>
    <w:rsid w:val="0057489C"/>
    <w:rsid w:val="005749DC"/>
    <w:rsid w:val="0057502C"/>
    <w:rsid w:val="005755AF"/>
    <w:rsid w:val="00575C2E"/>
    <w:rsid w:val="00575F16"/>
    <w:rsid w:val="0057605A"/>
    <w:rsid w:val="00576318"/>
    <w:rsid w:val="00576D6E"/>
    <w:rsid w:val="00576F75"/>
    <w:rsid w:val="005801CC"/>
    <w:rsid w:val="00580207"/>
    <w:rsid w:val="00580263"/>
    <w:rsid w:val="0058196D"/>
    <w:rsid w:val="00581CB6"/>
    <w:rsid w:val="005825D0"/>
    <w:rsid w:val="00583ACA"/>
    <w:rsid w:val="00583C98"/>
    <w:rsid w:val="00584AFC"/>
    <w:rsid w:val="00584C97"/>
    <w:rsid w:val="00585A1A"/>
    <w:rsid w:val="00585C90"/>
    <w:rsid w:val="00585F54"/>
    <w:rsid w:val="00587227"/>
    <w:rsid w:val="005901F2"/>
    <w:rsid w:val="005913C5"/>
    <w:rsid w:val="00591EB8"/>
    <w:rsid w:val="005921A9"/>
    <w:rsid w:val="005921B6"/>
    <w:rsid w:val="0059223F"/>
    <w:rsid w:val="00593BB7"/>
    <w:rsid w:val="00593ED0"/>
    <w:rsid w:val="0059489D"/>
    <w:rsid w:val="0059521B"/>
    <w:rsid w:val="005953AE"/>
    <w:rsid w:val="005955C5"/>
    <w:rsid w:val="00595811"/>
    <w:rsid w:val="00595B9E"/>
    <w:rsid w:val="00595F78"/>
    <w:rsid w:val="0059628F"/>
    <w:rsid w:val="005962BE"/>
    <w:rsid w:val="00596777"/>
    <w:rsid w:val="0059741D"/>
    <w:rsid w:val="0059742E"/>
    <w:rsid w:val="00597C04"/>
    <w:rsid w:val="005A0532"/>
    <w:rsid w:val="005A1A12"/>
    <w:rsid w:val="005A25E8"/>
    <w:rsid w:val="005A4485"/>
    <w:rsid w:val="005A45A3"/>
    <w:rsid w:val="005A462A"/>
    <w:rsid w:val="005A47E9"/>
    <w:rsid w:val="005A4A56"/>
    <w:rsid w:val="005A52F2"/>
    <w:rsid w:val="005A5416"/>
    <w:rsid w:val="005A559B"/>
    <w:rsid w:val="005A58DE"/>
    <w:rsid w:val="005A6179"/>
    <w:rsid w:val="005A623E"/>
    <w:rsid w:val="005A6B6A"/>
    <w:rsid w:val="005A6D6D"/>
    <w:rsid w:val="005A6EAF"/>
    <w:rsid w:val="005B006C"/>
    <w:rsid w:val="005B107D"/>
    <w:rsid w:val="005B2E79"/>
    <w:rsid w:val="005B2EB9"/>
    <w:rsid w:val="005B2F78"/>
    <w:rsid w:val="005B30E9"/>
    <w:rsid w:val="005B3495"/>
    <w:rsid w:val="005B3D3B"/>
    <w:rsid w:val="005B3E9F"/>
    <w:rsid w:val="005B4FEA"/>
    <w:rsid w:val="005B7582"/>
    <w:rsid w:val="005B7D85"/>
    <w:rsid w:val="005C0054"/>
    <w:rsid w:val="005C1005"/>
    <w:rsid w:val="005C11B4"/>
    <w:rsid w:val="005C1B8E"/>
    <w:rsid w:val="005C2B0D"/>
    <w:rsid w:val="005C3D54"/>
    <w:rsid w:val="005C43A3"/>
    <w:rsid w:val="005C4DFD"/>
    <w:rsid w:val="005C5BC7"/>
    <w:rsid w:val="005C5C4A"/>
    <w:rsid w:val="005C5C96"/>
    <w:rsid w:val="005C6FFC"/>
    <w:rsid w:val="005C78C3"/>
    <w:rsid w:val="005D0017"/>
    <w:rsid w:val="005D0181"/>
    <w:rsid w:val="005D0441"/>
    <w:rsid w:val="005D0C65"/>
    <w:rsid w:val="005D1190"/>
    <w:rsid w:val="005D1B05"/>
    <w:rsid w:val="005D24EC"/>
    <w:rsid w:val="005D2C6E"/>
    <w:rsid w:val="005D2E12"/>
    <w:rsid w:val="005D395D"/>
    <w:rsid w:val="005D3B21"/>
    <w:rsid w:val="005D4CF7"/>
    <w:rsid w:val="005D7699"/>
    <w:rsid w:val="005E06D0"/>
    <w:rsid w:val="005E06DD"/>
    <w:rsid w:val="005E1695"/>
    <w:rsid w:val="005E18FB"/>
    <w:rsid w:val="005E2CF2"/>
    <w:rsid w:val="005E2D5A"/>
    <w:rsid w:val="005E3627"/>
    <w:rsid w:val="005E3726"/>
    <w:rsid w:val="005E379F"/>
    <w:rsid w:val="005E4E94"/>
    <w:rsid w:val="005E5468"/>
    <w:rsid w:val="005E55C2"/>
    <w:rsid w:val="005E670B"/>
    <w:rsid w:val="005E6F21"/>
    <w:rsid w:val="005E78AE"/>
    <w:rsid w:val="005F0181"/>
    <w:rsid w:val="005F16AA"/>
    <w:rsid w:val="005F1818"/>
    <w:rsid w:val="005F2885"/>
    <w:rsid w:val="005F2D6B"/>
    <w:rsid w:val="005F2DD9"/>
    <w:rsid w:val="005F36BA"/>
    <w:rsid w:val="005F3C7E"/>
    <w:rsid w:val="005F40D3"/>
    <w:rsid w:val="005F5744"/>
    <w:rsid w:val="005F6683"/>
    <w:rsid w:val="005F7C4B"/>
    <w:rsid w:val="0060075E"/>
    <w:rsid w:val="006010BC"/>
    <w:rsid w:val="0060121E"/>
    <w:rsid w:val="006013F1"/>
    <w:rsid w:val="00601415"/>
    <w:rsid w:val="00601C45"/>
    <w:rsid w:val="00601DA4"/>
    <w:rsid w:val="0060242C"/>
    <w:rsid w:val="00602566"/>
    <w:rsid w:val="00602753"/>
    <w:rsid w:val="00602D00"/>
    <w:rsid w:val="00605812"/>
    <w:rsid w:val="00605A06"/>
    <w:rsid w:val="00605B07"/>
    <w:rsid w:val="00605DF3"/>
    <w:rsid w:val="0060697D"/>
    <w:rsid w:val="0061043D"/>
    <w:rsid w:val="0061065D"/>
    <w:rsid w:val="006111F0"/>
    <w:rsid w:val="00611EC0"/>
    <w:rsid w:val="0061248A"/>
    <w:rsid w:val="00613143"/>
    <w:rsid w:val="00613533"/>
    <w:rsid w:val="00614121"/>
    <w:rsid w:val="00614A82"/>
    <w:rsid w:val="00615102"/>
    <w:rsid w:val="006161C7"/>
    <w:rsid w:val="006163D8"/>
    <w:rsid w:val="00616D3D"/>
    <w:rsid w:val="00620F24"/>
    <w:rsid w:val="00622642"/>
    <w:rsid w:val="006234D9"/>
    <w:rsid w:val="006237E2"/>
    <w:rsid w:val="00623C5D"/>
    <w:rsid w:val="00625801"/>
    <w:rsid w:val="00625B89"/>
    <w:rsid w:val="006260AF"/>
    <w:rsid w:val="0062643F"/>
    <w:rsid w:val="00626680"/>
    <w:rsid w:val="00630391"/>
    <w:rsid w:val="0063279E"/>
    <w:rsid w:val="00633420"/>
    <w:rsid w:val="00633424"/>
    <w:rsid w:val="0063444B"/>
    <w:rsid w:val="0063478C"/>
    <w:rsid w:val="00634B44"/>
    <w:rsid w:val="00634E32"/>
    <w:rsid w:val="00634F21"/>
    <w:rsid w:val="00634FA3"/>
    <w:rsid w:val="006351E8"/>
    <w:rsid w:val="00635B53"/>
    <w:rsid w:val="006361A4"/>
    <w:rsid w:val="00636C93"/>
    <w:rsid w:val="00636DBA"/>
    <w:rsid w:val="00636EE9"/>
    <w:rsid w:val="00640207"/>
    <w:rsid w:val="00640740"/>
    <w:rsid w:val="006408F4"/>
    <w:rsid w:val="00640EF8"/>
    <w:rsid w:val="00641651"/>
    <w:rsid w:val="00643356"/>
    <w:rsid w:val="0064346B"/>
    <w:rsid w:val="00643535"/>
    <w:rsid w:val="0064373A"/>
    <w:rsid w:val="00644D64"/>
    <w:rsid w:val="0064562F"/>
    <w:rsid w:val="006458E6"/>
    <w:rsid w:val="00645949"/>
    <w:rsid w:val="00645CCE"/>
    <w:rsid w:val="00645ED4"/>
    <w:rsid w:val="00645F9A"/>
    <w:rsid w:val="00646F70"/>
    <w:rsid w:val="00647973"/>
    <w:rsid w:val="0065067D"/>
    <w:rsid w:val="00650725"/>
    <w:rsid w:val="00650915"/>
    <w:rsid w:val="006514AB"/>
    <w:rsid w:val="00651739"/>
    <w:rsid w:val="006519CA"/>
    <w:rsid w:val="0065281F"/>
    <w:rsid w:val="006529AB"/>
    <w:rsid w:val="0065351B"/>
    <w:rsid w:val="00653785"/>
    <w:rsid w:val="00654A41"/>
    <w:rsid w:val="00655054"/>
    <w:rsid w:val="00655586"/>
    <w:rsid w:val="00656E19"/>
    <w:rsid w:val="00657C74"/>
    <w:rsid w:val="00660142"/>
    <w:rsid w:val="00660825"/>
    <w:rsid w:val="00662AF3"/>
    <w:rsid w:val="00662D4A"/>
    <w:rsid w:val="006637C7"/>
    <w:rsid w:val="006646CB"/>
    <w:rsid w:val="00664A0A"/>
    <w:rsid w:val="006655DE"/>
    <w:rsid w:val="00666241"/>
    <w:rsid w:val="006673E0"/>
    <w:rsid w:val="00670376"/>
    <w:rsid w:val="00670C77"/>
    <w:rsid w:val="0067213C"/>
    <w:rsid w:val="00672333"/>
    <w:rsid w:val="0067299F"/>
    <w:rsid w:val="006734A7"/>
    <w:rsid w:val="006748B5"/>
    <w:rsid w:val="00675304"/>
    <w:rsid w:val="00675F01"/>
    <w:rsid w:val="006771AD"/>
    <w:rsid w:val="006776FE"/>
    <w:rsid w:val="00677E98"/>
    <w:rsid w:val="00677EBB"/>
    <w:rsid w:val="00681471"/>
    <w:rsid w:val="00682C10"/>
    <w:rsid w:val="0068387C"/>
    <w:rsid w:val="00683966"/>
    <w:rsid w:val="006839E4"/>
    <w:rsid w:val="00683B78"/>
    <w:rsid w:val="00685CE3"/>
    <w:rsid w:val="00685E41"/>
    <w:rsid w:val="00686517"/>
    <w:rsid w:val="00686778"/>
    <w:rsid w:val="00686FA0"/>
    <w:rsid w:val="006877D3"/>
    <w:rsid w:val="006879EA"/>
    <w:rsid w:val="00690BF3"/>
    <w:rsid w:val="00691C5B"/>
    <w:rsid w:val="00691D24"/>
    <w:rsid w:val="00691FB3"/>
    <w:rsid w:val="00692057"/>
    <w:rsid w:val="0069342F"/>
    <w:rsid w:val="0069425A"/>
    <w:rsid w:val="00695B6A"/>
    <w:rsid w:val="00696295"/>
    <w:rsid w:val="00696AEF"/>
    <w:rsid w:val="00696E97"/>
    <w:rsid w:val="0069737A"/>
    <w:rsid w:val="006976AE"/>
    <w:rsid w:val="00697EAF"/>
    <w:rsid w:val="00697F76"/>
    <w:rsid w:val="006A0DD6"/>
    <w:rsid w:val="006A24C9"/>
    <w:rsid w:val="006A26B8"/>
    <w:rsid w:val="006A286B"/>
    <w:rsid w:val="006A2BC3"/>
    <w:rsid w:val="006A3A98"/>
    <w:rsid w:val="006A3BF1"/>
    <w:rsid w:val="006A3CF2"/>
    <w:rsid w:val="006A48FC"/>
    <w:rsid w:val="006A4BB7"/>
    <w:rsid w:val="006A5170"/>
    <w:rsid w:val="006A5E0F"/>
    <w:rsid w:val="006A7406"/>
    <w:rsid w:val="006A7956"/>
    <w:rsid w:val="006A7AB2"/>
    <w:rsid w:val="006B034B"/>
    <w:rsid w:val="006B0D15"/>
    <w:rsid w:val="006B1119"/>
    <w:rsid w:val="006B15BC"/>
    <w:rsid w:val="006B16BF"/>
    <w:rsid w:val="006B2E8A"/>
    <w:rsid w:val="006B2E99"/>
    <w:rsid w:val="006B2EB4"/>
    <w:rsid w:val="006B31A8"/>
    <w:rsid w:val="006B383C"/>
    <w:rsid w:val="006B3C13"/>
    <w:rsid w:val="006B4430"/>
    <w:rsid w:val="006B5552"/>
    <w:rsid w:val="006B58BF"/>
    <w:rsid w:val="006B5DE0"/>
    <w:rsid w:val="006B6787"/>
    <w:rsid w:val="006B68E2"/>
    <w:rsid w:val="006B6DBF"/>
    <w:rsid w:val="006C0049"/>
    <w:rsid w:val="006C02B8"/>
    <w:rsid w:val="006C1FA2"/>
    <w:rsid w:val="006C2C37"/>
    <w:rsid w:val="006C321B"/>
    <w:rsid w:val="006C3338"/>
    <w:rsid w:val="006C3E19"/>
    <w:rsid w:val="006C3F52"/>
    <w:rsid w:val="006C509C"/>
    <w:rsid w:val="006C52B1"/>
    <w:rsid w:val="006C5359"/>
    <w:rsid w:val="006C65D4"/>
    <w:rsid w:val="006C688E"/>
    <w:rsid w:val="006C751B"/>
    <w:rsid w:val="006C7FE8"/>
    <w:rsid w:val="006D0012"/>
    <w:rsid w:val="006D06F1"/>
    <w:rsid w:val="006D0BEA"/>
    <w:rsid w:val="006D0DAE"/>
    <w:rsid w:val="006D116A"/>
    <w:rsid w:val="006D1776"/>
    <w:rsid w:val="006D1D8A"/>
    <w:rsid w:val="006D1EEA"/>
    <w:rsid w:val="006D218D"/>
    <w:rsid w:val="006D3040"/>
    <w:rsid w:val="006D306A"/>
    <w:rsid w:val="006D39E1"/>
    <w:rsid w:val="006D4298"/>
    <w:rsid w:val="006D4747"/>
    <w:rsid w:val="006D4902"/>
    <w:rsid w:val="006D4EEF"/>
    <w:rsid w:val="006D4FA4"/>
    <w:rsid w:val="006D5B9D"/>
    <w:rsid w:val="006D624B"/>
    <w:rsid w:val="006D65A1"/>
    <w:rsid w:val="006D6A16"/>
    <w:rsid w:val="006D6A5D"/>
    <w:rsid w:val="006D73D5"/>
    <w:rsid w:val="006D7C35"/>
    <w:rsid w:val="006D7C4B"/>
    <w:rsid w:val="006D7C75"/>
    <w:rsid w:val="006E043E"/>
    <w:rsid w:val="006E08C4"/>
    <w:rsid w:val="006E0D20"/>
    <w:rsid w:val="006E182E"/>
    <w:rsid w:val="006E1CA6"/>
    <w:rsid w:val="006E224A"/>
    <w:rsid w:val="006E2919"/>
    <w:rsid w:val="006E2B84"/>
    <w:rsid w:val="006E2C4B"/>
    <w:rsid w:val="006E312A"/>
    <w:rsid w:val="006E4A8A"/>
    <w:rsid w:val="006E4BDB"/>
    <w:rsid w:val="006E5388"/>
    <w:rsid w:val="006E6270"/>
    <w:rsid w:val="006E6C19"/>
    <w:rsid w:val="006E720B"/>
    <w:rsid w:val="006E77A4"/>
    <w:rsid w:val="006E799D"/>
    <w:rsid w:val="006F0082"/>
    <w:rsid w:val="006F02A9"/>
    <w:rsid w:val="006F05BD"/>
    <w:rsid w:val="006F07CC"/>
    <w:rsid w:val="006F10C0"/>
    <w:rsid w:val="006F15BF"/>
    <w:rsid w:val="006F2792"/>
    <w:rsid w:val="006F2A16"/>
    <w:rsid w:val="006F2D4D"/>
    <w:rsid w:val="006F3E20"/>
    <w:rsid w:val="006F45B4"/>
    <w:rsid w:val="006F57E6"/>
    <w:rsid w:val="006F60BC"/>
    <w:rsid w:val="006F61CF"/>
    <w:rsid w:val="006F6592"/>
    <w:rsid w:val="006F6B91"/>
    <w:rsid w:val="006F7E2D"/>
    <w:rsid w:val="00700D3F"/>
    <w:rsid w:val="00701F36"/>
    <w:rsid w:val="00702684"/>
    <w:rsid w:val="00702E8E"/>
    <w:rsid w:val="00703DC7"/>
    <w:rsid w:val="00704765"/>
    <w:rsid w:val="00704E29"/>
    <w:rsid w:val="007058EE"/>
    <w:rsid w:val="00705E1E"/>
    <w:rsid w:val="007060DA"/>
    <w:rsid w:val="0070687A"/>
    <w:rsid w:val="00707180"/>
    <w:rsid w:val="00707EF7"/>
    <w:rsid w:val="00710394"/>
    <w:rsid w:val="00710E4D"/>
    <w:rsid w:val="00710E65"/>
    <w:rsid w:val="00711FB3"/>
    <w:rsid w:val="007131DD"/>
    <w:rsid w:val="00713594"/>
    <w:rsid w:val="00713662"/>
    <w:rsid w:val="00713875"/>
    <w:rsid w:val="00713E66"/>
    <w:rsid w:val="0071481F"/>
    <w:rsid w:val="00714C81"/>
    <w:rsid w:val="00714DBD"/>
    <w:rsid w:val="0071509B"/>
    <w:rsid w:val="007154E8"/>
    <w:rsid w:val="00715996"/>
    <w:rsid w:val="00715C81"/>
    <w:rsid w:val="00715CA7"/>
    <w:rsid w:val="00715EC9"/>
    <w:rsid w:val="007168E5"/>
    <w:rsid w:val="00716920"/>
    <w:rsid w:val="00716A19"/>
    <w:rsid w:val="007171C6"/>
    <w:rsid w:val="007179B2"/>
    <w:rsid w:val="0072016D"/>
    <w:rsid w:val="007203D1"/>
    <w:rsid w:val="007205DF"/>
    <w:rsid w:val="007220D9"/>
    <w:rsid w:val="00722B05"/>
    <w:rsid w:val="007237A9"/>
    <w:rsid w:val="00723932"/>
    <w:rsid w:val="00725D11"/>
    <w:rsid w:val="007260AE"/>
    <w:rsid w:val="007266CB"/>
    <w:rsid w:val="00726B01"/>
    <w:rsid w:val="0072705E"/>
    <w:rsid w:val="007274A9"/>
    <w:rsid w:val="00730545"/>
    <w:rsid w:val="00730C7B"/>
    <w:rsid w:val="00732EDC"/>
    <w:rsid w:val="00733070"/>
    <w:rsid w:val="0073374D"/>
    <w:rsid w:val="007337CF"/>
    <w:rsid w:val="007342BE"/>
    <w:rsid w:val="00734CAA"/>
    <w:rsid w:val="00735B38"/>
    <w:rsid w:val="00736C4E"/>
    <w:rsid w:val="00737491"/>
    <w:rsid w:val="00737AEE"/>
    <w:rsid w:val="00737B23"/>
    <w:rsid w:val="007405AB"/>
    <w:rsid w:val="0074117E"/>
    <w:rsid w:val="007411EF"/>
    <w:rsid w:val="0074171E"/>
    <w:rsid w:val="00741959"/>
    <w:rsid w:val="00741C5B"/>
    <w:rsid w:val="0074223E"/>
    <w:rsid w:val="007427F3"/>
    <w:rsid w:val="00742EAD"/>
    <w:rsid w:val="00743D9C"/>
    <w:rsid w:val="00743F5B"/>
    <w:rsid w:val="00744949"/>
    <w:rsid w:val="00744FBE"/>
    <w:rsid w:val="007452B3"/>
    <w:rsid w:val="0074538E"/>
    <w:rsid w:val="007457F2"/>
    <w:rsid w:val="00745ABC"/>
    <w:rsid w:val="0074604E"/>
    <w:rsid w:val="0074607A"/>
    <w:rsid w:val="00746466"/>
    <w:rsid w:val="00746AF2"/>
    <w:rsid w:val="00746E5F"/>
    <w:rsid w:val="0074754E"/>
    <w:rsid w:val="00747616"/>
    <w:rsid w:val="00747B91"/>
    <w:rsid w:val="007502D6"/>
    <w:rsid w:val="007512B4"/>
    <w:rsid w:val="007524C0"/>
    <w:rsid w:val="00753466"/>
    <w:rsid w:val="00753B3C"/>
    <w:rsid w:val="00754383"/>
    <w:rsid w:val="00755971"/>
    <w:rsid w:val="00755FE9"/>
    <w:rsid w:val="00756090"/>
    <w:rsid w:val="00757248"/>
    <w:rsid w:val="00757C05"/>
    <w:rsid w:val="007623ED"/>
    <w:rsid w:val="007627E0"/>
    <w:rsid w:val="00762D5B"/>
    <w:rsid w:val="007630B3"/>
    <w:rsid w:val="0076332F"/>
    <w:rsid w:val="0076349B"/>
    <w:rsid w:val="00763CD7"/>
    <w:rsid w:val="00764AC0"/>
    <w:rsid w:val="00764D6C"/>
    <w:rsid w:val="0076511E"/>
    <w:rsid w:val="00765536"/>
    <w:rsid w:val="007655EC"/>
    <w:rsid w:val="00765A97"/>
    <w:rsid w:val="00765E19"/>
    <w:rsid w:val="007660C1"/>
    <w:rsid w:val="0076619C"/>
    <w:rsid w:val="007668FB"/>
    <w:rsid w:val="0076706F"/>
    <w:rsid w:val="00767868"/>
    <w:rsid w:val="00767C3E"/>
    <w:rsid w:val="00770854"/>
    <w:rsid w:val="007712D0"/>
    <w:rsid w:val="0077174E"/>
    <w:rsid w:val="007717A5"/>
    <w:rsid w:val="00771FCC"/>
    <w:rsid w:val="0077228B"/>
    <w:rsid w:val="0077269E"/>
    <w:rsid w:val="007728EB"/>
    <w:rsid w:val="00772F53"/>
    <w:rsid w:val="0077336A"/>
    <w:rsid w:val="00774742"/>
    <w:rsid w:val="00774B99"/>
    <w:rsid w:val="00774D10"/>
    <w:rsid w:val="00775BF0"/>
    <w:rsid w:val="00776ADA"/>
    <w:rsid w:val="00777701"/>
    <w:rsid w:val="007777EE"/>
    <w:rsid w:val="0077793C"/>
    <w:rsid w:val="00777D66"/>
    <w:rsid w:val="00777DB4"/>
    <w:rsid w:val="00777F26"/>
    <w:rsid w:val="00783285"/>
    <w:rsid w:val="00783F83"/>
    <w:rsid w:val="00784B22"/>
    <w:rsid w:val="00784EAE"/>
    <w:rsid w:val="007851E8"/>
    <w:rsid w:val="00785236"/>
    <w:rsid w:val="00785C6E"/>
    <w:rsid w:val="00785FF2"/>
    <w:rsid w:val="007869A5"/>
    <w:rsid w:val="00790C75"/>
    <w:rsid w:val="00790CE0"/>
    <w:rsid w:val="00791082"/>
    <w:rsid w:val="00791154"/>
    <w:rsid w:val="00791B88"/>
    <w:rsid w:val="00791CA7"/>
    <w:rsid w:val="00791ECC"/>
    <w:rsid w:val="0079203B"/>
    <w:rsid w:val="00792521"/>
    <w:rsid w:val="00792914"/>
    <w:rsid w:val="007929E6"/>
    <w:rsid w:val="00792A2F"/>
    <w:rsid w:val="00792D34"/>
    <w:rsid w:val="0079346C"/>
    <w:rsid w:val="007934E1"/>
    <w:rsid w:val="0079394C"/>
    <w:rsid w:val="00793DCE"/>
    <w:rsid w:val="0079494A"/>
    <w:rsid w:val="00794CCB"/>
    <w:rsid w:val="00795937"/>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05"/>
    <w:rsid w:val="007B31A4"/>
    <w:rsid w:val="007B3382"/>
    <w:rsid w:val="007B4368"/>
    <w:rsid w:val="007B4508"/>
    <w:rsid w:val="007B46FC"/>
    <w:rsid w:val="007B4FA2"/>
    <w:rsid w:val="007B57A1"/>
    <w:rsid w:val="007B5EF6"/>
    <w:rsid w:val="007B65A2"/>
    <w:rsid w:val="007B7F33"/>
    <w:rsid w:val="007C0A8D"/>
    <w:rsid w:val="007C0B33"/>
    <w:rsid w:val="007C2345"/>
    <w:rsid w:val="007C2A8E"/>
    <w:rsid w:val="007C310B"/>
    <w:rsid w:val="007C3F89"/>
    <w:rsid w:val="007C49F1"/>
    <w:rsid w:val="007C4E2B"/>
    <w:rsid w:val="007C5386"/>
    <w:rsid w:val="007C5DFA"/>
    <w:rsid w:val="007C6966"/>
    <w:rsid w:val="007C6DD5"/>
    <w:rsid w:val="007C7016"/>
    <w:rsid w:val="007C787B"/>
    <w:rsid w:val="007D03B6"/>
    <w:rsid w:val="007D15E7"/>
    <w:rsid w:val="007D1735"/>
    <w:rsid w:val="007D2992"/>
    <w:rsid w:val="007D2A61"/>
    <w:rsid w:val="007D2F6A"/>
    <w:rsid w:val="007D3156"/>
    <w:rsid w:val="007D36B9"/>
    <w:rsid w:val="007D3E60"/>
    <w:rsid w:val="007D4032"/>
    <w:rsid w:val="007D4373"/>
    <w:rsid w:val="007D49F1"/>
    <w:rsid w:val="007D5BB4"/>
    <w:rsid w:val="007D642B"/>
    <w:rsid w:val="007D669C"/>
    <w:rsid w:val="007D7E91"/>
    <w:rsid w:val="007E02E9"/>
    <w:rsid w:val="007E1027"/>
    <w:rsid w:val="007E1315"/>
    <w:rsid w:val="007E1388"/>
    <w:rsid w:val="007E1461"/>
    <w:rsid w:val="007E2B6C"/>
    <w:rsid w:val="007E2BD5"/>
    <w:rsid w:val="007E356A"/>
    <w:rsid w:val="007E3C83"/>
    <w:rsid w:val="007E4154"/>
    <w:rsid w:val="007E47EF"/>
    <w:rsid w:val="007E588A"/>
    <w:rsid w:val="007E6257"/>
    <w:rsid w:val="007E69FC"/>
    <w:rsid w:val="007E74DC"/>
    <w:rsid w:val="007E79CE"/>
    <w:rsid w:val="007E7FC8"/>
    <w:rsid w:val="007F00FB"/>
    <w:rsid w:val="007F0B1F"/>
    <w:rsid w:val="007F1243"/>
    <w:rsid w:val="007F136B"/>
    <w:rsid w:val="007F1641"/>
    <w:rsid w:val="007F178F"/>
    <w:rsid w:val="007F43E9"/>
    <w:rsid w:val="007F59A2"/>
    <w:rsid w:val="007F5F99"/>
    <w:rsid w:val="007F60DE"/>
    <w:rsid w:val="007F637C"/>
    <w:rsid w:val="007F65AE"/>
    <w:rsid w:val="007F6814"/>
    <w:rsid w:val="007F6EF6"/>
    <w:rsid w:val="007F70DE"/>
    <w:rsid w:val="007F7B48"/>
    <w:rsid w:val="0080072E"/>
    <w:rsid w:val="00800A30"/>
    <w:rsid w:val="008034AA"/>
    <w:rsid w:val="008037F6"/>
    <w:rsid w:val="00803CBB"/>
    <w:rsid w:val="00803DA5"/>
    <w:rsid w:val="00804630"/>
    <w:rsid w:val="00804BC5"/>
    <w:rsid w:val="00805802"/>
    <w:rsid w:val="008059EE"/>
    <w:rsid w:val="008060C8"/>
    <w:rsid w:val="008066EC"/>
    <w:rsid w:val="008066FB"/>
    <w:rsid w:val="00806C64"/>
    <w:rsid w:val="0080700E"/>
    <w:rsid w:val="00807634"/>
    <w:rsid w:val="00807E7B"/>
    <w:rsid w:val="008108CB"/>
    <w:rsid w:val="00811E9A"/>
    <w:rsid w:val="00812570"/>
    <w:rsid w:val="008127B3"/>
    <w:rsid w:val="00812DD2"/>
    <w:rsid w:val="008133E9"/>
    <w:rsid w:val="00814E7B"/>
    <w:rsid w:val="00814F3A"/>
    <w:rsid w:val="00816467"/>
    <w:rsid w:val="0081767E"/>
    <w:rsid w:val="00817A04"/>
    <w:rsid w:val="00817E9E"/>
    <w:rsid w:val="008204EF"/>
    <w:rsid w:val="008207D4"/>
    <w:rsid w:val="00822C57"/>
    <w:rsid w:val="00823299"/>
    <w:rsid w:val="00823A9D"/>
    <w:rsid w:val="00824C50"/>
    <w:rsid w:val="00824D9D"/>
    <w:rsid w:val="00825F02"/>
    <w:rsid w:val="008260BD"/>
    <w:rsid w:val="0082635D"/>
    <w:rsid w:val="0082638A"/>
    <w:rsid w:val="008264EB"/>
    <w:rsid w:val="0082788A"/>
    <w:rsid w:val="00827F65"/>
    <w:rsid w:val="00830160"/>
    <w:rsid w:val="00830811"/>
    <w:rsid w:val="008309AF"/>
    <w:rsid w:val="00830C05"/>
    <w:rsid w:val="00831390"/>
    <w:rsid w:val="00832044"/>
    <w:rsid w:val="00832045"/>
    <w:rsid w:val="00832763"/>
    <w:rsid w:val="00832E8D"/>
    <w:rsid w:val="00832FE5"/>
    <w:rsid w:val="00833C60"/>
    <w:rsid w:val="008342B2"/>
    <w:rsid w:val="00835456"/>
    <w:rsid w:val="008355D3"/>
    <w:rsid w:val="00835D9F"/>
    <w:rsid w:val="0083633D"/>
    <w:rsid w:val="00837097"/>
    <w:rsid w:val="00837815"/>
    <w:rsid w:val="00837D41"/>
    <w:rsid w:val="0084061A"/>
    <w:rsid w:val="00840B1E"/>
    <w:rsid w:val="00840C6F"/>
    <w:rsid w:val="008410EF"/>
    <w:rsid w:val="00841D33"/>
    <w:rsid w:val="00842862"/>
    <w:rsid w:val="00842A4F"/>
    <w:rsid w:val="008435C9"/>
    <w:rsid w:val="008435F7"/>
    <w:rsid w:val="0084368A"/>
    <w:rsid w:val="00843A5D"/>
    <w:rsid w:val="008452AC"/>
    <w:rsid w:val="008459AA"/>
    <w:rsid w:val="00847488"/>
    <w:rsid w:val="00847675"/>
    <w:rsid w:val="0084793A"/>
    <w:rsid w:val="00850E21"/>
    <w:rsid w:val="00851353"/>
    <w:rsid w:val="008516C0"/>
    <w:rsid w:val="008521D9"/>
    <w:rsid w:val="0085231C"/>
    <w:rsid w:val="0085283E"/>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3EB5"/>
    <w:rsid w:val="00864431"/>
    <w:rsid w:val="008646FE"/>
    <w:rsid w:val="00864A38"/>
    <w:rsid w:val="008653C3"/>
    <w:rsid w:val="0086549B"/>
    <w:rsid w:val="00865620"/>
    <w:rsid w:val="00866480"/>
    <w:rsid w:val="008670E5"/>
    <w:rsid w:val="00870A5E"/>
    <w:rsid w:val="00872175"/>
    <w:rsid w:val="00872718"/>
    <w:rsid w:val="00873E30"/>
    <w:rsid w:val="00874222"/>
    <w:rsid w:val="008745D9"/>
    <w:rsid w:val="00874BB3"/>
    <w:rsid w:val="008751A4"/>
    <w:rsid w:val="0087668E"/>
    <w:rsid w:val="00876D06"/>
    <w:rsid w:val="008770DF"/>
    <w:rsid w:val="008775F2"/>
    <w:rsid w:val="00880178"/>
    <w:rsid w:val="00880466"/>
    <w:rsid w:val="008810D4"/>
    <w:rsid w:val="00881532"/>
    <w:rsid w:val="00881B7D"/>
    <w:rsid w:val="00882515"/>
    <w:rsid w:val="00882EE8"/>
    <w:rsid w:val="008837ED"/>
    <w:rsid w:val="008840F8"/>
    <w:rsid w:val="00884CCE"/>
    <w:rsid w:val="00885022"/>
    <w:rsid w:val="00885208"/>
    <w:rsid w:val="00885AEE"/>
    <w:rsid w:val="00885DB4"/>
    <w:rsid w:val="00885E8E"/>
    <w:rsid w:val="00890920"/>
    <w:rsid w:val="00890C8B"/>
    <w:rsid w:val="008912C3"/>
    <w:rsid w:val="00891863"/>
    <w:rsid w:val="00892950"/>
    <w:rsid w:val="0089315C"/>
    <w:rsid w:val="00893242"/>
    <w:rsid w:val="0089331C"/>
    <w:rsid w:val="00893D9A"/>
    <w:rsid w:val="00894C15"/>
    <w:rsid w:val="00894EDF"/>
    <w:rsid w:val="008958D6"/>
    <w:rsid w:val="00895A8E"/>
    <w:rsid w:val="00896BCD"/>
    <w:rsid w:val="00896EA6"/>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36F"/>
    <w:rsid w:val="008A2C6F"/>
    <w:rsid w:val="008A34CC"/>
    <w:rsid w:val="008A34DC"/>
    <w:rsid w:val="008A35C5"/>
    <w:rsid w:val="008A375C"/>
    <w:rsid w:val="008A3E3C"/>
    <w:rsid w:val="008A405A"/>
    <w:rsid w:val="008A4442"/>
    <w:rsid w:val="008A44F4"/>
    <w:rsid w:val="008A44FF"/>
    <w:rsid w:val="008A49F1"/>
    <w:rsid w:val="008A52D0"/>
    <w:rsid w:val="008A5B18"/>
    <w:rsid w:val="008A6F0F"/>
    <w:rsid w:val="008A6FD2"/>
    <w:rsid w:val="008A6FE6"/>
    <w:rsid w:val="008A7D3D"/>
    <w:rsid w:val="008A7F46"/>
    <w:rsid w:val="008B0239"/>
    <w:rsid w:val="008B02B4"/>
    <w:rsid w:val="008B1083"/>
    <w:rsid w:val="008B153E"/>
    <w:rsid w:val="008B1627"/>
    <w:rsid w:val="008B1A29"/>
    <w:rsid w:val="008B1FB3"/>
    <w:rsid w:val="008B25EE"/>
    <w:rsid w:val="008B29D9"/>
    <w:rsid w:val="008B4C7C"/>
    <w:rsid w:val="008B536D"/>
    <w:rsid w:val="008B5A18"/>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455F"/>
    <w:rsid w:val="008C5974"/>
    <w:rsid w:val="008C6042"/>
    <w:rsid w:val="008C7145"/>
    <w:rsid w:val="008C727D"/>
    <w:rsid w:val="008C7320"/>
    <w:rsid w:val="008C7A6C"/>
    <w:rsid w:val="008D0B7C"/>
    <w:rsid w:val="008D173D"/>
    <w:rsid w:val="008D1C6A"/>
    <w:rsid w:val="008D35CA"/>
    <w:rsid w:val="008D5138"/>
    <w:rsid w:val="008D5ABC"/>
    <w:rsid w:val="008D5E8C"/>
    <w:rsid w:val="008D62E8"/>
    <w:rsid w:val="008D64E5"/>
    <w:rsid w:val="008D6D51"/>
    <w:rsid w:val="008D6EB1"/>
    <w:rsid w:val="008D7374"/>
    <w:rsid w:val="008D78C5"/>
    <w:rsid w:val="008E0DBE"/>
    <w:rsid w:val="008E135B"/>
    <w:rsid w:val="008E16E5"/>
    <w:rsid w:val="008E182B"/>
    <w:rsid w:val="008E2AFF"/>
    <w:rsid w:val="008E2B5F"/>
    <w:rsid w:val="008E2BA5"/>
    <w:rsid w:val="008E31AA"/>
    <w:rsid w:val="008E3373"/>
    <w:rsid w:val="008E34E5"/>
    <w:rsid w:val="008E3992"/>
    <w:rsid w:val="008E3E3F"/>
    <w:rsid w:val="008E3F75"/>
    <w:rsid w:val="008E45AF"/>
    <w:rsid w:val="008E5BB3"/>
    <w:rsid w:val="008E5C0F"/>
    <w:rsid w:val="008E5CD4"/>
    <w:rsid w:val="008E5E91"/>
    <w:rsid w:val="008E5F3E"/>
    <w:rsid w:val="008E6265"/>
    <w:rsid w:val="008E6267"/>
    <w:rsid w:val="008E7B76"/>
    <w:rsid w:val="008E7F61"/>
    <w:rsid w:val="008F0798"/>
    <w:rsid w:val="008F09D8"/>
    <w:rsid w:val="008F0A08"/>
    <w:rsid w:val="008F0A5D"/>
    <w:rsid w:val="008F0C06"/>
    <w:rsid w:val="008F1836"/>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D6"/>
    <w:rsid w:val="00901139"/>
    <w:rsid w:val="00901615"/>
    <w:rsid w:val="009016C0"/>
    <w:rsid w:val="009016D3"/>
    <w:rsid w:val="00902484"/>
    <w:rsid w:val="00902B36"/>
    <w:rsid w:val="009035E7"/>
    <w:rsid w:val="009038F8"/>
    <w:rsid w:val="009051BC"/>
    <w:rsid w:val="00905497"/>
    <w:rsid w:val="00905988"/>
    <w:rsid w:val="00905EE9"/>
    <w:rsid w:val="00907139"/>
    <w:rsid w:val="00907BED"/>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5CE"/>
    <w:rsid w:val="00921072"/>
    <w:rsid w:val="00921343"/>
    <w:rsid w:val="009222A8"/>
    <w:rsid w:val="00922481"/>
    <w:rsid w:val="00923620"/>
    <w:rsid w:val="00923829"/>
    <w:rsid w:val="009238AF"/>
    <w:rsid w:val="00923912"/>
    <w:rsid w:val="00923BDB"/>
    <w:rsid w:val="00924CCC"/>
    <w:rsid w:val="009255F9"/>
    <w:rsid w:val="00925674"/>
    <w:rsid w:val="009257E1"/>
    <w:rsid w:val="009269B5"/>
    <w:rsid w:val="00927C34"/>
    <w:rsid w:val="00931038"/>
    <w:rsid w:val="00931BC4"/>
    <w:rsid w:val="0093235E"/>
    <w:rsid w:val="00934174"/>
    <w:rsid w:val="00934B7D"/>
    <w:rsid w:val="00934DB0"/>
    <w:rsid w:val="0093532A"/>
    <w:rsid w:val="00936307"/>
    <w:rsid w:val="0093778C"/>
    <w:rsid w:val="0094083A"/>
    <w:rsid w:val="00940ABC"/>
    <w:rsid w:val="00940EF6"/>
    <w:rsid w:val="009413D0"/>
    <w:rsid w:val="00941426"/>
    <w:rsid w:val="00942A79"/>
    <w:rsid w:val="00943C8C"/>
    <w:rsid w:val="00943E9E"/>
    <w:rsid w:val="009447E6"/>
    <w:rsid w:val="00944A96"/>
    <w:rsid w:val="00944DD3"/>
    <w:rsid w:val="00950429"/>
    <w:rsid w:val="009506CB"/>
    <w:rsid w:val="00953116"/>
    <w:rsid w:val="00953DE8"/>
    <w:rsid w:val="0095439D"/>
    <w:rsid w:val="009549A0"/>
    <w:rsid w:val="009574FF"/>
    <w:rsid w:val="009579A8"/>
    <w:rsid w:val="00957F67"/>
    <w:rsid w:val="0096034E"/>
    <w:rsid w:val="00960649"/>
    <w:rsid w:val="00960863"/>
    <w:rsid w:val="00960B35"/>
    <w:rsid w:val="00960BFE"/>
    <w:rsid w:val="0096129F"/>
    <w:rsid w:val="00961902"/>
    <w:rsid w:val="009620AE"/>
    <w:rsid w:val="00962257"/>
    <w:rsid w:val="00962D55"/>
    <w:rsid w:val="0096360D"/>
    <w:rsid w:val="00963F67"/>
    <w:rsid w:val="0096427B"/>
    <w:rsid w:val="0096579B"/>
    <w:rsid w:val="009662CD"/>
    <w:rsid w:val="00966933"/>
    <w:rsid w:val="00966D11"/>
    <w:rsid w:val="00966E90"/>
    <w:rsid w:val="00967D1B"/>
    <w:rsid w:val="0097029A"/>
    <w:rsid w:val="00971680"/>
    <w:rsid w:val="0097248F"/>
    <w:rsid w:val="009724E3"/>
    <w:rsid w:val="009734E5"/>
    <w:rsid w:val="00974038"/>
    <w:rsid w:val="00974127"/>
    <w:rsid w:val="00974380"/>
    <w:rsid w:val="00977136"/>
    <w:rsid w:val="009778EA"/>
    <w:rsid w:val="00977D13"/>
    <w:rsid w:val="00977EF3"/>
    <w:rsid w:val="0098021F"/>
    <w:rsid w:val="00981051"/>
    <w:rsid w:val="0098301E"/>
    <w:rsid w:val="009834B1"/>
    <w:rsid w:val="009837DB"/>
    <w:rsid w:val="00983ED8"/>
    <w:rsid w:val="00984488"/>
    <w:rsid w:val="00984BFF"/>
    <w:rsid w:val="00984F36"/>
    <w:rsid w:val="009850CC"/>
    <w:rsid w:val="00985BE6"/>
    <w:rsid w:val="00986C5C"/>
    <w:rsid w:val="00987088"/>
    <w:rsid w:val="009876E7"/>
    <w:rsid w:val="009904A3"/>
    <w:rsid w:val="0099086A"/>
    <w:rsid w:val="00990C93"/>
    <w:rsid w:val="00991750"/>
    <w:rsid w:val="00992E2B"/>
    <w:rsid w:val="00994589"/>
    <w:rsid w:val="00995D3F"/>
    <w:rsid w:val="0099749C"/>
    <w:rsid w:val="009A07C4"/>
    <w:rsid w:val="009A08AF"/>
    <w:rsid w:val="009A0DC4"/>
    <w:rsid w:val="009A1898"/>
    <w:rsid w:val="009A1BED"/>
    <w:rsid w:val="009A211B"/>
    <w:rsid w:val="009A23CD"/>
    <w:rsid w:val="009A2569"/>
    <w:rsid w:val="009A3684"/>
    <w:rsid w:val="009A44BC"/>
    <w:rsid w:val="009A52D9"/>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C0C"/>
    <w:rsid w:val="009B5C97"/>
    <w:rsid w:val="009B63F5"/>
    <w:rsid w:val="009B73FD"/>
    <w:rsid w:val="009B7443"/>
    <w:rsid w:val="009B7570"/>
    <w:rsid w:val="009B75CF"/>
    <w:rsid w:val="009B7FA7"/>
    <w:rsid w:val="009C02D2"/>
    <w:rsid w:val="009C10DF"/>
    <w:rsid w:val="009C162C"/>
    <w:rsid w:val="009C1C93"/>
    <w:rsid w:val="009C1E32"/>
    <w:rsid w:val="009C3086"/>
    <w:rsid w:val="009C4001"/>
    <w:rsid w:val="009C5628"/>
    <w:rsid w:val="009C5D84"/>
    <w:rsid w:val="009C5E7F"/>
    <w:rsid w:val="009C5E85"/>
    <w:rsid w:val="009C62F9"/>
    <w:rsid w:val="009C66E4"/>
    <w:rsid w:val="009C78B5"/>
    <w:rsid w:val="009D0EED"/>
    <w:rsid w:val="009D10FE"/>
    <w:rsid w:val="009D11A6"/>
    <w:rsid w:val="009D40D0"/>
    <w:rsid w:val="009D4807"/>
    <w:rsid w:val="009D4966"/>
    <w:rsid w:val="009D4B37"/>
    <w:rsid w:val="009D58C6"/>
    <w:rsid w:val="009D594E"/>
    <w:rsid w:val="009D743C"/>
    <w:rsid w:val="009D74AB"/>
    <w:rsid w:val="009E104E"/>
    <w:rsid w:val="009E14B4"/>
    <w:rsid w:val="009E17C1"/>
    <w:rsid w:val="009E196E"/>
    <w:rsid w:val="009E2932"/>
    <w:rsid w:val="009E44AC"/>
    <w:rsid w:val="009E4B27"/>
    <w:rsid w:val="009E55D9"/>
    <w:rsid w:val="009E55F6"/>
    <w:rsid w:val="009E6AF3"/>
    <w:rsid w:val="009E76CF"/>
    <w:rsid w:val="009F0534"/>
    <w:rsid w:val="009F095A"/>
    <w:rsid w:val="009F21FA"/>
    <w:rsid w:val="009F2552"/>
    <w:rsid w:val="009F266C"/>
    <w:rsid w:val="009F29CF"/>
    <w:rsid w:val="009F34E0"/>
    <w:rsid w:val="009F3C66"/>
    <w:rsid w:val="009F3E64"/>
    <w:rsid w:val="009F47A9"/>
    <w:rsid w:val="009F50FB"/>
    <w:rsid w:val="009F5A1B"/>
    <w:rsid w:val="009F5C9B"/>
    <w:rsid w:val="009F6AD3"/>
    <w:rsid w:val="009F6DB8"/>
    <w:rsid w:val="009F6FE8"/>
    <w:rsid w:val="009F7243"/>
    <w:rsid w:val="009F7F00"/>
    <w:rsid w:val="00A00387"/>
    <w:rsid w:val="00A00EED"/>
    <w:rsid w:val="00A01061"/>
    <w:rsid w:val="00A02134"/>
    <w:rsid w:val="00A03128"/>
    <w:rsid w:val="00A036E6"/>
    <w:rsid w:val="00A054C8"/>
    <w:rsid w:val="00A05C35"/>
    <w:rsid w:val="00A05C88"/>
    <w:rsid w:val="00A060E2"/>
    <w:rsid w:val="00A06ABB"/>
    <w:rsid w:val="00A0716B"/>
    <w:rsid w:val="00A07547"/>
    <w:rsid w:val="00A07684"/>
    <w:rsid w:val="00A07AFD"/>
    <w:rsid w:val="00A07BDB"/>
    <w:rsid w:val="00A10388"/>
    <w:rsid w:val="00A10A0E"/>
    <w:rsid w:val="00A10A35"/>
    <w:rsid w:val="00A118D9"/>
    <w:rsid w:val="00A11A63"/>
    <w:rsid w:val="00A11A6D"/>
    <w:rsid w:val="00A123B4"/>
    <w:rsid w:val="00A124A8"/>
    <w:rsid w:val="00A12B82"/>
    <w:rsid w:val="00A12E59"/>
    <w:rsid w:val="00A131B1"/>
    <w:rsid w:val="00A13577"/>
    <w:rsid w:val="00A139D1"/>
    <w:rsid w:val="00A13A3C"/>
    <w:rsid w:val="00A13E71"/>
    <w:rsid w:val="00A142BC"/>
    <w:rsid w:val="00A14797"/>
    <w:rsid w:val="00A1504E"/>
    <w:rsid w:val="00A15C12"/>
    <w:rsid w:val="00A15F0A"/>
    <w:rsid w:val="00A17352"/>
    <w:rsid w:val="00A209F7"/>
    <w:rsid w:val="00A220E4"/>
    <w:rsid w:val="00A22251"/>
    <w:rsid w:val="00A22961"/>
    <w:rsid w:val="00A2303A"/>
    <w:rsid w:val="00A23571"/>
    <w:rsid w:val="00A238C4"/>
    <w:rsid w:val="00A24BDF"/>
    <w:rsid w:val="00A25374"/>
    <w:rsid w:val="00A258E2"/>
    <w:rsid w:val="00A2602A"/>
    <w:rsid w:val="00A264A4"/>
    <w:rsid w:val="00A275F0"/>
    <w:rsid w:val="00A27791"/>
    <w:rsid w:val="00A3257B"/>
    <w:rsid w:val="00A3270A"/>
    <w:rsid w:val="00A33C45"/>
    <w:rsid w:val="00A3408F"/>
    <w:rsid w:val="00A3532E"/>
    <w:rsid w:val="00A359D7"/>
    <w:rsid w:val="00A3613D"/>
    <w:rsid w:val="00A3648B"/>
    <w:rsid w:val="00A36E34"/>
    <w:rsid w:val="00A373EB"/>
    <w:rsid w:val="00A3752B"/>
    <w:rsid w:val="00A37A92"/>
    <w:rsid w:val="00A40548"/>
    <w:rsid w:val="00A40942"/>
    <w:rsid w:val="00A41A93"/>
    <w:rsid w:val="00A421A7"/>
    <w:rsid w:val="00A424A5"/>
    <w:rsid w:val="00A4292D"/>
    <w:rsid w:val="00A431A9"/>
    <w:rsid w:val="00A434BE"/>
    <w:rsid w:val="00A436A7"/>
    <w:rsid w:val="00A44957"/>
    <w:rsid w:val="00A44DD3"/>
    <w:rsid w:val="00A456C6"/>
    <w:rsid w:val="00A458A5"/>
    <w:rsid w:val="00A458F0"/>
    <w:rsid w:val="00A46223"/>
    <w:rsid w:val="00A473A6"/>
    <w:rsid w:val="00A474A3"/>
    <w:rsid w:val="00A477B2"/>
    <w:rsid w:val="00A50A03"/>
    <w:rsid w:val="00A50D60"/>
    <w:rsid w:val="00A50E42"/>
    <w:rsid w:val="00A5186F"/>
    <w:rsid w:val="00A530C0"/>
    <w:rsid w:val="00A533DD"/>
    <w:rsid w:val="00A535EF"/>
    <w:rsid w:val="00A54073"/>
    <w:rsid w:val="00A54260"/>
    <w:rsid w:val="00A54322"/>
    <w:rsid w:val="00A54423"/>
    <w:rsid w:val="00A54D9E"/>
    <w:rsid w:val="00A54DCA"/>
    <w:rsid w:val="00A55586"/>
    <w:rsid w:val="00A55818"/>
    <w:rsid w:val="00A55880"/>
    <w:rsid w:val="00A55CA5"/>
    <w:rsid w:val="00A56BA1"/>
    <w:rsid w:val="00A571E5"/>
    <w:rsid w:val="00A57B65"/>
    <w:rsid w:val="00A57C17"/>
    <w:rsid w:val="00A57CFB"/>
    <w:rsid w:val="00A60598"/>
    <w:rsid w:val="00A6080D"/>
    <w:rsid w:val="00A60C06"/>
    <w:rsid w:val="00A61061"/>
    <w:rsid w:val="00A62C01"/>
    <w:rsid w:val="00A63C7F"/>
    <w:rsid w:val="00A65A53"/>
    <w:rsid w:val="00A65E61"/>
    <w:rsid w:val="00A665B0"/>
    <w:rsid w:val="00A6692E"/>
    <w:rsid w:val="00A66B73"/>
    <w:rsid w:val="00A66F52"/>
    <w:rsid w:val="00A66F54"/>
    <w:rsid w:val="00A705CE"/>
    <w:rsid w:val="00A70995"/>
    <w:rsid w:val="00A70E48"/>
    <w:rsid w:val="00A721D5"/>
    <w:rsid w:val="00A73F8C"/>
    <w:rsid w:val="00A74C6B"/>
    <w:rsid w:val="00A74CA8"/>
    <w:rsid w:val="00A75ED6"/>
    <w:rsid w:val="00A764EE"/>
    <w:rsid w:val="00A7651E"/>
    <w:rsid w:val="00A7663E"/>
    <w:rsid w:val="00A76A8C"/>
    <w:rsid w:val="00A776BC"/>
    <w:rsid w:val="00A77A65"/>
    <w:rsid w:val="00A77B0E"/>
    <w:rsid w:val="00A80493"/>
    <w:rsid w:val="00A80D97"/>
    <w:rsid w:val="00A81809"/>
    <w:rsid w:val="00A81878"/>
    <w:rsid w:val="00A81F14"/>
    <w:rsid w:val="00A8370E"/>
    <w:rsid w:val="00A83C08"/>
    <w:rsid w:val="00A84213"/>
    <w:rsid w:val="00A8492E"/>
    <w:rsid w:val="00A84E01"/>
    <w:rsid w:val="00A8511C"/>
    <w:rsid w:val="00A8574C"/>
    <w:rsid w:val="00A85B7F"/>
    <w:rsid w:val="00A85E42"/>
    <w:rsid w:val="00A86B37"/>
    <w:rsid w:val="00A874C4"/>
    <w:rsid w:val="00A87A21"/>
    <w:rsid w:val="00A908EE"/>
    <w:rsid w:val="00A91510"/>
    <w:rsid w:val="00A9291A"/>
    <w:rsid w:val="00A932C0"/>
    <w:rsid w:val="00A93E8C"/>
    <w:rsid w:val="00A94BF6"/>
    <w:rsid w:val="00A94CA2"/>
    <w:rsid w:val="00A94D08"/>
    <w:rsid w:val="00A95152"/>
    <w:rsid w:val="00A9543E"/>
    <w:rsid w:val="00A95BB9"/>
    <w:rsid w:val="00A95CFB"/>
    <w:rsid w:val="00A962D1"/>
    <w:rsid w:val="00A968C7"/>
    <w:rsid w:val="00A96BC1"/>
    <w:rsid w:val="00A9711F"/>
    <w:rsid w:val="00A9745D"/>
    <w:rsid w:val="00A97632"/>
    <w:rsid w:val="00AA0AA2"/>
    <w:rsid w:val="00AA209F"/>
    <w:rsid w:val="00AA22FA"/>
    <w:rsid w:val="00AA2CA4"/>
    <w:rsid w:val="00AA33B9"/>
    <w:rsid w:val="00AA37FF"/>
    <w:rsid w:val="00AA448A"/>
    <w:rsid w:val="00AA464B"/>
    <w:rsid w:val="00AA47FF"/>
    <w:rsid w:val="00AA488B"/>
    <w:rsid w:val="00AA57AC"/>
    <w:rsid w:val="00AA5CC2"/>
    <w:rsid w:val="00AA7F29"/>
    <w:rsid w:val="00AB0D64"/>
    <w:rsid w:val="00AB10FF"/>
    <w:rsid w:val="00AB139F"/>
    <w:rsid w:val="00AB3003"/>
    <w:rsid w:val="00AB425A"/>
    <w:rsid w:val="00AB4A94"/>
    <w:rsid w:val="00AB4F71"/>
    <w:rsid w:val="00AB5985"/>
    <w:rsid w:val="00AB5DEE"/>
    <w:rsid w:val="00AB626B"/>
    <w:rsid w:val="00AB6963"/>
    <w:rsid w:val="00AB6CE6"/>
    <w:rsid w:val="00AB755D"/>
    <w:rsid w:val="00AC01F0"/>
    <w:rsid w:val="00AC02A4"/>
    <w:rsid w:val="00AC14E1"/>
    <w:rsid w:val="00AC1913"/>
    <w:rsid w:val="00AC2DAE"/>
    <w:rsid w:val="00AC34EA"/>
    <w:rsid w:val="00AC42B0"/>
    <w:rsid w:val="00AC42B7"/>
    <w:rsid w:val="00AC49DB"/>
    <w:rsid w:val="00AC5C5C"/>
    <w:rsid w:val="00AC5FDC"/>
    <w:rsid w:val="00AC6474"/>
    <w:rsid w:val="00AC70AF"/>
    <w:rsid w:val="00AC78FF"/>
    <w:rsid w:val="00AC7B3F"/>
    <w:rsid w:val="00AC7CE1"/>
    <w:rsid w:val="00AD08E4"/>
    <w:rsid w:val="00AD11E1"/>
    <w:rsid w:val="00AD135B"/>
    <w:rsid w:val="00AD1437"/>
    <w:rsid w:val="00AD231E"/>
    <w:rsid w:val="00AD2541"/>
    <w:rsid w:val="00AD2AD4"/>
    <w:rsid w:val="00AD43C7"/>
    <w:rsid w:val="00AD4F19"/>
    <w:rsid w:val="00AD5464"/>
    <w:rsid w:val="00AD5A19"/>
    <w:rsid w:val="00AD5AD7"/>
    <w:rsid w:val="00AD64D3"/>
    <w:rsid w:val="00AD6AB1"/>
    <w:rsid w:val="00AD6D4B"/>
    <w:rsid w:val="00AD71F3"/>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4F03"/>
    <w:rsid w:val="00AE5197"/>
    <w:rsid w:val="00AE5BA9"/>
    <w:rsid w:val="00AE5CB3"/>
    <w:rsid w:val="00AE69AC"/>
    <w:rsid w:val="00AE70E3"/>
    <w:rsid w:val="00AE72F1"/>
    <w:rsid w:val="00AE7424"/>
    <w:rsid w:val="00AF127F"/>
    <w:rsid w:val="00AF1799"/>
    <w:rsid w:val="00AF1AD0"/>
    <w:rsid w:val="00AF1CB0"/>
    <w:rsid w:val="00AF306D"/>
    <w:rsid w:val="00AF38C6"/>
    <w:rsid w:val="00AF3B5D"/>
    <w:rsid w:val="00AF4007"/>
    <w:rsid w:val="00AF4746"/>
    <w:rsid w:val="00AF4A98"/>
    <w:rsid w:val="00AF5A7C"/>
    <w:rsid w:val="00AF78EC"/>
    <w:rsid w:val="00B001E1"/>
    <w:rsid w:val="00B00B0E"/>
    <w:rsid w:val="00B010CF"/>
    <w:rsid w:val="00B01949"/>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3A"/>
    <w:rsid w:val="00B079FF"/>
    <w:rsid w:val="00B12310"/>
    <w:rsid w:val="00B12EC5"/>
    <w:rsid w:val="00B13545"/>
    <w:rsid w:val="00B14528"/>
    <w:rsid w:val="00B147CC"/>
    <w:rsid w:val="00B148DB"/>
    <w:rsid w:val="00B158C8"/>
    <w:rsid w:val="00B15962"/>
    <w:rsid w:val="00B15A00"/>
    <w:rsid w:val="00B15C98"/>
    <w:rsid w:val="00B15F35"/>
    <w:rsid w:val="00B16069"/>
    <w:rsid w:val="00B16CF2"/>
    <w:rsid w:val="00B16FA4"/>
    <w:rsid w:val="00B20A72"/>
    <w:rsid w:val="00B214E2"/>
    <w:rsid w:val="00B2187A"/>
    <w:rsid w:val="00B219CC"/>
    <w:rsid w:val="00B21D4A"/>
    <w:rsid w:val="00B220D3"/>
    <w:rsid w:val="00B22CEC"/>
    <w:rsid w:val="00B23133"/>
    <w:rsid w:val="00B23740"/>
    <w:rsid w:val="00B23F69"/>
    <w:rsid w:val="00B24F09"/>
    <w:rsid w:val="00B26719"/>
    <w:rsid w:val="00B270E2"/>
    <w:rsid w:val="00B2737F"/>
    <w:rsid w:val="00B27DDD"/>
    <w:rsid w:val="00B30875"/>
    <w:rsid w:val="00B31AF5"/>
    <w:rsid w:val="00B31FD6"/>
    <w:rsid w:val="00B32323"/>
    <w:rsid w:val="00B328AB"/>
    <w:rsid w:val="00B33190"/>
    <w:rsid w:val="00B33615"/>
    <w:rsid w:val="00B33E5C"/>
    <w:rsid w:val="00B34008"/>
    <w:rsid w:val="00B34C66"/>
    <w:rsid w:val="00B35817"/>
    <w:rsid w:val="00B35A1C"/>
    <w:rsid w:val="00B35A36"/>
    <w:rsid w:val="00B365F6"/>
    <w:rsid w:val="00B371E5"/>
    <w:rsid w:val="00B378D5"/>
    <w:rsid w:val="00B40614"/>
    <w:rsid w:val="00B41592"/>
    <w:rsid w:val="00B4171E"/>
    <w:rsid w:val="00B41781"/>
    <w:rsid w:val="00B419D0"/>
    <w:rsid w:val="00B41C02"/>
    <w:rsid w:val="00B42851"/>
    <w:rsid w:val="00B43E80"/>
    <w:rsid w:val="00B45329"/>
    <w:rsid w:val="00B4585C"/>
    <w:rsid w:val="00B45D06"/>
    <w:rsid w:val="00B45DFF"/>
    <w:rsid w:val="00B46BCD"/>
    <w:rsid w:val="00B47467"/>
    <w:rsid w:val="00B47970"/>
    <w:rsid w:val="00B504AD"/>
    <w:rsid w:val="00B504B8"/>
    <w:rsid w:val="00B50E2B"/>
    <w:rsid w:val="00B51979"/>
    <w:rsid w:val="00B51BE0"/>
    <w:rsid w:val="00B51F7A"/>
    <w:rsid w:val="00B5270F"/>
    <w:rsid w:val="00B52AC5"/>
    <w:rsid w:val="00B532A0"/>
    <w:rsid w:val="00B55000"/>
    <w:rsid w:val="00B56411"/>
    <w:rsid w:val="00B56612"/>
    <w:rsid w:val="00B5767E"/>
    <w:rsid w:val="00B57FBD"/>
    <w:rsid w:val="00B6036B"/>
    <w:rsid w:val="00B60C81"/>
    <w:rsid w:val="00B60ED6"/>
    <w:rsid w:val="00B618B6"/>
    <w:rsid w:val="00B61B68"/>
    <w:rsid w:val="00B62FF8"/>
    <w:rsid w:val="00B63371"/>
    <w:rsid w:val="00B637A1"/>
    <w:rsid w:val="00B63B4B"/>
    <w:rsid w:val="00B63B54"/>
    <w:rsid w:val="00B63C47"/>
    <w:rsid w:val="00B63EE7"/>
    <w:rsid w:val="00B64518"/>
    <w:rsid w:val="00B647D8"/>
    <w:rsid w:val="00B64ED3"/>
    <w:rsid w:val="00B6569C"/>
    <w:rsid w:val="00B65AAE"/>
    <w:rsid w:val="00B66245"/>
    <w:rsid w:val="00B66EB2"/>
    <w:rsid w:val="00B67B47"/>
    <w:rsid w:val="00B67C79"/>
    <w:rsid w:val="00B7489E"/>
    <w:rsid w:val="00B75853"/>
    <w:rsid w:val="00B766C6"/>
    <w:rsid w:val="00B76F43"/>
    <w:rsid w:val="00B77015"/>
    <w:rsid w:val="00B775FF"/>
    <w:rsid w:val="00B77743"/>
    <w:rsid w:val="00B800D5"/>
    <w:rsid w:val="00B812A8"/>
    <w:rsid w:val="00B813A8"/>
    <w:rsid w:val="00B81A4D"/>
    <w:rsid w:val="00B81C2F"/>
    <w:rsid w:val="00B8219B"/>
    <w:rsid w:val="00B83572"/>
    <w:rsid w:val="00B8389D"/>
    <w:rsid w:val="00B838EB"/>
    <w:rsid w:val="00B83E4D"/>
    <w:rsid w:val="00B84517"/>
    <w:rsid w:val="00B84DBA"/>
    <w:rsid w:val="00B84E2A"/>
    <w:rsid w:val="00B85FC7"/>
    <w:rsid w:val="00B86CF8"/>
    <w:rsid w:val="00B86E92"/>
    <w:rsid w:val="00B86FB9"/>
    <w:rsid w:val="00B871A5"/>
    <w:rsid w:val="00B90041"/>
    <w:rsid w:val="00B90986"/>
    <w:rsid w:val="00B913F6"/>
    <w:rsid w:val="00B914CC"/>
    <w:rsid w:val="00B9160A"/>
    <w:rsid w:val="00B9169A"/>
    <w:rsid w:val="00B91E15"/>
    <w:rsid w:val="00B92132"/>
    <w:rsid w:val="00B92EB8"/>
    <w:rsid w:val="00B93419"/>
    <w:rsid w:val="00B93BAF"/>
    <w:rsid w:val="00B9404B"/>
    <w:rsid w:val="00B94179"/>
    <w:rsid w:val="00B9445F"/>
    <w:rsid w:val="00B954AD"/>
    <w:rsid w:val="00B9558A"/>
    <w:rsid w:val="00B9570C"/>
    <w:rsid w:val="00B95F30"/>
    <w:rsid w:val="00B962EC"/>
    <w:rsid w:val="00B96ACE"/>
    <w:rsid w:val="00B9770B"/>
    <w:rsid w:val="00B97B76"/>
    <w:rsid w:val="00B97ECB"/>
    <w:rsid w:val="00BA075B"/>
    <w:rsid w:val="00BA0B9A"/>
    <w:rsid w:val="00BA1621"/>
    <w:rsid w:val="00BA189B"/>
    <w:rsid w:val="00BA23FB"/>
    <w:rsid w:val="00BA2755"/>
    <w:rsid w:val="00BA361F"/>
    <w:rsid w:val="00BA3F0C"/>
    <w:rsid w:val="00BA4A55"/>
    <w:rsid w:val="00BA4D9B"/>
    <w:rsid w:val="00BA4E11"/>
    <w:rsid w:val="00BA7415"/>
    <w:rsid w:val="00BA7E18"/>
    <w:rsid w:val="00BB01CC"/>
    <w:rsid w:val="00BB0B37"/>
    <w:rsid w:val="00BB0CD7"/>
    <w:rsid w:val="00BB13C7"/>
    <w:rsid w:val="00BB199C"/>
    <w:rsid w:val="00BB2271"/>
    <w:rsid w:val="00BB22D8"/>
    <w:rsid w:val="00BB359F"/>
    <w:rsid w:val="00BB3C7D"/>
    <w:rsid w:val="00BB4EFA"/>
    <w:rsid w:val="00BB514E"/>
    <w:rsid w:val="00BB53DB"/>
    <w:rsid w:val="00BB5ECA"/>
    <w:rsid w:val="00BB69EC"/>
    <w:rsid w:val="00BB6E50"/>
    <w:rsid w:val="00BB6FDC"/>
    <w:rsid w:val="00BC1241"/>
    <w:rsid w:val="00BC1374"/>
    <w:rsid w:val="00BC14DA"/>
    <w:rsid w:val="00BC1747"/>
    <w:rsid w:val="00BC2570"/>
    <w:rsid w:val="00BC2920"/>
    <w:rsid w:val="00BC339C"/>
    <w:rsid w:val="00BC4EDD"/>
    <w:rsid w:val="00BC4FD0"/>
    <w:rsid w:val="00BC5AE0"/>
    <w:rsid w:val="00BC6531"/>
    <w:rsid w:val="00BC669B"/>
    <w:rsid w:val="00BC715C"/>
    <w:rsid w:val="00BC7F4F"/>
    <w:rsid w:val="00BD01A1"/>
    <w:rsid w:val="00BD1440"/>
    <w:rsid w:val="00BD172F"/>
    <w:rsid w:val="00BD1C4C"/>
    <w:rsid w:val="00BD2E22"/>
    <w:rsid w:val="00BD3C3A"/>
    <w:rsid w:val="00BD3C93"/>
    <w:rsid w:val="00BD410B"/>
    <w:rsid w:val="00BD4FEC"/>
    <w:rsid w:val="00BD5456"/>
    <w:rsid w:val="00BD5B35"/>
    <w:rsid w:val="00BD5C8D"/>
    <w:rsid w:val="00BD6486"/>
    <w:rsid w:val="00BD7AB1"/>
    <w:rsid w:val="00BD7AF2"/>
    <w:rsid w:val="00BD7EE7"/>
    <w:rsid w:val="00BE118A"/>
    <w:rsid w:val="00BE151A"/>
    <w:rsid w:val="00BE1658"/>
    <w:rsid w:val="00BE3064"/>
    <w:rsid w:val="00BE3771"/>
    <w:rsid w:val="00BE48E3"/>
    <w:rsid w:val="00BE52EB"/>
    <w:rsid w:val="00BE5FCF"/>
    <w:rsid w:val="00BE5FD0"/>
    <w:rsid w:val="00BE62DE"/>
    <w:rsid w:val="00BE63C7"/>
    <w:rsid w:val="00BE6DAC"/>
    <w:rsid w:val="00BE6F03"/>
    <w:rsid w:val="00BE742A"/>
    <w:rsid w:val="00BE7512"/>
    <w:rsid w:val="00BF051E"/>
    <w:rsid w:val="00BF0E4D"/>
    <w:rsid w:val="00BF0F88"/>
    <w:rsid w:val="00BF3CB8"/>
    <w:rsid w:val="00BF3D48"/>
    <w:rsid w:val="00BF501B"/>
    <w:rsid w:val="00BF58D5"/>
    <w:rsid w:val="00BF612A"/>
    <w:rsid w:val="00BF682D"/>
    <w:rsid w:val="00BF703F"/>
    <w:rsid w:val="00BF7113"/>
    <w:rsid w:val="00BF746B"/>
    <w:rsid w:val="00C01291"/>
    <w:rsid w:val="00C01B17"/>
    <w:rsid w:val="00C026B8"/>
    <w:rsid w:val="00C02DC8"/>
    <w:rsid w:val="00C04D55"/>
    <w:rsid w:val="00C0506F"/>
    <w:rsid w:val="00C052A6"/>
    <w:rsid w:val="00C05302"/>
    <w:rsid w:val="00C0550A"/>
    <w:rsid w:val="00C062CA"/>
    <w:rsid w:val="00C069D4"/>
    <w:rsid w:val="00C072AB"/>
    <w:rsid w:val="00C076CA"/>
    <w:rsid w:val="00C07B75"/>
    <w:rsid w:val="00C100FB"/>
    <w:rsid w:val="00C11BB1"/>
    <w:rsid w:val="00C11F5A"/>
    <w:rsid w:val="00C127DA"/>
    <w:rsid w:val="00C12862"/>
    <w:rsid w:val="00C12CE5"/>
    <w:rsid w:val="00C14752"/>
    <w:rsid w:val="00C1610A"/>
    <w:rsid w:val="00C16801"/>
    <w:rsid w:val="00C172DC"/>
    <w:rsid w:val="00C17978"/>
    <w:rsid w:val="00C17B3E"/>
    <w:rsid w:val="00C21485"/>
    <w:rsid w:val="00C21D7C"/>
    <w:rsid w:val="00C21DEC"/>
    <w:rsid w:val="00C221B9"/>
    <w:rsid w:val="00C222A1"/>
    <w:rsid w:val="00C225D2"/>
    <w:rsid w:val="00C22709"/>
    <w:rsid w:val="00C22ECA"/>
    <w:rsid w:val="00C232FE"/>
    <w:rsid w:val="00C233FF"/>
    <w:rsid w:val="00C23C1D"/>
    <w:rsid w:val="00C24060"/>
    <w:rsid w:val="00C241B1"/>
    <w:rsid w:val="00C24897"/>
    <w:rsid w:val="00C25432"/>
    <w:rsid w:val="00C260E5"/>
    <w:rsid w:val="00C30340"/>
    <w:rsid w:val="00C30D83"/>
    <w:rsid w:val="00C313DD"/>
    <w:rsid w:val="00C31AF4"/>
    <w:rsid w:val="00C32C5F"/>
    <w:rsid w:val="00C3352B"/>
    <w:rsid w:val="00C33A00"/>
    <w:rsid w:val="00C344C9"/>
    <w:rsid w:val="00C35BB3"/>
    <w:rsid w:val="00C35D19"/>
    <w:rsid w:val="00C365BC"/>
    <w:rsid w:val="00C36771"/>
    <w:rsid w:val="00C37227"/>
    <w:rsid w:val="00C374DB"/>
    <w:rsid w:val="00C37CC0"/>
    <w:rsid w:val="00C37DE8"/>
    <w:rsid w:val="00C40047"/>
    <w:rsid w:val="00C40520"/>
    <w:rsid w:val="00C40A4A"/>
    <w:rsid w:val="00C40BE7"/>
    <w:rsid w:val="00C40C8C"/>
    <w:rsid w:val="00C411DE"/>
    <w:rsid w:val="00C41365"/>
    <w:rsid w:val="00C42819"/>
    <w:rsid w:val="00C43CD8"/>
    <w:rsid w:val="00C440BC"/>
    <w:rsid w:val="00C44417"/>
    <w:rsid w:val="00C4554C"/>
    <w:rsid w:val="00C47132"/>
    <w:rsid w:val="00C47D6C"/>
    <w:rsid w:val="00C50AC0"/>
    <w:rsid w:val="00C50B0E"/>
    <w:rsid w:val="00C50FA9"/>
    <w:rsid w:val="00C516B5"/>
    <w:rsid w:val="00C51E67"/>
    <w:rsid w:val="00C52368"/>
    <w:rsid w:val="00C52786"/>
    <w:rsid w:val="00C53A92"/>
    <w:rsid w:val="00C53E01"/>
    <w:rsid w:val="00C53F26"/>
    <w:rsid w:val="00C548D0"/>
    <w:rsid w:val="00C54A35"/>
    <w:rsid w:val="00C55B70"/>
    <w:rsid w:val="00C55BBF"/>
    <w:rsid w:val="00C55D94"/>
    <w:rsid w:val="00C566E1"/>
    <w:rsid w:val="00C569E2"/>
    <w:rsid w:val="00C56CA0"/>
    <w:rsid w:val="00C56D96"/>
    <w:rsid w:val="00C56DF9"/>
    <w:rsid w:val="00C56EAB"/>
    <w:rsid w:val="00C60857"/>
    <w:rsid w:val="00C60A3A"/>
    <w:rsid w:val="00C60D93"/>
    <w:rsid w:val="00C61149"/>
    <w:rsid w:val="00C615C6"/>
    <w:rsid w:val="00C61BA1"/>
    <w:rsid w:val="00C62E46"/>
    <w:rsid w:val="00C635A8"/>
    <w:rsid w:val="00C63824"/>
    <w:rsid w:val="00C63BD1"/>
    <w:rsid w:val="00C64174"/>
    <w:rsid w:val="00C64DE4"/>
    <w:rsid w:val="00C65670"/>
    <w:rsid w:val="00C6642D"/>
    <w:rsid w:val="00C66730"/>
    <w:rsid w:val="00C6692D"/>
    <w:rsid w:val="00C70845"/>
    <w:rsid w:val="00C70E55"/>
    <w:rsid w:val="00C71194"/>
    <w:rsid w:val="00C7191E"/>
    <w:rsid w:val="00C71B13"/>
    <w:rsid w:val="00C71C59"/>
    <w:rsid w:val="00C71DCD"/>
    <w:rsid w:val="00C727A8"/>
    <w:rsid w:val="00C72869"/>
    <w:rsid w:val="00C733C8"/>
    <w:rsid w:val="00C74CDD"/>
    <w:rsid w:val="00C7565E"/>
    <w:rsid w:val="00C7683D"/>
    <w:rsid w:val="00C76A58"/>
    <w:rsid w:val="00C775AB"/>
    <w:rsid w:val="00C803EF"/>
    <w:rsid w:val="00C8042C"/>
    <w:rsid w:val="00C80CC5"/>
    <w:rsid w:val="00C81211"/>
    <w:rsid w:val="00C812B0"/>
    <w:rsid w:val="00C81D1F"/>
    <w:rsid w:val="00C82065"/>
    <w:rsid w:val="00C82112"/>
    <w:rsid w:val="00C822BD"/>
    <w:rsid w:val="00C827A6"/>
    <w:rsid w:val="00C83A7C"/>
    <w:rsid w:val="00C848B4"/>
    <w:rsid w:val="00C8560D"/>
    <w:rsid w:val="00C87E83"/>
    <w:rsid w:val="00C87F79"/>
    <w:rsid w:val="00C9194B"/>
    <w:rsid w:val="00C91AB0"/>
    <w:rsid w:val="00C92003"/>
    <w:rsid w:val="00C92234"/>
    <w:rsid w:val="00C925B7"/>
    <w:rsid w:val="00C92B63"/>
    <w:rsid w:val="00C93A12"/>
    <w:rsid w:val="00C95253"/>
    <w:rsid w:val="00C958D4"/>
    <w:rsid w:val="00C95CBF"/>
    <w:rsid w:val="00C9667F"/>
    <w:rsid w:val="00C96A81"/>
    <w:rsid w:val="00C96B34"/>
    <w:rsid w:val="00C96B5F"/>
    <w:rsid w:val="00C96D9A"/>
    <w:rsid w:val="00C976DA"/>
    <w:rsid w:val="00CA0275"/>
    <w:rsid w:val="00CA027C"/>
    <w:rsid w:val="00CA17FD"/>
    <w:rsid w:val="00CA2A04"/>
    <w:rsid w:val="00CA2A25"/>
    <w:rsid w:val="00CA2C99"/>
    <w:rsid w:val="00CA2D15"/>
    <w:rsid w:val="00CA30DC"/>
    <w:rsid w:val="00CA3169"/>
    <w:rsid w:val="00CA3500"/>
    <w:rsid w:val="00CA406A"/>
    <w:rsid w:val="00CA47CB"/>
    <w:rsid w:val="00CA4C2B"/>
    <w:rsid w:val="00CA52CF"/>
    <w:rsid w:val="00CA531E"/>
    <w:rsid w:val="00CA5B2A"/>
    <w:rsid w:val="00CA6263"/>
    <w:rsid w:val="00CA6426"/>
    <w:rsid w:val="00CA6865"/>
    <w:rsid w:val="00CA6BB7"/>
    <w:rsid w:val="00CA70FA"/>
    <w:rsid w:val="00CA74B7"/>
    <w:rsid w:val="00CA780C"/>
    <w:rsid w:val="00CB0621"/>
    <w:rsid w:val="00CB078E"/>
    <w:rsid w:val="00CB087E"/>
    <w:rsid w:val="00CB257F"/>
    <w:rsid w:val="00CB294E"/>
    <w:rsid w:val="00CB2FA9"/>
    <w:rsid w:val="00CB3B18"/>
    <w:rsid w:val="00CB462C"/>
    <w:rsid w:val="00CB564E"/>
    <w:rsid w:val="00CB5B1A"/>
    <w:rsid w:val="00CB69D6"/>
    <w:rsid w:val="00CB7689"/>
    <w:rsid w:val="00CC12BC"/>
    <w:rsid w:val="00CC1C86"/>
    <w:rsid w:val="00CC260D"/>
    <w:rsid w:val="00CC2619"/>
    <w:rsid w:val="00CC2A09"/>
    <w:rsid w:val="00CC33E0"/>
    <w:rsid w:val="00CC3504"/>
    <w:rsid w:val="00CC3ADA"/>
    <w:rsid w:val="00CC42A4"/>
    <w:rsid w:val="00CC44D6"/>
    <w:rsid w:val="00CC4AF5"/>
    <w:rsid w:val="00CC4E66"/>
    <w:rsid w:val="00CC52F5"/>
    <w:rsid w:val="00CC5791"/>
    <w:rsid w:val="00CC64E0"/>
    <w:rsid w:val="00CC6A8E"/>
    <w:rsid w:val="00CC6BC9"/>
    <w:rsid w:val="00CC73BE"/>
    <w:rsid w:val="00CD049D"/>
    <w:rsid w:val="00CD068B"/>
    <w:rsid w:val="00CD1177"/>
    <w:rsid w:val="00CD1B21"/>
    <w:rsid w:val="00CD2948"/>
    <w:rsid w:val="00CD2964"/>
    <w:rsid w:val="00CD2BB5"/>
    <w:rsid w:val="00CD40A2"/>
    <w:rsid w:val="00CD412F"/>
    <w:rsid w:val="00CD4146"/>
    <w:rsid w:val="00CD5F84"/>
    <w:rsid w:val="00CD65BA"/>
    <w:rsid w:val="00CD6F63"/>
    <w:rsid w:val="00CD7324"/>
    <w:rsid w:val="00CD75F2"/>
    <w:rsid w:val="00CD75FB"/>
    <w:rsid w:val="00CE07D1"/>
    <w:rsid w:val="00CE0E68"/>
    <w:rsid w:val="00CE1022"/>
    <w:rsid w:val="00CE1453"/>
    <w:rsid w:val="00CE2184"/>
    <w:rsid w:val="00CE22F2"/>
    <w:rsid w:val="00CE284B"/>
    <w:rsid w:val="00CE2C06"/>
    <w:rsid w:val="00CE347E"/>
    <w:rsid w:val="00CE4491"/>
    <w:rsid w:val="00CE4B31"/>
    <w:rsid w:val="00CE4D00"/>
    <w:rsid w:val="00CE4E0D"/>
    <w:rsid w:val="00CE4E66"/>
    <w:rsid w:val="00CE4FF8"/>
    <w:rsid w:val="00CE55D5"/>
    <w:rsid w:val="00CE5614"/>
    <w:rsid w:val="00CE59AE"/>
    <w:rsid w:val="00CE5DBC"/>
    <w:rsid w:val="00CE6155"/>
    <w:rsid w:val="00CE62A9"/>
    <w:rsid w:val="00CE6C52"/>
    <w:rsid w:val="00CE72C4"/>
    <w:rsid w:val="00CE7A79"/>
    <w:rsid w:val="00CF1342"/>
    <w:rsid w:val="00CF1E64"/>
    <w:rsid w:val="00CF2779"/>
    <w:rsid w:val="00CF38BC"/>
    <w:rsid w:val="00CF3A42"/>
    <w:rsid w:val="00CF4495"/>
    <w:rsid w:val="00CF4741"/>
    <w:rsid w:val="00CF522D"/>
    <w:rsid w:val="00CF65A1"/>
    <w:rsid w:val="00CF6DDD"/>
    <w:rsid w:val="00CF7668"/>
    <w:rsid w:val="00CF7CBD"/>
    <w:rsid w:val="00D000CB"/>
    <w:rsid w:val="00D014E4"/>
    <w:rsid w:val="00D0377A"/>
    <w:rsid w:val="00D03E5F"/>
    <w:rsid w:val="00D04243"/>
    <w:rsid w:val="00D045EB"/>
    <w:rsid w:val="00D049FB"/>
    <w:rsid w:val="00D04EA5"/>
    <w:rsid w:val="00D05157"/>
    <w:rsid w:val="00D05611"/>
    <w:rsid w:val="00D059C5"/>
    <w:rsid w:val="00D05C23"/>
    <w:rsid w:val="00D063EB"/>
    <w:rsid w:val="00D06CCE"/>
    <w:rsid w:val="00D07A3B"/>
    <w:rsid w:val="00D07CF7"/>
    <w:rsid w:val="00D07D5F"/>
    <w:rsid w:val="00D1056D"/>
    <w:rsid w:val="00D10BD9"/>
    <w:rsid w:val="00D115BA"/>
    <w:rsid w:val="00D11ABF"/>
    <w:rsid w:val="00D11D80"/>
    <w:rsid w:val="00D12771"/>
    <w:rsid w:val="00D1340B"/>
    <w:rsid w:val="00D134D3"/>
    <w:rsid w:val="00D135DC"/>
    <w:rsid w:val="00D14062"/>
    <w:rsid w:val="00D14876"/>
    <w:rsid w:val="00D14986"/>
    <w:rsid w:val="00D15321"/>
    <w:rsid w:val="00D160BB"/>
    <w:rsid w:val="00D168B6"/>
    <w:rsid w:val="00D169E5"/>
    <w:rsid w:val="00D2036F"/>
    <w:rsid w:val="00D21154"/>
    <w:rsid w:val="00D21E79"/>
    <w:rsid w:val="00D220D1"/>
    <w:rsid w:val="00D237B1"/>
    <w:rsid w:val="00D2543A"/>
    <w:rsid w:val="00D2599A"/>
    <w:rsid w:val="00D266B5"/>
    <w:rsid w:val="00D26C6F"/>
    <w:rsid w:val="00D26F50"/>
    <w:rsid w:val="00D274D9"/>
    <w:rsid w:val="00D27978"/>
    <w:rsid w:val="00D31932"/>
    <w:rsid w:val="00D31B6B"/>
    <w:rsid w:val="00D327B2"/>
    <w:rsid w:val="00D328FA"/>
    <w:rsid w:val="00D3527C"/>
    <w:rsid w:val="00D355A5"/>
    <w:rsid w:val="00D36EA6"/>
    <w:rsid w:val="00D37A3D"/>
    <w:rsid w:val="00D37FFE"/>
    <w:rsid w:val="00D40B6B"/>
    <w:rsid w:val="00D40F17"/>
    <w:rsid w:val="00D4143D"/>
    <w:rsid w:val="00D42CED"/>
    <w:rsid w:val="00D42FB0"/>
    <w:rsid w:val="00D43396"/>
    <w:rsid w:val="00D43403"/>
    <w:rsid w:val="00D4365D"/>
    <w:rsid w:val="00D43ECE"/>
    <w:rsid w:val="00D445CE"/>
    <w:rsid w:val="00D447C6"/>
    <w:rsid w:val="00D474F9"/>
    <w:rsid w:val="00D4773F"/>
    <w:rsid w:val="00D47A26"/>
    <w:rsid w:val="00D47E23"/>
    <w:rsid w:val="00D505B9"/>
    <w:rsid w:val="00D50A53"/>
    <w:rsid w:val="00D51BF3"/>
    <w:rsid w:val="00D51E7F"/>
    <w:rsid w:val="00D530FE"/>
    <w:rsid w:val="00D53AF2"/>
    <w:rsid w:val="00D54593"/>
    <w:rsid w:val="00D5694F"/>
    <w:rsid w:val="00D56A62"/>
    <w:rsid w:val="00D56BBF"/>
    <w:rsid w:val="00D5751F"/>
    <w:rsid w:val="00D575A9"/>
    <w:rsid w:val="00D57793"/>
    <w:rsid w:val="00D5799B"/>
    <w:rsid w:val="00D6052F"/>
    <w:rsid w:val="00D61068"/>
    <w:rsid w:val="00D622EB"/>
    <w:rsid w:val="00D62CC5"/>
    <w:rsid w:val="00D63537"/>
    <w:rsid w:val="00D64073"/>
    <w:rsid w:val="00D641B6"/>
    <w:rsid w:val="00D645C9"/>
    <w:rsid w:val="00D6526B"/>
    <w:rsid w:val="00D65CC9"/>
    <w:rsid w:val="00D65EFF"/>
    <w:rsid w:val="00D66FEC"/>
    <w:rsid w:val="00D705EC"/>
    <w:rsid w:val="00D70F17"/>
    <w:rsid w:val="00D716E8"/>
    <w:rsid w:val="00D7171B"/>
    <w:rsid w:val="00D71E2C"/>
    <w:rsid w:val="00D71EE3"/>
    <w:rsid w:val="00D72D03"/>
    <w:rsid w:val="00D7333E"/>
    <w:rsid w:val="00D73FC2"/>
    <w:rsid w:val="00D74397"/>
    <w:rsid w:val="00D74415"/>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161"/>
    <w:rsid w:val="00D84272"/>
    <w:rsid w:val="00D85783"/>
    <w:rsid w:val="00D85BC0"/>
    <w:rsid w:val="00D861C5"/>
    <w:rsid w:val="00D8622A"/>
    <w:rsid w:val="00D86941"/>
    <w:rsid w:val="00D8706D"/>
    <w:rsid w:val="00D871F1"/>
    <w:rsid w:val="00D874EC"/>
    <w:rsid w:val="00D87B34"/>
    <w:rsid w:val="00D87B61"/>
    <w:rsid w:val="00D87CA3"/>
    <w:rsid w:val="00D937FC"/>
    <w:rsid w:val="00D93A69"/>
    <w:rsid w:val="00D95278"/>
    <w:rsid w:val="00D9570C"/>
    <w:rsid w:val="00D97389"/>
    <w:rsid w:val="00DA0337"/>
    <w:rsid w:val="00DA07F9"/>
    <w:rsid w:val="00DA2146"/>
    <w:rsid w:val="00DA29D8"/>
    <w:rsid w:val="00DA393D"/>
    <w:rsid w:val="00DA4E59"/>
    <w:rsid w:val="00DA5BBC"/>
    <w:rsid w:val="00DA5C11"/>
    <w:rsid w:val="00DA5E04"/>
    <w:rsid w:val="00DA6737"/>
    <w:rsid w:val="00DA7BF2"/>
    <w:rsid w:val="00DB2DF5"/>
    <w:rsid w:val="00DB3145"/>
    <w:rsid w:val="00DB4977"/>
    <w:rsid w:val="00DB4B1F"/>
    <w:rsid w:val="00DB5E33"/>
    <w:rsid w:val="00DB6523"/>
    <w:rsid w:val="00DC0FA6"/>
    <w:rsid w:val="00DC130C"/>
    <w:rsid w:val="00DC1641"/>
    <w:rsid w:val="00DC2292"/>
    <w:rsid w:val="00DC459C"/>
    <w:rsid w:val="00DC4992"/>
    <w:rsid w:val="00DC4BB8"/>
    <w:rsid w:val="00DC508E"/>
    <w:rsid w:val="00DC5487"/>
    <w:rsid w:val="00DC5DC9"/>
    <w:rsid w:val="00DC6B2C"/>
    <w:rsid w:val="00DC714C"/>
    <w:rsid w:val="00DC79ED"/>
    <w:rsid w:val="00DC7F60"/>
    <w:rsid w:val="00DC7F96"/>
    <w:rsid w:val="00DD0342"/>
    <w:rsid w:val="00DD119F"/>
    <w:rsid w:val="00DD2F7B"/>
    <w:rsid w:val="00DD3254"/>
    <w:rsid w:val="00DD4A2C"/>
    <w:rsid w:val="00DD4C42"/>
    <w:rsid w:val="00DD6A4B"/>
    <w:rsid w:val="00DD6A85"/>
    <w:rsid w:val="00DD6E24"/>
    <w:rsid w:val="00DE04FA"/>
    <w:rsid w:val="00DE06B5"/>
    <w:rsid w:val="00DE0C23"/>
    <w:rsid w:val="00DE0DEE"/>
    <w:rsid w:val="00DE1203"/>
    <w:rsid w:val="00DE14A2"/>
    <w:rsid w:val="00DE23C8"/>
    <w:rsid w:val="00DE25AF"/>
    <w:rsid w:val="00DE29BA"/>
    <w:rsid w:val="00DE2E79"/>
    <w:rsid w:val="00DE31BD"/>
    <w:rsid w:val="00DE34B7"/>
    <w:rsid w:val="00DE38F1"/>
    <w:rsid w:val="00DE3939"/>
    <w:rsid w:val="00DE3ACF"/>
    <w:rsid w:val="00DE418C"/>
    <w:rsid w:val="00DE5060"/>
    <w:rsid w:val="00DE52B0"/>
    <w:rsid w:val="00DE588D"/>
    <w:rsid w:val="00DE74B8"/>
    <w:rsid w:val="00DE7BE0"/>
    <w:rsid w:val="00DF10F2"/>
    <w:rsid w:val="00DF1623"/>
    <w:rsid w:val="00DF16CC"/>
    <w:rsid w:val="00DF2D3E"/>
    <w:rsid w:val="00DF2D9E"/>
    <w:rsid w:val="00DF366C"/>
    <w:rsid w:val="00DF36FD"/>
    <w:rsid w:val="00DF3A8E"/>
    <w:rsid w:val="00DF3BB9"/>
    <w:rsid w:val="00DF3F89"/>
    <w:rsid w:val="00DF4216"/>
    <w:rsid w:val="00DF46C4"/>
    <w:rsid w:val="00DF4E88"/>
    <w:rsid w:val="00DF6A92"/>
    <w:rsid w:val="00DF7C6A"/>
    <w:rsid w:val="00E00CB3"/>
    <w:rsid w:val="00E025F8"/>
    <w:rsid w:val="00E027FF"/>
    <w:rsid w:val="00E038C5"/>
    <w:rsid w:val="00E03E3B"/>
    <w:rsid w:val="00E042FC"/>
    <w:rsid w:val="00E04589"/>
    <w:rsid w:val="00E04CA8"/>
    <w:rsid w:val="00E04D05"/>
    <w:rsid w:val="00E05480"/>
    <w:rsid w:val="00E060DE"/>
    <w:rsid w:val="00E065FF"/>
    <w:rsid w:val="00E06B38"/>
    <w:rsid w:val="00E07340"/>
    <w:rsid w:val="00E0747D"/>
    <w:rsid w:val="00E078BB"/>
    <w:rsid w:val="00E102DF"/>
    <w:rsid w:val="00E11498"/>
    <w:rsid w:val="00E116FB"/>
    <w:rsid w:val="00E11BC0"/>
    <w:rsid w:val="00E128D8"/>
    <w:rsid w:val="00E12C42"/>
    <w:rsid w:val="00E132D9"/>
    <w:rsid w:val="00E155A9"/>
    <w:rsid w:val="00E15E54"/>
    <w:rsid w:val="00E165B5"/>
    <w:rsid w:val="00E1688A"/>
    <w:rsid w:val="00E170B3"/>
    <w:rsid w:val="00E1728C"/>
    <w:rsid w:val="00E17A0A"/>
    <w:rsid w:val="00E17ED6"/>
    <w:rsid w:val="00E20CE5"/>
    <w:rsid w:val="00E20EEF"/>
    <w:rsid w:val="00E2102F"/>
    <w:rsid w:val="00E21631"/>
    <w:rsid w:val="00E219DF"/>
    <w:rsid w:val="00E21D75"/>
    <w:rsid w:val="00E227DA"/>
    <w:rsid w:val="00E232AF"/>
    <w:rsid w:val="00E232B1"/>
    <w:rsid w:val="00E232BB"/>
    <w:rsid w:val="00E2333B"/>
    <w:rsid w:val="00E24145"/>
    <w:rsid w:val="00E24353"/>
    <w:rsid w:val="00E248AC"/>
    <w:rsid w:val="00E25107"/>
    <w:rsid w:val="00E251ED"/>
    <w:rsid w:val="00E25B33"/>
    <w:rsid w:val="00E26053"/>
    <w:rsid w:val="00E2670F"/>
    <w:rsid w:val="00E26758"/>
    <w:rsid w:val="00E27F81"/>
    <w:rsid w:val="00E300E3"/>
    <w:rsid w:val="00E30D9B"/>
    <w:rsid w:val="00E3128A"/>
    <w:rsid w:val="00E321B4"/>
    <w:rsid w:val="00E324C1"/>
    <w:rsid w:val="00E328DF"/>
    <w:rsid w:val="00E32AD7"/>
    <w:rsid w:val="00E33D3B"/>
    <w:rsid w:val="00E351B9"/>
    <w:rsid w:val="00E3560E"/>
    <w:rsid w:val="00E37140"/>
    <w:rsid w:val="00E37193"/>
    <w:rsid w:val="00E37CBC"/>
    <w:rsid w:val="00E37CC1"/>
    <w:rsid w:val="00E409C1"/>
    <w:rsid w:val="00E40F5E"/>
    <w:rsid w:val="00E415E8"/>
    <w:rsid w:val="00E416FC"/>
    <w:rsid w:val="00E42214"/>
    <w:rsid w:val="00E422FF"/>
    <w:rsid w:val="00E42576"/>
    <w:rsid w:val="00E42848"/>
    <w:rsid w:val="00E42CF8"/>
    <w:rsid w:val="00E432AF"/>
    <w:rsid w:val="00E44494"/>
    <w:rsid w:val="00E44920"/>
    <w:rsid w:val="00E45B37"/>
    <w:rsid w:val="00E45E54"/>
    <w:rsid w:val="00E4669C"/>
    <w:rsid w:val="00E46FDA"/>
    <w:rsid w:val="00E47078"/>
    <w:rsid w:val="00E47A1E"/>
    <w:rsid w:val="00E50262"/>
    <w:rsid w:val="00E50712"/>
    <w:rsid w:val="00E5113B"/>
    <w:rsid w:val="00E51F1C"/>
    <w:rsid w:val="00E525AB"/>
    <w:rsid w:val="00E52FA6"/>
    <w:rsid w:val="00E544F8"/>
    <w:rsid w:val="00E54DE0"/>
    <w:rsid w:val="00E5505C"/>
    <w:rsid w:val="00E553A5"/>
    <w:rsid w:val="00E55613"/>
    <w:rsid w:val="00E564EB"/>
    <w:rsid w:val="00E570AC"/>
    <w:rsid w:val="00E57444"/>
    <w:rsid w:val="00E57E79"/>
    <w:rsid w:val="00E57EEC"/>
    <w:rsid w:val="00E601E9"/>
    <w:rsid w:val="00E60294"/>
    <w:rsid w:val="00E606C4"/>
    <w:rsid w:val="00E6090F"/>
    <w:rsid w:val="00E60AF7"/>
    <w:rsid w:val="00E615DE"/>
    <w:rsid w:val="00E61D87"/>
    <w:rsid w:val="00E62D84"/>
    <w:rsid w:val="00E63C7B"/>
    <w:rsid w:val="00E64099"/>
    <w:rsid w:val="00E64120"/>
    <w:rsid w:val="00E65C68"/>
    <w:rsid w:val="00E65F02"/>
    <w:rsid w:val="00E66BEB"/>
    <w:rsid w:val="00E7006B"/>
    <w:rsid w:val="00E700D9"/>
    <w:rsid w:val="00E70C63"/>
    <w:rsid w:val="00E71B45"/>
    <w:rsid w:val="00E720E2"/>
    <w:rsid w:val="00E722BB"/>
    <w:rsid w:val="00E72680"/>
    <w:rsid w:val="00E72B34"/>
    <w:rsid w:val="00E736CD"/>
    <w:rsid w:val="00E7391A"/>
    <w:rsid w:val="00E745B7"/>
    <w:rsid w:val="00E750EC"/>
    <w:rsid w:val="00E75A44"/>
    <w:rsid w:val="00E76018"/>
    <w:rsid w:val="00E768C2"/>
    <w:rsid w:val="00E76921"/>
    <w:rsid w:val="00E77470"/>
    <w:rsid w:val="00E8232A"/>
    <w:rsid w:val="00E82938"/>
    <w:rsid w:val="00E844D0"/>
    <w:rsid w:val="00E848C1"/>
    <w:rsid w:val="00E84DA3"/>
    <w:rsid w:val="00E85EF5"/>
    <w:rsid w:val="00E85F04"/>
    <w:rsid w:val="00E86C0D"/>
    <w:rsid w:val="00E86DF1"/>
    <w:rsid w:val="00E871B1"/>
    <w:rsid w:val="00E8740C"/>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4E86"/>
    <w:rsid w:val="00E956DA"/>
    <w:rsid w:val="00E95AC3"/>
    <w:rsid w:val="00E95CD4"/>
    <w:rsid w:val="00E96B47"/>
    <w:rsid w:val="00E9791F"/>
    <w:rsid w:val="00E97B6F"/>
    <w:rsid w:val="00E97DDD"/>
    <w:rsid w:val="00EA01FF"/>
    <w:rsid w:val="00EA0A9F"/>
    <w:rsid w:val="00EA1022"/>
    <w:rsid w:val="00EA104A"/>
    <w:rsid w:val="00EA1AA2"/>
    <w:rsid w:val="00EA1B94"/>
    <w:rsid w:val="00EA2060"/>
    <w:rsid w:val="00EA25B4"/>
    <w:rsid w:val="00EA2BE7"/>
    <w:rsid w:val="00EA2D62"/>
    <w:rsid w:val="00EA2D6F"/>
    <w:rsid w:val="00EA3676"/>
    <w:rsid w:val="00EA3B1C"/>
    <w:rsid w:val="00EA3D4E"/>
    <w:rsid w:val="00EA42F9"/>
    <w:rsid w:val="00EA4E30"/>
    <w:rsid w:val="00EA5FC2"/>
    <w:rsid w:val="00EA7863"/>
    <w:rsid w:val="00EA7928"/>
    <w:rsid w:val="00EA7C92"/>
    <w:rsid w:val="00EA7E46"/>
    <w:rsid w:val="00EB01FC"/>
    <w:rsid w:val="00EB0B1F"/>
    <w:rsid w:val="00EB2648"/>
    <w:rsid w:val="00EB2703"/>
    <w:rsid w:val="00EB2C06"/>
    <w:rsid w:val="00EB3AD2"/>
    <w:rsid w:val="00EB5466"/>
    <w:rsid w:val="00EB5FB8"/>
    <w:rsid w:val="00EB6655"/>
    <w:rsid w:val="00EB71F8"/>
    <w:rsid w:val="00EC1E7C"/>
    <w:rsid w:val="00EC2575"/>
    <w:rsid w:val="00EC276B"/>
    <w:rsid w:val="00EC2805"/>
    <w:rsid w:val="00EC2B54"/>
    <w:rsid w:val="00EC2F3C"/>
    <w:rsid w:val="00EC38DD"/>
    <w:rsid w:val="00EC3C52"/>
    <w:rsid w:val="00EC409E"/>
    <w:rsid w:val="00EC44FB"/>
    <w:rsid w:val="00EC5495"/>
    <w:rsid w:val="00EC5882"/>
    <w:rsid w:val="00EC5AAE"/>
    <w:rsid w:val="00EC5D6D"/>
    <w:rsid w:val="00EC72E6"/>
    <w:rsid w:val="00EC78C3"/>
    <w:rsid w:val="00EC7EB9"/>
    <w:rsid w:val="00ED0B2F"/>
    <w:rsid w:val="00ED0B96"/>
    <w:rsid w:val="00ED0D10"/>
    <w:rsid w:val="00ED1A48"/>
    <w:rsid w:val="00ED1AC3"/>
    <w:rsid w:val="00ED323D"/>
    <w:rsid w:val="00ED3FB8"/>
    <w:rsid w:val="00ED4E0B"/>
    <w:rsid w:val="00ED550D"/>
    <w:rsid w:val="00ED61B9"/>
    <w:rsid w:val="00ED6303"/>
    <w:rsid w:val="00ED69D0"/>
    <w:rsid w:val="00ED7217"/>
    <w:rsid w:val="00ED7D2E"/>
    <w:rsid w:val="00EE04E5"/>
    <w:rsid w:val="00EE0FA7"/>
    <w:rsid w:val="00EE1D4E"/>
    <w:rsid w:val="00EE2830"/>
    <w:rsid w:val="00EE2F90"/>
    <w:rsid w:val="00EE3070"/>
    <w:rsid w:val="00EE3563"/>
    <w:rsid w:val="00EE3CA8"/>
    <w:rsid w:val="00EE3CDA"/>
    <w:rsid w:val="00EE461D"/>
    <w:rsid w:val="00EE54E9"/>
    <w:rsid w:val="00EE5F76"/>
    <w:rsid w:val="00EE6F77"/>
    <w:rsid w:val="00EE704A"/>
    <w:rsid w:val="00EF0660"/>
    <w:rsid w:val="00EF1063"/>
    <w:rsid w:val="00EF164F"/>
    <w:rsid w:val="00EF2424"/>
    <w:rsid w:val="00EF37C6"/>
    <w:rsid w:val="00EF3ADB"/>
    <w:rsid w:val="00EF4A69"/>
    <w:rsid w:val="00EF56F5"/>
    <w:rsid w:val="00EF59A1"/>
    <w:rsid w:val="00EF5A5C"/>
    <w:rsid w:val="00EF616C"/>
    <w:rsid w:val="00EF7738"/>
    <w:rsid w:val="00EF78A5"/>
    <w:rsid w:val="00EF7FE0"/>
    <w:rsid w:val="00F00159"/>
    <w:rsid w:val="00F0115A"/>
    <w:rsid w:val="00F03092"/>
    <w:rsid w:val="00F03530"/>
    <w:rsid w:val="00F03CCB"/>
    <w:rsid w:val="00F04924"/>
    <w:rsid w:val="00F04985"/>
    <w:rsid w:val="00F06CE3"/>
    <w:rsid w:val="00F071B9"/>
    <w:rsid w:val="00F10965"/>
    <w:rsid w:val="00F110B3"/>
    <w:rsid w:val="00F11BEC"/>
    <w:rsid w:val="00F126D9"/>
    <w:rsid w:val="00F12760"/>
    <w:rsid w:val="00F12EA2"/>
    <w:rsid w:val="00F1357A"/>
    <w:rsid w:val="00F145D2"/>
    <w:rsid w:val="00F1477A"/>
    <w:rsid w:val="00F14897"/>
    <w:rsid w:val="00F165D1"/>
    <w:rsid w:val="00F16ECB"/>
    <w:rsid w:val="00F175FB"/>
    <w:rsid w:val="00F17F69"/>
    <w:rsid w:val="00F20129"/>
    <w:rsid w:val="00F209DE"/>
    <w:rsid w:val="00F22529"/>
    <w:rsid w:val="00F227B3"/>
    <w:rsid w:val="00F22B98"/>
    <w:rsid w:val="00F23C3D"/>
    <w:rsid w:val="00F23ECB"/>
    <w:rsid w:val="00F249F7"/>
    <w:rsid w:val="00F24F0D"/>
    <w:rsid w:val="00F2524B"/>
    <w:rsid w:val="00F26056"/>
    <w:rsid w:val="00F2657C"/>
    <w:rsid w:val="00F26807"/>
    <w:rsid w:val="00F26C10"/>
    <w:rsid w:val="00F26F67"/>
    <w:rsid w:val="00F2789E"/>
    <w:rsid w:val="00F304A5"/>
    <w:rsid w:val="00F30888"/>
    <w:rsid w:val="00F30ABD"/>
    <w:rsid w:val="00F30D6A"/>
    <w:rsid w:val="00F31D3C"/>
    <w:rsid w:val="00F31FF4"/>
    <w:rsid w:val="00F322C3"/>
    <w:rsid w:val="00F329E4"/>
    <w:rsid w:val="00F32BD9"/>
    <w:rsid w:val="00F334B7"/>
    <w:rsid w:val="00F3356D"/>
    <w:rsid w:val="00F33FCE"/>
    <w:rsid w:val="00F341F6"/>
    <w:rsid w:val="00F34483"/>
    <w:rsid w:val="00F347A4"/>
    <w:rsid w:val="00F3485F"/>
    <w:rsid w:val="00F35627"/>
    <w:rsid w:val="00F356EB"/>
    <w:rsid w:val="00F359B3"/>
    <w:rsid w:val="00F36526"/>
    <w:rsid w:val="00F36C9E"/>
    <w:rsid w:val="00F36E8C"/>
    <w:rsid w:val="00F37139"/>
    <w:rsid w:val="00F37832"/>
    <w:rsid w:val="00F401D5"/>
    <w:rsid w:val="00F40CD8"/>
    <w:rsid w:val="00F417F4"/>
    <w:rsid w:val="00F41A10"/>
    <w:rsid w:val="00F41AB2"/>
    <w:rsid w:val="00F41ADB"/>
    <w:rsid w:val="00F42A00"/>
    <w:rsid w:val="00F42F6A"/>
    <w:rsid w:val="00F42F82"/>
    <w:rsid w:val="00F42FEE"/>
    <w:rsid w:val="00F438FE"/>
    <w:rsid w:val="00F43DE6"/>
    <w:rsid w:val="00F43E18"/>
    <w:rsid w:val="00F4473E"/>
    <w:rsid w:val="00F45065"/>
    <w:rsid w:val="00F46406"/>
    <w:rsid w:val="00F5086A"/>
    <w:rsid w:val="00F51121"/>
    <w:rsid w:val="00F51405"/>
    <w:rsid w:val="00F521A4"/>
    <w:rsid w:val="00F52FB1"/>
    <w:rsid w:val="00F5342F"/>
    <w:rsid w:val="00F536BE"/>
    <w:rsid w:val="00F53CEE"/>
    <w:rsid w:val="00F5447B"/>
    <w:rsid w:val="00F54549"/>
    <w:rsid w:val="00F55A93"/>
    <w:rsid w:val="00F5626C"/>
    <w:rsid w:val="00F5628B"/>
    <w:rsid w:val="00F56A78"/>
    <w:rsid w:val="00F56D5F"/>
    <w:rsid w:val="00F6025D"/>
    <w:rsid w:val="00F6068B"/>
    <w:rsid w:val="00F61588"/>
    <w:rsid w:val="00F61591"/>
    <w:rsid w:val="00F61657"/>
    <w:rsid w:val="00F619E2"/>
    <w:rsid w:val="00F623CB"/>
    <w:rsid w:val="00F627C9"/>
    <w:rsid w:val="00F630C5"/>
    <w:rsid w:val="00F63723"/>
    <w:rsid w:val="00F6386A"/>
    <w:rsid w:val="00F638BF"/>
    <w:rsid w:val="00F63E06"/>
    <w:rsid w:val="00F64150"/>
    <w:rsid w:val="00F648DD"/>
    <w:rsid w:val="00F65753"/>
    <w:rsid w:val="00F6710C"/>
    <w:rsid w:val="00F6736B"/>
    <w:rsid w:val="00F678A7"/>
    <w:rsid w:val="00F678B6"/>
    <w:rsid w:val="00F67F82"/>
    <w:rsid w:val="00F7058B"/>
    <w:rsid w:val="00F71753"/>
    <w:rsid w:val="00F71948"/>
    <w:rsid w:val="00F72872"/>
    <w:rsid w:val="00F7303D"/>
    <w:rsid w:val="00F73114"/>
    <w:rsid w:val="00F73773"/>
    <w:rsid w:val="00F751E0"/>
    <w:rsid w:val="00F753F8"/>
    <w:rsid w:val="00F75546"/>
    <w:rsid w:val="00F7598D"/>
    <w:rsid w:val="00F75AA2"/>
    <w:rsid w:val="00F76364"/>
    <w:rsid w:val="00F764FD"/>
    <w:rsid w:val="00F7755E"/>
    <w:rsid w:val="00F77DB4"/>
    <w:rsid w:val="00F829B4"/>
    <w:rsid w:val="00F83821"/>
    <w:rsid w:val="00F83854"/>
    <w:rsid w:val="00F838F8"/>
    <w:rsid w:val="00F83D74"/>
    <w:rsid w:val="00F83D8B"/>
    <w:rsid w:val="00F85057"/>
    <w:rsid w:val="00F86057"/>
    <w:rsid w:val="00F86C58"/>
    <w:rsid w:val="00F87134"/>
    <w:rsid w:val="00F90583"/>
    <w:rsid w:val="00F90EA1"/>
    <w:rsid w:val="00F91893"/>
    <w:rsid w:val="00F91DF3"/>
    <w:rsid w:val="00F91E13"/>
    <w:rsid w:val="00F9213E"/>
    <w:rsid w:val="00F9236E"/>
    <w:rsid w:val="00F92E88"/>
    <w:rsid w:val="00F93474"/>
    <w:rsid w:val="00F93D47"/>
    <w:rsid w:val="00F94293"/>
    <w:rsid w:val="00F971B5"/>
    <w:rsid w:val="00F9779A"/>
    <w:rsid w:val="00FA0B99"/>
    <w:rsid w:val="00FA1083"/>
    <w:rsid w:val="00FA1975"/>
    <w:rsid w:val="00FA1CB9"/>
    <w:rsid w:val="00FA1E20"/>
    <w:rsid w:val="00FA250B"/>
    <w:rsid w:val="00FA2B97"/>
    <w:rsid w:val="00FA2D3A"/>
    <w:rsid w:val="00FA3786"/>
    <w:rsid w:val="00FA3DB2"/>
    <w:rsid w:val="00FA3E39"/>
    <w:rsid w:val="00FA3F9A"/>
    <w:rsid w:val="00FA42FC"/>
    <w:rsid w:val="00FA4670"/>
    <w:rsid w:val="00FA48FD"/>
    <w:rsid w:val="00FA4BD8"/>
    <w:rsid w:val="00FA57C3"/>
    <w:rsid w:val="00FA6357"/>
    <w:rsid w:val="00FA67F4"/>
    <w:rsid w:val="00FA68E4"/>
    <w:rsid w:val="00FA7EC2"/>
    <w:rsid w:val="00FB11A7"/>
    <w:rsid w:val="00FB21EE"/>
    <w:rsid w:val="00FB2D84"/>
    <w:rsid w:val="00FB34AE"/>
    <w:rsid w:val="00FB3604"/>
    <w:rsid w:val="00FB3D1F"/>
    <w:rsid w:val="00FB3E67"/>
    <w:rsid w:val="00FB3EE7"/>
    <w:rsid w:val="00FB4053"/>
    <w:rsid w:val="00FB40AE"/>
    <w:rsid w:val="00FB467E"/>
    <w:rsid w:val="00FB48E3"/>
    <w:rsid w:val="00FB4F61"/>
    <w:rsid w:val="00FB59AE"/>
    <w:rsid w:val="00FB5DA8"/>
    <w:rsid w:val="00FB64A3"/>
    <w:rsid w:val="00FB65B6"/>
    <w:rsid w:val="00FB69AB"/>
    <w:rsid w:val="00FB70FC"/>
    <w:rsid w:val="00FB7BAA"/>
    <w:rsid w:val="00FC0267"/>
    <w:rsid w:val="00FC04C9"/>
    <w:rsid w:val="00FC06F1"/>
    <w:rsid w:val="00FC17F7"/>
    <w:rsid w:val="00FC1D24"/>
    <w:rsid w:val="00FC1E45"/>
    <w:rsid w:val="00FC21C7"/>
    <w:rsid w:val="00FC3592"/>
    <w:rsid w:val="00FC39DF"/>
    <w:rsid w:val="00FC3BE9"/>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BC3"/>
    <w:rsid w:val="00FD5BF3"/>
    <w:rsid w:val="00FD657C"/>
    <w:rsid w:val="00FD7609"/>
    <w:rsid w:val="00FD7696"/>
    <w:rsid w:val="00FE0180"/>
    <w:rsid w:val="00FE088C"/>
    <w:rsid w:val="00FE08C4"/>
    <w:rsid w:val="00FE2A0B"/>
    <w:rsid w:val="00FE32FE"/>
    <w:rsid w:val="00FE3A56"/>
    <w:rsid w:val="00FE414F"/>
    <w:rsid w:val="00FE5321"/>
    <w:rsid w:val="00FE5A72"/>
    <w:rsid w:val="00FE5B59"/>
    <w:rsid w:val="00FE60E9"/>
    <w:rsid w:val="00FE6404"/>
    <w:rsid w:val="00FE6651"/>
    <w:rsid w:val="00FE6F32"/>
    <w:rsid w:val="00FE7163"/>
    <w:rsid w:val="00FE71EF"/>
    <w:rsid w:val="00FE77C6"/>
    <w:rsid w:val="00FF0018"/>
    <w:rsid w:val="00FF03CA"/>
    <w:rsid w:val="00FF0DE2"/>
    <w:rsid w:val="00FF2899"/>
    <w:rsid w:val="00FF356A"/>
    <w:rsid w:val="00FF3F3E"/>
    <w:rsid w:val="00FF4A69"/>
    <w:rsid w:val="00FF4FAC"/>
    <w:rsid w:val="00FF5283"/>
    <w:rsid w:val="00FF5CCC"/>
    <w:rsid w:val="00FF5E8C"/>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3FCED"/>
  <w15:docId w15:val="{96991814-3C70-4DB7-B09E-E7E4BE02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680"/>
    <w:pPr>
      <w:spacing w:before="200" w:after="60"/>
    </w:pPr>
    <w:rPr>
      <w:rFonts w:asciiTheme="minorHAnsi" w:hAnsiTheme="minorHAnsi"/>
      <w:sz w:val="22"/>
      <w:szCs w:val="24"/>
      <w:lang w:val="en-GB"/>
    </w:rPr>
  </w:style>
  <w:style w:type="paragraph" w:styleId="Heading1">
    <w:name w:val="heading 1"/>
    <w:basedOn w:val="Normal"/>
    <w:next w:val="Normal"/>
    <w:link w:val="Heading1Char"/>
    <w:qFormat/>
    <w:rsid w:val="00573594"/>
    <w:pPr>
      <w:keepNext/>
      <w:numPr>
        <w:numId w:val="23"/>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772F53"/>
    <w:pPr>
      <w:keepNext/>
      <w:numPr>
        <w:ilvl w:val="1"/>
        <w:numId w:val="23"/>
      </w:numPr>
      <w:spacing w:before="320"/>
      <w:ind w:left="567"/>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772F53"/>
    <w:pPr>
      <w:keepNext/>
      <w:spacing w:before="240"/>
      <w:ind w:left="709"/>
      <w:outlineLvl w:val="2"/>
    </w:pPr>
    <w:rPr>
      <w:rFonts w:eastAsiaTheme="minorHAnsi" w:cs="Arial"/>
      <w:b/>
      <w:bCs/>
      <w:i/>
      <w:color w:val="B66113"/>
      <w:sz w:val="24"/>
      <w:lang w:val="en-US" w:eastAsia="en-US"/>
    </w:rPr>
  </w:style>
  <w:style w:type="paragraph" w:styleId="Heading4">
    <w:name w:val="heading 4"/>
    <w:basedOn w:val="Heading3"/>
    <w:next w:val="Normal"/>
    <w:uiPriority w:val="9"/>
    <w:qFormat/>
    <w:rsid w:val="004F50BA"/>
    <w:pPr>
      <w:numPr>
        <w:ilvl w:val="3"/>
      </w:numPr>
      <w:ind w:left="709"/>
      <w:outlineLvl w:val="3"/>
    </w:pPr>
    <w:rPr>
      <w:b w:val="0"/>
      <w:sz w:val="22"/>
    </w:rPr>
  </w:style>
  <w:style w:type="paragraph" w:styleId="Heading5">
    <w:name w:val="heading 5"/>
    <w:basedOn w:val="Normal"/>
    <w:next w:val="Normal"/>
    <w:uiPriority w:val="9"/>
    <w:qFormat/>
    <w:rsid w:val="00E2102F"/>
    <w:pPr>
      <w:numPr>
        <w:ilvl w:val="4"/>
        <w:numId w:val="23"/>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23"/>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23"/>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23"/>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23"/>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BE48E3"/>
    <w:pPr>
      <w:tabs>
        <w:tab w:val="left" w:pos="440"/>
        <w:tab w:val="right" w:leader="dot" w:pos="8896"/>
      </w:tabs>
      <w:spacing w:before="120" w:after="0"/>
    </w:pPr>
    <w:rPr>
      <w:b/>
      <w:szCs w:val="22"/>
    </w:rPr>
  </w:style>
  <w:style w:type="paragraph" w:styleId="TOC2">
    <w:name w:val="toc 2"/>
    <w:basedOn w:val="Normal"/>
    <w:next w:val="Normal"/>
    <w:autoRedefine/>
    <w:uiPriority w:val="39"/>
    <w:qFormat/>
    <w:rsid w:val="00D42CED"/>
    <w:pPr>
      <w:tabs>
        <w:tab w:val="left" w:pos="880"/>
        <w:tab w:val="right" w:leader="dot" w:pos="890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3D1B38"/>
    <w:pPr>
      <w:keepNext/>
      <w:spacing w:before="120" w:after="120"/>
    </w:pPr>
    <w:rPr>
      <w:rFonts w:eastAsiaTheme="minorHAnsi" w:cs="Arial"/>
      <w:b/>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774742"/>
    <w:pPr>
      <w:numPr>
        <w:numId w:val="24"/>
      </w:numPr>
      <w:spacing w:before="120" w:after="60"/>
      <w:ind w:left="357" w:right="142" w:hanging="357"/>
    </w:pPr>
    <w:rPr>
      <w:rFonts w:cs="Arial"/>
      <w:szCs w:val="22"/>
    </w:rPr>
  </w:style>
  <w:style w:type="character" w:customStyle="1" w:styleId="NormalBulletedChar">
    <w:name w:val="Normal Bulleted Char"/>
    <w:basedOn w:val="DefaultParagraphFont"/>
    <w:link w:val="NormalBulleted"/>
    <w:rsid w:val="00774742"/>
    <w:rPr>
      <w:rFonts w:asciiTheme="minorHAnsi" w:hAnsiTheme="minorHAnsi" w:cs="Arial"/>
      <w:sz w:val="22"/>
      <w:szCs w:val="22"/>
      <w:lang w:val="en-GB"/>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next w:val="Normal"/>
    <w:link w:val="02TabletextChar"/>
    <w:uiPriority w:val="11"/>
    <w:qFormat/>
    <w:rsid w:val="00573594"/>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573594"/>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73594"/>
    <w:rPr>
      <w:b/>
    </w:rPr>
  </w:style>
  <w:style w:type="character" w:customStyle="1" w:styleId="01TableheaderrowChar">
    <w:name w:val="01. Table header row Char"/>
    <w:basedOn w:val="02TabletextChar"/>
    <w:link w:val="01Tableheaderrow"/>
    <w:uiPriority w:val="9"/>
    <w:rsid w:val="00573594"/>
    <w:rPr>
      <w:rFonts w:ascii="Arial" w:eastAsiaTheme="minorHAnsi" w:hAnsi="Arial" w:cs="Arial"/>
      <w:b/>
      <w:sz w:val="18"/>
      <w:szCs w:val="18"/>
      <w:lang w:val="en-GB"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rsid w:val="00E2102F"/>
    <w:pPr>
      <w:spacing w:before="0" w:after="0"/>
      <w:ind w:left="714"/>
    </w:pPr>
  </w:style>
  <w:style w:type="paragraph" w:customStyle="1" w:styleId="Bullet2">
    <w:name w:val="Bullet 2"/>
    <w:basedOn w:val="ListParagraph"/>
    <w:uiPriority w:val="99"/>
    <w:rsid w:val="002345FA"/>
    <w:pPr>
      <w:numPr>
        <w:ilvl w:val="1"/>
        <w:numId w:val="2"/>
      </w:numPr>
      <w:spacing w:before="120"/>
      <w:contextualSpacing w:val="0"/>
    </w:pPr>
    <w:rPr>
      <w:b w:val="0"/>
    </w:rPr>
  </w:style>
  <w:style w:type="paragraph" w:customStyle="1" w:styleId="Bullet3">
    <w:name w:val="Bullet 3"/>
    <w:basedOn w:val="ListParagraph"/>
    <w:uiPriority w:val="74"/>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iPriority w:val="99"/>
    <w:semiHidden/>
    <w:unhideWhenUsed/>
    <w:rsid w:val="000337EF"/>
    <w:rPr>
      <w:sz w:val="20"/>
      <w:szCs w:val="20"/>
    </w:rPr>
  </w:style>
  <w:style w:type="character" w:customStyle="1" w:styleId="CommentTextChar">
    <w:name w:val="Comment Text Char"/>
    <w:basedOn w:val="DefaultParagraphFont"/>
    <w:link w:val="CommentText"/>
    <w:uiPriority w:val="99"/>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772F53"/>
    <w:pPr>
      <w:outlineLvl w:val="3"/>
    </w:pPr>
    <w:rPr>
      <w:color w:val="016500"/>
    </w:rPr>
  </w:style>
  <w:style w:type="paragraph" w:styleId="PlainText">
    <w:name w:val="Plain Text"/>
    <w:basedOn w:val="Normal"/>
    <w:link w:val="PlainTextChar"/>
    <w:uiPriority w:val="99"/>
    <w:unhideWhenUsed/>
    <w:rsid w:val="000869E6"/>
    <w:pPr>
      <w:spacing w:before="0" w:after="0"/>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jc w:val="right"/>
    </w:pPr>
    <w:rPr>
      <w:rFonts w:ascii="Times New Roman" w:hAnsi="Times New Roman"/>
      <w:b/>
      <w:caps/>
      <w:sz w:val="18"/>
      <w:szCs w:val="20"/>
    </w:rPr>
  </w:style>
  <w:style w:type="paragraph" w:customStyle="1" w:styleId="GroupHeader">
    <w:name w:val="GroupHeader"/>
    <w:basedOn w:val="Normal"/>
    <w:rsid w:val="00A74C6B"/>
    <w:pPr>
      <w:spacing w:before="0" w:after="0"/>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ind w:left="0" w:firstLine="0"/>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772F53"/>
    <w:rPr>
      <w:rFonts w:asciiTheme="minorHAnsi" w:eastAsiaTheme="minorHAnsi" w:hAnsiTheme="minorHAnsi" w:cs="Arial"/>
      <w:b/>
      <w:bCs/>
      <w:i/>
      <w:color w:val="B66113"/>
      <w:sz w:val="24"/>
      <w:szCs w:val="24"/>
      <w:lang w:val="en-US" w:eastAsia="en-US"/>
    </w:rPr>
  </w:style>
  <w:style w:type="paragraph" w:customStyle="1" w:styleId="Heading3Numbered">
    <w:name w:val="Heading 3 Numbered"/>
    <w:basedOn w:val="Heading2"/>
    <w:qFormat/>
    <w:rsid w:val="006D6A16"/>
    <w:pPr>
      <w:numPr>
        <w:ilvl w:val="0"/>
        <w:numId w:val="0"/>
      </w:numPr>
      <w:ind w:left="578" w:hanging="578"/>
      <w:outlineLvl w:val="2"/>
    </w:pPr>
    <w:rPr>
      <w:i/>
      <w:color w:val="B56011"/>
      <w:sz w:val="24"/>
    </w:rPr>
  </w:style>
  <w:style w:type="paragraph" w:customStyle="1" w:styleId="03Tableundertext">
    <w:name w:val="03 Table under text"/>
    <w:basedOn w:val="Normal"/>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rPr>
  </w:style>
  <w:style w:type="paragraph" w:customStyle="1" w:styleId="BoxBullet">
    <w:name w:val="BoxBullet"/>
    <w:basedOn w:val="BoxText"/>
    <w:rsid w:val="00F623CB"/>
    <w:pPr>
      <w:numPr>
        <w:numId w:val="10"/>
      </w:numPr>
    </w:pPr>
  </w:style>
  <w:style w:type="paragraph" w:customStyle="1" w:styleId="AppendixStyle2">
    <w:name w:val="Appendix Style2"/>
    <w:basedOn w:val="Heading2Report"/>
    <w:qFormat/>
    <w:rsid w:val="00C96B34"/>
    <w:pPr>
      <w:ind w:left="0" w:firstLine="0"/>
    </w:pPr>
    <w:rPr>
      <w:color w:val="auto"/>
    </w:rPr>
  </w:style>
  <w:style w:type="paragraph" w:customStyle="1" w:styleId="TableBullet">
    <w:name w:val="TableBullet"/>
    <w:basedOn w:val="NormalBulleted"/>
    <w:rsid w:val="00017563"/>
    <w:pPr>
      <w:spacing w:before="40" w:after="40"/>
    </w:pPr>
    <w:rPr>
      <w:color w:val="000000" w:themeColor="text1"/>
      <w:sz w:val="18"/>
      <w:szCs w:val="18"/>
    </w:rPr>
  </w:style>
  <w:style w:type="character" w:customStyle="1" w:styleId="Underline">
    <w:name w:val="Underline"/>
    <w:basedOn w:val="DefaultParagraphFont"/>
    <w:uiPriority w:val="1"/>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rsid w:val="00856FC4"/>
    <w:pPr>
      <w:numPr>
        <w:numId w:val="11"/>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pPr>
    <w:rPr>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EndNoteBibliographyTitle">
    <w:name w:val="EndNote Bibliography Title"/>
    <w:basedOn w:val="Normal"/>
    <w:rsid w:val="00E20CE5"/>
    <w:pPr>
      <w:tabs>
        <w:tab w:val="left" w:pos="851"/>
      </w:tabs>
    </w:pPr>
  </w:style>
  <w:style w:type="paragraph" w:customStyle="1" w:styleId="EndNoteBibliography">
    <w:name w:val="EndNote Bibliography"/>
    <w:basedOn w:val="Normal"/>
    <w:rsid w:val="00E20CE5"/>
    <w:pPr>
      <w:tabs>
        <w:tab w:val="left" w:pos="851"/>
      </w:tabs>
    </w:pPr>
  </w:style>
  <w:style w:type="table" w:customStyle="1" w:styleId="TableGrid4">
    <w:name w:val="Table Grid4"/>
    <w:basedOn w:val="TableNormal"/>
    <w:next w:val="TableGrid"/>
    <w:rsid w:val="007B436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B436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7B4368"/>
    <w:pPr>
      <w:numPr>
        <w:numId w:val="12"/>
      </w:numPr>
    </w:pPr>
  </w:style>
  <w:style w:type="table" w:customStyle="1" w:styleId="TableGrid6">
    <w:name w:val="Table Grid6"/>
    <w:basedOn w:val="TableNormal"/>
    <w:next w:val="TableGrid"/>
    <w:rsid w:val="007B436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squarebulletChar">
    <w:name w:val="01 square bullet Char"/>
    <w:basedOn w:val="DefaultParagraphFont"/>
    <w:link w:val="01squarebullet"/>
    <w:uiPriority w:val="3"/>
    <w:rsid w:val="003357A1"/>
    <w:rPr>
      <w:rFonts w:asciiTheme="minorHAnsi" w:hAnsiTheme="minorHAnsi"/>
      <w:sz w:val="22"/>
      <w:lang w:val="en-US" w:eastAsia="en-US"/>
    </w:rPr>
  </w:style>
  <w:style w:type="table" w:customStyle="1" w:styleId="TableGrid7">
    <w:name w:val="Table Grid7"/>
    <w:basedOn w:val="TableNormal"/>
    <w:next w:val="TableGrid"/>
    <w:rsid w:val="003357A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25A0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dg">
    <w:name w:val="Bold hdg"/>
    <w:basedOn w:val="Normal"/>
    <w:link w:val="BoldhdgChar"/>
    <w:uiPriority w:val="99"/>
    <w:qFormat/>
    <w:rsid w:val="00425A0C"/>
    <w:pPr>
      <w:keepNext/>
      <w:spacing w:before="320"/>
    </w:pPr>
    <w:rPr>
      <w:rFonts w:eastAsiaTheme="minorHAnsi" w:cs="Arial"/>
      <w:b/>
      <w:szCs w:val="22"/>
      <w:lang w:eastAsia="en-US"/>
    </w:rPr>
  </w:style>
  <w:style w:type="character" w:customStyle="1" w:styleId="BoldhdgChar">
    <w:name w:val="Bold hdg Char"/>
    <w:basedOn w:val="DefaultParagraphFont"/>
    <w:link w:val="Boldhdg"/>
    <w:uiPriority w:val="99"/>
    <w:rsid w:val="00425A0C"/>
    <w:rPr>
      <w:rFonts w:asciiTheme="minorHAnsi" w:eastAsiaTheme="minorHAnsi" w:hAnsiTheme="minorHAnsi" w:cs="Arial"/>
      <w:b/>
      <w:sz w:val="22"/>
      <w:szCs w:val="22"/>
      <w:lang w:eastAsia="en-US"/>
    </w:rPr>
  </w:style>
  <w:style w:type="numbering" w:customStyle="1" w:styleId="Style21">
    <w:name w:val="Style21"/>
    <w:uiPriority w:val="99"/>
    <w:rsid w:val="00425A0C"/>
  </w:style>
  <w:style w:type="numbering" w:customStyle="1" w:styleId="Style22">
    <w:name w:val="Style22"/>
    <w:uiPriority w:val="99"/>
    <w:rsid w:val="00425A0C"/>
  </w:style>
  <w:style w:type="table" w:customStyle="1" w:styleId="TableGrid9">
    <w:name w:val="Table Grid9"/>
    <w:basedOn w:val="TableNormal"/>
    <w:next w:val="TableGrid"/>
    <w:rsid w:val="00425A0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0DEE"/>
    <w:pPr>
      <w:widowControl w:val="0"/>
      <w:spacing w:before="1" w:after="0"/>
      <w:jc w:val="right"/>
    </w:pPr>
    <w:rPr>
      <w:rFonts w:ascii="Calibri" w:eastAsia="Calibri" w:hAnsi="Calibri" w:cs="Calibri"/>
      <w:szCs w:val="22"/>
      <w:lang w:val="en-US" w:eastAsia="en-US"/>
    </w:rPr>
  </w:style>
  <w:style w:type="character" w:customStyle="1" w:styleId="Heading1Char">
    <w:name w:val="Heading 1 Char"/>
    <w:basedOn w:val="DefaultParagraphFont"/>
    <w:link w:val="Heading1"/>
    <w:rsid w:val="00573594"/>
    <w:rPr>
      <w:rFonts w:asciiTheme="minorHAnsi" w:eastAsiaTheme="minorHAnsi" w:hAnsiTheme="minorHAnsi" w:cs="Arial"/>
      <w:b/>
      <w:bCs/>
      <w:color w:val="01653F"/>
      <w:kern w:val="32"/>
      <w:sz w:val="32"/>
      <w:szCs w:val="28"/>
      <w:lang w:val="en-US" w:eastAsia="en-US"/>
    </w:rPr>
  </w:style>
  <w:style w:type="character" w:customStyle="1" w:styleId="Heading2Char">
    <w:name w:val="Heading 2 Char"/>
    <w:basedOn w:val="DefaultParagraphFont"/>
    <w:link w:val="Heading2"/>
    <w:rsid w:val="00772F53"/>
    <w:rPr>
      <w:rFonts w:asciiTheme="minorHAnsi" w:eastAsiaTheme="minorHAnsi" w:hAnsiTheme="minorHAnsi" w:cs="Arial"/>
      <w:b/>
      <w:bCs/>
      <w:iCs/>
      <w:color w:val="01653F"/>
      <w:sz w:val="28"/>
      <w:szCs w:val="22"/>
      <w:lang w:val="en-US" w:eastAsia="en-US"/>
    </w:rPr>
  </w:style>
  <w:style w:type="table" w:customStyle="1" w:styleId="GridTable1Light1">
    <w:name w:val="Grid Table 1 Light1"/>
    <w:basedOn w:val="TableNormal"/>
    <w:uiPriority w:val="46"/>
    <w:rsid w:val="001D0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1Char">
    <w:name w:val="N 1 Char"/>
    <w:basedOn w:val="DefaultParagraphFont"/>
    <w:link w:val="N1"/>
    <w:locked/>
    <w:rsid w:val="006F45B4"/>
  </w:style>
  <w:style w:type="paragraph" w:customStyle="1" w:styleId="N1">
    <w:name w:val="N 1"/>
    <w:basedOn w:val="Normal"/>
    <w:link w:val="N1Char"/>
    <w:rsid w:val="006F45B4"/>
    <w:pPr>
      <w:spacing w:before="180"/>
    </w:pPr>
    <w:rPr>
      <w:rFonts w:ascii="Times New Roman" w:hAnsi="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66">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10180805">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26528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32274205">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7278669">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50184093">
      <w:bodyDiv w:val="1"/>
      <w:marLeft w:val="0"/>
      <w:marRight w:val="0"/>
      <w:marTop w:val="0"/>
      <w:marBottom w:val="0"/>
      <w:divBdr>
        <w:top w:val="none" w:sz="0" w:space="0" w:color="auto"/>
        <w:left w:val="none" w:sz="0" w:space="0" w:color="auto"/>
        <w:bottom w:val="none" w:sz="0" w:space="0" w:color="auto"/>
        <w:right w:val="none" w:sz="0" w:space="0" w:color="auto"/>
      </w:divBdr>
    </w:div>
    <w:div w:id="364916138">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0075088">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9398213">
      <w:bodyDiv w:val="1"/>
      <w:marLeft w:val="0"/>
      <w:marRight w:val="0"/>
      <w:marTop w:val="0"/>
      <w:marBottom w:val="0"/>
      <w:divBdr>
        <w:top w:val="none" w:sz="0" w:space="0" w:color="auto"/>
        <w:left w:val="none" w:sz="0" w:space="0" w:color="auto"/>
        <w:bottom w:val="none" w:sz="0" w:space="0" w:color="auto"/>
        <w:right w:val="none" w:sz="0" w:space="0" w:color="auto"/>
      </w:divBdr>
    </w:div>
    <w:div w:id="482046603">
      <w:bodyDiv w:val="1"/>
      <w:marLeft w:val="0"/>
      <w:marRight w:val="0"/>
      <w:marTop w:val="0"/>
      <w:marBottom w:val="0"/>
      <w:divBdr>
        <w:top w:val="none" w:sz="0" w:space="0" w:color="auto"/>
        <w:left w:val="none" w:sz="0" w:space="0" w:color="auto"/>
        <w:bottom w:val="none" w:sz="0" w:space="0" w:color="auto"/>
        <w:right w:val="none" w:sz="0" w:space="0" w:color="auto"/>
      </w:divBdr>
    </w:div>
    <w:div w:id="484663400">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48301852">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396358">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77066264">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8067898">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70738054">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2137680">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3949865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13006440">
      <w:bodyDiv w:val="1"/>
      <w:marLeft w:val="0"/>
      <w:marRight w:val="0"/>
      <w:marTop w:val="0"/>
      <w:marBottom w:val="0"/>
      <w:divBdr>
        <w:top w:val="none" w:sz="0" w:space="0" w:color="auto"/>
        <w:left w:val="none" w:sz="0" w:space="0" w:color="auto"/>
        <w:bottom w:val="none" w:sz="0" w:space="0" w:color="auto"/>
        <w:right w:val="none" w:sz="0" w:space="0" w:color="auto"/>
      </w:divBdr>
    </w:div>
    <w:div w:id="1213348384">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452044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1169970">
      <w:bodyDiv w:val="1"/>
      <w:marLeft w:val="0"/>
      <w:marRight w:val="0"/>
      <w:marTop w:val="0"/>
      <w:marBottom w:val="0"/>
      <w:divBdr>
        <w:top w:val="none" w:sz="0" w:space="0" w:color="auto"/>
        <w:left w:val="none" w:sz="0" w:space="0" w:color="auto"/>
        <w:bottom w:val="none" w:sz="0" w:space="0" w:color="auto"/>
        <w:right w:val="none" w:sz="0" w:space="0" w:color="auto"/>
      </w:divBdr>
    </w:div>
    <w:div w:id="1403912581">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66969672">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6435239">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189639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50609759">
      <w:bodyDiv w:val="1"/>
      <w:marLeft w:val="0"/>
      <w:marRight w:val="0"/>
      <w:marTop w:val="0"/>
      <w:marBottom w:val="0"/>
      <w:divBdr>
        <w:top w:val="none" w:sz="0" w:space="0" w:color="auto"/>
        <w:left w:val="none" w:sz="0" w:space="0" w:color="auto"/>
        <w:bottom w:val="none" w:sz="0" w:space="0" w:color="auto"/>
        <w:right w:val="none" w:sz="0" w:space="0" w:color="auto"/>
      </w:divBdr>
    </w:div>
    <w:div w:id="1560558605">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2739243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41363384">
      <w:bodyDiv w:val="1"/>
      <w:marLeft w:val="0"/>
      <w:marRight w:val="0"/>
      <w:marTop w:val="0"/>
      <w:marBottom w:val="0"/>
      <w:divBdr>
        <w:top w:val="none" w:sz="0" w:space="0" w:color="auto"/>
        <w:left w:val="none" w:sz="0" w:space="0" w:color="auto"/>
        <w:bottom w:val="none" w:sz="0" w:space="0" w:color="auto"/>
        <w:right w:val="none" w:sz="0" w:space="0" w:color="auto"/>
      </w:divBdr>
    </w:div>
    <w:div w:id="1751927553">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94995847">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6379872">
      <w:bodyDiv w:val="1"/>
      <w:marLeft w:val="0"/>
      <w:marRight w:val="0"/>
      <w:marTop w:val="0"/>
      <w:marBottom w:val="0"/>
      <w:divBdr>
        <w:top w:val="none" w:sz="0" w:space="0" w:color="auto"/>
        <w:left w:val="none" w:sz="0" w:space="0" w:color="auto"/>
        <w:bottom w:val="none" w:sz="0" w:space="0" w:color="auto"/>
        <w:right w:val="none" w:sz="0" w:space="0" w:color="auto"/>
      </w:divBdr>
    </w:div>
    <w:div w:id="1926722735">
      <w:bodyDiv w:val="1"/>
      <w:marLeft w:val="0"/>
      <w:marRight w:val="0"/>
      <w:marTop w:val="0"/>
      <w:marBottom w:val="0"/>
      <w:divBdr>
        <w:top w:val="none" w:sz="0" w:space="0" w:color="auto"/>
        <w:left w:val="none" w:sz="0" w:space="0" w:color="auto"/>
        <w:bottom w:val="none" w:sz="0" w:space="0" w:color="auto"/>
        <w:right w:val="none" w:sz="0" w:space="0" w:color="auto"/>
      </w:divBdr>
    </w:div>
    <w:div w:id="1928490194">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 w:id="21239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sreviews@health.gov.au" TargetMode="Externa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cpa.edu.au/Library/Practising-Pathology/Structured-Pathology-Reporting-of-Cancer/Cancer-Protocols" TargetMode="Externa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cpa.edu.au/Health-Care-Professionals/Structured-Pathology-Reporting-of-Cancer" TargetMode="External"/><Relationship Id="rId23" Type="http://schemas.openxmlformats.org/officeDocument/2006/relationships/chart" Target="charts/chart11.xml"/><Relationship Id="rId10" Type="http://schemas.openxmlformats.org/officeDocument/2006/relationships/image" Target="media/image1.emf"/><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Face%20to%20Face%20Meeting%2012Oct%2016\USEFUL%20STUFF%20MBS%20REVIEW%20COPIES\Medicare%20Claims%2020091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Cyto%20FS%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sorted%20SONIC%20combined%20ACTIVE%204pm%2025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sorted%20SONIC%20combined%20ACTIVE%204pm%2025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Face%20to%20Face%20Meeting%2012Oct%2016\USEFUL%20STUFF%20MBS%20REVIEW%20COPIES\Medicare%20claims%20200911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rienne\Desktop\SVH%20Bkup%20Oct2015\Documents%20H%20drive%20backup%20Oct24%202015\Committees\PCC%20of%20MBS%20review\APCyto%20Committee\IHC%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MBS Tissue</a:t>
            </a:r>
            <a:r>
              <a:rPr lang="en-US" sz="1200" baseline="0"/>
              <a:t> Pathology </a:t>
            </a:r>
            <a:r>
              <a:rPr lang="en-US" sz="1200"/>
              <a:t>services</a:t>
            </a:r>
            <a:r>
              <a:rPr lang="en-US" sz="1200" b="1" i="0" u="none" strike="noStrike" kern="1200" baseline="0">
                <a:solidFill>
                  <a:sysClr val="windowText" lastClr="000000"/>
                </a:solidFill>
                <a:latin typeface="+mn-lt"/>
                <a:ea typeface="+mn-ea"/>
                <a:cs typeface="+mn-cs"/>
              </a:rPr>
              <a:t> </a:t>
            </a:r>
            <a:r>
              <a:rPr lang="en-US" sz="1200"/>
              <a:t>2014-15</a:t>
            </a:r>
          </a:p>
        </c:rich>
      </c:tx>
      <c:overlay val="0"/>
    </c:title>
    <c:autoTitleDeleted val="0"/>
    <c:plotArea>
      <c:layout/>
      <c:barChart>
        <c:barDir val="col"/>
        <c:grouping val="clustered"/>
        <c:varyColors val="0"/>
        <c:ser>
          <c:idx val="1"/>
          <c:order val="0"/>
          <c:tx>
            <c:strRef>
              <c:f>Sheet2!$D$4</c:f>
              <c:strCache>
                <c:ptCount val="1"/>
                <c:pt idx="0">
                  <c:v>claims 14-15</c:v>
                </c:pt>
              </c:strCache>
            </c:strRef>
          </c:tx>
          <c:invertIfNegative val="0"/>
          <c:cat>
            <c:numRef>
              <c:f>Sheet2!$B$5:$B$17</c:f>
              <c:numCache>
                <c:formatCode>General</c:formatCode>
                <c:ptCount val="13"/>
                <c:pt idx="0">
                  <c:v>72813</c:v>
                </c:pt>
                <c:pt idx="1">
                  <c:v>72816</c:v>
                </c:pt>
                <c:pt idx="2">
                  <c:v>72817</c:v>
                </c:pt>
                <c:pt idx="3">
                  <c:v>72818</c:v>
                </c:pt>
                <c:pt idx="4">
                  <c:v>72823</c:v>
                </c:pt>
                <c:pt idx="5">
                  <c:v>72824</c:v>
                </c:pt>
                <c:pt idx="6">
                  <c:v>72825</c:v>
                </c:pt>
                <c:pt idx="7">
                  <c:v>72826</c:v>
                </c:pt>
                <c:pt idx="8">
                  <c:v>72827</c:v>
                </c:pt>
                <c:pt idx="9">
                  <c:v>72828</c:v>
                </c:pt>
                <c:pt idx="10">
                  <c:v>72830</c:v>
                </c:pt>
                <c:pt idx="11">
                  <c:v>72836</c:v>
                </c:pt>
                <c:pt idx="12">
                  <c:v>72838</c:v>
                </c:pt>
              </c:numCache>
            </c:numRef>
          </c:cat>
          <c:val>
            <c:numRef>
              <c:f>Sheet2!$D$5:$D$17</c:f>
              <c:numCache>
                <c:formatCode>General</c:formatCode>
                <c:ptCount val="13"/>
                <c:pt idx="0">
                  <c:v>12105</c:v>
                </c:pt>
                <c:pt idx="1">
                  <c:v>1364447</c:v>
                </c:pt>
                <c:pt idx="2">
                  <c:v>354174</c:v>
                </c:pt>
                <c:pt idx="3">
                  <c:v>18997</c:v>
                </c:pt>
                <c:pt idx="4">
                  <c:v>691687</c:v>
                </c:pt>
                <c:pt idx="5">
                  <c:v>416644</c:v>
                </c:pt>
                <c:pt idx="6">
                  <c:v>67847</c:v>
                </c:pt>
                <c:pt idx="7">
                  <c:v>18338</c:v>
                </c:pt>
                <c:pt idx="8">
                  <c:v>4988</c:v>
                </c:pt>
                <c:pt idx="9">
                  <c:v>2431</c:v>
                </c:pt>
                <c:pt idx="10">
                  <c:v>91527</c:v>
                </c:pt>
                <c:pt idx="11">
                  <c:v>23468</c:v>
                </c:pt>
                <c:pt idx="12">
                  <c:v>13882</c:v>
                </c:pt>
              </c:numCache>
            </c:numRef>
          </c:val>
          <c:extLst>
            <c:ext xmlns:c16="http://schemas.microsoft.com/office/drawing/2014/chart" uri="{C3380CC4-5D6E-409C-BE32-E72D297353CC}">
              <c16:uniqueId val="{00000000-B4CC-49B3-ACB8-B65CDDDF35F8}"/>
            </c:ext>
          </c:extLst>
        </c:ser>
        <c:dLbls>
          <c:showLegendKey val="0"/>
          <c:showVal val="0"/>
          <c:showCatName val="0"/>
          <c:showSerName val="0"/>
          <c:showPercent val="0"/>
          <c:showBubbleSize val="0"/>
        </c:dLbls>
        <c:gapWidth val="150"/>
        <c:axId val="310043008"/>
        <c:axId val="310044544"/>
      </c:barChart>
      <c:catAx>
        <c:axId val="310043008"/>
        <c:scaling>
          <c:orientation val="minMax"/>
        </c:scaling>
        <c:delete val="0"/>
        <c:axPos val="b"/>
        <c:numFmt formatCode="General" sourceLinked="1"/>
        <c:majorTickMark val="out"/>
        <c:minorTickMark val="none"/>
        <c:tickLblPos val="nextTo"/>
        <c:crossAx val="310044544"/>
        <c:crossesAt val="0"/>
        <c:auto val="1"/>
        <c:lblAlgn val="ctr"/>
        <c:lblOffset val="100"/>
        <c:noMultiLvlLbl val="0"/>
      </c:catAx>
      <c:valAx>
        <c:axId val="310044544"/>
        <c:scaling>
          <c:orientation val="minMax"/>
        </c:scaling>
        <c:delete val="0"/>
        <c:axPos val="l"/>
        <c:majorGridlines/>
        <c:numFmt formatCode="General" sourceLinked="1"/>
        <c:majorTickMark val="out"/>
        <c:minorTickMark val="none"/>
        <c:tickLblPos val="nextTo"/>
        <c:crossAx val="3100430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949153573085842E-2"/>
          <c:y val="5.1400554097404488E-2"/>
          <c:w val="0.93096781500936854"/>
          <c:h val="0.8326195683872849"/>
        </c:manualLayout>
      </c:layout>
      <c:lineChart>
        <c:grouping val="standard"/>
        <c:varyColors val="0"/>
        <c:ser>
          <c:idx val="1"/>
          <c:order val="0"/>
          <c:tx>
            <c:strRef>
              <c:f>IHC!$D$29</c:f>
              <c:strCache>
                <c:ptCount val="1"/>
                <c:pt idx="0">
                  <c:v>Effective $ rebate per IHC assay currently</c:v>
                </c:pt>
              </c:strCache>
            </c:strRef>
          </c:tx>
          <c:val>
            <c:numRef>
              <c:f>IHC!$D$30:$D$41</c:f>
              <c:numCache>
                <c:formatCode>General</c:formatCode>
                <c:ptCount val="12"/>
                <c:pt idx="0">
                  <c:v>59.6</c:v>
                </c:pt>
                <c:pt idx="1">
                  <c:v>29.8</c:v>
                </c:pt>
                <c:pt idx="2">
                  <c:v>19.87</c:v>
                </c:pt>
                <c:pt idx="3">
                  <c:v>22.35</c:v>
                </c:pt>
                <c:pt idx="4">
                  <c:v>17.88</c:v>
                </c:pt>
                <c:pt idx="5">
                  <c:v>14.9</c:v>
                </c:pt>
                <c:pt idx="6">
                  <c:v>15.32</c:v>
                </c:pt>
                <c:pt idx="7">
                  <c:v>13.4</c:v>
                </c:pt>
                <c:pt idx="8">
                  <c:v>11.59</c:v>
                </c:pt>
                <c:pt idx="9">
                  <c:v>10.43</c:v>
                </c:pt>
                <c:pt idx="10">
                  <c:v>10.83</c:v>
                </c:pt>
                <c:pt idx="11">
                  <c:v>9.93</c:v>
                </c:pt>
              </c:numCache>
            </c:numRef>
          </c:val>
          <c:smooth val="0"/>
          <c:extLst>
            <c:ext xmlns:c16="http://schemas.microsoft.com/office/drawing/2014/chart" uri="{C3380CC4-5D6E-409C-BE32-E72D297353CC}">
              <c16:uniqueId val="{00000000-7B7A-4C1C-A361-10BCD113FF57}"/>
            </c:ext>
          </c:extLst>
        </c:ser>
        <c:ser>
          <c:idx val="2"/>
          <c:order val="1"/>
          <c:tx>
            <c:strRef>
              <c:f>IHC!$E$29</c:f>
              <c:strCache>
                <c:ptCount val="1"/>
                <c:pt idx="0">
                  <c:v>Effective $ per assay if apply 100/50/25</c:v>
                </c:pt>
              </c:strCache>
            </c:strRef>
          </c:tx>
          <c:val>
            <c:numRef>
              <c:f>IHC!$E$30:$E$41</c:f>
              <c:numCache>
                <c:formatCode>General</c:formatCode>
                <c:ptCount val="12"/>
                <c:pt idx="0">
                  <c:v>59.6</c:v>
                </c:pt>
                <c:pt idx="1">
                  <c:v>44.7</c:v>
                </c:pt>
                <c:pt idx="2">
                  <c:v>34.770000000000003</c:v>
                </c:pt>
                <c:pt idx="3">
                  <c:v>29.8</c:v>
                </c:pt>
                <c:pt idx="4">
                  <c:v>26.82</c:v>
                </c:pt>
                <c:pt idx="5">
                  <c:v>24.830000000000002</c:v>
                </c:pt>
                <c:pt idx="6">
                  <c:v>23.41</c:v>
                </c:pt>
                <c:pt idx="7">
                  <c:v>22.35</c:v>
                </c:pt>
                <c:pt idx="8">
                  <c:v>21.52</c:v>
                </c:pt>
                <c:pt idx="9">
                  <c:v>20.86</c:v>
                </c:pt>
                <c:pt idx="10">
                  <c:v>20.32</c:v>
                </c:pt>
                <c:pt idx="11">
                  <c:v>19.87</c:v>
                </c:pt>
              </c:numCache>
            </c:numRef>
          </c:val>
          <c:smooth val="0"/>
          <c:extLst>
            <c:ext xmlns:c16="http://schemas.microsoft.com/office/drawing/2014/chart" uri="{C3380CC4-5D6E-409C-BE32-E72D297353CC}">
              <c16:uniqueId val="{00000001-7B7A-4C1C-A361-10BCD113FF57}"/>
            </c:ext>
          </c:extLst>
        </c:ser>
        <c:dLbls>
          <c:showLegendKey val="0"/>
          <c:showVal val="0"/>
          <c:showCatName val="0"/>
          <c:showSerName val="0"/>
          <c:showPercent val="0"/>
          <c:showBubbleSize val="0"/>
        </c:dLbls>
        <c:marker val="1"/>
        <c:smooth val="0"/>
        <c:axId val="315278080"/>
        <c:axId val="315279616"/>
      </c:lineChart>
      <c:catAx>
        <c:axId val="315278080"/>
        <c:scaling>
          <c:orientation val="minMax"/>
        </c:scaling>
        <c:delete val="0"/>
        <c:axPos val="b"/>
        <c:majorTickMark val="out"/>
        <c:minorTickMark val="none"/>
        <c:tickLblPos val="nextTo"/>
        <c:crossAx val="315279616"/>
        <c:crosses val="autoZero"/>
        <c:auto val="1"/>
        <c:lblAlgn val="ctr"/>
        <c:lblOffset val="100"/>
        <c:noMultiLvlLbl val="0"/>
      </c:catAx>
      <c:valAx>
        <c:axId val="315279616"/>
        <c:scaling>
          <c:orientation val="minMax"/>
        </c:scaling>
        <c:delete val="0"/>
        <c:axPos val="l"/>
        <c:majorGridlines/>
        <c:numFmt formatCode="General" sourceLinked="1"/>
        <c:majorTickMark val="out"/>
        <c:minorTickMark val="none"/>
        <c:tickLblPos val="nextTo"/>
        <c:crossAx val="315278080"/>
        <c:crosses val="autoZero"/>
        <c:crossBetween val="between"/>
      </c:valAx>
    </c:plotArea>
    <c:legend>
      <c:legendPos val="r"/>
      <c:layout>
        <c:manualLayout>
          <c:xMode val="edge"/>
          <c:yMode val="edge"/>
          <c:x val="0.63310851445958505"/>
          <c:y val="8.0850004766731598E-2"/>
          <c:w val="0.32942076261608594"/>
          <c:h val="0.25773376215108185"/>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46E-2"/>
          <c:y val="5.1400554097404488E-2"/>
          <c:w val="0.82426049868766382"/>
          <c:h val="0.8326195683872849"/>
        </c:manualLayout>
      </c:layout>
      <c:lineChart>
        <c:grouping val="standard"/>
        <c:varyColors val="0"/>
        <c:ser>
          <c:idx val="1"/>
          <c:order val="0"/>
          <c:tx>
            <c:strRef>
              <c:f>'[IHC Cyto FS analysis.xlsx]Froz'!$E$6</c:f>
              <c:strCache>
                <c:ptCount val="1"/>
                <c:pt idx="0">
                  <c:v>Effecitve current rebate</c:v>
                </c:pt>
              </c:strCache>
            </c:strRef>
          </c:tx>
          <c:val>
            <c:numRef>
              <c:f>'[IHC Cyto FS analysis.xlsx]Froz'!$E$7:$E$16</c:f>
              <c:numCache>
                <c:formatCode>General</c:formatCode>
                <c:ptCount val="10"/>
                <c:pt idx="0">
                  <c:v>184.35000000000002</c:v>
                </c:pt>
                <c:pt idx="1">
                  <c:v>122.9</c:v>
                </c:pt>
                <c:pt idx="2">
                  <c:v>81.93</c:v>
                </c:pt>
                <c:pt idx="3">
                  <c:v>61.449999999999996</c:v>
                </c:pt>
                <c:pt idx="4">
                  <c:v>57.349999999999994</c:v>
                </c:pt>
                <c:pt idx="5">
                  <c:v>47.790000000000006</c:v>
                </c:pt>
                <c:pt idx="6">
                  <c:v>40.96</c:v>
                </c:pt>
                <c:pt idx="7">
                  <c:v>35.839999999999996</c:v>
                </c:pt>
                <c:pt idx="8">
                  <c:v>31.86</c:v>
                </c:pt>
                <c:pt idx="9">
                  <c:v>28.68</c:v>
                </c:pt>
              </c:numCache>
            </c:numRef>
          </c:val>
          <c:smooth val="0"/>
          <c:extLst>
            <c:ext xmlns:c16="http://schemas.microsoft.com/office/drawing/2014/chart" uri="{C3380CC4-5D6E-409C-BE32-E72D297353CC}">
              <c16:uniqueId val="{00000000-B5CB-4B2D-9407-E94937F4E6C5}"/>
            </c:ext>
          </c:extLst>
        </c:ser>
        <c:ser>
          <c:idx val="2"/>
          <c:order val="1"/>
          <c:tx>
            <c:strRef>
              <c:f>'[IHC Cyto FS analysis.xlsx]Froz'!$F$6</c:f>
              <c:strCache>
                <c:ptCount val="1"/>
                <c:pt idx="0">
                  <c:v>"Surgical" Model</c:v>
                </c:pt>
              </c:strCache>
            </c:strRef>
          </c:tx>
          <c:val>
            <c:numRef>
              <c:f>'[IHC Cyto FS analysis.xlsx]Froz'!$F$7:$F$16</c:f>
              <c:numCache>
                <c:formatCode>General</c:formatCode>
                <c:ptCount val="10"/>
                <c:pt idx="0">
                  <c:v>184.35000000000002</c:v>
                </c:pt>
                <c:pt idx="1">
                  <c:v>138.26999999999998</c:v>
                </c:pt>
                <c:pt idx="2">
                  <c:v>107.54</c:v>
                </c:pt>
                <c:pt idx="3">
                  <c:v>92.179999999999993</c:v>
                </c:pt>
                <c:pt idx="4">
                  <c:v>82.960000000000008</c:v>
                </c:pt>
                <c:pt idx="5">
                  <c:v>76.819999999999993</c:v>
                </c:pt>
                <c:pt idx="6">
                  <c:v>72.430000000000007</c:v>
                </c:pt>
                <c:pt idx="7">
                  <c:v>69.13</c:v>
                </c:pt>
                <c:pt idx="8">
                  <c:v>66.569999999999993</c:v>
                </c:pt>
                <c:pt idx="9">
                  <c:v>64.52</c:v>
                </c:pt>
              </c:numCache>
            </c:numRef>
          </c:val>
          <c:smooth val="0"/>
          <c:extLst>
            <c:ext xmlns:c16="http://schemas.microsoft.com/office/drawing/2014/chart" uri="{C3380CC4-5D6E-409C-BE32-E72D297353CC}">
              <c16:uniqueId val="{00000001-B5CB-4B2D-9407-E94937F4E6C5}"/>
            </c:ext>
          </c:extLst>
        </c:ser>
        <c:dLbls>
          <c:showLegendKey val="0"/>
          <c:showVal val="0"/>
          <c:showCatName val="0"/>
          <c:showSerName val="0"/>
          <c:showPercent val="0"/>
          <c:showBubbleSize val="0"/>
        </c:dLbls>
        <c:marker val="1"/>
        <c:smooth val="0"/>
        <c:axId val="315387904"/>
        <c:axId val="315389440"/>
      </c:lineChart>
      <c:catAx>
        <c:axId val="315387904"/>
        <c:scaling>
          <c:orientation val="minMax"/>
        </c:scaling>
        <c:delete val="0"/>
        <c:axPos val="b"/>
        <c:majorTickMark val="out"/>
        <c:minorTickMark val="none"/>
        <c:tickLblPos val="nextTo"/>
        <c:crossAx val="315389440"/>
        <c:crosses val="autoZero"/>
        <c:auto val="1"/>
        <c:lblAlgn val="ctr"/>
        <c:lblOffset val="100"/>
        <c:noMultiLvlLbl val="0"/>
      </c:catAx>
      <c:valAx>
        <c:axId val="315389440"/>
        <c:scaling>
          <c:orientation val="minMax"/>
        </c:scaling>
        <c:delete val="0"/>
        <c:axPos val="l"/>
        <c:majorGridlines/>
        <c:numFmt formatCode="General" sourceLinked="1"/>
        <c:majorTickMark val="out"/>
        <c:minorTickMark val="none"/>
        <c:tickLblPos val="nextTo"/>
        <c:crossAx val="315387904"/>
        <c:crosses val="autoZero"/>
        <c:crossBetween val="between"/>
      </c:valAx>
    </c:plotArea>
    <c:legend>
      <c:legendPos val="r"/>
      <c:layout>
        <c:manualLayout>
          <c:xMode val="edge"/>
          <c:yMode val="edge"/>
          <c:x val="0.58230441329671578"/>
          <c:y val="7.793598716827066E-2"/>
          <c:w val="0.28090141519593165"/>
          <c:h val="0.27931321084864397"/>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404268666784E-2"/>
          <c:y val="4.4347546179369084E-2"/>
          <c:w val="0.88610307718565051"/>
          <c:h val="0.83607760114891294"/>
        </c:manualLayout>
      </c:layout>
      <c:barChart>
        <c:barDir val="col"/>
        <c:grouping val="clustered"/>
        <c:varyColors val="0"/>
        <c:ser>
          <c:idx val="0"/>
          <c:order val="0"/>
          <c:tx>
            <c:strRef>
              <c:f>'Further analysis for Report'!$E$12</c:f>
              <c:strCache>
                <c:ptCount val="1"/>
                <c:pt idx="0">
                  <c:v>Medicare%</c:v>
                </c:pt>
              </c:strCache>
            </c:strRef>
          </c:tx>
          <c:invertIfNegative val="0"/>
          <c:cat>
            <c:strRef>
              <c:f>'Further analysis for Report'!$D$13:$D$25</c:f>
              <c:strCache>
                <c:ptCount val="13"/>
                <c:pt idx="0">
                  <c:v>i72813</c:v>
                </c:pt>
                <c:pt idx="1">
                  <c:v>i72816</c:v>
                </c:pt>
                <c:pt idx="2">
                  <c:v>i72817</c:v>
                </c:pt>
                <c:pt idx="3">
                  <c:v>i72818</c:v>
                </c:pt>
                <c:pt idx="4">
                  <c:v>i72823</c:v>
                </c:pt>
                <c:pt idx="5">
                  <c:v>i72824</c:v>
                </c:pt>
                <c:pt idx="6">
                  <c:v>i72825</c:v>
                </c:pt>
                <c:pt idx="7">
                  <c:v>i72826</c:v>
                </c:pt>
                <c:pt idx="8">
                  <c:v>i72827</c:v>
                </c:pt>
                <c:pt idx="9">
                  <c:v>i72828</c:v>
                </c:pt>
                <c:pt idx="10">
                  <c:v>i72830</c:v>
                </c:pt>
                <c:pt idx="11">
                  <c:v>i72836</c:v>
                </c:pt>
                <c:pt idx="12">
                  <c:v>i72838</c:v>
                </c:pt>
              </c:strCache>
            </c:strRef>
          </c:cat>
          <c:val>
            <c:numRef>
              <c:f>'Further analysis for Report'!$E$13:$E$25</c:f>
              <c:numCache>
                <c:formatCode>General</c:formatCode>
                <c:ptCount val="13"/>
                <c:pt idx="0">
                  <c:v>0.39000000000000007</c:v>
                </c:pt>
                <c:pt idx="1">
                  <c:v>44.290000000000006</c:v>
                </c:pt>
                <c:pt idx="2">
                  <c:v>11.5</c:v>
                </c:pt>
                <c:pt idx="3">
                  <c:v>0.62000000000000011</c:v>
                </c:pt>
                <c:pt idx="4">
                  <c:v>22.45</c:v>
                </c:pt>
                <c:pt idx="5">
                  <c:v>13.53</c:v>
                </c:pt>
                <c:pt idx="6">
                  <c:v>2.2000000000000002</c:v>
                </c:pt>
                <c:pt idx="7">
                  <c:v>0.60000000000000009</c:v>
                </c:pt>
                <c:pt idx="8">
                  <c:v>0.16</c:v>
                </c:pt>
                <c:pt idx="9">
                  <c:v>8.0000000000000016E-2</c:v>
                </c:pt>
                <c:pt idx="10">
                  <c:v>2.9699999999999998</c:v>
                </c:pt>
                <c:pt idx="11">
                  <c:v>0.76000000000000012</c:v>
                </c:pt>
                <c:pt idx="12">
                  <c:v>0.45</c:v>
                </c:pt>
              </c:numCache>
            </c:numRef>
          </c:val>
          <c:extLst>
            <c:ext xmlns:c16="http://schemas.microsoft.com/office/drawing/2014/chart" uri="{C3380CC4-5D6E-409C-BE32-E72D297353CC}">
              <c16:uniqueId val="{00000000-1B8C-42C4-8E3B-45DE9871FD76}"/>
            </c:ext>
          </c:extLst>
        </c:ser>
        <c:ser>
          <c:idx val="1"/>
          <c:order val="1"/>
          <c:tx>
            <c:strRef>
              <c:f>'Further analysis for Report'!$F$12</c:f>
              <c:strCache>
                <c:ptCount val="1"/>
                <c:pt idx="0">
                  <c:v>LabD%</c:v>
                </c:pt>
              </c:strCache>
            </c:strRef>
          </c:tx>
          <c:invertIfNegative val="0"/>
          <c:cat>
            <c:strRef>
              <c:f>'Further analysis for Report'!$D$13:$D$25</c:f>
              <c:strCache>
                <c:ptCount val="13"/>
                <c:pt idx="0">
                  <c:v>i72813</c:v>
                </c:pt>
                <c:pt idx="1">
                  <c:v>i72816</c:v>
                </c:pt>
                <c:pt idx="2">
                  <c:v>i72817</c:v>
                </c:pt>
                <c:pt idx="3">
                  <c:v>i72818</c:v>
                </c:pt>
                <c:pt idx="4">
                  <c:v>i72823</c:v>
                </c:pt>
                <c:pt idx="5">
                  <c:v>i72824</c:v>
                </c:pt>
                <c:pt idx="6">
                  <c:v>i72825</c:v>
                </c:pt>
                <c:pt idx="7">
                  <c:v>i72826</c:v>
                </c:pt>
                <c:pt idx="8">
                  <c:v>i72827</c:v>
                </c:pt>
                <c:pt idx="9">
                  <c:v>i72828</c:v>
                </c:pt>
                <c:pt idx="10">
                  <c:v>i72830</c:v>
                </c:pt>
                <c:pt idx="11">
                  <c:v>i72836</c:v>
                </c:pt>
                <c:pt idx="12">
                  <c:v>i72838</c:v>
                </c:pt>
              </c:strCache>
            </c:strRef>
          </c:cat>
          <c:val>
            <c:numRef>
              <c:f>'Further analysis for Report'!$F$13:$F$25</c:f>
              <c:numCache>
                <c:formatCode>0.00</c:formatCode>
                <c:ptCount val="13"/>
                <c:pt idx="0">
                  <c:v>0.14391077531930205</c:v>
                </c:pt>
                <c:pt idx="1">
                  <c:v>47.175751034358704</c:v>
                </c:pt>
                <c:pt idx="2">
                  <c:v>17.638064400071958</c:v>
                </c:pt>
                <c:pt idx="3">
                  <c:v>0.81849253462853044</c:v>
                </c:pt>
                <c:pt idx="4">
                  <c:v>22.656952689332616</c:v>
                </c:pt>
                <c:pt idx="5">
                  <c:v>6.7278287461773685</c:v>
                </c:pt>
                <c:pt idx="6">
                  <c:v>0.62960964202194658</c:v>
                </c:pt>
                <c:pt idx="7">
                  <c:v>0.14391077531930205</c:v>
                </c:pt>
                <c:pt idx="8">
                  <c:v>0.20687173952149671</c:v>
                </c:pt>
                <c:pt idx="9">
                  <c:v>1.7988846914912756E-2</c:v>
                </c:pt>
                <c:pt idx="10">
                  <c:v>2.7972656952689334</c:v>
                </c:pt>
                <c:pt idx="11">
                  <c:v>0.60262637164957755</c:v>
                </c:pt>
                <c:pt idx="12">
                  <c:v>0.44072674941536244</c:v>
                </c:pt>
              </c:numCache>
            </c:numRef>
          </c:val>
          <c:extLst>
            <c:ext xmlns:c16="http://schemas.microsoft.com/office/drawing/2014/chart" uri="{C3380CC4-5D6E-409C-BE32-E72D297353CC}">
              <c16:uniqueId val="{00000001-1B8C-42C4-8E3B-45DE9871FD76}"/>
            </c:ext>
          </c:extLst>
        </c:ser>
        <c:ser>
          <c:idx val="2"/>
          <c:order val="2"/>
          <c:tx>
            <c:strRef>
              <c:f>'Further analysis for Report'!$G$12</c:f>
              <c:strCache>
                <c:ptCount val="1"/>
                <c:pt idx="0">
                  <c:v>LabC%</c:v>
                </c:pt>
              </c:strCache>
            </c:strRef>
          </c:tx>
          <c:invertIfNegative val="0"/>
          <c:cat>
            <c:strRef>
              <c:f>'Further analysis for Report'!$D$13:$D$25</c:f>
              <c:strCache>
                <c:ptCount val="13"/>
                <c:pt idx="0">
                  <c:v>i72813</c:v>
                </c:pt>
                <c:pt idx="1">
                  <c:v>i72816</c:v>
                </c:pt>
                <c:pt idx="2">
                  <c:v>i72817</c:v>
                </c:pt>
                <c:pt idx="3">
                  <c:v>i72818</c:v>
                </c:pt>
                <c:pt idx="4">
                  <c:v>i72823</c:v>
                </c:pt>
                <c:pt idx="5">
                  <c:v>i72824</c:v>
                </c:pt>
                <c:pt idx="6">
                  <c:v>i72825</c:v>
                </c:pt>
                <c:pt idx="7">
                  <c:v>i72826</c:v>
                </c:pt>
                <c:pt idx="8">
                  <c:v>i72827</c:v>
                </c:pt>
                <c:pt idx="9">
                  <c:v>i72828</c:v>
                </c:pt>
                <c:pt idx="10">
                  <c:v>i72830</c:v>
                </c:pt>
                <c:pt idx="11">
                  <c:v>i72836</c:v>
                </c:pt>
                <c:pt idx="12">
                  <c:v>i72838</c:v>
                </c:pt>
              </c:strCache>
            </c:strRef>
          </c:cat>
          <c:val>
            <c:numRef>
              <c:f>'Further analysis for Report'!$G$13:$G$25</c:f>
              <c:numCache>
                <c:formatCode>0.00</c:formatCode>
                <c:ptCount val="13"/>
                <c:pt idx="0">
                  <c:v>0.85470085470085488</c:v>
                </c:pt>
                <c:pt idx="1">
                  <c:v>20.940170940170933</c:v>
                </c:pt>
                <c:pt idx="2">
                  <c:v>5.1282051282051277</c:v>
                </c:pt>
                <c:pt idx="3">
                  <c:v>0.4273504273504275</c:v>
                </c:pt>
                <c:pt idx="4">
                  <c:v>32.05128205128203</c:v>
                </c:pt>
                <c:pt idx="5">
                  <c:v>18.803418803418804</c:v>
                </c:pt>
                <c:pt idx="6">
                  <c:v>6.8376068376068373</c:v>
                </c:pt>
                <c:pt idx="7">
                  <c:v>2.5641025641025643</c:v>
                </c:pt>
                <c:pt idx="8">
                  <c:v>0</c:v>
                </c:pt>
                <c:pt idx="9">
                  <c:v>0</c:v>
                </c:pt>
                <c:pt idx="10">
                  <c:v>7.6923076923076925</c:v>
                </c:pt>
                <c:pt idx="11">
                  <c:v>2.991452991452991</c:v>
                </c:pt>
                <c:pt idx="12">
                  <c:v>1.7094017094017095</c:v>
                </c:pt>
              </c:numCache>
            </c:numRef>
          </c:val>
          <c:extLst>
            <c:ext xmlns:c16="http://schemas.microsoft.com/office/drawing/2014/chart" uri="{C3380CC4-5D6E-409C-BE32-E72D297353CC}">
              <c16:uniqueId val="{00000002-1B8C-42C4-8E3B-45DE9871FD76}"/>
            </c:ext>
          </c:extLst>
        </c:ser>
        <c:ser>
          <c:idx val="3"/>
          <c:order val="3"/>
          <c:tx>
            <c:strRef>
              <c:f>'Further analysis for Report'!$H$12</c:f>
              <c:strCache>
                <c:ptCount val="1"/>
                <c:pt idx="0">
                  <c:v>LabA%</c:v>
                </c:pt>
              </c:strCache>
            </c:strRef>
          </c:tx>
          <c:invertIfNegative val="0"/>
          <c:cat>
            <c:strRef>
              <c:f>'Further analysis for Report'!$D$13:$D$25</c:f>
              <c:strCache>
                <c:ptCount val="13"/>
                <c:pt idx="0">
                  <c:v>i72813</c:v>
                </c:pt>
                <c:pt idx="1">
                  <c:v>i72816</c:v>
                </c:pt>
                <c:pt idx="2">
                  <c:v>i72817</c:v>
                </c:pt>
                <c:pt idx="3">
                  <c:v>i72818</c:v>
                </c:pt>
                <c:pt idx="4">
                  <c:v>i72823</c:v>
                </c:pt>
                <c:pt idx="5">
                  <c:v>i72824</c:v>
                </c:pt>
                <c:pt idx="6">
                  <c:v>i72825</c:v>
                </c:pt>
                <c:pt idx="7">
                  <c:v>i72826</c:v>
                </c:pt>
                <c:pt idx="8">
                  <c:v>i72827</c:v>
                </c:pt>
                <c:pt idx="9">
                  <c:v>i72828</c:v>
                </c:pt>
                <c:pt idx="10">
                  <c:v>i72830</c:v>
                </c:pt>
                <c:pt idx="11">
                  <c:v>i72836</c:v>
                </c:pt>
                <c:pt idx="12">
                  <c:v>i72838</c:v>
                </c:pt>
              </c:strCache>
            </c:strRef>
          </c:cat>
          <c:val>
            <c:numRef>
              <c:f>'Further analysis for Report'!$H$13:$H$25</c:f>
              <c:numCache>
                <c:formatCode>0.00</c:formatCode>
                <c:ptCount val="13"/>
                <c:pt idx="0">
                  <c:v>1.3031227987790557</c:v>
                </c:pt>
                <c:pt idx="1">
                  <c:v>24.559755811223287</c:v>
                </c:pt>
                <c:pt idx="2">
                  <c:v>6.7621507396102363</c:v>
                </c:pt>
                <c:pt idx="3">
                  <c:v>0.55177271660014104</c:v>
                </c:pt>
                <c:pt idx="4">
                  <c:v>27.565156139938946</c:v>
                </c:pt>
                <c:pt idx="5">
                  <c:v>22.023949283869449</c:v>
                </c:pt>
                <c:pt idx="6">
                  <c:v>2.2540502465367456</c:v>
                </c:pt>
                <c:pt idx="7">
                  <c:v>0.55177271660014104</c:v>
                </c:pt>
                <c:pt idx="8">
                  <c:v>0.45785395632777659</c:v>
                </c:pt>
                <c:pt idx="9">
                  <c:v>3.521953510213665E-2</c:v>
                </c:pt>
                <c:pt idx="10">
                  <c:v>9.1218595914533935</c:v>
                </c:pt>
                <c:pt idx="11">
                  <c:v>3.4045550598732093</c:v>
                </c:pt>
                <c:pt idx="12">
                  <c:v>1.4087814040854658</c:v>
                </c:pt>
              </c:numCache>
            </c:numRef>
          </c:val>
          <c:extLst>
            <c:ext xmlns:c16="http://schemas.microsoft.com/office/drawing/2014/chart" uri="{C3380CC4-5D6E-409C-BE32-E72D297353CC}">
              <c16:uniqueId val="{00000003-1B8C-42C4-8E3B-45DE9871FD76}"/>
            </c:ext>
          </c:extLst>
        </c:ser>
        <c:dLbls>
          <c:showLegendKey val="0"/>
          <c:showVal val="0"/>
          <c:showCatName val="0"/>
          <c:showSerName val="0"/>
          <c:showPercent val="0"/>
          <c:showBubbleSize val="0"/>
        </c:dLbls>
        <c:gapWidth val="150"/>
        <c:axId val="312775808"/>
        <c:axId val="312777344"/>
      </c:barChart>
      <c:catAx>
        <c:axId val="312775808"/>
        <c:scaling>
          <c:orientation val="minMax"/>
        </c:scaling>
        <c:delete val="0"/>
        <c:axPos val="b"/>
        <c:numFmt formatCode="General" sourceLinked="0"/>
        <c:majorTickMark val="out"/>
        <c:minorTickMark val="none"/>
        <c:tickLblPos val="nextTo"/>
        <c:txPr>
          <a:bodyPr rot="2700000" vert="horz"/>
          <a:lstStyle/>
          <a:p>
            <a:pPr>
              <a:defRPr/>
            </a:pPr>
            <a:endParaRPr lang="en-US"/>
          </a:p>
        </c:txPr>
        <c:crossAx val="312777344"/>
        <c:crosses val="autoZero"/>
        <c:auto val="1"/>
        <c:lblAlgn val="ctr"/>
        <c:lblOffset val="100"/>
        <c:noMultiLvlLbl val="0"/>
      </c:catAx>
      <c:valAx>
        <c:axId val="312777344"/>
        <c:scaling>
          <c:orientation val="minMax"/>
        </c:scaling>
        <c:delete val="0"/>
        <c:axPos val="l"/>
        <c:majorGridlines/>
        <c:numFmt formatCode="General" sourceLinked="1"/>
        <c:majorTickMark val="out"/>
        <c:minorTickMark val="none"/>
        <c:tickLblPos val="nextTo"/>
        <c:crossAx val="312775808"/>
        <c:crosses val="autoZero"/>
        <c:crossBetween val="between"/>
      </c:valAx>
    </c:plotArea>
    <c:legend>
      <c:legendPos val="r"/>
      <c:layout>
        <c:manualLayout>
          <c:xMode val="edge"/>
          <c:yMode val="edge"/>
          <c:x val="0.76462883264372306"/>
          <c:y val="5.94173723567573E-2"/>
          <c:w val="0.14690025785441146"/>
          <c:h val="0.22745803001039969"/>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MBS Cytology</a:t>
            </a:r>
            <a:r>
              <a:rPr lang="en-AU" sz="1200" baseline="0"/>
              <a:t> </a:t>
            </a:r>
            <a:r>
              <a:rPr lang="en-AU" sz="1200"/>
              <a:t>services 2014-15</a:t>
            </a:r>
          </a:p>
        </c:rich>
      </c:tx>
      <c:overlay val="0"/>
    </c:title>
    <c:autoTitleDeleted val="0"/>
    <c:plotArea>
      <c:layout/>
      <c:barChart>
        <c:barDir val="col"/>
        <c:grouping val="clustered"/>
        <c:varyColors val="0"/>
        <c:ser>
          <c:idx val="0"/>
          <c:order val="0"/>
          <c:tx>
            <c:strRef>
              <c:f>Cyto!$K$3</c:f>
              <c:strCache>
                <c:ptCount val="1"/>
                <c:pt idx="0">
                  <c:v>Number of services</c:v>
                </c:pt>
              </c:strCache>
            </c:strRef>
          </c:tx>
          <c:invertIfNegative val="0"/>
          <c:cat>
            <c:strRef>
              <c:f>Cyto!$J$4:$J$15</c:f>
              <c:strCache>
                <c:ptCount val="12"/>
                <c:pt idx="0">
                  <c:v>i73053</c:v>
                </c:pt>
                <c:pt idx="1">
                  <c:v>i73055</c:v>
                </c:pt>
                <c:pt idx="2">
                  <c:v>i73057</c:v>
                </c:pt>
                <c:pt idx="3">
                  <c:v>i73043</c:v>
                </c:pt>
                <c:pt idx="4">
                  <c:v>i73045</c:v>
                </c:pt>
                <c:pt idx="5">
                  <c:v>i73047</c:v>
                </c:pt>
                <c:pt idx="6">
                  <c:v>i73049</c:v>
                </c:pt>
                <c:pt idx="7">
                  <c:v>i73062</c:v>
                </c:pt>
                <c:pt idx="8">
                  <c:v>i73063</c:v>
                </c:pt>
                <c:pt idx="9">
                  <c:v>i73067</c:v>
                </c:pt>
                <c:pt idx="10">
                  <c:v>i73051</c:v>
                </c:pt>
                <c:pt idx="11">
                  <c:v>i73066</c:v>
                </c:pt>
              </c:strCache>
            </c:strRef>
          </c:cat>
          <c:val>
            <c:numRef>
              <c:f>Cyto!$K$4:$K$15</c:f>
              <c:numCache>
                <c:formatCode>#,##0</c:formatCode>
                <c:ptCount val="12"/>
                <c:pt idx="0">
                  <c:v>1547997</c:v>
                </c:pt>
                <c:pt idx="1">
                  <c:v>219364</c:v>
                </c:pt>
                <c:pt idx="2">
                  <c:v>29916</c:v>
                </c:pt>
                <c:pt idx="3">
                  <c:v>2272</c:v>
                </c:pt>
                <c:pt idx="4">
                  <c:v>108241</c:v>
                </c:pt>
                <c:pt idx="5">
                  <c:v>52240</c:v>
                </c:pt>
                <c:pt idx="6">
                  <c:v>61445</c:v>
                </c:pt>
                <c:pt idx="7">
                  <c:v>8777</c:v>
                </c:pt>
                <c:pt idx="8">
                  <c:v>17044</c:v>
                </c:pt>
                <c:pt idx="9">
                  <c:v>2976</c:v>
                </c:pt>
                <c:pt idx="10">
                  <c:v>8617</c:v>
                </c:pt>
                <c:pt idx="11">
                  <c:v>2520</c:v>
                </c:pt>
              </c:numCache>
            </c:numRef>
          </c:val>
          <c:extLst>
            <c:ext xmlns:c16="http://schemas.microsoft.com/office/drawing/2014/chart" uri="{C3380CC4-5D6E-409C-BE32-E72D297353CC}">
              <c16:uniqueId val="{00000000-35D3-4762-91C3-D90EFF8E7D11}"/>
            </c:ext>
          </c:extLst>
        </c:ser>
        <c:dLbls>
          <c:showLegendKey val="0"/>
          <c:showVal val="0"/>
          <c:showCatName val="0"/>
          <c:showSerName val="0"/>
          <c:showPercent val="0"/>
          <c:showBubbleSize val="0"/>
        </c:dLbls>
        <c:gapWidth val="150"/>
        <c:axId val="312798592"/>
        <c:axId val="312800384"/>
      </c:barChart>
      <c:catAx>
        <c:axId val="312798592"/>
        <c:scaling>
          <c:orientation val="minMax"/>
        </c:scaling>
        <c:delete val="0"/>
        <c:axPos val="b"/>
        <c:numFmt formatCode="General" sourceLinked="0"/>
        <c:majorTickMark val="out"/>
        <c:minorTickMark val="none"/>
        <c:tickLblPos val="nextTo"/>
        <c:crossAx val="312800384"/>
        <c:crosses val="autoZero"/>
        <c:auto val="1"/>
        <c:lblAlgn val="ctr"/>
        <c:lblOffset val="100"/>
        <c:noMultiLvlLbl val="0"/>
      </c:catAx>
      <c:valAx>
        <c:axId val="312800384"/>
        <c:scaling>
          <c:orientation val="minMax"/>
        </c:scaling>
        <c:delete val="0"/>
        <c:axPos val="l"/>
        <c:majorGridlines/>
        <c:numFmt formatCode="#,##0" sourceLinked="1"/>
        <c:majorTickMark val="out"/>
        <c:minorTickMark val="none"/>
        <c:tickLblPos val="nextTo"/>
        <c:crossAx val="312798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Number of services excluding GYN 2014-15</a:t>
            </a:r>
          </a:p>
        </c:rich>
      </c:tx>
      <c:overlay val="0"/>
    </c:title>
    <c:autoTitleDeleted val="0"/>
    <c:plotArea>
      <c:layout/>
      <c:barChart>
        <c:barDir val="col"/>
        <c:grouping val="clustered"/>
        <c:varyColors val="0"/>
        <c:ser>
          <c:idx val="3"/>
          <c:order val="0"/>
          <c:tx>
            <c:strRef>
              <c:f>Cyto!$K$3</c:f>
              <c:strCache>
                <c:ptCount val="1"/>
                <c:pt idx="0">
                  <c:v>Number of services</c:v>
                </c:pt>
              </c:strCache>
            </c:strRef>
          </c:tx>
          <c:invertIfNegative val="0"/>
          <c:cat>
            <c:strRef>
              <c:f>Cyto!$J$7:$J$15</c:f>
              <c:strCache>
                <c:ptCount val="9"/>
                <c:pt idx="0">
                  <c:v>i73043</c:v>
                </c:pt>
                <c:pt idx="1">
                  <c:v>i73045</c:v>
                </c:pt>
                <c:pt idx="2">
                  <c:v>i73047</c:v>
                </c:pt>
                <c:pt idx="3">
                  <c:v>i73049</c:v>
                </c:pt>
                <c:pt idx="4">
                  <c:v>i73062</c:v>
                </c:pt>
                <c:pt idx="5">
                  <c:v>i73063</c:v>
                </c:pt>
                <c:pt idx="6">
                  <c:v>i73067</c:v>
                </c:pt>
                <c:pt idx="7">
                  <c:v>i73051</c:v>
                </c:pt>
                <c:pt idx="8">
                  <c:v>i73066</c:v>
                </c:pt>
              </c:strCache>
            </c:strRef>
          </c:cat>
          <c:val>
            <c:numRef>
              <c:f>Cyto!$K$7:$K$15</c:f>
              <c:numCache>
                <c:formatCode>#,##0</c:formatCode>
                <c:ptCount val="9"/>
                <c:pt idx="0">
                  <c:v>2272</c:v>
                </c:pt>
                <c:pt idx="1">
                  <c:v>108241</c:v>
                </c:pt>
                <c:pt idx="2">
                  <c:v>52240</c:v>
                </c:pt>
                <c:pt idx="3">
                  <c:v>61445</c:v>
                </c:pt>
                <c:pt idx="4">
                  <c:v>8777</c:v>
                </c:pt>
                <c:pt idx="5">
                  <c:v>17044</c:v>
                </c:pt>
                <c:pt idx="6">
                  <c:v>2976</c:v>
                </c:pt>
                <c:pt idx="7">
                  <c:v>8617</c:v>
                </c:pt>
                <c:pt idx="8">
                  <c:v>2520</c:v>
                </c:pt>
              </c:numCache>
            </c:numRef>
          </c:val>
          <c:extLst>
            <c:ext xmlns:c16="http://schemas.microsoft.com/office/drawing/2014/chart" uri="{C3380CC4-5D6E-409C-BE32-E72D297353CC}">
              <c16:uniqueId val="{00000000-0621-47B7-85B7-9166BCEEBA47}"/>
            </c:ext>
          </c:extLst>
        </c:ser>
        <c:dLbls>
          <c:showLegendKey val="0"/>
          <c:showVal val="0"/>
          <c:showCatName val="0"/>
          <c:showSerName val="0"/>
          <c:showPercent val="0"/>
          <c:showBubbleSize val="0"/>
        </c:dLbls>
        <c:gapWidth val="150"/>
        <c:axId val="313881728"/>
        <c:axId val="313883264"/>
      </c:barChart>
      <c:catAx>
        <c:axId val="313881728"/>
        <c:scaling>
          <c:orientation val="minMax"/>
        </c:scaling>
        <c:delete val="0"/>
        <c:axPos val="b"/>
        <c:numFmt formatCode="General" sourceLinked="0"/>
        <c:majorTickMark val="out"/>
        <c:minorTickMark val="none"/>
        <c:tickLblPos val="nextTo"/>
        <c:crossAx val="313883264"/>
        <c:crosses val="autoZero"/>
        <c:auto val="1"/>
        <c:lblAlgn val="ctr"/>
        <c:lblOffset val="100"/>
        <c:noMultiLvlLbl val="0"/>
      </c:catAx>
      <c:valAx>
        <c:axId val="313883264"/>
        <c:scaling>
          <c:orientation val="minMax"/>
        </c:scaling>
        <c:delete val="0"/>
        <c:axPos val="l"/>
        <c:majorGridlines/>
        <c:numFmt formatCode="#,##0" sourceLinked="1"/>
        <c:majorTickMark val="out"/>
        <c:minorTickMark val="none"/>
        <c:tickLblPos val="nextTo"/>
        <c:crossAx val="3138817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702E-2"/>
          <c:y val="5.1400554097404488E-2"/>
          <c:w val="0.86858223972003479"/>
          <c:h val="0.76113808690580365"/>
        </c:manualLayout>
      </c:layout>
      <c:barChart>
        <c:barDir val="col"/>
        <c:grouping val="clustered"/>
        <c:varyColors val="0"/>
        <c:ser>
          <c:idx val="2"/>
          <c:order val="0"/>
          <c:tx>
            <c:strRef>
              <c:f>Analysis!$L$69</c:f>
              <c:strCache>
                <c:ptCount val="1"/>
                <c:pt idx="0">
                  <c:v>current% coned Accessions</c:v>
                </c:pt>
              </c:strCache>
            </c:strRef>
          </c:tx>
          <c:invertIfNegative val="0"/>
          <c:cat>
            <c:strRef>
              <c:f>Analysis!$I$70:$I$82</c:f>
              <c:strCache>
                <c:ptCount val="13"/>
                <c:pt idx="0">
                  <c:v>i72813</c:v>
                </c:pt>
                <c:pt idx="1">
                  <c:v>i72816</c:v>
                </c:pt>
                <c:pt idx="2">
                  <c:v>i72817</c:v>
                </c:pt>
                <c:pt idx="3">
                  <c:v>i72817</c:v>
                </c:pt>
                <c:pt idx="4">
                  <c:v>i72823</c:v>
                </c:pt>
                <c:pt idx="5">
                  <c:v>i72824</c:v>
                </c:pt>
                <c:pt idx="6">
                  <c:v>i72825</c:v>
                </c:pt>
                <c:pt idx="7">
                  <c:v>i72826</c:v>
                </c:pt>
                <c:pt idx="8">
                  <c:v>i72827</c:v>
                </c:pt>
                <c:pt idx="9">
                  <c:v>i72828</c:v>
                </c:pt>
                <c:pt idx="10">
                  <c:v>i72830</c:v>
                </c:pt>
                <c:pt idx="11">
                  <c:v>i72836</c:v>
                </c:pt>
                <c:pt idx="12">
                  <c:v>i72838</c:v>
                </c:pt>
              </c:strCache>
            </c:strRef>
          </c:cat>
          <c:val>
            <c:numRef>
              <c:f>Analysis!$L$70:$L$82</c:f>
              <c:numCache>
                <c:formatCode>0.0</c:formatCode>
                <c:ptCount val="13"/>
                <c:pt idx="0">
                  <c:v>0.14391077531930208</c:v>
                </c:pt>
                <c:pt idx="1">
                  <c:v>47.175751034358719</c:v>
                </c:pt>
                <c:pt idx="2">
                  <c:v>17.638064400071958</c:v>
                </c:pt>
                <c:pt idx="3">
                  <c:v>0.81849253462853055</c:v>
                </c:pt>
                <c:pt idx="4">
                  <c:v>22.69293038316243</c:v>
                </c:pt>
                <c:pt idx="5">
                  <c:v>6.7278287461773685</c:v>
                </c:pt>
                <c:pt idx="6">
                  <c:v>0.6296096420219468</c:v>
                </c:pt>
                <c:pt idx="7">
                  <c:v>0.14391077531930208</c:v>
                </c:pt>
                <c:pt idx="8">
                  <c:v>0.20687173952149673</c:v>
                </c:pt>
                <c:pt idx="9">
                  <c:v>1.7988846914912759E-2</c:v>
                </c:pt>
                <c:pt idx="10">
                  <c:v>2.7612880014391079</c:v>
                </c:pt>
                <c:pt idx="11">
                  <c:v>0.60262637164957777</c:v>
                </c:pt>
                <c:pt idx="12">
                  <c:v>0.44072674941536244</c:v>
                </c:pt>
              </c:numCache>
            </c:numRef>
          </c:val>
          <c:extLst>
            <c:ext xmlns:c16="http://schemas.microsoft.com/office/drawing/2014/chart" uri="{C3380CC4-5D6E-409C-BE32-E72D297353CC}">
              <c16:uniqueId val="{00000000-4664-444D-9990-F559DF43BB46}"/>
            </c:ext>
          </c:extLst>
        </c:ser>
        <c:ser>
          <c:idx val="3"/>
          <c:order val="1"/>
          <c:tx>
            <c:strRef>
              <c:f>Analysis!$M$69</c:f>
              <c:strCache>
                <c:ptCount val="1"/>
                <c:pt idx="0">
                  <c:v>% coned Accessions with Complexity changes </c:v>
                </c:pt>
              </c:strCache>
            </c:strRef>
          </c:tx>
          <c:invertIfNegative val="0"/>
          <c:cat>
            <c:strRef>
              <c:f>Analysis!$I$70:$I$82</c:f>
              <c:strCache>
                <c:ptCount val="13"/>
                <c:pt idx="0">
                  <c:v>i72813</c:v>
                </c:pt>
                <c:pt idx="1">
                  <c:v>i72816</c:v>
                </c:pt>
                <c:pt idx="2">
                  <c:v>i72817</c:v>
                </c:pt>
                <c:pt idx="3">
                  <c:v>i72817</c:v>
                </c:pt>
                <c:pt idx="4">
                  <c:v>i72823</c:v>
                </c:pt>
                <c:pt idx="5">
                  <c:v>i72824</c:v>
                </c:pt>
                <c:pt idx="6">
                  <c:v>i72825</c:v>
                </c:pt>
                <c:pt idx="7">
                  <c:v>i72826</c:v>
                </c:pt>
                <c:pt idx="8">
                  <c:v>i72827</c:v>
                </c:pt>
                <c:pt idx="9">
                  <c:v>i72828</c:v>
                </c:pt>
                <c:pt idx="10">
                  <c:v>i72830</c:v>
                </c:pt>
                <c:pt idx="11">
                  <c:v>i72836</c:v>
                </c:pt>
                <c:pt idx="12">
                  <c:v>i72838</c:v>
                </c:pt>
              </c:strCache>
            </c:strRef>
          </c:cat>
          <c:val>
            <c:numRef>
              <c:f>Analysis!$M$70:$M$82</c:f>
              <c:numCache>
                <c:formatCode>0.0</c:formatCode>
                <c:ptCount val="13"/>
                <c:pt idx="0">
                  <c:v>0.14391077531930208</c:v>
                </c:pt>
                <c:pt idx="1">
                  <c:v>46.959884871379728</c:v>
                </c:pt>
                <c:pt idx="2">
                  <c:v>17.62007555315704</c:v>
                </c:pt>
                <c:pt idx="3">
                  <c:v>0.81849253462853055</c:v>
                </c:pt>
                <c:pt idx="4">
                  <c:v>20.021586616297892</c:v>
                </c:pt>
                <c:pt idx="5">
                  <c:v>6.0172692930383178</c:v>
                </c:pt>
                <c:pt idx="6">
                  <c:v>0.6296096420219468</c:v>
                </c:pt>
                <c:pt idx="7">
                  <c:v>0.14391077531930208</c:v>
                </c:pt>
                <c:pt idx="8">
                  <c:v>0.20687173952149673</c:v>
                </c:pt>
                <c:pt idx="9">
                  <c:v>1.7988846914912759E-2</c:v>
                </c:pt>
                <c:pt idx="10">
                  <c:v>6.134196797985247</c:v>
                </c:pt>
                <c:pt idx="11">
                  <c:v>0.48569886670264456</c:v>
                </c:pt>
                <c:pt idx="12">
                  <c:v>0.80050368771361757</c:v>
                </c:pt>
              </c:numCache>
            </c:numRef>
          </c:val>
          <c:extLst>
            <c:ext xmlns:c16="http://schemas.microsoft.com/office/drawing/2014/chart" uri="{C3380CC4-5D6E-409C-BE32-E72D297353CC}">
              <c16:uniqueId val="{00000001-4664-444D-9990-F559DF43BB46}"/>
            </c:ext>
          </c:extLst>
        </c:ser>
        <c:dLbls>
          <c:showLegendKey val="0"/>
          <c:showVal val="0"/>
          <c:showCatName val="0"/>
          <c:showSerName val="0"/>
          <c:showPercent val="0"/>
          <c:showBubbleSize val="0"/>
        </c:dLbls>
        <c:gapWidth val="150"/>
        <c:axId val="313900416"/>
        <c:axId val="313910400"/>
      </c:barChart>
      <c:catAx>
        <c:axId val="313900416"/>
        <c:scaling>
          <c:orientation val="minMax"/>
        </c:scaling>
        <c:delete val="0"/>
        <c:axPos val="b"/>
        <c:numFmt formatCode="General" sourceLinked="0"/>
        <c:majorTickMark val="out"/>
        <c:minorTickMark val="none"/>
        <c:tickLblPos val="nextTo"/>
        <c:crossAx val="313910400"/>
        <c:crosses val="autoZero"/>
        <c:auto val="1"/>
        <c:lblAlgn val="ctr"/>
        <c:lblOffset val="100"/>
        <c:noMultiLvlLbl val="0"/>
      </c:catAx>
      <c:valAx>
        <c:axId val="313910400"/>
        <c:scaling>
          <c:orientation val="minMax"/>
        </c:scaling>
        <c:delete val="0"/>
        <c:axPos val="l"/>
        <c:majorGridlines/>
        <c:numFmt formatCode="0.0" sourceLinked="1"/>
        <c:majorTickMark val="out"/>
        <c:minorTickMark val="none"/>
        <c:tickLblPos val="nextTo"/>
        <c:crossAx val="313900416"/>
        <c:crosses val="autoZero"/>
        <c:crossBetween val="between"/>
      </c:valAx>
    </c:plotArea>
    <c:legend>
      <c:legendPos val="r"/>
      <c:layout>
        <c:manualLayout>
          <c:xMode val="edge"/>
          <c:yMode val="edge"/>
          <c:x val="0.48666797900262487"/>
          <c:y val="5.9801326917468686E-2"/>
          <c:w val="0.4633320209973753"/>
          <c:h val="0.20523913677456987"/>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221041425765831E-2"/>
          <c:y val="2.3386030212995609E-2"/>
          <c:w val="0.91893612294159066"/>
          <c:h val="0.92384588260777434"/>
        </c:manualLayout>
      </c:layout>
      <c:lineChart>
        <c:grouping val="standard"/>
        <c:varyColors val="0"/>
        <c:ser>
          <c:idx val="2"/>
          <c:order val="0"/>
          <c:tx>
            <c:strRef>
              <c:f>Sheet2!$N$7</c:f>
              <c:strCache>
                <c:ptCount val="1"/>
                <c:pt idx="0">
                  <c:v>Level2</c:v>
                </c:pt>
              </c:strCache>
            </c:strRef>
          </c:tx>
          <c:val>
            <c:numRef>
              <c:f>Sheet2!$N$8:$N$17</c:f>
              <c:numCache>
                <c:formatCode>General</c:formatCode>
                <c:ptCount val="10"/>
                <c:pt idx="0">
                  <c:v>71.5</c:v>
                </c:pt>
                <c:pt idx="1">
                  <c:v>35.75</c:v>
                </c:pt>
                <c:pt idx="2">
                  <c:v>23.833333333333325</c:v>
                </c:pt>
                <c:pt idx="3">
                  <c:v>17.875</c:v>
                </c:pt>
                <c:pt idx="4">
                  <c:v>14.3</c:v>
                </c:pt>
                <c:pt idx="5">
                  <c:v>11.916666666666668</c:v>
                </c:pt>
                <c:pt idx="6">
                  <c:v>10.214285714285714</c:v>
                </c:pt>
                <c:pt idx="7">
                  <c:v>8.9375</c:v>
                </c:pt>
                <c:pt idx="8">
                  <c:v>7.9444444444444455</c:v>
                </c:pt>
                <c:pt idx="9">
                  <c:v>7.1499999999999995</c:v>
                </c:pt>
              </c:numCache>
            </c:numRef>
          </c:val>
          <c:smooth val="0"/>
          <c:extLst>
            <c:ext xmlns:c16="http://schemas.microsoft.com/office/drawing/2014/chart" uri="{C3380CC4-5D6E-409C-BE32-E72D297353CC}">
              <c16:uniqueId val="{00000000-3226-4820-9913-FE180ED32372}"/>
            </c:ext>
          </c:extLst>
        </c:ser>
        <c:ser>
          <c:idx val="4"/>
          <c:order val="1"/>
          <c:tx>
            <c:strRef>
              <c:f>Sheet2!$P$7</c:f>
              <c:strCache>
                <c:ptCount val="1"/>
                <c:pt idx="0">
                  <c:v>Level3</c:v>
                </c:pt>
              </c:strCache>
            </c:strRef>
          </c:tx>
          <c:val>
            <c:numRef>
              <c:f>Sheet2!$P$8:$P$17</c:f>
              <c:numCache>
                <c:formatCode>General</c:formatCode>
                <c:ptCount val="10"/>
                <c:pt idx="0">
                  <c:v>86.35</c:v>
                </c:pt>
                <c:pt idx="1">
                  <c:v>48.4</c:v>
                </c:pt>
                <c:pt idx="2">
                  <c:v>32.266666666666652</c:v>
                </c:pt>
                <c:pt idx="3">
                  <c:v>24.2</c:v>
                </c:pt>
                <c:pt idx="4">
                  <c:v>21.41</c:v>
                </c:pt>
                <c:pt idx="5">
                  <c:v>17.841666666666665</c:v>
                </c:pt>
                <c:pt idx="6">
                  <c:v>15.292857142857143</c:v>
                </c:pt>
                <c:pt idx="7">
                  <c:v>13.38125</c:v>
                </c:pt>
                <c:pt idx="8">
                  <c:v>11.894444444444446</c:v>
                </c:pt>
                <c:pt idx="9">
                  <c:v>10.705</c:v>
                </c:pt>
              </c:numCache>
            </c:numRef>
          </c:val>
          <c:smooth val="0"/>
          <c:extLst>
            <c:ext xmlns:c16="http://schemas.microsoft.com/office/drawing/2014/chart" uri="{C3380CC4-5D6E-409C-BE32-E72D297353CC}">
              <c16:uniqueId val="{00000001-3226-4820-9913-FE180ED32372}"/>
            </c:ext>
          </c:extLst>
        </c:ser>
        <c:ser>
          <c:idx val="6"/>
          <c:order val="2"/>
          <c:tx>
            <c:strRef>
              <c:f>Sheet2!$R$7</c:f>
              <c:strCache>
                <c:ptCount val="1"/>
                <c:pt idx="0">
                  <c:v>Level4</c:v>
                </c:pt>
              </c:strCache>
            </c:strRef>
          </c:tx>
          <c:val>
            <c:numRef>
              <c:f>Sheet2!$R$8:$R$17</c:f>
              <c:numCache>
                <c:formatCode>General</c:formatCode>
                <c:ptCount val="10"/>
                <c:pt idx="0">
                  <c:v>97.149999999999991</c:v>
                </c:pt>
                <c:pt idx="1">
                  <c:v>70.674999999999983</c:v>
                </c:pt>
                <c:pt idx="2">
                  <c:v>47.116666666666646</c:v>
                </c:pt>
                <c:pt idx="3">
                  <c:v>35.337499999999999</c:v>
                </c:pt>
                <c:pt idx="4">
                  <c:v>36.050000000000004</c:v>
                </c:pt>
                <c:pt idx="5">
                  <c:v>30.041666666666668</c:v>
                </c:pt>
                <c:pt idx="6">
                  <c:v>25.75</c:v>
                </c:pt>
                <c:pt idx="7">
                  <c:v>24.324999999999999</c:v>
                </c:pt>
                <c:pt idx="8">
                  <c:v>21.622222222222216</c:v>
                </c:pt>
                <c:pt idx="9">
                  <c:v>19.459999999999997</c:v>
                </c:pt>
              </c:numCache>
            </c:numRef>
          </c:val>
          <c:smooth val="0"/>
          <c:extLst>
            <c:ext xmlns:c16="http://schemas.microsoft.com/office/drawing/2014/chart" uri="{C3380CC4-5D6E-409C-BE32-E72D297353CC}">
              <c16:uniqueId val="{00000002-3226-4820-9913-FE180ED32372}"/>
            </c:ext>
          </c:extLst>
        </c:ser>
        <c:ser>
          <c:idx val="8"/>
          <c:order val="3"/>
          <c:tx>
            <c:strRef>
              <c:f>Sheet2!$T$7</c:f>
              <c:strCache>
                <c:ptCount val="1"/>
                <c:pt idx="0">
                  <c:v>Level5</c:v>
                </c:pt>
              </c:strCache>
            </c:strRef>
          </c:tx>
          <c:val>
            <c:numRef>
              <c:f>Sheet2!$T$8:$T$17</c:f>
              <c:numCache>
                <c:formatCode>General</c:formatCode>
                <c:ptCount val="10"/>
                <c:pt idx="0">
                  <c:v>274.14999999999998</c:v>
                </c:pt>
                <c:pt idx="1">
                  <c:v>137.07499999999999</c:v>
                </c:pt>
                <c:pt idx="2">
                  <c:v>91.383333333333269</c:v>
                </c:pt>
                <c:pt idx="3">
                  <c:v>68.537499999999994</c:v>
                </c:pt>
                <c:pt idx="4">
                  <c:v>54.83</c:v>
                </c:pt>
                <c:pt idx="5">
                  <c:v>45.691666666666642</c:v>
                </c:pt>
                <c:pt idx="6">
                  <c:v>39.164285714285711</c:v>
                </c:pt>
                <c:pt idx="7">
                  <c:v>34.268750000000011</c:v>
                </c:pt>
                <c:pt idx="8">
                  <c:v>30.461111111111109</c:v>
                </c:pt>
                <c:pt idx="9">
                  <c:v>27.414999999999999</c:v>
                </c:pt>
              </c:numCache>
            </c:numRef>
          </c:val>
          <c:smooth val="0"/>
          <c:extLst>
            <c:ext xmlns:c16="http://schemas.microsoft.com/office/drawing/2014/chart" uri="{C3380CC4-5D6E-409C-BE32-E72D297353CC}">
              <c16:uniqueId val="{00000003-3226-4820-9913-FE180ED32372}"/>
            </c:ext>
          </c:extLst>
        </c:ser>
        <c:ser>
          <c:idx val="10"/>
          <c:order val="4"/>
          <c:tx>
            <c:strRef>
              <c:f>Sheet2!$V$7</c:f>
              <c:strCache>
                <c:ptCount val="1"/>
                <c:pt idx="0">
                  <c:v>Level6</c:v>
                </c:pt>
              </c:strCache>
            </c:strRef>
          </c:tx>
          <c:val>
            <c:numRef>
              <c:f>Sheet2!$V$8:$V$17</c:f>
              <c:numCache>
                <c:formatCode>General</c:formatCode>
                <c:ptCount val="10"/>
                <c:pt idx="0">
                  <c:v>417.2</c:v>
                </c:pt>
                <c:pt idx="1">
                  <c:v>208.6</c:v>
                </c:pt>
                <c:pt idx="2">
                  <c:v>139.06666666666663</c:v>
                </c:pt>
                <c:pt idx="3">
                  <c:v>104.3</c:v>
                </c:pt>
                <c:pt idx="4">
                  <c:v>83.440000000000012</c:v>
                </c:pt>
                <c:pt idx="5">
                  <c:v>69.533333333333317</c:v>
                </c:pt>
                <c:pt idx="6">
                  <c:v>59.6</c:v>
                </c:pt>
                <c:pt idx="7">
                  <c:v>52.15</c:v>
                </c:pt>
                <c:pt idx="8">
                  <c:v>46.355555555555554</c:v>
                </c:pt>
                <c:pt idx="9">
                  <c:v>41.720000000000006</c:v>
                </c:pt>
              </c:numCache>
            </c:numRef>
          </c:val>
          <c:smooth val="0"/>
          <c:extLst>
            <c:ext xmlns:c16="http://schemas.microsoft.com/office/drawing/2014/chart" uri="{C3380CC4-5D6E-409C-BE32-E72D297353CC}">
              <c16:uniqueId val="{00000004-3226-4820-9913-FE180ED32372}"/>
            </c:ext>
          </c:extLst>
        </c:ser>
        <c:ser>
          <c:idx val="12"/>
          <c:order val="5"/>
          <c:tx>
            <c:strRef>
              <c:f>Sheet2!$X$7</c:f>
              <c:strCache>
                <c:ptCount val="1"/>
                <c:pt idx="0">
                  <c:v>Level7</c:v>
                </c:pt>
              </c:strCache>
            </c:strRef>
          </c:tx>
          <c:val>
            <c:numRef>
              <c:f>Sheet2!$X$8:$X$17</c:f>
              <c:numCache>
                <c:formatCode>General</c:formatCode>
                <c:ptCount val="10"/>
                <c:pt idx="0">
                  <c:v>466.85</c:v>
                </c:pt>
                <c:pt idx="1">
                  <c:v>233.42500000000001</c:v>
                </c:pt>
                <c:pt idx="2">
                  <c:v>155.61666666666662</c:v>
                </c:pt>
                <c:pt idx="3">
                  <c:v>116.71250000000002</c:v>
                </c:pt>
                <c:pt idx="4">
                  <c:v>93.36999999999999</c:v>
                </c:pt>
                <c:pt idx="5">
                  <c:v>77.808333333333309</c:v>
                </c:pt>
                <c:pt idx="6">
                  <c:v>66.692857142857136</c:v>
                </c:pt>
                <c:pt idx="7">
                  <c:v>58.356249999999996</c:v>
                </c:pt>
                <c:pt idx="8">
                  <c:v>51.872222222222227</c:v>
                </c:pt>
                <c:pt idx="9">
                  <c:v>46.685000000000002</c:v>
                </c:pt>
              </c:numCache>
            </c:numRef>
          </c:val>
          <c:smooth val="0"/>
          <c:extLst>
            <c:ext xmlns:c16="http://schemas.microsoft.com/office/drawing/2014/chart" uri="{C3380CC4-5D6E-409C-BE32-E72D297353CC}">
              <c16:uniqueId val="{00000005-3226-4820-9913-FE180ED32372}"/>
            </c:ext>
          </c:extLst>
        </c:ser>
        <c:dLbls>
          <c:showLegendKey val="0"/>
          <c:showVal val="0"/>
          <c:showCatName val="0"/>
          <c:showSerName val="0"/>
          <c:showPercent val="0"/>
          <c:showBubbleSize val="0"/>
        </c:dLbls>
        <c:marker val="1"/>
        <c:smooth val="0"/>
        <c:axId val="315133952"/>
        <c:axId val="315135488"/>
      </c:lineChart>
      <c:catAx>
        <c:axId val="315133952"/>
        <c:scaling>
          <c:orientation val="minMax"/>
        </c:scaling>
        <c:delete val="0"/>
        <c:axPos val="b"/>
        <c:majorTickMark val="out"/>
        <c:minorTickMark val="none"/>
        <c:tickLblPos val="nextTo"/>
        <c:crossAx val="315135488"/>
        <c:crosses val="autoZero"/>
        <c:auto val="1"/>
        <c:lblAlgn val="ctr"/>
        <c:lblOffset val="100"/>
        <c:noMultiLvlLbl val="0"/>
      </c:catAx>
      <c:valAx>
        <c:axId val="315135488"/>
        <c:scaling>
          <c:orientation val="minMax"/>
        </c:scaling>
        <c:delete val="0"/>
        <c:axPos val="l"/>
        <c:majorGridlines/>
        <c:numFmt formatCode="General" sourceLinked="1"/>
        <c:majorTickMark val="out"/>
        <c:minorTickMark val="none"/>
        <c:tickLblPos val="nextTo"/>
        <c:crossAx val="315133952"/>
        <c:crosses val="autoZero"/>
        <c:crossBetween val="between"/>
      </c:valAx>
    </c:plotArea>
    <c:legend>
      <c:legendPos val="r"/>
      <c:layout>
        <c:manualLayout>
          <c:xMode val="edge"/>
          <c:yMode val="edge"/>
          <c:x val="0.74379678064717458"/>
          <c:y val="3.3967975856671211E-2"/>
          <c:w val="0.19122423508250283"/>
          <c:h val="0.24959970650119107"/>
        </c:manualLayout>
      </c:layout>
      <c:overlay val="0"/>
      <c:spPr>
        <a:solidFill>
          <a:schemeClr val="bg1"/>
        </a:solidFill>
        <a:ln>
          <a:solidFill>
            <a:schemeClr val="accent1"/>
          </a:solidFill>
        </a:ln>
      </c:sp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7758444092739"/>
          <c:y val="2.343985953143236E-2"/>
          <c:w val="0.88762080602599991"/>
          <c:h val="0.8864415586728176"/>
        </c:manualLayout>
      </c:layout>
      <c:lineChart>
        <c:grouping val="standard"/>
        <c:varyColors val="0"/>
        <c:ser>
          <c:idx val="1"/>
          <c:order val="0"/>
          <c:tx>
            <c:strRef>
              <c:f>Cyto!$E$40</c:f>
              <c:strCache>
                <c:ptCount val="1"/>
                <c:pt idx="0">
                  <c:v>Pathologist attended FNAB</c:v>
                </c:pt>
              </c:strCache>
            </c:strRef>
          </c:tx>
          <c:val>
            <c:numRef>
              <c:f>Cyto!$E$41:$E$45</c:f>
              <c:numCache>
                <c:formatCode>General</c:formatCode>
                <c:ptCount val="5"/>
                <c:pt idx="0">
                  <c:v>170.35000000000002</c:v>
                </c:pt>
                <c:pt idx="1">
                  <c:v>110.73</c:v>
                </c:pt>
                <c:pt idx="2">
                  <c:v>73.81</c:v>
                </c:pt>
                <c:pt idx="3">
                  <c:v>55.36</c:v>
                </c:pt>
                <c:pt idx="4">
                  <c:v>44.290000000000006</c:v>
                </c:pt>
              </c:numCache>
            </c:numRef>
          </c:val>
          <c:smooth val="0"/>
          <c:extLst>
            <c:ext xmlns:c16="http://schemas.microsoft.com/office/drawing/2014/chart" uri="{C3380CC4-5D6E-409C-BE32-E72D297353CC}">
              <c16:uniqueId val="{00000000-9262-436A-8ABF-AD495A85976E}"/>
            </c:ext>
          </c:extLst>
        </c:ser>
        <c:ser>
          <c:idx val="2"/>
          <c:order val="1"/>
          <c:tx>
            <c:strRef>
              <c:f>Cyto!$F$40</c:f>
              <c:strCache>
                <c:ptCount val="1"/>
                <c:pt idx="0">
                  <c:v>Attended FNAB</c:v>
                </c:pt>
              </c:strCache>
            </c:strRef>
          </c:tx>
          <c:val>
            <c:numRef>
              <c:f>Cyto!$F$41:$F$45</c:f>
              <c:numCache>
                <c:formatCode>General</c:formatCode>
                <c:ptCount val="5"/>
                <c:pt idx="0">
                  <c:v>99.35</c:v>
                </c:pt>
                <c:pt idx="1">
                  <c:v>64.58</c:v>
                </c:pt>
                <c:pt idx="2">
                  <c:v>43.05</c:v>
                </c:pt>
                <c:pt idx="3">
                  <c:v>32.28</c:v>
                </c:pt>
                <c:pt idx="4">
                  <c:v>25.830000000000002</c:v>
                </c:pt>
              </c:numCache>
            </c:numRef>
          </c:val>
          <c:smooth val="0"/>
          <c:extLst>
            <c:ext xmlns:c16="http://schemas.microsoft.com/office/drawing/2014/chart" uri="{C3380CC4-5D6E-409C-BE32-E72D297353CC}">
              <c16:uniqueId val="{00000001-9262-436A-8ABF-AD495A85976E}"/>
            </c:ext>
          </c:extLst>
        </c:ser>
        <c:ser>
          <c:idx val="3"/>
          <c:order val="2"/>
          <c:tx>
            <c:strRef>
              <c:f>Cyto!$G$40</c:f>
              <c:strCache>
                <c:ptCount val="1"/>
                <c:pt idx="0">
                  <c:v>FNAB</c:v>
                </c:pt>
              </c:strCache>
            </c:strRef>
          </c:tx>
          <c:val>
            <c:numRef>
              <c:f>Cyto!$G$41:$G$45</c:f>
              <c:numCache>
                <c:formatCode>General</c:formatCode>
                <c:ptCount val="5"/>
                <c:pt idx="0">
                  <c:v>68.149999999999991</c:v>
                </c:pt>
                <c:pt idx="1">
                  <c:v>44.5</c:v>
                </c:pt>
                <c:pt idx="2">
                  <c:v>29.67</c:v>
                </c:pt>
                <c:pt idx="3">
                  <c:v>22.25</c:v>
                </c:pt>
                <c:pt idx="4">
                  <c:v>17.8</c:v>
                </c:pt>
              </c:numCache>
            </c:numRef>
          </c:val>
          <c:smooth val="0"/>
          <c:extLst>
            <c:ext xmlns:c16="http://schemas.microsoft.com/office/drawing/2014/chart" uri="{C3380CC4-5D6E-409C-BE32-E72D297353CC}">
              <c16:uniqueId val="{00000002-9262-436A-8ABF-AD495A85976E}"/>
            </c:ext>
          </c:extLst>
        </c:ser>
        <c:ser>
          <c:idx val="4"/>
          <c:order val="3"/>
          <c:tx>
            <c:strRef>
              <c:f>Cyto!$H$40</c:f>
              <c:strCache>
                <c:ptCount val="1"/>
                <c:pt idx="0">
                  <c:v>Fluid/ washing/ brushing</c:v>
                </c:pt>
              </c:strCache>
            </c:strRef>
          </c:tx>
          <c:val>
            <c:numRef>
              <c:f>Cyto!$H$41:$H$45</c:f>
              <c:numCache>
                <c:formatCode>General</c:formatCode>
                <c:ptCount val="5"/>
                <c:pt idx="0">
                  <c:v>48.6</c:v>
                </c:pt>
                <c:pt idx="1">
                  <c:v>24.3</c:v>
                </c:pt>
                <c:pt idx="2">
                  <c:v>16.2</c:v>
                </c:pt>
                <c:pt idx="3">
                  <c:v>12.15</c:v>
                </c:pt>
                <c:pt idx="4">
                  <c:v>9.7199999999999989</c:v>
                </c:pt>
              </c:numCache>
            </c:numRef>
          </c:val>
          <c:smooth val="0"/>
          <c:extLst>
            <c:ext xmlns:c16="http://schemas.microsoft.com/office/drawing/2014/chart" uri="{C3380CC4-5D6E-409C-BE32-E72D297353CC}">
              <c16:uniqueId val="{00000003-9262-436A-8ABF-AD495A85976E}"/>
            </c:ext>
          </c:extLst>
        </c:ser>
        <c:ser>
          <c:idx val="5"/>
          <c:order val="4"/>
          <c:tx>
            <c:strRef>
              <c:f>Cyto!$I$40</c:f>
              <c:strCache>
                <c:ptCount val="1"/>
                <c:pt idx="0">
                  <c:v>Mucosal smear</c:v>
                </c:pt>
              </c:strCache>
            </c:strRef>
          </c:tx>
          <c:val>
            <c:numRef>
              <c:f>Cyto!$I$41:$I$45</c:f>
              <c:numCache>
                <c:formatCode>General</c:formatCode>
                <c:ptCount val="5"/>
                <c:pt idx="0">
                  <c:v>22.85</c:v>
                </c:pt>
                <c:pt idx="1">
                  <c:v>11.43</c:v>
                </c:pt>
                <c:pt idx="2">
                  <c:v>7.6199999999999992</c:v>
                </c:pt>
                <c:pt idx="3">
                  <c:v>5.71</c:v>
                </c:pt>
                <c:pt idx="4">
                  <c:v>4.57</c:v>
                </c:pt>
              </c:numCache>
            </c:numRef>
          </c:val>
          <c:smooth val="0"/>
          <c:extLst>
            <c:ext xmlns:c16="http://schemas.microsoft.com/office/drawing/2014/chart" uri="{C3380CC4-5D6E-409C-BE32-E72D297353CC}">
              <c16:uniqueId val="{00000004-9262-436A-8ABF-AD495A85976E}"/>
            </c:ext>
          </c:extLst>
        </c:ser>
        <c:dLbls>
          <c:showLegendKey val="0"/>
          <c:showVal val="0"/>
          <c:showCatName val="0"/>
          <c:showSerName val="0"/>
          <c:showPercent val="0"/>
          <c:showBubbleSize val="0"/>
        </c:dLbls>
        <c:marker val="1"/>
        <c:smooth val="0"/>
        <c:axId val="315160832"/>
        <c:axId val="315179008"/>
      </c:lineChart>
      <c:catAx>
        <c:axId val="315160832"/>
        <c:scaling>
          <c:orientation val="minMax"/>
        </c:scaling>
        <c:delete val="0"/>
        <c:axPos val="b"/>
        <c:majorTickMark val="out"/>
        <c:minorTickMark val="none"/>
        <c:tickLblPos val="nextTo"/>
        <c:crossAx val="315179008"/>
        <c:crosses val="autoZero"/>
        <c:auto val="1"/>
        <c:lblAlgn val="ctr"/>
        <c:lblOffset val="100"/>
        <c:noMultiLvlLbl val="0"/>
      </c:catAx>
      <c:valAx>
        <c:axId val="315179008"/>
        <c:scaling>
          <c:orientation val="minMax"/>
        </c:scaling>
        <c:delete val="0"/>
        <c:axPos val="l"/>
        <c:majorGridlines/>
        <c:numFmt formatCode="General" sourceLinked="1"/>
        <c:majorTickMark val="out"/>
        <c:minorTickMark val="none"/>
        <c:tickLblPos val="nextTo"/>
        <c:crossAx val="315160832"/>
        <c:crosses val="autoZero"/>
        <c:crossBetween val="between"/>
      </c:valAx>
    </c:plotArea>
    <c:legend>
      <c:legendPos val="r"/>
      <c:layout>
        <c:manualLayout>
          <c:xMode val="edge"/>
          <c:yMode val="edge"/>
          <c:x val="0.62742408700310015"/>
          <c:y val="4.3062834118090296E-2"/>
          <c:w val="0.33644222175350647"/>
          <c:h val="0.25841953957024938"/>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31280661476087E-2"/>
          <c:y val="4.0395153577118814E-2"/>
          <c:w val="0.90077346963859473"/>
          <c:h val="0.90930280424561749"/>
        </c:manualLayout>
      </c:layout>
      <c:lineChart>
        <c:grouping val="standard"/>
        <c:varyColors val="0"/>
        <c:ser>
          <c:idx val="1"/>
          <c:order val="0"/>
          <c:tx>
            <c:strRef>
              <c:f>Cyto!$E$49</c:f>
              <c:strCache>
                <c:ptCount val="1"/>
                <c:pt idx="0">
                  <c:v>Pathologist attended FNAB: current</c:v>
                </c:pt>
              </c:strCache>
            </c:strRef>
          </c:tx>
          <c:spPr>
            <a:ln>
              <a:solidFill>
                <a:schemeClr val="accent2">
                  <a:lumMod val="75000"/>
                </a:schemeClr>
              </a:solidFill>
              <a:prstDash val="solid"/>
            </a:ln>
          </c:spPr>
          <c:marker>
            <c:symbol val="triangle"/>
            <c:size val="7"/>
            <c:spPr>
              <a:solidFill>
                <a:schemeClr val="accent2">
                  <a:lumMod val="75000"/>
                </a:schemeClr>
              </a:solidFill>
              <a:ln>
                <a:solidFill>
                  <a:schemeClr val="accent2">
                    <a:lumMod val="75000"/>
                  </a:schemeClr>
                </a:solidFill>
              </a:ln>
            </c:spPr>
          </c:marker>
          <c:val>
            <c:numRef>
              <c:f>Cyto!$E$50:$E$54</c:f>
              <c:numCache>
                <c:formatCode>General</c:formatCode>
                <c:ptCount val="5"/>
                <c:pt idx="0">
                  <c:v>170.35000000000002</c:v>
                </c:pt>
                <c:pt idx="1">
                  <c:v>110.73</c:v>
                </c:pt>
                <c:pt idx="2">
                  <c:v>73.81</c:v>
                </c:pt>
                <c:pt idx="3">
                  <c:v>55.36</c:v>
                </c:pt>
                <c:pt idx="4">
                  <c:v>44.290000000000006</c:v>
                </c:pt>
              </c:numCache>
            </c:numRef>
          </c:val>
          <c:smooth val="0"/>
          <c:extLst>
            <c:ext xmlns:c16="http://schemas.microsoft.com/office/drawing/2014/chart" uri="{C3380CC4-5D6E-409C-BE32-E72D297353CC}">
              <c16:uniqueId val="{00000000-9B3E-4246-B864-EB45EA971638}"/>
            </c:ext>
          </c:extLst>
        </c:ser>
        <c:ser>
          <c:idx val="2"/>
          <c:order val="1"/>
          <c:tx>
            <c:strRef>
              <c:f>Cyto!$F$49</c:f>
              <c:strCache>
                <c:ptCount val="1"/>
                <c:pt idx="0">
                  <c:v>Pathologist attended FNAB: 100/50/25</c:v>
                </c:pt>
              </c:strCache>
            </c:strRef>
          </c:tx>
          <c:spPr>
            <a:ln>
              <a:solidFill>
                <a:schemeClr val="accent2">
                  <a:lumMod val="75000"/>
                </a:schemeClr>
              </a:solidFill>
              <a:prstDash val="sysDash"/>
            </a:ln>
          </c:spPr>
          <c:marker>
            <c:spPr>
              <a:solidFill>
                <a:schemeClr val="accent2">
                  <a:lumMod val="75000"/>
                </a:schemeClr>
              </a:solidFill>
              <a:ln>
                <a:solidFill>
                  <a:schemeClr val="accent2">
                    <a:lumMod val="75000"/>
                  </a:schemeClr>
                </a:solidFill>
              </a:ln>
            </c:spPr>
          </c:marker>
          <c:val>
            <c:numRef>
              <c:f>Cyto!$F$50:$F$54</c:f>
              <c:numCache>
                <c:formatCode>General</c:formatCode>
                <c:ptCount val="5"/>
                <c:pt idx="0">
                  <c:v>170.35000000000002</c:v>
                </c:pt>
                <c:pt idx="1">
                  <c:v>127.76</c:v>
                </c:pt>
                <c:pt idx="2">
                  <c:v>99.36999999999999</c:v>
                </c:pt>
                <c:pt idx="3">
                  <c:v>85.169999999999987</c:v>
                </c:pt>
                <c:pt idx="4">
                  <c:v>76.649999999999991</c:v>
                </c:pt>
              </c:numCache>
            </c:numRef>
          </c:val>
          <c:smooth val="0"/>
          <c:extLst>
            <c:ext xmlns:c16="http://schemas.microsoft.com/office/drawing/2014/chart" uri="{C3380CC4-5D6E-409C-BE32-E72D297353CC}">
              <c16:uniqueId val="{00000001-9B3E-4246-B864-EB45EA971638}"/>
            </c:ext>
          </c:extLst>
        </c:ser>
        <c:ser>
          <c:idx val="3"/>
          <c:order val="2"/>
          <c:tx>
            <c:strRef>
              <c:f>Cyto!$G$49</c:f>
              <c:strCache>
                <c:ptCount val="1"/>
                <c:pt idx="0">
                  <c:v>Attended FNAB: current</c:v>
                </c:pt>
              </c:strCache>
            </c:strRef>
          </c:tx>
          <c:spPr>
            <a:ln>
              <a:solidFill>
                <a:schemeClr val="accent3">
                  <a:lumMod val="75000"/>
                </a:schemeClr>
              </a:solidFill>
            </a:ln>
          </c:spPr>
          <c:marker>
            <c:symbol val="triangle"/>
            <c:size val="7"/>
            <c:spPr>
              <a:solidFill>
                <a:schemeClr val="accent3">
                  <a:lumMod val="75000"/>
                </a:schemeClr>
              </a:solidFill>
              <a:ln>
                <a:solidFill>
                  <a:schemeClr val="accent3">
                    <a:lumMod val="75000"/>
                  </a:schemeClr>
                </a:solidFill>
              </a:ln>
            </c:spPr>
          </c:marker>
          <c:val>
            <c:numRef>
              <c:f>Cyto!$G$50:$G$54</c:f>
              <c:numCache>
                <c:formatCode>General</c:formatCode>
                <c:ptCount val="5"/>
                <c:pt idx="0">
                  <c:v>99.35</c:v>
                </c:pt>
                <c:pt idx="1">
                  <c:v>64.58</c:v>
                </c:pt>
                <c:pt idx="2">
                  <c:v>43.05</c:v>
                </c:pt>
                <c:pt idx="3">
                  <c:v>32.28</c:v>
                </c:pt>
                <c:pt idx="4">
                  <c:v>25.830000000000002</c:v>
                </c:pt>
              </c:numCache>
            </c:numRef>
          </c:val>
          <c:smooth val="0"/>
          <c:extLst>
            <c:ext xmlns:c16="http://schemas.microsoft.com/office/drawing/2014/chart" uri="{C3380CC4-5D6E-409C-BE32-E72D297353CC}">
              <c16:uniqueId val="{00000002-9B3E-4246-B864-EB45EA971638}"/>
            </c:ext>
          </c:extLst>
        </c:ser>
        <c:ser>
          <c:idx val="4"/>
          <c:order val="3"/>
          <c:tx>
            <c:strRef>
              <c:f>Cyto!$H$49</c:f>
              <c:strCache>
                <c:ptCount val="1"/>
                <c:pt idx="0">
                  <c:v>Attended FNAB: 100/50/25</c:v>
                </c:pt>
              </c:strCache>
            </c:strRef>
          </c:tx>
          <c:spPr>
            <a:ln>
              <a:solidFill>
                <a:schemeClr val="accent3">
                  <a:lumMod val="75000"/>
                </a:schemeClr>
              </a:solidFill>
              <a:prstDash val="sysDash"/>
            </a:ln>
          </c:spPr>
          <c:marker>
            <c:symbol val="triangle"/>
            <c:size val="7"/>
            <c:spPr>
              <a:solidFill>
                <a:schemeClr val="accent3">
                  <a:lumMod val="75000"/>
                </a:schemeClr>
              </a:solidFill>
              <a:ln>
                <a:solidFill>
                  <a:schemeClr val="accent3">
                    <a:lumMod val="75000"/>
                  </a:schemeClr>
                </a:solidFill>
              </a:ln>
            </c:spPr>
          </c:marker>
          <c:val>
            <c:numRef>
              <c:f>Cyto!$H$50:$H$54</c:f>
              <c:numCache>
                <c:formatCode>General</c:formatCode>
                <c:ptCount val="5"/>
                <c:pt idx="0">
                  <c:v>99.35</c:v>
                </c:pt>
                <c:pt idx="1">
                  <c:v>74.510000000000005</c:v>
                </c:pt>
                <c:pt idx="2">
                  <c:v>57.96</c:v>
                </c:pt>
                <c:pt idx="3">
                  <c:v>49.68</c:v>
                </c:pt>
                <c:pt idx="4">
                  <c:v>44.71</c:v>
                </c:pt>
              </c:numCache>
            </c:numRef>
          </c:val>
          <c:smooth val="0"/>
          <c:extLst>
            <c:ext xmlns:c16="http://schemas.microsoft.com/office/drawing/2014/chart" uri="{C3380CC4-5D6E-409C-BE32-E72D297353CC}">
              <c16:uniqueId val="{00000003-9B3E-4246-B864-EB45EA971638}"/>
            </c:ext>
          </c:extLst>
        </c:ser>
        <c:ser>
          <c:idx val="5"/>
          <c:order val="4"/>
          <c:tx>
            <c:strRef>
              <c:f>Cyto!$I$49</c:f>
              <c:strCache>
                <c:ptCount val="1"/>
                <c:pt idx="0">
                  <c:v>FNAB: current</c:v>
                </c:pt>
              </c:strCache>
            </c:strRef>
          </c:tx>
          <c:spPr>
            <a:ln>
              <a:solidFill>
                <a:srgbClr val="7030A0"/>
              </a:solidFill>
            </a:ln>
          </c:spPr>
          <c:marker>
            <c:symbol val="triangle"/>
            <c:size val="7"/>
            <c:spPr>
              <a:solidFill>
                <a:srgbClr val="7030A0"/>
              </a:solidFill>
              <a:ln>
                <a:solidFill>
                  <a:srgbClr val="7030A0"/>
                </a:solidFill>
              </a:ln>
            </c:spPr>
          </c:marker>
          <c:val>
            <c:numRef>
              <c:f>Cyto!$I$50:$I$54</c:f>
              <c:numCache>
                <c:formatCode>General</c:formatCode>
                <c:ptCount val="5"/>
                <c:pt idx="0">
                  <c:v>68.149999999999991</c:v>
                </c:pt>
                <c:pt idx="1">
                  <c:v>44.5</c:v>
                </c:pt>
                <c:pt idx="2">
                  <c:v>29.67</c:v>
                </c:pt>
                <c:pt idx="3">
                  <c:v>22.25</c:v>
                </c:pt>
                <c:pt idx="4">
                  <c:v>17.8</c:v>
                </c:pt>
              </c:numCache>
            </c:numRef>
          </c:val>
          <c:smooth val="0"/>
          <c:extLst>
            <c:ext xmlns:c16="http://schemas.microsoft.com/office/drawing/2014/chart" uri="{C3380CC4-5D6E-409C-BE32-E72D297353CC}">
              <c16:uniqueId val="{00000004-9B3E-4246-B864-EB45EA971638}"/>
            </c:ext>
          </c:extLst>
        </c:ser>
        <c:ser>
          <c:idx val="6"/>
          <c:order val="5"/>
          <c:tx>
            <c:strRef>
              <c:f>Cyto!$J$49</c:f>
              <c:strCache>
                <c:ptCount val="1"/>
                <c:pt idx="0">
                  <c:v>FNAB: 100/50/25</c:v>
                </c:pt>
              </c:strCache>
            </c:strRef>
          </c:tx>
          <c:spPr>
            <a:ln>
              <a:solidFill>
                <a:srgbClr val="7030A0"/>
              </a:solidFill>
              <a:prstDash val="sysDash"/>
            </a:ln>
          </c:spPr>
          <c:marker>
            <c:symbol val="triangle"/>
            <c:size val="7"/>
            <c:spPr>
              <a:solidFill>
                <a:srgbClr val="7030A0"/>
              </a:solidFill>
              <a:ln>
                <a:solidFill>
                  <a:srgbClr val="7030A0"/>
                </a:solidFill>
              </a:ln>
            </c:spPr>
          </c:marker>
          <c:val>
            <c:numRef>
              <c:f>Cyto!$J$50:$J$54</c:f>
              <c:numCache>
                <c:formatCode>General</c:formatCode>
                <c:ptCount val="5"/>
                <c:pt idx="0">
                  <c:v>68.149999999999991</c:v>
                </c:pt>
                <c:pt idx="1">
                  <c:v>51.11</c:v>
                </c:pt>
                <c:pt idx="2">
                  <c:v>39.760000000000005</c:v>
                </c:pt>
                <c:pt idx="3">
                  <c:v>34.08</c:v>
                </c:pt>
                <c:pt idx="4">
                  <c:v>30.67</c:v>
                </c:pt>
              </c:numCache>
            </c:numRef>
          </c:val>
          <c:smooth val="0"/>
          <c:extLst>
            <c:ext xmlns:c16="http://schemas.microsoft.com/office/drawing/2014/chart" uri="{C3380CC4-5D6E-409C-BE32-E72D297353CC}">
              <c16:uniqueId val="{00000005-9B3E-4246-B864-EB45EA971638}"/>
            </c:ext>
          </c:extLst>
        </c:ser>
        <c:dLbls>
          <c:showLegendKey val="0"/>
          <c:showVal val="0"/>
          <c:showCatName val="0"/>
          <c:showSerName val="0"/>
          <c:showPercent val="0"/>
          <c:showBubbleSize val="0"/>
        </c:dLbls>
        <c:marker val="1"/>
        <c:smooth val="0"/>
        <c:axId val="315225600"/>
        <c:axId val="315227520"/>
      </c:lineChart>
      <c:catAx>
        <c:axId val="315225600"/>
        <c:scaling>
          <c:orientation val="minMax"/>
        </c:scaling>
        <c:delete val="0"/>
        <c:axPos val="b"/>
        <c:majorTickMark val="out"/>
        <c:minorTickMark val="none"/>
        <c:tickLblPos val="nextTo"/>
        <c:crossAx val="315227520"/>
        <c:crosses val="autoZero"/>
        <c:auto val="1"/>
        <c:lblAlgn val="ctr"/>
        <c:lblOffset val="100"/>
        <c:noMultiLvlLbl val="0"/>
      </c:catAx>
      <c:valAx>
        <c:axId val="315227520"/>
        <c:scaling>
          <c:orientation val="minMax"/>
        </c:scaling>
        <c:delete val="0"/>
        <c:axPos val="l"/>
        <c:majorGridlines/>
        <c:numFmt formatCode="General" sourceLinked="1"/>
        <c:majorTickMark val="out"/>
        <c:minorTickMark val="none"/>
        <c:tickLblPos val="nextTo"/>
        <c:crossAx val="315225600"/>
        <c:crosses val="autoZero"/>
        <c:crossBetween val="between"/>
      </c:valAx>
    </c:plotArea>
    <c:legend>
      <c:legendPos val="r"/>
      <c:layout>
        <c:manualLayout>
          <c:xMode val="edge"/>
          <c:yMode val="edge"/>
          <c:x val="0.62371436136877845"/>
          <c:y val="5.9981257814560957E-2"/>
          <c:w val="0.32569847089047083"/>
          <c:h val="0.35769177337681285"/>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792694228546938E-2"/>
          <c:y val="1.7746329295136289E-2"/>
          <c:w val="0.87348649429122716"/>
          <c:h val="0.89486246720734697"/>
        </c:manualLayout>
      </c:layout>
      <c:lineChart>
        <c:grouping val="standard"/>
        <c:varyColors val="0"/>
        <c:ser>
          <c:idx val="1"/>
          <c:order val="0"/>
          <c:tx>
            <c:strRef>
              <c:f>IHC!$D$5</c:f>
              <c:strCache>
                <c:ptCount val="1"/>
                <c:pt idx="0">
                  <c:v>Effective $ rebate per IHC assay</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IHC!$D$6:$D$25</c:f>
              <c:numCache>
                <c:formatCode>0.0</c:formatCode>
                <c:ptCount val="20"/>
                <c:pt idx="0">
                  <c:v>59.6</c:v>
                </c:pt>
                <c:pt idx="1">
                  <c:v>29.8</c:v>
                </c:pt>
                <c:pt idx="2">
                  <c:v>19.87</c:v>
                </c:pt>
                <c:pt idx="3">
                  <c:v>22.35</c:v>
                </c:pt>
                <c:pt idx="4">
                  <c:v>17.88</c:v>
                </c:pt>
                <c:pt idx="5">
                  <c:v>14.9</c:v>
                </c:pt>
                <c:pt idx="6">
                  <c:v>15.32</c:v>
                </c:pt>
                <c:pt idx="7">
                  <c:v>13.4</c:v>
                </c:pt>
                <c:pt idx="8">
                  <c:v>11.59</c:v>
                </c:pt>
                <c:pt idx="9">
                  <c:v>10.43</c:v>
                </c:pt>
                <c:pt idx="10">
                  <c:v>10.83</c:v>
                </c:pt>
                <c:pt idx="11">
                  <c:v>9.9333333333333336</c:v>
                </c:pt>
                <c:pt idx="12">
                  <c:v>9.1692307692307686</c:v>
                </c:pt>
                <c:pt idx="13">
                  <c:v>8.5142857142857142</c:v>
                </c:pt>
                <c:pt idx="14">
                  <c:v>7.9466666666666681</c:v>
                </c:pt>
                <c:pt idx="15">
                  <c:v>7.45</c:v>
                </c:pt>
                <c:pt idx="16">
                  <c:v>7.0117647058823538</c:v>
                </c:pt>
                <c:pt idx="17">
                  <c:v>6.6222222222222227</c:v>
                </c:pt>
                <c:pt idx="18">
                  <c:v>6.2736842105263158</c:v>
                </c:pt>
                <c:pt idx="19">
                  <c:v>5.96</c:v>
                </c:pt>
              </c:numCache>
            </c:numRef>
          </c:val>
          <c:smooth val="0"/>
          <c:extLst>
            <c:ext xmlns:c16="http://schemas.microsoft.com/office/drawing/2014/chart" uri="{C3380CC4-5D6E-409C-BE32-E72D297353CC}">
              <c16:uniqueId val="{00000000-E74A-4B9E-A184-2AE655C19CA9}"/>
            </c:ext>
          </c:extLst>
        </c:ser>
        <c:ser>
          <c:idx val="2"/>
          <c:order val="1"/>
          <c:tx>
            <c:strRef>
              <c:f>IHC!$E$5</c:f>
              <c:strCache>
                <c:ptCount val="1"/>
                <c:pt idx="0">
                  <c:v>Effective $ rebate for ICC assay</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IHC!$E$6:$E$25</c:f>
              <c:numCache>
                <c:formatCode>General</c:formatCode>
                <c:ptCount val="20"/>
                <c:pt idx="0">
                  <c:v>43</c:v>
                </c:pt>
                <c:pt idx="1">
                  <c:v>21.5</c:v>
                </c:pt>
                <c:pt idx="2">
                  <c:v>14.33</c:v>
                </c:pt>
                <c:pt idx="3">
                  <c:v>14.34</c:v>
                </c:pt>
                <c:pt idx="4">
                  <c:v>11.47</c:v>
                </c:pt>
                <c:pt idx="5">
                  <c:v>9.5500000000000007</c:v>
                </c:pt>
                <c:pt idx="6">
                  <c:v>10.239999999999998</c:v>
                </c:pt>
                <c:pt idx="7">
                  <c:v>8.9600000000000026</c:v>
                </c:pt>
                <c:pt idx="8">
                  <c:v>7.96</c:v>
                </c:pt>
                <c:pt idx="9">
                  <c:v>7.17</c:v>
                </c:pt>
                <c:pt idx="10">
                  <c:v>7.81</c:v>
                </c:pt>
                <c:pt idx="11">
                  <c:v>7.1599999999999993</c:v>
                </c:pt>
                <c:pt idx="12">
                  <c:v>6.6199999999999992</c:v>
                </c:pt>
                <c:pt idx="13">
                  <c:v>6.14</c:v>
                </c:pt>
                <c:pt idx="14">
                  <c:v>5.73</c:v>
                </c:pt>
                <c:pt idx="15">
                  <c:v>5.38</c:v>
                </c:pt>
                <c:pt idx="16">
                  <c:v>5.0599999999999996</c:v>
                </c:pt>
                <c:pt idx="17">
                  <c:v>4.7699999999999996</c:v>
                </c:pt>
                <c:pt idx="18">
                  <c:v>4.5199999999999996</c:v>
                </c:pt>
                <c:pt idx="19">
                  <c:v>4.3</c:v>
                </c:pt>
              </c:numCache>
            </c:numRef>
          </c:val>
          <c:smooth val="0"/>
          <c:extLst>
            <c:ext xmlns:c16="http://schemas.microsoft.com/office/drawing/2014/chart" uri="{C3380CC4-5D6E-409C-BE32-E72D297353CC}">
              <c16:uniqueId val="{00000001-E74A-4B9E-A184-2AE655C19CA9}"/>
            </c:ext>
          </c:extLst>
        </c:ser>
        <c:dLbls>
          <c:showLegendKey val="0"/>
          <c:showVal val="0"/>
          <c:showCatName val="0"/>
          <c:showSerName val="0"/>
          <c:showPercent val="0"/>
          <c:showBubbleSize val="0"/>
        </c:dLbls>
        <c:marker val="1"/>
        <c:smooth val="0"/>
        <c:axId val="315250560"/>
        <c:axId val="315252096"/>
      </c:lineChart>
      <c:catAx>
        <c:axId val="315250560"/>
        <c:scaling>
          <c:orientation val="minMax"/>
        </c:scaling>
        <c:delete val="0"/>
        <c:axPos val="b"/>
        <c:majorTickMark val="out"/>
        <c:minorTickMark val="none"/>
        <c:tickLblPos val="nextTo"/>
        <c:crossAx val="315252096"/>
        <c:crosses val="autoZero"/>
        <c:auto val="1"/>
        <c:lblAlgn val="ctr"/>
        <c:lblOffset val="100"/>
        <c:noMultiLvlLbl val="0"/>
      </c:catAx>
      <c:valAx>
        <c:axId val="315252096"/>
        <c:scaling>
          <c:orientation val="minMax"/>
        </c:scaling>
        <c:delete val="0"/>
        <c:axPos val="l"/>
        <c:majorGridlines/>
        <c:numFmt formatCode="0.0" sourceLinked="1"/>
        <c:majorTickMark val="out"/>
        <c:minorTickMark val="none"/>
        <c:tickLblPos val="nextTo"/>
        <c:crossAx val="315250560"/>
        <c:crosses val="autoZero"/>
        <c:crossBetween val="between"/>
      </c:valAx>
    </c:plotArea>
    <c:legend>
      <c:legendPos val="r"/>
      <c:layout>
        <c:manualLayout>
          <c:xMode val="edge"/>
          <c:yMode val="edge"/>
          <c:x val="0.59639401599296782"/>
          <c:y val="6.3071574480108944E-2"/>
          <c:w val="0.32993583078910554"/>
          <c:h val="0.16080416929803107"/>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69A9DC79-770E-433B-B720-B87B641B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21129</Words>
  <Characters>120436</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Pathology Clinical Committee (Tissue (Anatomical) Pathology/Cytology)</vt:lpstr>
    </vt:vector>
  </TitlesOfParts>
  <Company/>
  <LinksUpToDate>false</LinksUpToDate>
  <CharactersWithSpaces>141283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Pathology Clinical Committee (Tissue (Anatomical) Pathology/Cytology)</dc:title>
  <dc:subject>Medicare Benefits Schedule </dc:subject>
  <dc:creator>Australian Government Department of Health </dc:creator>
  <cp:keywords/>
  <dc:description>_x000d_
</dc:description>
  <cp:lastModifiedBy>SMEDLEY, Tyne</cp:lastModifiedBy>
  <cp:revision>2</cp:revision>
  <cp:lastPrinted>2017-07-09T03:12:00Z</cp:lastPrinted>
  <dcterms:created xsi:type="dcterms:W3CDTF">2021-06-29T01:14:00Z</dcterms:created>
  <dcterms:modified xsi:type="dcterms:W3CDTF">2021-06-29T01:14:00Z</dcterms:modified>
  <cp:category/>
  <cp:contentStatus>Final</cp:contentStatus>
</cp:coreProperties>
</file>